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Y="57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B77DDE" w:rsidRPr="00F81E2C" w14:paraId="5E103127" w14:textId="77777777" w:rsidTr="005C7691">
        <w:trPr>
          <w:trHeight w:val="2410"/>
        </w:trPr>
        <w:tc>
          <w:tcPr>
            <w:tcW w:w="4661" w:type="dxa"/>
            <w:vAlign w:val="bottom"/>
          </w:tcPr>
          <w:p w14:paraId="4E4908BA" w14:textId="53376C5E" w:rsidR="00364B7C" w:rsidRPr="00F81E2C" w:rsidRDefault="00B77DDE" w:rsidP="00961148">
            <w:pPr>
              <w:spacing w:after="120" w:line="276" w:lineRule="auto"/>
              <w:jc w:val="center"/>
              <w:rPr>
                <w:rFonts w:cs="Arial"/>
                <w:b/>
                <w:sz w:val="32"/>
                <w:szCs w:val="32"/>
                <w:lang w:val="hr-HR"/>
              </w:rPr>
            </w:pPr>
            <w:bookmarkStart w:id="0" w:name="_Hlk494880882"/>
            <w:r>
              <w:rPr>
                <w:rFonts w:cs="Arial"/>
                <w:b/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10452CF7" wp14:editId="7A68BF15">
                  <wp:extent cx="1181100" cy="11811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vAlign w:val="center"/>
          </w:tcPr>
          <w:p w14:paraId="62E09DBC" w14:textId="308C05CB" w:rsidR="003B300D" w:rsidRPr="00F81E2C" w:rsidRDefault="00B77DDE" w:rsidP="00961148">
            <w:pPr>
              <w:spacing w:after="120" w:line="276" w:lineRule="auto"/>
              <w:jc w:val="center"/>
              <w:rPr>
                <w:rFonts w:cs="Arial"/>
                <w:b/>
                <w:sz w:val="32"/>
                <w:szCs w:val="32"/>
                <w:lang w:val="hr-H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1B993D42" wp14:editId="69DC0CC9">
                  <wp:extent cx="2703259" cy="648000"/>
                  <wp:effectExtent l="0" t="0" r="190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52" b="31984"/>
                          <a:stretch/>
                        </pic:blipFill>
                        <pic:spPr bwMode="auto">
                          <a:xfrm>
                            <a:off x="0" y="0"/>
                            <a:ext cx="2703259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7C" w:rsidRPr="00F81E2C" w14:paraId="169A10B8" w14:textId="77777777" w:rsidTr="00B77DDE">
        <w:trPr>
          <w:trHeight w:val="959"/>
        </w:trPr>
        <w:tc>
          <w:tcPr>
            <w:tcW w:w="9322" w:type="dxa"/>
            <w:gridSpan w:val="2"/>
            <w:vAlign w:val="bottom"/>
          </w:tcPr>
          <w:p w14:paraId="2E3A88AD" w14:textId="4506AE5B" w:rsidR="00364B7C" w:rsidRPr="00F81E2C" w:rsidRDefault="00B77DDE" w:rsidP="00961148">
            <w:pPr>
              <w:spacing w:after="120" w:line="276" w:lineRule="auto"/>
              <w:jc w:val="center"/>
              <w:rPr>
                <w:rFonts w:cs="Arial"/>
                <w:b/>
                <w:noProof/>
                <w:sz w:val="32"/>
                <w:szCs w:val="32"/>
                <w:lang w:val="hr-HR"/>
              </w:rPr>
            </w:pPr>
            <w:r>
              <w:rPr>
                <w:rFonts w:cs="Arial"/>
                <w:b/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2C5BAB7B" wp14:editId="674687D6">
                  <wp:extent cx="2492732" cy="375047"/>
                  <wp:effectExtent l="0" t="0" r="3175" b="635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563" cy="38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F801B57" w14:textId="77777777" w:rsidR="00B11962" w:rsidRPr="00F81E2C" w:rsidRDefault="00B11962" w:rsidP="00961148">
      <w:pPr>
        <w:spacing w:after="120" w:line="276" w:lineRule="auto"/>
        <w:jc w:val="center"/>
        <w:rPr>
          <w:rFonts w:cs="Arial"/>
          <w:b/>
          <w:sz w:val="28"/>
          <w:szCs w:val="28"/>
          <w:lang w:val="hr-HR"/>
        </w:rPr>
      </w:pPr>
    </w:p>
    <w:p w14:paraId="4F7C53EE" w14:textId="3622D1E5" w:rsidR="00364B7C" w:rsidRPr="00F81E2C" w:rsidRDefault="00364B7C" w:rsidP="00961148">
      <w:pPr>
        <w:spacing w:after="120" w:line="276" w:lineRule="auto"/>
        <w:jc w:val="center"/>
        <w:rPr>
          <w:rFonts w:cs="Arial"/>
          <w:b/>
          <w:sz w:val="28"/>
          <w:szCs w:val="28"/>
          <w:lang w:val="hr-HR"/>
        </w:rPr>
      </w:pPr>
    </w:p>
    <w:p w14:paraId="70DAFE1A" w14:textId="77777777" w:rsidR="00DB3F45" w:rsidRPr="00F81E2C" w:rsidRDefault="00DB3F45" w:rsidP="00961148">
      <w:pPr>
        <w:spacing w:after="120" w:line="276" w:lineRule="auto"/>
        <w:jc w:val="center"/>
        <w:rPr>
          <w:rFonts w:cs="Arial"/>
          <w:b/>
          <w:sz w:val="28"/>
          <w:szCs w:val="28"/>
          <w:lang w:val="hr-HR"/>
        </w:rPr>
      </w:pPr>
    </w:p>
    <w:p w14:paraId="6FACB8C9" w14:textId="0B52F03F" w:rsidR="00364B7C" w:rsidRPr="00F81E2C" w:rsidRDefault="00B1183E" w:rsidP="00961148">
      <w:pPr>
        <w:spacing w:after="120" w:line="276" w:lineRule="auto"/>
        <w:jc w:val="center"/>
        <w:rPr>
          <w:rFonts w:cs="Arial"/>
          <w:b/>
          <w:sz w:val="32"/>
          <w:szCs w:val="32"/>
          <w:lang w:val="hr-HR"/>
        </w:rPr>
      </w:pPr>
      <w:r w:rsidRPr="00F81E2C">
        <w:rPr>
          <w:noProof/>
          <w:lang w:val="hr-HR" w:eastAsia="hr-HR"/>
        </w:rPr>
        <w:drawing>
          <wp:inline distT="0" distB="0" distL="0" distR="0" wp14:anchorId="40374D72" wp14:editId="5BFAAE7D">
            <wp:extent cx="1463971" cy="888841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06" cy="92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9E35D" w14:textId="6ACF6145" w:rsidR="00B11962" w:rsidRPr="00060B28" w:rsidRDefault="00F81E2C" w:rsidP="00961148">
      <w:pPr>
        <w:spacing w:after="120" w:line="276" w:lineRule="auto"/>
        <w:jc w:val="center"/>
        <w:rPr>
          <w:rFonts w:cs="Arial"/>
          <w:bCs/>
          <w:lang w:val="hr-HR"/>
        </w:rPr>
      </w:pPr>
      <w:r w:rsidRPr="00060B28">
        <w:rPr>
          <w:rFonts w:cs="Arial"/>
          <w:bCs/>
          <w:lang w:val="hr-HR"/>
        </w:rPr>
        <w:t xml:space="preserve">Projekt </w:t>
      </w:r>
      <w:r w:rsidR="00A01518" w:rsidRPr="00060B28">
        <w:rPr>
          <w:rFonts w:cs="Arial"/>
          <w:bCs/>
          <w:lang w:val="hr-HR"/>
        </w:rPr>
        <w:t>CO-EMEP</w:t>
      </w:r>
      <w:r w:rsidR="00364B7C" w:rsidRPr="00060B28">
        <w:rPr>
          <w:rFonts w:cs="Arial"/>
          <w:bCs/>
          <w:lang w:val="hr-HR"/>
        </w:rPr>
        <w:t xml:space="preserve"> </w:t>
      </w:r>
      <w:r w:rsidR="00D70C09" w:rsidRPr="00060B28">
        <w:rPr>
          <w:rFonts w:cs="Arial"/>
          <w:bCs/>
          <w:lang w:val="hr-HR"/>
        </w:rPr>
        <w:t>–</w:t>
      </w:r>
      <w:r w:rsidR="00364B7C" w:rsidRPr="00060B28">
        <w:rPr>
          <w:rFonts w:cs="Arial"/>
          <w:bCs/>
          <w:lang w:val="hr-HR"/>
        </w:rPr>
        <w:t xml:space="preserve"> </w:t>
      </w:r>
      <w:r w:rsidR="00A01518" w:rsidRPr="00060B28">
        <w:rPr>
          <w:rFonts w:cs="Arial"/>
          <w:bCs/>
          <w:lang w:val="en-US"/>
        </w:rPr>
        <w:t>Improvement of cooperation for better energy management and reduction of energy poverty in HU-HR cross-border area</w:t>
      </w:r>
    </w:p>
    <w:p w14:paraId="05A3B784" w14:textId="40BEF14D" w:rsidR="00B1183E" w:rsidRPr="00060B28" w:rsidRDefault="00B1183E" w:rsidP="00961148">
      <w:pPr>
        <w:spacing w:after="120" w:line="276" w:lineRule="auto"/>
        <w:jc w:val="center"/>
        <w:rPr>
          <w:rFonts w:cs="Arial"/>
          <w:bCs/>
          <w:lang w:val="hr-HR"/>
        </w:rPr>
      </w:pPr>
      <w:r w:rsidRPr="00060B28">
        <w:rPr>
          <w:rFonts w:cs="Arial"/>
          <w:bCs/>
          <w:lang w:val="hr-HR"/>
        </w:rPr>
        <w:t>(HUHR/1901/3.1.1/0019)</w:t>
      </w:r>
    </w:p>
    <w:p w14:paraId="59D4ABB5" w14:textId="77777777" w:rsidR="00301C2D" w:rsidRPr="00F81E2C" w:rsidRDefault="00301C2D" w:rsidP="00961148">
      <w:pPr>
        <w:spacing w:after="120" w:line="276" w:lineRule="auto"/>
        <w:jc w:val="center"/>
        <w:rPr>
          <w:rFonts w:cs="Arial"/>
          <w:b/>
          <w:sz w:val="24"/>
          <w:szCs w:val="24"/>
          <w:lang w:val="hr-HR"/>
        </w:rPr>
      </w:pPr>
    </w:p>
    <w:p w14:paraId="0885E059" w14:textId="77777777" w:rsidR="00364B7C" w:rsidRPr="00F81E2C" w:rsidRDefault="00364B7C" w:rsidP="00961148">
      <w:pPr>
        <w:spacing w:after="120" w:line="276" w:lineRule="auto"/>
        <w:jc w:val="center"/>
        <w:rPr>
          <w:rFonts w:cs="Arial"/>
          <w:b/>
          <w:sz w:val="24"/>
          <w:szCs w:val="24"/>
          <w:lang w:val="hr-HR"/>
        </w:rPr>
      </w:pPr>
    </w:p>
    <w:p w14:paraId="283F0890" w14:textId="4901D473" w:rsidR="00625813" w:rsidRDefault="00625813" w:rsidP="00961148">
      <w:pPr>
        <w:spacing w:after="120" w:line="276" w:lineRule="auto"/>
        <w:jc w:val="center"/>
        <w:rPr>
          <w:rFonts w:cs="Arial"/>
          <w:b/>
          <w:sz w:val="28"/>
          <w:szCs w:val="28"/>
          <w:lang w:val="hr-HR"/>
        </w:rPr>
      </w:pPr>
      <w:r w:rsidRPr="00625813">
        <w:rPr>
          <w:rFonts w:cs="Arial"/>
          <w:b/>
          <w:sz w:val="32"/>
          <w:szCs w:val="32"/>
          <w:lang w:val="hr-HR"/>
        </w:rPr>
        <w:t>Javni poziv za prikupljanje prijava zainteresiranih građana – vlasnika ili suvlasnika obiteljskih kuća s ciljem procjene rizika od energetskog siromaštva i/ili razine energetskog siromaštva</w:t>
      </w:r>
    </w:p>
    <w:p w14:paraId="44B31A35" w14:textId="5A8A1DF6" w:rsidR="00E32866" w:rsidRPr="00E32866" w:rsidRDefault="00E32866" w:rsidP="00961148">
      <w:pPr>
        <w:pStyle w:val="Odlomakpopisa"/>
        <w:numPr>
          <w:ilvl w:val="0"/>
          <w:numId w:val="47"/>
        </w:numPr>
        <w:spacing w:after="120" w:line="276" w:lineRule="auto"/>
        <w:contextualSpacing w:val="0"/>
        <w:jc w:val="center"/>
        <w:rPr>
          <w:rFonts w:cs="Arial"/>
          <w:b/>
          <w:sz w:val="28"/>
          <w:szCs w:val="28"/>
          <w:lang w:val="hr-HR"/>
        </w:rPr>
      </w:pPr>
      <w:r>
        <w:rPr>
          <w:rFonts w:cs="Arial"/>
          <w:b/>
          <w:sz w:val="28"/>
          <w:szCs w:val="28"/>
          <w:lang w:val="hr-HR"/>
        </w:rPr>
        <w:t>Pojašnjenje kriterija za bodovanje zaprimljenih prijava –</w:t>
      </w:r>
    </w:p>
    <w:p w14:paraId="56D4C16E" w14:textId="2415420A" w:rsidR="00364B7C" w:rsidRDefault="00F81E2C" w:rsidP="00961148">
      <w:pPr>
        <w:spacing w:after="120" w:line="276" w:lineRule="auto"/>
        <w:jc w:val="center"/>
        <w:rPr>
          <w:rFonts w:cs="Arial"/>
          <w:lang w:val="hr-HR"/>
        </w:rPr>
      </w:pPr>
      <w:r>
        <w:rPr>
          <w:rFonts w:cs="Arial"/>
          <w:lang w:val="hr-HR"/>
        </w:rPr>
        <w:t>Međimurska energetska agencija d.o.o.</w:t>
      </w:r>
    </w:p>
    <w:p w14:paraId="5E934708" w14:textId="5318F019" w:rsidR="00F81E2C" w:rsidRDefault="00F81E2C" w:rsidP="00961148">
      <w:pPr>
        <w:spacing w:after="120" w:line="276" w:lineRule="auto"/>
        <w:jc w:val="center"/>
        <w:rPr>
          <w:rFonts w:cs="Arial"/>
          <w:lang w:val="hr-HR"/>
        </w:rPr>
      </w:pPr>
    </w:p>
    <w:p w14:paraId="12407F87" w14:textId="77777777" w:rsidR="004A76D8" w:rsidRPr="00F81E2C" w:rsidRDefault="004A76D8" w:rsidP="00706083">
      <w:pPr>
        <w:spacing w:after="120" w:line="276" w:lineRule="auto"/>
        <w:rPr>
          <w:rFonts w:cs="Arial"/>
          <w:lang w:val="hr-HR"/>
        </w:rPr>
      </w:pPr>
    </w:p>
    <w:p w14:paraId="7E972623" w14:textId="77777777" w:rsidR="00DB3F45" w:rsidRPr="00F81E2C" w:rsidRDefault="00DB3F45" w:rsidP="00961148">
      <w:pPr>
        <w:spacing w:after="120" w:line="276" w:lineRule="auto"/>
        <w:rPr>
          <w:rFonts w:cs="Arial"/>
          <w:lang w:val="hr-HR"/>
        </w:rPr>
      </w:pPr>
    </w:p>
    <w:p w14:paraId="40C1C9EF" w14:textId="36E1E61D" w:rsidR="007E4A45" w:rsidRPr="00F81E2C" w:rsidRDefault="00F81E2C" w:rsidP="00961148">
      <w:pPr>
        <w:spacing w:after="120" w:line="276" w:lineRule="auto"/>
        <w:rPr>
          <w:rFonts w:cs="Arial"/>
          <w:b/>
          <w:bCs/>
          <w:lang w:val="hr-HR"/>
        </w:rPr>
      </w:pPr>
      <w:r w:rsidRPr="00F81E2C">
        <w:rPr>
          <w:rFonts w:cs="Arial"/>
          <w:sz w:val="20"/>
          <w:szCs w:val="20"/>
          <w:lang w:val="hr-HR"/>
        </w:rPr>
        <w:t>*Ovaj dokument proizveden je uz financijsku pomoć Europske unije. Sadržaj ovog dokumenta isključiva je odgovornost Međimurske energetske agencije d.o.o. i ni pod kojim uvjetima ne odražava stav Europske unije i/ili Upravljačkog tijela.</w:t>
      </w:r>
    </w:p>
    <w:p w14:paraId="7A4787D7" w14:textId="23464819" w:rsidR="00B1183E" w:rsidRPr="00F81E2C" w:rsidRDefault="00B1183E" w:rsidP="00961148">
      <w:pPr>
        <w:spacing w:after="120" w:line="276" w:lineRule="auto"/>
        <w:jc w:val="center"/>
        <w:rPr>
          <w:rFonts w:cs="Arial"/>
          <w:b/>
          <w:bCs/>
          <w:lang w:val="hr-HR"/>
        </w:rPr>
      </w:pPr>
    </w:p>
    <w:p w14:paraId="5A489E01" w14:textId="71EF4612" w:rsidR="00B1183E" w:rsidRPr="00F81E2C" w:rsidRDefault="00B1183E" w:rsidP="00961148">
      <w:pPr>
        <w:spacing w:after="120" w:line="276" w:lineRule="auto"/>
        <w:jc w:val="center"/>
        <w:rPr>
          <w:rFonts w:cs="Arial"/>
          <w:b/>
          <w:bCs/>
          <w:lang w:val="hr-HR"/>
        </w:rPr>
      </w:pPr>
    </w:p>
    <w:p w14:paraId="7EF1AEA2" w14:textId="66B55F67" w:rsidR="00F81E2C" w:rsidRDefault="00F81E2C" w:rsidP="00961148">
      <w:pPr>
        <w:spacing w:after="120" w:line="276" w:lineRule="auto"/>
        <w:rPr>
          <w:rFonts w:cs="Arial"/>
          <w:b/>
          <w:bCs/>
          <w:lang w:val="hr-HR"/>
        </w:rPr>
      </w:pPr>
    </w:p>
    <w:p w14:paraId="55D25EC1" w14:textId="4605EC94" w:rsidR="00F81E2C" w:rsidRPr="00F81E2C" w:rsidRDefault="00D04442" w:rsidP="00961148">
      <w:pPr>
        <w:spacing w:after="120" w:line="276" w:lineRule="auto"/>
        <w:jc w:val="center"/>
        <w:rPr>
          <w:rFonts w:cs="Arial"/>
          <w:b/>
          <w:bCs/>
          <w:lang w:val="hr-HR"/>
        </w:rPr>
      </w:pPr>
      <w:r>
        <w:rPr>
          <w:rFonts w:cs="Arial"/>
          <w:b/>
          <w:bCs/>
          <w:lang w:val="hr-HR"/>
        </w:rPr>
        <w:t>Svibanj</w:t>
      </w:r>
      <w:r w:rsidR="00F81E2C">
        <w:rPr>
          <w:rFonts w:cs="Arial"/>
          <w:b/>
          <w:bCs/>
          <w:lang w:val="hr-HR"/>
        </w:rPr>
        <w:t>, 2021.</w:t>
      </w:r>
    </w:p>
    <w:p w14:paraId="4D4C5874" w14:textId="6F968A49" w:rsidR="00590D4C" w:rsidRPr="00625813" w:rsidRDefault="00590D4C" w:rsidP="00706083">
      <w:pPr>
        <w:pStyle w:val="Naslov1"/>
        <w:numPr>
          <w:ilvl w:val="0"/>
          <w:numId w:val="49"/>
        </w:numPr>
        <w:spacing w:after="240" w:line="276" w:lineRule="auto"/>
        <w:ind w:left="284" w:hanging="284"/>
        <w:rPr>
          <w:sz w:val="28"/>
          <w:szCs w:val="28"/>
          <w:lang w:val="hr-HR"/>
        </w:rPr>
      </w:pPr>
      <w:r w:rsidRPr="00625813">
        <w:rPr>
          <w:sz w:val="28"/>
          <w:szCs w:val="28"/>
          <w:lang w:val="hr-HR"/>
        </w:rPr>
        <w:lastRenderedPageBreak/>
        <w:t>Uvod</w:t>
      </w:r>
    </w:p>
    <w:p w14:paraId="39EC98C2" w14:textId="7206B380" w:rsidR="005C7691" w:rsidRDefault="0014180E" w:rsidP="00084BEF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Kao što je istaknuto u samom tekst</w:t>
      </w:r>
      <w:r w:rsidR="00B45E82">
        <w:rPr>
          <w:sz w:val="24"/>
          <w:szCs w:val="24"/>
          <w:lang w:val="hr-HR"/>
        </w:rPr>
        <w:t xml:space="preserve">u </w:t>
      </w:r>
      <w:r w:rsidR="008A08A6" w:rsidRPr="008A08A6">
        <w:rPr>
          <w:b/>
          <w:bCs/>
          <w:sz w:val="24"/>
          <w:szCs w:val="24"/>
          <w:u w:val="single"/>
          <w:lang w:val="hr-HR"/>
        </w:rPr>
        <w:t>Javn</w:t>
      </w:r>
      <w:r w:rsidR="008A08A6">
        <w:rPr>
          <w:b/>
          <w:bCs/>
          <w:sz w:val="24"/>
          <w:szCs w:val="24"/>
          <w:u w:val="single"/>
          <w:lang w:val="hr-HR"/>
        </w:rPr>
        <w:t>og</w:t>
      </w:r>
      <w:r w:rsidR="008A08A6" w:rsidRPr="008A08A6">
        <w:rPr>
          <w:b/>
          <w:bCs/>
          <w:sz w:val="24"/>
          <w:szCs w:val="24"/>
          <w:u w:val="single"/>
          <w:lang w:val="hr-HR"/>
        </w:rPr>
        <w:t xml:space="preserve"> pozi</w:t>
      </w:r>
      <w:r w:rsidR="008A08A6">
        <w:rPr>
          <w:b/>
          <w:bCs/>
          <w:sz w:val="24"/>
          <w:szCs w:val="24"/>
          <w:u w:val="single"/>
          <w:lang w:val="hr-HR"/>
        </w:rPr>
        <w:t>va</w:t>
      </w:r>
      <w:r w:rsidR="008A08A6" w:rsidRPr="008A08A6">
        <w:rPr>
          <w:b/>
          <w:bCs/>
          <w:sz w:val="24"/>
          <w:szCs w:val="24"/>
          <w:u w:val="single"/>
          <w:lang w:val="hr-HR"/>
        </w:rPr>
        <w:t xml:space="preserve"> za prikupljanje prijava zainteresiranih građana – vlasnika ili suvlasnika obiteljskih kuća s ciljem procjene rizika od energetskog siromaštva i/ili razine energetskog siromaštva</w:t>
      </w:r>
      <w:r w:rsidR="00706083">
        <w:rPr>
          <w:sz w:val="24"/>
          <w:szCs w:val="24"/>
          <w:lang w:val="hr-HR"/>
        </w:rPr>
        <w:t xml:space="preserve"> (u nastavku teksta: Javni poziv)</w:t>
      </w:r>
      <w:r w:rsidR="00B45E82">
        <w:rPr>
          <w:sz w:val="24"/>
          <w:szCs w:val="24"/>
          <w:lang w:val="hr-HR"/>
        </w:rPr>
        <w:t xml:space="preserve">, glavni cilj je odabrati 5 obiteljskih kuća </w:t>
      </w:r>
      <w:r w:rsidR="008A08A6">
        <w:rPr>
          <w:sz w:val="24"/>
          <w:szCs w:val="24"/>
          <w:lang w:val="hr-HR"/>
        </w:rPr>
        <w:t xml:space="preserve">u Međimurskoj županiji i 5 obiteljskih kuća u Županiji Zala </w:t>
      </w:r>
      <w:r w:rsidR="00B45E82">
        <w:rPr>
          <w:sz w:val="24"/>
          <w:szCs w:val="24"/>
          <w:lang w:val="hr-HR"/>
        </w:rPr>
        <w:t>koje će</w:t>
      </w:r>
      <w:r w:rsidR="00CF4B63">
        <w:rPr>
          <w:sz w:val="24"/>
          <w:szCs w:val="24"/>
          <w:lang w:val="hr-HR"/>
        </w:rPr>
        <w:t xml:space="preserve"> </w:t>
      </w:r>
      <w:r w:rsidR="00B45E82">
        <w:rPr>
          <w:sz w:val="24"/>
          <w:szCs w:val="24"/>
          <w:lang w:val="hr-HR"/>
        </w:rPr>
        <w:t xml:space="preserve">biti </w:t>
      </w:r>
      <w:r w:rsidR="00CF4B63">
        <w:rPr>
          <w:sz w:val="24"/>
          <w:szCs w:val="24"/>
          <w:lang w:val="hr-HR"/>
        </w:rPr>
        <w:t>uključ</w:t>
      </w:r>
      <w:r w:rsidR="00B45E82">
        <w:rPr>
          <w:sz w:val="24"/>
          <w:szCs w:val="24"/>
          <w:lang w:val="hr-HR"/>
        </w:rPr>
        <w:t>ene</w:t>
      </w:r>
      <w:r w:rsidR="00CF4B63">
        <w:rPr>
          <w:sz w:val="24"/>
          <w:szCs w:val="24"/>
          <w:lang w:val="hr-HR"/>
        </w:rPr>
        <w:t xml:space="preserve"> u</w:t>
      </w:r>
      <w:r w:rsidR="001E6ED6" w:rsidRPr="001E6ED6">
        <w:rPr>
          <w:sz w:val="24"/>
          <w:szCs w:val="24"/>
          <w:lang w:val="hr-HR"/>
        </w:rPr>
        <w:t xml:space="preserve"> </w:t>
      </w:r>
      <w:r w:rsidR="004A76D8">
        <w:rPr>
          <w:sz w:val="24"/>
          <w:szCs w:val="24"/>
          <w:lang w:val="hr-HR"/>
        </w:rPr>
        <w:t>implementaciju</w:t>
      </w:r>
      <w:r w:rsidR="001E6ED6" w:rsidRPr="001E6ED6">
        <w:rPr>
          <w:sz w:val="24"/>
          <w:szCs w:val="24"/>
          <w:lang w:val="hr-HR"/>
        </w:rPr>
        <w:t xml:space="preserve"> pilot projekata u sklopu kojih će se provesti energetski pregledi i izvršit će se mjerenja osnovnih građevinskih karakteristika</w:t>
      </w:r>
      <w:r w:rsidR="00084BEF">
        <w:rPr>
          <w:sz w:val="24"/>
          <w:szCs w:val="24"/>
          <w:lang w:val="hr-HR"/>
        </w:rPr>
        <w:t xml:space="preserve"> </w:t>
      </w:r>
      <w:r w:rsidR="00084BEF" w:rsidRPr="00084BEF">
        <w:rPr>
          <w:sz w:val="24"/>
          <w:szCs w:val="24"/>
          <w:lang w:val="hr-HR"/>
        </w:rPr>
        <w:t>(termografsko snimanje, ispitivanje zrakopropusnosti i mjerenje koeficijenta prolaska topline – U)</w:t>
      </w:r>
      <w:r w:rsidR="00B45E82">
        <w:rPr>
          <w:sz w:val="24"/>
          <w:szCs w:val="24"/>
          <w:lang w:val="hr-HR"/>
        </w:rPr>
        <w:t xml:space="preserve">. </w:t>
      </w:r>
      <w:r w:rsidR="005C7691">
        <w:rPr>
          <w:sz w:val="24"/>
          <w:szCs w:val="24"/>
          <w:lang w:val="hr-HR"/>
        </w:rPr>
        <w:t xml:space="preserve">Na temelju provedenih energetskih pregleda i izvršenih mjerenja, za svaku obiteljsku kuću razradit će se detaljni planovi za povećanje energetske učinkovitosti s tehnološkim rješenjima za njihovu implementaciju te mogućim izvorima financiranja. </w:t>
      </w:r>
    </w:p>
    <w:p w14:paraId="446A33B9" w14:textId="26F2BDEC" w:rsidR="00590D4C" w:rsidRPr="00341C29" w:rsidRDefault="00B45E82" w:rsidP="00961148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Kako bi se odabrale </w:t>
      </w:r>
      <w:r w:rsidR="005C7691">
        <w:rPr>
          <w:sz w:val="24"/>
          <w:szCs w:val="24"/>
          <w:lang w:val="hr-HR"/>
        </w:rPr>
        <w:t xml:space="preserve">navedene </w:t>
      </w:r>
      <w:r>
        <w:rPr>
          <w:sz w:val="24"/>
          <w:szCs w:val="24"/>
          <w:lang w:val="hr-HR"/>
        </w:rPr>
        <w:t>obiteljske kuće</w:t>
      </w:r>
      <w:r w:rsidR="005C7691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definiran je odgovarajući sustav bodovanja temeljem</w:t>
      </w:r>
      <w:r w:rsidR="005C7691">
        <w:rPr>
          <w:sz w:val="24"/>
          <w:szCs w:val="24"/>
          <w:lang w:val="hr-HR"/>
        </w:rPr>
        <w:t xml:space="preserve"> određenih kriterija koji su usklađeni s definicijom energetskog siromaštva razvijenom u sklopu projekta CO-EMEP. Svrha </w:t>
      </w:r>
      <w:r w:rsidR="0014180E">
        <w:rPr>
          <w:sz w:val="24"/>
          <w:szCs w:val="24"/>
          <w:lang w:val="hr-HR"/>
        </w:rPr>
        <w:t xml:space="preserve">ovog dokumenta je </w:t>
      </w:r>
      <w:r w:rsidR="005C7691">
        <w:rPr>
          <w:sz w:val="24"/>
          <w:szCs w:val="24"/>
          <w:lang w:val="hr-HR"/>
        </w:rPr>
        <w:t xml:space="preserve">zapravo </w:t>
      </w:r>
      <w:r w:rsidR="0014180E" w:rsidRPr="00341C29">
        <w:rPr>
          <w:sz w:val="24"/>
          <w:szCs w:val="24"/>
          <w:lang w:val="hr-HR"/>
        </w:rPr>
        <w:t>poj</w:t>
      </w:r>
      <w:r w:rsidR="005C7691" w:rsidRPr="00341C29">
        <w:rPr>
          <w:sz w:val="24"/>
          <w:szCs w:val="24"/>
          <w:lang w:val="hr-HR"/>
        </w:rPr>
        <w:t>asniti navedene kriterije bodovanja</w:t>
      </w:r>
      <w:r w:rsidR="001E6ED6" w:rsidRPr="00341C29">
        <w:rPr>
          <w:sz w:val="24"/>
          <w:szCs w:val="24"/>
          <w:lang w:val="hr-HR"/>
        </w:rPr>
        <w:t>.</w:t>
      </w:r>
      <w:r w:rsidR="009E3B58" w:rsidRPr="00341C29">
        <w:rPr>
          <w:sz w:val="24"/>
          <w:szCs w:val="24"/>
          <w:lang w:val="hr-HR"/>
        </w:rPr>
        <w:t xml:space="preserve"> </w:t>
      </w:r>
    </w:p>
    <w:p w14:paraId="496CDC3A" w14:textId="70498093" w:rsidR="005C7691" w:rsidRPr="00341C29" w:rsidRDefault="005C7691" w:rsidP="00961148">
      <w:pPr>
        <w:spacing w:after="120" w:line="276" w:lineRule="auto"/>
        <w:rPr>
          <w:sz w:val="24"/>
          <w:szCs w:val="24"/>
          <w:lang w:val="hr-HR"/>
        </w:rPr>
      </w:pPr>
    </w:p>
    <w:p w14:paraId="4ED669A2" w14:textId="62849DEC" w:rsidR="005C7691" w:rsidRPr="00625813" w:rsidRDefault="005C7691" w:rsidP="00961148">
      <w:pPr>
        <w:pStyle w:val="Naslov2"/>
        <w:numPr>
          <w:ilvl w:val="0"/>
          <w:numId w:val="49"/>
        </w:numPr>
        <w:spacing w:before="120" w:after="240" w:line="276" w:lineRule="auto"/>
        <w:ind w:left="284" w:hanging="284"/>
        <w:rPr>
          <w:sz w:val="28"/>
          <w:szCs w:val="28"/>
          <w:lang w:val="hr-HR"/>
        </w:rPr>
      </w:pPr>
      <w:r w:rsidRPr="00625813">
        <w:rPr>
          <w:sz w:val="28"/>
          <w:szCs w:val="28"/>
          <w:lang w:val="hr-HR"/>
        </w:rPr>
        <w:t>Isključujući kriteriji</w:t>
      </w:r>
    </w:p>
    <w:p w14:paraId="49E47AB9" w14:textId="0F465657" w:rsidR="00D10F5B" w:rsidRDefault="00D10F5B" w:rsidP="00084BEF">
      <w:pPr>
        <w:spacing w:after="120" w:line="276" w:lineRule="auto"/>
        <w:rPr>
          <w:sz w:val="24"/>
          <w:szCs w:val="24"/>
          <w:lang w:val="hr-HR"/>
        </w:rPr>
      </w:pPr>
      <w:r w:rsidRPr="00341C29">
        <w:rPr>
          <w:sz w:val="24"/>
          <w:szCs w:val="24"/>
          <w:lang w:val="hr-HR"/>
        </w:rPr>
        <w:t>Temeljem isključujućih kriterija zaprimljene prijave će biti isključene iz daljnjeg postupka odabira</w:t>
      </w:r>
      <w:r w:rsidR="00625813">
        <w:rPr>
          <w:sz w:val="24"/>
          <w:szCs w:val="24"/>
          <w:lang w:val="hr-HR"/>
        </w:rPr>
        <w:t>, odnosno bodovanja s ciljem definiranja rang liste valjanih i pravovremeno zaprimljenih prijava</w:t>
      </w:r>
      <w:r w:rsidRPr="00341C29">
        <w:rPr>
          <w:sz w:val="24"/>
          <w:szCs w:val="24"/>
          <w:lang w:val="hr-HR"/>
        </w:rPr>
        <w:t xml:space="preserve">. </w:t>
      </w:r>
      <w:r w:rsidR="00625813">
        <w:rPr>
          <w:sz w:val="24"/>
          <w:szCs w:val="24"/>
          <w:lang w:val="hr-HR"/>
        </w:rPr>
        <w:t xml:space="preserve">Kriteriji relevantni za isključenje prijave su: </w:t>
      </w:r>
      <w:r w:rsidRPr="00341C29">
        <w:rPr>
          <w:sz w:val="24"/>
          <w:szCs w:val="24"/>
          <w:lang w:val="hr-HR"/>
        </w:rPr>
        <w:t>legalnost</w:t>
      </w:r>
      <w:r w:rsidR="00084BEF">
        <w:rPr>
          <w:sz w:val="24"/>
          <w:szCs w:val="24"/>
          <w:lang w:val="hr-HR"/>
        </w:rPr>
        <w:t xml:space="preserve"> objekta</w:t>
      </w:r>
      <w:r w:rsidRPr="00341C29">
        <w:rPr>
          <w:sz w:val="24"/>
          <w:szCs w:val="24"/>
          <w:lang w:val="hr-HR"/>
        </w:rPr>
        <w:t>, nazivna snaga primarn</w:t>
      </w:r>
      <w:r w:rsidR="00084BEF">
        <w:rPr>
          <w:sz w:val="24"/>
          <w:szCs w:val="24"/>
          <w:lang w:val="hr-HR"/>
        </w:rPr>
        <w:t xml:space="preserve">og </w:t>
      </w:r>
      <w:r w:rsidRPr="00341C29">
        <w:rPr>
          <w:sz w:val="24"/>
          <w:szCs w:val="24"/>
          <w:lang w:val="hr-HR"/>
        </w:rPr>
        <w:t xml:space="preserve">izvora topline za grijanje i pripremu potrošne tople vode </w:t>
      </w:r>
      <w:r w:rsidR="00625813">
        <w:rPr>
          <w:sz w:val="24"/>
          <w:szCs w:val="24"/>
          <w:lang w:val="hr-HR"/>
        </w:rPr>
        <w:t xml:space="preserve">u objektu </w:t>
      </w:r>
      <w:r w:rsidR="009C39D2">
        <w:rPr>
          <w:sz w:val="24"/>
          <w:szCs w:val="24"/>
          <w:lang w:val="hr-HR"/>
        </w:rPr>
        <w:t>veća</w:t>
      </w:r>
      <w:r w:rsidR="009C39D2" w:rsidRPr="00341C29">
        <w:rPr>
          <w:sz w:val="24"/>
          <w:szCs w:val="24"/>
          <w:lang w:val="hr-HR"/>
        </w:rPr>
        <w:t xml:space="preserve"> </w:t>
      </w:r>
      <w:r w:rsidRPr="00341C29">
        <w:rPr>
          <w:sz w:val="24"/>
          <w:szCs w:val="24"/>
          <w:lang w:val="hr-HR"/>
        </w:rPr>
        <w:t>od 30 kW</w:t>
      </w:r>
      <w:r w:rsidR="00084BEF">
        <w:rPr>
          <w:sz w:val="24"/>
          <w:szCs w:val="24"/>
          <w:lang w:val="hr-HR"/>
        </w:rPr>
        <w:t xml:space="preserve">, građevinska bruto površina </w:t>
      </w:r>
      <w:r w:rsidR="00625813">
        <w:rPr>
          <w:sz w:val="24"/>
          <w:szCs w:val="24"/>
          <w:lang w:val="hr-HR"/>
        </w:rPr>
        <w:t xml:space="preserve">objekta </w:t>
      </w:r>
      <w:r w:rsidR="009C39D2">
        <w:rPr>
          <w:sz w:val="24"/>
          <w:szCs w:val="24"/>
          <w:lang w:val="hr-HR"/>
        </w:rPr>
        <w:t xml:space="preserve">veća </w:t>
      </w:r>
      <w:r w:rsidR="00C9663E">
        <w:rPr>
          <w:sz w:val="24"/>
          <w:szCs w:val="24"/>
          <w:lang w:val="hr-HR"/>
        </w:rPr>
        <w:t xml:space="preserve">od </w:t>
      </w:r>
      <w:r w:rsidR="00084BEF">
        <w:rPr>
          <w:sz w:val="24"/>
          <w:szCs w:val="24"/>
          <w:lang w:val="hr-HR"/>
        </w:rPr>
        <w:t>250 m</w:t>
      </w:r>
      <w:r w:rsidR="00084BEF" w:rsidRPr="00084BEF">
        <w:rPr>
          <w:sz w:val="24"/>
          <w:szCs w:val="24"/>
          <w:vertAlign w:val="superscript"/>
          <w:lang w:val="hr-HR"/>
        </w:rPr>
        <w:t>2</w:t>
      </w:r>
      <w:r w:rsidR="00084BEF">
        <w:rPr>
          <w:sz w:val="24"/>
          <w:szCs w:val="24"/>
          <w:vertAlign w:val="superscript"/>
          <w:lang w:val="hr-HR"/>
        </w:rPr>
        <w:t xml:space="preserve"> </w:t>
      </w:r>
      <w:r w:rsidR="00084BEF" w:rsidRPr="00084BEF">
        <w:rPr>
          <w:sz w:val="24"/>
          <w:szCs w:val="24"/>
          <w:lang w:val="hr-HR"/>
        </w:rPr>
        <w:t xml:space="preserve">te </w:t>
      </w:r>
      <w:r w:rsidR="009C39D2">
        <w:rPr>
          <w:sz w:val="24"/>
          <w:szCs w:val="24"/>
          <w:lang w:val="hr-HR"/>
        </w:rPr>
        <w:t xml:space="preserve">postojanje </w:t>
      </w:r>
      <w:r w:rsidR="00084BEF" w:rsidRPr="00084BEF">
        <w:rPr>
          <w:sz w:val="24"/>
          <w:szCs w:val="24"/>
          <w:lang w:val="hr-HR"/>
        </w:rPr>
        <w:t>energetskog certifikata</w:t>
      </w:r>
      <w:r w:rsidR="00625813">
        <w:rPr>
          <w:sz w:val="24"/>
          <w:szCs w:val="24"/>
          <w:lang w:val="hr-HR"/>
        </w:rPr>
        <w:t xml:space="preserve"> za objekt</w:t>
      </w:r>
      <w:r w:rsidR="00084BEF" w:rsidRPr="00084BEF">
        <w:rPr>
          <w:sz w:val="24"/>
          <w:szCs w:val="24"/>
          <w:lang w:val="hr-HR"/>
        </w:rPr>
        <w:t>.</w:t>
      </w:r>
    </w:p>
    <w:p w14:paraId="44EE6187" w14:textId="55664C74" w:rsidR="00084BEF" w:rsidRPr="00341C29" w:rsidRDefault="00084BEF" w:rsidP="00084BEF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Pojašnjenja za pojedini isključujući kriterij dana su u nastavku teksta:</w:t>
      </w:r>
    </w:p>
    <w:p w14:paraId="676FED3E" w14:textId="44CE9A97" w:rsidR="005C7691" w:rsidRPr="00EA00C4" w:rsidRDefault="005C7691" w:rsidP="00961148">
      <w:pPr>
        <w:pStyle w:val="Odlomakpopisa"/>
        <w:numPr>
          <w:ilvl w:val="1"/>
          <w:numId w:val="44"/>
        </w:numPr>
        <w:spacing w:after="120" w:line="276" w:lineRule="auto"/>
        <w:ind w:left="993" w:hanging="437"/>
        <w:contextualSpacing w:val="0"/>
        <w:rPr>
          <w:sz w:val="24"/>
          <w:szCs w:val="24"/>
          <w:lang w:val="hr-HR"/>
        </w:rPr>
      </w:pPr>
      <w:r w:rsidRPr="007944CF">
        <w:rPr>
          <w:b/>
          <w:bCs/>
          <w:sz w:val="24"/>
          <w:szCs w:val="24"/>
          <w:u w:val="single"/>
          <w:lang w:val="hr-HR"/>
        </w:rPr>
        <w:t xml:space="preserve">Legalnost </w:t>
      </w:r>
      <w:r w:rsidR="007944CF" w:rsidRPr="007944CF">
        <w:rPr>
          <w:b/>
          <w:bCs/>
          <w:sz w:val="24"/>
          <w:szCs w:val="24"/>
          <w:u w:val="single"/>
          <w:lang w:val="hr-HR"/>
        </w:rPr>
        <w:t>objekta</w:t>
      </w:r>
      <w:r w:rsidR="007944C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– obiteljska kuća za koju se podnosi prijava treba biti zakonita/legalna, odnosno </w:t>
      </w:r>
      <w:r w:rsidRPr="005C7691">
        <w:rPr>
          <w:sz w:val="24"/>
          <w:szCs w:val="24"/>
          <w:lang w:val="hr-HR"/>
        </w:rPr>
        <w:t>izgrađena temeljem građevinske dozvole ili drugog odgovarajućeg akta sukladno Zakonu o gradnji (NN 153/13, 20/17, 39/19, 125/19) ili svaka druga koja je navedenim ili posebnim zakonom s njom izjednačena</w:t>
      </w:r>
      <w:r w:rsidR="00EA00C4">
        <w:rPr>
          <w:sz w:val="24"/>
          <w:szCs w:val="24"/>
          <w:lang w:val="hr-HR"/>
        </w:rPr>
        <w:t xml:space="preserve"> te </w:t>
      </w:r>
      <w:r w:rsidRPr="00EA00C4">
        <w:rPr>
          <w:sz w:val="24"/>
          <w:szCs w:val="24"/>
          <w:lang w:val="hr-HR"/>
        </w:rPr>
        <w:t>koja nije dograđivana ili mijenjana u odnosu na akt koji dokazuje njezinu zakonitost;</w:t>
      </w:r>
    </w:p>
    <w:p w14:paraId="79A484C4" w14:textId="186AFC5C" w:rsidR="00EA00C4" w:rsidRPr="00084BEF" w:rsidRDefault="00EA00C4" w:rsidP="00084BEF">
      <w:pPr>
        <w:pStyle w:val="Odlomakpopisa"/>
        <w:numPr>
          <w:ilvl w:val="1"/>
          <w:numId w:val="44"/>
        </w:numPr>
        <w:spacing w:after="120" w:line="276" w:lineRule="auto"/>
        <w:ind w:left="993" w:hanging="437"/>
        <w:contextualSpacing w:val="0"/>
        <w:rPr>
          <w:sz w:val="24"/>
          <w:szCs w:val="24"/>
          <w:lang w:val="hr-HR"/>
        </w:rPr>
      </w:pPr>
      <w:r w:rsidRPr="007944CF">
        <w:rPr>
          <w:b/>
          <w:bCs/>
          <w:sz w:val="24"/>
          <w:szCs w:val="24"/>
          <w:u w:val="single"/>
          <w:lang w:val="hr-HR"/>
        </w:rPr>
        <w:t xml:space="preserve">Primarni izvor topline za grijanje i pripremu potrošne tople vode </w:t>
      </w:r>
      <w:r w:rsidR="00D10F5B" w:rsidRPr="007944CF">
        <w:rPr>
          <w:b/>
          <w:bCs/>
          <w:sz w:val="24"/>
          <w:szCs w:val="24"/>
          <w:u w:val="single"/>
          <w:lang w:val="hr-HR"/>
        </w:rPr>
        <w:t xml:space="preserve">nazivne </w:t>
      </w:r>
      <w:r w:rsidRPr="007944CF">
        <w:rPr>
          <w:b/>
          <w:bCs/>
          <w:sz w:val="24"/>
          <w:szCs w:val="24"/>
          <w:u w:val="single"/>
          <w:lang w:val="hr-HR"/>
        </w:rPr>
        <w:t xml:space="preserve">snage </w:t>
      </w:r>
      <w:r w:rsidR="009C39D2">
        <w:rPr>
          <w:b/>
          <w:bCs/>
          <w:sz w:val="24"/>
          <w:szCs w:val="24"/>
          <w:u w:val="single"/>
          <w:lang w:val="hr-HR"/>
        </w:rPr>
        <w:t>veće</w:t>
      </w:r>
      <w:r w:rsidR="009C39D2" w:rsidRPr="007944CF">
        <w:rPr>
          <w:b/>
          <w:bCs/>
          <w:sz w:val="24"/>
          <w:szCs w:val="24"/>
          <w:u w:val="single"/>
          <w:lang w:val="hr-HR"/>
        </w:rPr>
        <w:t xml:space="preserve"> </w:t>
      </w:r>
      <w:r w:rsidRPr="007944CF">
        <w:rPr>
          <w:b/>
          <w:bCs/>
          <w:sz w:val="24"/>
          <w:szCs w:val="24"/>
          <w:u w:val="single"/>
          <w:lang w:val="hr-HR"/>
        </w:rPr>
        <w:t>od 30 kW</w:t>
      </w:r>
      <w:r>
        <w:rPr>
          <w:sz w:val="24"/>
          <w:szCs w:val="24"/>
          <w:lang w:val="hr-HR"/>
        </w:rPr>
        <w:t xml:space="preserve"> – sukladno </w:t>
      </w:r>
      <w:r w:rsidRPr="00EA00C4">
        <w:rPr>
          <w:sz w:val="24"/>
          <w:szCs w:val="24"/>
          <w:lang w:val="hr-HR"/>
        </w:rPr>
        <w:t>Pravilnik</w:t>
      </w:r>
      <w:r>
        <w:rPr>
          <w:sz w:val="24"/>
          <w:szCs w:val="24"/>
          <w:lang w:val="hr-HR"/>
        </w:rPr>
        <w:t>u</w:t>
      </w:r>
      <w:r w:rsidRPr="00EA00C4">
        <w:rPr>
          <w:sz w:val="24"/>
          <w:szCs w:val="24"/>
          <w:lang w:val="hr-HR"/>
        </w:rPr>
        <w:t xml:space="preserve"> o jednostavnim i drugim građevinama i radovima</w:t>
      </w:r>
      <w:r>
        <w:rPr>
          <w:sz w:val="24"/>
          <w:szCs w:val="24"/>
          <w:lang w:val="hr-HR"/>
        </w:rPr>
        <w:t xml:space="preserve"> (NN 112/17; </w:t>
      </w:r>
      <w:r w:rsidR="00084BEF">
        <w:rPr>
          <w:sz w:val="24"/>
          <w:szCs w:val="24"/>
          <w:lang w:val="hr-HR"/>
        </w:rPr>
        <w:t xml:space="preserve">34/18, 36/19, 98/19, </w:t>
      </w:r>
      <w:r>
        <w:rPr>
          <w:sz w:val="24"/>
          <w:szCs w:val="24"/>
          <w:lang w:val="hr-HR"/>
        </w:rPr>
        <w:t xml:space="preserve">31/20) ukoliko se </w:t>
      </w:r>
      <w:r w:rsidR="00D10F5B">
        <w:rPr>
          <w:sz w:val="24"/>
          <w:szCs w:val="24"/>
          <w:lang w:val="hr-HR"/>
        </w:rPr>
        <w:t>radi o većoj</w:t>
      </w:r>
      <w:r>
        <w:rPr>
          <w:sz w:val="24"/>
          <w:szCs w:val="24"/>
          <w:lang w:val="hr-HR"/>
        </w:rPr>
        <w:t xml:space="preserve"> nazivn</w:t>
      </w:r>
      <w:r w:rsidR="00D10F5B">
        <w:rPr>
          <w:sz w:val="24"/>
          <w:szCs w:val="24"/>
          <w:lang w:val="hr-HR"/>
        </w:rPr>
        <w:t>oj</w:t>
      </w:r>
      <w:r>
        <w:rPr>
          <w:sz w:val="24"/>
          <w:szCs w:val="24"/>
          <w:lang w:val="hr-HR"/>
        </w:rPr>
        <w:t xml:space="preserve"> sna</w:t>
      </w:r>
      <w:r w:rsidR="00D10F5B">
        <w:rPr>
          <w:sz w:val="24"/>
          <w:szCs w:val="24"/>
          <w:lang w:val="hr-HR"/>
        </w:rPr>
        <w:t>zi tada se</w:t>
      </w:r>
      <w:r>
        <w:rPr>
          <w:sz w:val="24"/>
          <w:szCs w:val="24"/>
          <w:lang w:val="hr-HR"/>
        </w:rPr>
        <w:t xml:space="preserve"> radi o objektu sa složenim tehničkim sustavom </w:t>
      </w:r>
      <w:r w:rsidR="00D10F5B">
        <w:rPr>
          <w:sz w:val="24"/>
          <w:szCs w:val="24"/>
          <w:lang w:val="hr-HR"/>
        </w:rPr>
        <w:t>gdje je osoba ovlaštena za energetsko certificiranje zgrada dužna osigurati da se energetski pregled i energetsko certificiranje zgrade obavlja u timu od najmanje tri stručnjaka, od kojih svaki mora biti jedne od sljedećih struka: arhitektonske/građevinske, strojarske i elektrotehničke</w:t>
      </w:r>
      <w:r w:rsidR="00084BEF">
        <w:rPr>
          <w:sz w:val="24"/>
          <w:szCs w:val="24"/>
          <w:lang w:val="hr-HR"/>
        </w:rPr>
        <w:t xml:space="preserve"> (</w:t>
      </w:r>
      <w:r w:rsidR="00BB1A26">
        <w:rPr>
          <w:sz w:val="24"/>
          <w:szCs w:val="24"/>
          <w:lang w:val="hr-HR"/>
        </w:rPr>
        <w:t>iz članka 17.</w:t>
      </w:r>
      <w:r w:rsidR="00625813">
        <w:rPr>
          <w:sz w:val="24"/>
          <w:szCs w:val="24"/>
          <w:lang w:val="hr-HR"/>
        </w:rPr>
        <w:t>,</w:t>
      </w:r>
      <w:r w:rsidR="00BB1A26">
        <w:rPr>
          <w:sz w:val="24"/>
          <w:szCs w:val="24"/>
          <w:lang w:val="hr-HR"/>
        </w:rPr>
        <w:t xml:space="preserve"> stavka 2. </w:t>
      </w:r>
      <w:r w:rsidR="00084BEF">
        <w:rPr>
          <w:sz w:val="24"/>
          <w:szCs w:val="24"/>
          <w:lang w:val="hr-HR"/>
        </w:rPr>
        <w:t>Pravilnik</w:t>
      </w:r>
      <w:r w:rsidR="00BB1A26">
        <w:rPr>
          <w:sz w:val="24"/>
          <w:szCs w:val="24"/>
          <w:lang w:val="hr-HR"/>
        </w:rPr>
        <w:t>a</w:t>
      </w:r>
      <w:r w:rsidR="00084BEF">
        <w:rPr>
          <w:sz w:val="24"/>
          <w:szCs w:val="24"/>
          <w:lang w:val="hr-HR"/>
        </w:rPr>
        <w:t xml:space="preserve"> o osobama ovlaštenim </w:t>
      </w:r>
      <w:r w:rsidR="00084BEF">
        <w:rPr>
          <w:sz w:val="24"/>
          <w:szCs w:val="24"/>
          <w:lang w:val="hr-HR"/>
        </w:rPr>
        <w:lastRenderedPageBreak/>
        <w:t>za energetsko certificiranje, energetski pregled zgrade i redoviti pregled sustava grijanja i sustava hlađenja ili klimatizacije u zgradi – NN 73/15, 133/15,</w:t>
      </w:r>
      <w:r w:rsidR="00BB1A26">
        <w:rPr>
          <w:sz w:val="24"/>
          <w:szCs w:val="24"/>
          <w:lang w:val="hr-HR"/>
        </w:rPr>
        <w:t xml:space="preserve"> 60/20</w:t>
      </w:r>
      <w:r w:rsidR="00084BEF" w:rsidRPr="00084BEF">
        <w:rPr>
          <w:sz w:val="24"/>
          <w:szCs w:val="24"/>
          <w:lang w:val="hr-HR"/>
        </w:rPr>
        <w:t>)</w:t>
      </w:r>
      <w:r w:rsidR="007F504B" w:rsidRPr="00084BEF">
        <w:rPr>
          <w:sz w:val="24"/>
          <w:szCs w:val="24"/>
          <w:lang w:val="hr-HR"/>
        </w:rPr>
        <w:t>;</w:t>
      </w:r>
    </w:p>
    <w:p w14:paraId="088C74E6" w14:textId="042E6403" w:rsidR="005936CB" w:rsidRDefault="005936CB" w:rsidP="00961148">
      <w:pPr>
        <w:pStyle w:val="Odlomakpopisa"/>
        <w:numPr>
          <w:ilvl w:val="1"/>
          <w:numId w:val="44"/>
        </w:numPr>
        <w:spacing w:after="120" w:line="276" w:lineRule="auto"/>
        <w:ind w:left="993" w:hanging="437"/>
        <w:contextualSpacing w:val="0"/>
        <w:rPr>
          <w:sz w:val="24"/>
          <w:szCs w:val="24"/>
          <w:lang w:val="hr-HR"/>
        </w:rPr>
      </w:pPr>
      <w:r w:rsidRPr="007944CF">
        <w:rPr>
          <w:b/>
          <w:bCs/>
          <w:sz w:val="24"/>
          <w:szCs w:val="24"/>
          <w:u w:val="single"/>
          <w:lang w:val="hr-HR"/>
        </w:rPr>
        <w:t xml:space="preserve">Građevinska bruto površina je </w:t>
      </w:r>
      <w:r w:rsidR="009C39D2">
        <w:rPr>
          <w:b/>
          <w:bCs/>
          <w:sz w:val="24"/>
          <w:szCs w:val="24"/>
          <w:u w:val="single"/>
          <w:lang w:val="hr-HR"/>
        </w:rPr>
        <w:t>veća</w:t>
      </w:r>
      <w:r w:rsidR="009C39D2" w:rsidRPr="007944CF">
        <w:rPr>
          <w:b/>
          <w:bCs/>
          <w:sz w:val="24"/>
          <w:szCs w:val="24"/>
          <w:u w:val="single"/>
          <w:lang w:val="hr-HR"/>
        </w:rPr>
        <w:t xml:space="preserve"> </w:t>
      </w:r>
      <w:r w:rsidR="00C9663E">
        <w:rPr>
          <w:b/>
          <w:bCs/>
          <w:sz w:val="24"/>
          <w:szCs w:val="24"/>
          <w:u w:val="single"/>
          <w:lang w:val="hr-HR"/>
        </w:rPr>
        <w:t>od</w:t>
      </w:r>
      <w:r w:rsidRPr="007944CF">
        <w:rPr>
          <w:b/>
          <w:bCs/>
          <w:sz w:val="24"/>
          <w:szCs w:val="24"/>
          <w:u w:val="single"/>
          <w:lang w:val="hr-HR"/>
        </w:rPr>
        <w:t xml:space="preserve"> 250 m</w:t>
      </w:r>
      <w:r w:rsidRPr="007944CF">
        <w:rPr>
          <w:b/>
          <w:bCs/>
          <w:sz w:val="24"/>
          <w:szCs w:val="24"/>
          <w:u w:val="single"/>
          <w:vertAlign w:val="superscript"/>
          <w:lang w:val="hr-HR"/>
        </w:rPr>
        <w:t>2</w:t>
      </w:r>
      <w:r>
        <w:rPr>
          <w:sz w:val="24"/>
          <w:szCs w:val="24"/>
          <w:vertAlign w:val="superscript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– sukladno </w:t>
      </w:r>
      <w:r w:rsidRPr="00EA00C4">
        <w:rPr>
          <w:sz w:val="24"/>
          <w:szCs w:val="24"/>
          <w:lang w:val="hr-HR"/>
        </w:rPr>
        <w:t>Pravilnik</w:t>
      </w:r>
      <w:r>
        <w:rPr>
          <w:sz w:val="24"/>
          <w:szCs w:val="24"/>
          <w:lang w:val="hr-HR"/>
        </w:rPr>
        <w:t>u</w:t>
      </w:r>
      <w:r w:rsidRPr="00EA00C4">
        <w:rPr>
          <w:sz w:val="24"/>
          <w:szCs w:val="24"/>
          <w:lang w:val="hr-HR"/>
        </w:rPr>
        <w:t xml:space="preserve"> o jednostavnim i drugim građevinama i radovima</w:t>
      </w:r>
      <w:r>
        <w:rPr>
          <w:sz w:val="24"/>
          <w:szCs w:val="24"/>
          <w:lang w:val="hr-HR"/>
        </w:rPr>
        <w:t xml:space="preserve"> (NN </w:t>
      </w:r>
      <w:r w:rsidR="00BB1A26" w:rsidRPr="00BB1A26">
        <w:rPr>
          <w:sz w:val="24"/>
          <w:szCs w:val="24"/>
          <w:lang w:val="hr-HR"/>
        </w:rPr>
        <w:t>112/17; 34/18, 36/19, 98/19, 31/20</w:t>
      </w:r>
      <w:r>
        <w:rPr>
          <w:sz w:val="24"/>
          <w:szCs w:val="24"/>
          <w:lang w:val="hr-HR"/>
        </w:rPr>
        <w:t>) obiteljska kuća se smatra jednostavnom građevinom u slučaju da je njena g</w:t>
      </w:r>
      <w:r w:rsidRPr="005936CB">
        <w:rPr>
          <w:sz w:val="24"/>
          <w:szCs w:val="24"/>
          <w:lang w:val="hr-HR"/>
        </w:rPr>
        <w:t xml:space="preserve">rađevinska bruto površina </w:t>
      </w:r>
      <w:r w:rsidR="009C39D2">
        <w:rPr>
          <w:sz w:val="24"/>
          <w:szCs w:val="24"/>
          <w:lang w:val="hr-HR"/>
        </w:rPr>
        <w:t xml:space="preserve">manja </w:t>
      </w:r>
      <w:r w:rsidRPr="005936CB">
        <w:rPr>
          <w:sz w:val="24"/>
          <w:szCs w:val="24"/>
          <w:lang w:val="hr-HR"/>
        </w:rPr>
        <w:t>ili jednaka</w:t>
      </w:r>
      <w:r>
        <w:rPr>
          <w:sz w:val="24"/>
          <w:szCs w:val="24"/>
          <w:lang w:val="hr-HR"/>
        </w:rPr>
        <w:t xml:space="preserve"> 600 m</w:t>
      </w:r>
      <w:r w:rsidRPr="005936CB">
        <w:rPr>
          <w:sz w:val="24"/>
          <w:szCs w:val="24"/>
          <w:vertAlign w:val="superscript"/>
          <w:lang w:val="hr-HR"/>
        </w:rPr>
        <w:t>2</w:t>
      </w:r>
      <w:r>
        <w:rPr>
          <w:sz w:val="24"/>
          <w:szCs w:val="24"/>
          <w:lang w:val="hr-HR"/>
        </w:rPr>
        <w:t>.</w:t>
      </w:r>
      <w:r w:rsidR="007F504B">
        <w:rPr>
          <w:sz w:val="24"/>
          <w:szCs w:val="24"/>
          <w:lang w:val="hr-HR"/>
        </w:rPr>
        <w:t xml:space="preserve"> Kućanstva, osobito ona energetski siromašna na prekograničnom području prosječno žive u manjim objektima pa je kao isključujući kriterij navedeno da njezina g</w:t>
      </w:r>
      <w:r w:rsidR="007F504B" w:rsidRPr="007F504B">
        <w:rPr>
          <w:sz w:val="24"/>
          <w:szCs w:val="24"/>
          <w:lang w:val="hr-HR"/>
        </w:rPr>
        <w:t xml:space="preserve">rađevinska bruto površina </w:t>
      </w:r>
      <w:r w:rsidR="00C9663E">
        <w:rPr>
          <w:sz w:val="24"/>
          <w:szCs w:val="24"/>
          <w:lang w:val="hr-HR"/>
        </w:rPr>
        <w:t>ne smije biti veća od</w:t>
      </w:r>
      <w:r w:rsidR="007F504B">
        <w:rPr>
          <w:sz w:val="24"/>
          <w:szCs w:val="24"/>
          <w:lang w:val="hr-HR"/>
        </w:rPr>
        <w:t xml:space="preserve"> 250 m</w:t>
      </w:r>
      <w:r w:rsidR="007F504B" w:rsidRPr="007F504B">
        <w:rPr>
          <w:sz w:val="24"/>
          <w:szCs w:val="24"/>
          <w:vertAlign w:val="superscript"/>
          <w:lang w:val="hr-HR"/>
        </w:rPr>
        <w:t>2</w:t>
      </w:r>
      <w:r w:rsidR="007F504B" w:rsidRPr="007F504B">
        <w:rPr>
          <w:sz w:val="24"/>
          <w:szCs w:val="24"/>
          <w:lang w:val="hr-HR"/>
        </w:rPr>
        <w:t>;</w:t>
      </w:r>
    </w:p>
    <w:p w14:paraId="13E10DA4" w14:textId="76F992FB" w:rsidR="007F504B" w:rsidRPr="007F504B" w:rsidRDefault="009C39D2" w:rsidP="00961148">
      <w:pPr>
        <w:pStyle w:val="Odlomakpopisa"/>
        <w:numPr>
          <w:ilvl w:val="1"/>
          <w:numId w:val="44"/>
        </w:numPr>
        <w:spacing w:after="120" w:line="276" w:lineRule="auto"/>
        <w:ind w:left="993" w:hanging="437"/>
        <w:contextualSpacing w:val="0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>Postojanje</w:t>
      </w:r>
      <w:r w:rsidRPr="007944CF">
        <w:rPr>
          <w:b/>
          <w:bCs/>
          <w:sz w:val="24"/>
          <w:szCs w:val="24"/>
          <w:u w:val="single"/>
          <w:lang w:val="hr-HR"/>
        </w:rPr>
        <w:t xml:space="preserve"> </w:t>
      </w:r>
      <w:r w:rsidR="007F504B" w:rsidRPr="007944CF">
        <w:rPr>
          <w:b/>
          <w:bCs/>
          <w:sz w:val="24"/>
          <w:szCs w:val="24"/>
          <w:u w:val="single"/>
          <w:lang w:val="hr-HR"/>
        </w:rPr>
        <w:t>energetskog certifikata</w:t>
      </w:r>
      <w:r w:rsidR="007F504B">
        <w:rPr>
          <w:sz w:val="24"/>
          <w:szCs w:val="24"/>
          <w:lang w:val="hr-HR"/>
        </w:rPr>
        <w:t xml:space="preserve"> – </w:t>
      </w:r>
      <w:r w:rsidR="00CE0619">
        <w:rPr>
          <w:sz w:val="24"/>
          <w:szCs w:val="24"/>
          <w:lang w:val="hr-HR"/>
        </w:rPr>
        <w:t xml:space="preserve">obiteljska kuća </w:t>
      </w:r>
      <w:r>
        <w:rPr>
          <w:sz w:val="24"/>
          <w:szCs w:val="24"/>
          <w:lang w:val="hr-HR"/>
        </w:rPr>
        <w:t xml:space="preserve">ima </w:t>
      </w:r>
      <w:r w:rsidR="00CE0619">
        <w:rPr>
          <w:sz w:val="24"/>
          <w:szCs w:val="24"/>
          <w:lang w:val="hr-HR"/>
        </w:rPr>
        <w:t>izrađeni energetski certifikat</w:t>
      </w:r>
      <w:r w:rsidR="00BB1A26">
        <w:rPr>
          <w:sz w:val="24"/>
          <w:szCs w:val="24"/>
          <w:lang w:val="hr-HR"/>
        </w:rPr>
        <w:t>.</w:t>
      </w:r>
    </w:p>
    <w:p w14:paraId="78545EC4" w14:textId="77777777" w:rsidR="005C7691" w:rsidRPr="00C61B2D" w:rsidRDefault="005C7691" w:rsidP="00961148">
      <w:pPr>
        <w:spacing w:after="120" w:line="276" w:lineRule="auto"/>
        <w:rPr>
          <w:sz w:val="24"/>
          <w:szCs w:val="24"/>
          <w:lang w:val="hr-HR"/>
        </w:rPr>
      </w:pPr>
    </w:p>
    <w:p w14:paraId="2548756C" w14:textId="520DBE43" w:rsidR="00341C29" w:rsidRPr="00625813" w:rsidRDefault="00341C29" w:rsidP="00961148">
      <w:pPr>
        <w:pStyle w:val="Naslov2"/>
        <w:numPr>
          <w:ilvl w:val="0"/>
          <w:numId w:val="44"/>
        </w:numPr>
        <w:spacing w:before="0" w:after="240" w:line="276" w:lineRule="auto"/>
        <w:ind w:left="284" w:hanging="284"/>
        <w:rPr>
          <w:sz w:val="28"/>
          <w:szCs w:val="28"/>
          <w:lang w:val="hr-HR"/>
        </w:rPr>
      </w:pPr>
      <w:r w:rsidRPr="00625813">
        <w:rPr>
          <w:sz w:val="28"/>
          <w:szCs w:val="28"/>
          <w:lang w:val="hr-HR"/>
        </w:rPr>
        <w:t>Kriteriji za bodovanje</w:t>
      </w:r>
    </w:p>
    <w:p w14:paraId="60524369" w14:textId="5A954BF5" w:rsidR="001C0373" w:rsidRDefault="00341C29" w:rsidP="001C0373">
      <w:pPr>
        <w:spacing w:after="120" w:line="276" w:lineRule="auto"/>
        <w:rPr>
          <w:sz w:val="24"/>
          <w:szCs w:val="24"/>
          <w:lang w:val="hr-HR"/>
        </w:rPr>
      </w:pPr>
      <w:r w:rsidRPr="00341C29">
        <w:rPr>
          <w:sz w:val="24"/>
          <w:szCs w:val="24"/>
          <w:lang w:val="hr-HR"/>
        </w:rPr>
        <w:t xml:space="preserve">Kriterij koji su relevantni za bodovanje </w:t>
      </w:r>
      <w:r w:rsidR="00BB1A26">
        <w:rPr>
          <w:sz w:val="24"/>
          <w:szCs w:val="24"/>
          <w:lang w:val="hr-HR"/>
        </w:rPr>
        <w:t xml:space="preserve">prijava </w:t>
      </w:r>
      <w:r w:rsidRPr="00341C29">
        <w:rPr>
          <w:sz w:val="24"/>
          <w:szCs w:val="24"/>
          <w:lang w:val="hr-HR"/>
        </w:rPr>
        <w:t>su sljedeći: prihodi kućanstva, godina izgradnje objekta</w:t>
      </w:r>
      <w:r w:rsidR="001C0373">
        <w:rPr>
          <w:sz w:val="24"/>
          <w:szCs w:val="24"/>
          <w:lang w:val="hr-HR"/>
        </w:rPr>
        <w:t xml:space="preserve"> te</w:t>
      </w:r>
      <w:r w:rsidRPr="00341C29">
        <w:rPr>
          <w:sz w:val="24"/>
          <w:szCs w:val="24"/>
          <w:lang w:val="hr-HR"/>
        </w:rPr>
        <w:t xml:space="preserve"> vrsta energenta za grijanje. </w:t>
      </w:r>
      <w:r w:rsidR="0000782A">
        <w:rPr>
          <w:sz w:val="24"/>
          <w:szCs w:val="24"/>
          <w:lang w:val="hr-HR"/>
        </w:rPr>
        <w:t>Navedeni kriteriji usuglašeni su sa definicijom razvijenom u sklopu projekta od strane relevantnih stručnjaka.</w:t>
      </w:r>
    </w:p>
    <w:p w14:paraId="744903E0" w14:textId="0F790A04" w:rsidR="00341C29" w:rsidRDefault="00341C29" w:rsidP="00961148">
      <w:pPr>
        <w:spacing w:line="276" w:lineRule="auto"/>
        <w:rPr>
          <w:sz w:val="24"/>
          <w:szCs w:val="24"/>
          <w:lang w:val="hr-HR"/>
        </w:rPr>
      </w:pPr>
      <w:r w:rsidRPr="00341C29">
        <w:rPr>
          <w:sz w:val="24"/>
          <w:szCs w:val="24"/>
          <w:lang w:val="hr-HR"/>
        </w:rPr>
        <w:t xml:space="preserve">Svaki od navedenih kriterija </w:t>
      </w:r>
      <w:r w:rsidR="00B12C01">
        <w:rPr>
          <w:sz w:val="24"/>
          <w:szCs w:val="24"/>
          <w:lang w:val="hr-HR"/>
        </w:rPr>
        <w:t xml:space="preserve">detaljno je </w:t>
      </w:r>
      <w:r w:rsidRPr="00341C29">
        <w:rPr>
          <w:sz w:val="24"/>
          <w:szCs w:val="24"/>
          <w:lang w:val="hr-HR"/>
        </w:rPr>
        <w:t xml:space="preserve">opisan u nastavku teksta. </w:t>
      </w:r>
    </w:p>
    <w:p w14:paraId="428DC7E3" w14:textId="77777777" w:rsidR="00706083" w:rsidRPr="001C0373" w:rsidRDefault="00706083" w:rsidP="00961148">
      <w:pPr>
        <w:spacing w:line="276" w:lineRule="auto"/>
        <w:rPr>
          <w:sz w:val="24"/>
          <w:szCs w:val="24"/>
          <w:lang w:val="hr-HR"/>
        </w:rPr>
      </w:pPr>
    </w:p>
    <w:p w14:paraId="7E6474FF" w14:textId="502AC46D" w:rsidR="00590D4C" w:rsidRPr="00341C29" w:rsidRDefault="005C7691" w:rsidP="00961148">
      <w:pPr>
        <w:pStyle w:val="Naslov3"/>
        <w:numPr>
          <w:ilvl w:val="1"/>
          <w:numId w:val="44"/>
        </w:numPr>
        <w:spacing w:before="240" w:after="240" w:line="276" w:lineRule="auto"/>
        <w:ind w:left="992" w:hanging="425"/>
        <w:rPr>
          <w:lang w:val="hr-HR"/>
        </w:rPr>
      </w:pPr>
      <w:r w:rsidRPr="00341C29">
        <w:rPr>
          <w:lang w:val="hr-HR"/>
        </w:rPr>
        <w:t>Prihodi kućanstva</w:t>
      </w:r>
    </w:p>
    <w:p w14:paraId="36043401" w14:textId="77777777" w:rsidR="0000782A" w:rsidRDefault="00341C29" w:rsidP="00B12C01">
      <w:pPr>
        <w:spacing w:after="120" w:line="276" w:lineRule="auto"/>
        <w:rPr>
          <w:sz w:val="24"/>
          <w:szCs w:val="24"/>
          <w:lang w:val="hr-HR"/>
        </w:rPr>
      </w:pPr>
      <w:r w:rsidRPr="00B12C01">
        <w:rPr>
          <w:sz w:val="24"/>
          <w:szCs w:val="24"/>
          <w:lang w:val="hr-HR"/>
        </w:rPr>
        <w:t xml:space="preserve">Jedan od najvažnijih kriterija za adresiranje energetskog siromaštva su ukupni prihodi, odnosno ukupni neto prihodi kućanstva koji uključuju prihode </w:t>
      </w:r>
      <w:r w:rsidR="00B12C01" w:rsidRPr="00B12C01">
        <w:rPr>
          <w:sz w:val="24"/>
          <w:szCs w:val="24"/>
          <w:lang w:val="hr-HR"/>
        </w:rPr>
        <w:t xml:space="preserve">svih </w:t>
      </w:r>
      <w:r w:rsidRPr="00B12C01">
        <w:rPr>
          <w:sz w:val="24"/>
          <w:szCs w:val="24"/>
          <w:lang w:val="hr-HR"/>
        </w:rPr>
        <w:t>zaposlenih članova kućanstva te prihode ostalih članova kućanstva</w:t>
      </w:r>
      <w:r w:rsidR="00744483" w:rsidRPr="00B12C01">
        <w:rPr>
          <w:sz w:val="24"/>
          <w:szCs w:val="24"/>
          <w:lang w:val="hr-HR"/>
        </w:rPr>
        <w:t xml:space="preserve"> (uključujući osobne dohotke, mirovine, dječje doplatke, naknade za nezaposlene, socijalnu pomoć, naknade od osiguranja, i sl.) </w:t>
      </w:r>
      <w:r w:rsidR="00B12C01" w:rsidRPr="00B12C01">
        <w:rPr>
          <w:sz w:val="24"/>
          <w:szCs w:val="24"/>
          <w:lang w:val="hr-HR"/>
        </w:rPr>
        <w:t xml:space="preserve">izraženi </w:t>
      </w:r>
      <w:r w:rsidR="00744483" w:rsidRPr="00B12C01">
        <w:rPr>
          <w:sz w:val="24"/>
          <w:szCs w:val="24"/>
          <w:lang w:val="hr-HR"/>
        </w:rPr>
        <w:t xml:space="preserve">u kunama. </w:t>
      </w:r>
    </w:p>
    <w:p w14:paraId="20F2454C" w14:textId="46BC0477" w:rsidR="00F20882" w:rsidRDefault="00744483" w:rsidP="00B12C01">
      <w:pPr>
        <w:spacing w:after="120" w:line="276" w:lineRule="auto"/>
        <w:rPr>
          <w:sz w:val="24"/>
          <w:szCs w:val="24"/>
          <w:lang w:val="hr-HR"/>
        </w:rPr>
      </w:pPr>
      <w:r w:rsidRPr="00B12C01">
        <w:rPr>
          <w:sz w:val="24"/>
          <w:szCs w:val="24"/>
          <w:lang w:val="hr-HR"/>
        </w:rPr>
        <w:t xml:space="preserve">Za potrebe bodovanja ovog kriterija definirana su 3 raspona: do </w:t>
      </w:r>
      <w:r w:rsidR="00B12C01" w:rsidRPr="00B12C01">
        <w:rPr>
          <w:sz w:val="24"/>
          <w:szCs w:val="24"/>
          <w:lang w:val="hr-HR"/>
        </w:rPr>
        <w:t>4</w:t>
      </w:r>
      <w:r w:rsidRPr="00B12C01">
        <w:rPr>
          <w:sz w:val="24"/>
          <w:szCs w:val="24"/>
          <w:lang w:val="hr-HR"/>
        </w:rPr>
        <w:t>.</w:t>
      </w:r>
      <w:r w:rsidR="00B12C01" w:rsidRPr="00B12C01">
        <w:rPr>
          <w:sz w:val="24"/>
          <w:szCs w:val="24"/>
          <w:lang w:val="hr-HR"/>
        </w:rPr>
        <w:t>3</w:t>
      </w:r>
      <w:r w:rsidRPr="00B12C01">
        <w:rPr>
          <w:sz w:val="24"/>
          <w:szCs w:val="24"/>
          <w:lang w:val="hr-HR"/>
        </w:rPr>
        <w:t>00,00 HRK,</w:t>
      </w:r>
      <w:r w:rsidRPr="00B12C01">
        <w:t xml:space="preserve"> </w:t>
      </w:r>
      <w:r w:rsidR="00B12C01" w:rsidRPr="00B12C01">
        <w:rPr>
          <w:sz w:val="24"/>
          <w:szCs w:val="24"/>
          <w:lang w:val="hr-HR"/>
        </w:rPr>
        <w:t>4</w:t>
      </w:r>
      <w:r w:rsidRPr="00B12C01">
        <w:rPr>
          <w:sz w:val="24"/>
          <w:szCs w:val="24"/>
          <w:lang w:val="hr-HR"/>
        </w:rPr>
        <w:t>.</w:t>
      </w:r>
      <w:r w:rsidR="00B12C01" w:rsidRPr="00B12C01">
        <w:rPr>
          <w:sz w:val="24"/>
          <w:szCs w:val="24"/>
          <w:lang w:val="hr-HR"/>
        </w:rPr>
        <w:t>3</w:t>
      </w:r>
      <w:r w:rsidRPr="00B12C01">
        <w:rPr>
          <w:sz w:val="24"/>
          <w:szCs w:val="24"/>
          <w:lang w:val="hr-HR"/>
        </w:rPr>
        <w:t>0</w:t>
      </w:r>
      <w:r w:rsidR="00F20882">
        <w:rPr>
          <w:sz w:val="24"/>
          <w:szCs w:val="24"/>
          <w:lang w:val="hr-HR"/>
        </w:rPr>
        <w:t>0</w:t>
      </w:r>
      <w:r w:rsidRPr="00B12C01">
        <w:rPr>
          <w:sz w:val="24"/>
          <w:szCs w:val="24"/>
          <w:lang w:val="hr-HR"/>
        </w:rPr>
        <w:t xml:space="preserve">,00 HRK </w:t>
      </w:r>
      <w:r w:rsidR="00B12C01" w:rsidRPr="00B12C01">
        <w:rPr>
          <w:sz w:val="24"/>
          <w:szCs w:val="24"/>
          <w:lang w:val="hr-HR"/>
        </w:rPr>
        <w:t>–</w:t>
      </w:r>
      <w:r w:rsidRPr="00B12C01">
        <w:rPr>
          <w:sz w:val="24"/>
          <w:szCs w:val="24"/>
          <w:lang w:val="hr-HR"/>
        </w:rPr>
        <w:t xml:space="preserve"> </w:t>
      </w:r>
      <w:r w:rsidR="00B12C01" w:rsidRPr="00B12C01">
        <w:rPr>
          <w:sz w:val="24"/>
          <w:szCs w:val="24"/>
          <w:lang w:val="hr-HR"/>
        </w:rPr>
        <w:t>8</w:t>
      </w:r>
      <w:r w:rsidRPr="00B12C01">
        <w:rPr>
          <w:sz w:val="24"/>
          <w:szCs w:val="24"/>
          <w:lang w:val="hr-HR"/>
        </w:rPr>
        <w:t>.</w:t>
      </w:r>
      <w:r w:rsidR="00B12C01" w:rsidRPr="00B12C01">
        <w:rPr>
          <w:sz w:val="24"/>
          <w:szCs w:val="24"/>
          <w:lang w:val="hr-HR"/>
        </w:rPr>
        <w:t>6</w:t>
      </w:r>
      <w:r w:rsidRPr="00B12C01">
        <w:rPr>
          <w:sz w:val="24"/>
          <w:szCs w:val="24"/>
          <w:lang w:val="hr-HR"/>
        </w:rPr>
        <w:t xml:space="preserve">00,00 HRK (+ </w:t>
      </w:r>
      <w:r w:rsidR="00B12C01" w:rsidRPr="00B12C01">
        <w:rPr>
          <w:sz w:val="24"/>
          <w:szCs w:val="24"/>
          <w:lang w:val="hr-HR"/>
        </w:rPr>
        <w:t>1</w:t>
      </w:r>
      <w:r w:rsidRPr="00B12C01">
        <w:rPr>
          <w:sz w:val="24"/>
          <w:szCs w:val="24"/>
          <w:lang w:val="hr-HR"/>
        </w:rPr>
        <w:t>.</w:t>
      </w:r>
      <w:r w:rsidR="00B12C01" w:rsidRPr="00B12C01">
        <w:rPr>
          <w:sz w:val="24"/>
          <w:szCs w:val="24"/>
          <w:lang w:val="hr-HR"/>
        </w:rPr>
        <w:t>5</w:t>
      </w:r>
      <w:r w:rsidRPr="00B12C01">
        <w:rPr>
          <w:sz w:val="24"/>
          <w:szCs w:val="24"/>
          <w:lang w:val="hr-HR"/>
        </w:rPr>
        <w:t xml:space="preserve">00,00 HRK po svakom sljedećem članu) i iznad </w:t>
      </w:r>
      <w:r w:rsidR="00B12C01" w:rsidRPr="00B12C01">
        <w:rPr>
          <w:sz w:val="24"/>
          <w:szCs w:val="24"/>
          <w:lang w:val="hr-HR"/>
        </w:rPr>
        <w:t>8</w:t>
      </w:r>
      <w:r w:rsidRPr="00B12C01">
        <w:rPr>
          <w:sz w:val="24"/>
          <w:szCs w:val="24"/>
          <w:lang w:val="hr-HR"/>
        </w:rPr>
        <w:t>.</w:t>
      </w:r>
      <w:r w:rsidR="00B12C01" w:rsidRPr="00B12C01">
        <w:rPr>
          <w:sz w:val="24"/>
          <w:szCs w:val="24"/>
          <w:lang w:val="hr-HR"/>
        </w:rPr>
        <w:t>6</w:t>
      </w:r>
      <w:r w:rsidRPr="00B12C01">
        <w:rPr>
          <w:sz w:val="24"/>
          <w:szCs w:val="24"/>
          <w:lang w:val="hr-HR"/>
        </w:rPr>
        <w:t xml:space="preserve">00,00 HRK (+ </w:t>
      </w:r>
      <w:r w:rsidR="00B12C01" w:rsidRPr="00B12C01">
        <w:rPr>
          <w:sz w:val="24"/>
          <w:szCs w:val="24"/>
          <w:lang w:val="hr-HR"/>
        </w:rPr>
        <w:t>1.5</w:t>
      </w:r>
      <w:r w:rsidRPr="00B12C01">
        <w:rPr>
          <w:sz w:val="24"/>
          <w:szCs w:val="24"/>
          <w:lang w:val="hr-HR"/>
        </w:rPr>
        <w:t xml:space="preserve">00,00 HRK po svakom sljedećem članu)  pri čemu će raspon biti bodovan redom s 0, 10 i 6 bodova. Donja granica </w:t>
      </w:r>
      <w:r w:rsidR="00B12C01">
        <w:rPr>
          <w:sz w:val="24"/>
          <w:szCs w:val="24"/>
          <w:lang w:val="hr-HR"/>
        </w:rPr>
        <w:t xml:space="preserve">(4.300,00 HRK) </w:t>
      </w:r>
      <w:r w:rsidRPr="00B12C01">
        <w:rPr>
          <w:sz w:val="24"/>
          <w:szCs w:val="24"/>
          <w:lang w:val="hr-HR"/>
        </w:rPr>
        <w:t xml:space="preserve">određena je </w:t>
      </w:r>
      <w:r w:rsidR="00B12C01" w:rsidRPr="00B12C01">
        <w:rPr>
          <w:sz w:val="24"/>
          <w:szCs w:val="24"/>
          <w:lang w:val="hr-HR"/>
        </w:rPr>
        <w:t>medij</w:t>
      </w:r>
      <w:r w:rsidR="00B12C01">
        <w:rPr>
          <w:sz w:val="24"/>
          <w:szCs w:val="24"/>
          <w:lang w:val="hr-HR"/>
        </w:rPr>
        <w:t>alnom</w:t>
      </w:r>
      <w:r w:rsidR="00B12C01" w:rsidRPr="00B12C01">
        <w:rPr>
          <w:sz w:val="24"/>
          <w:szCs w:val="24"/>
          <w:lang w:val="hr-HR"/>
        </w:rPr>
        <w:t xml:space="preserve"> mjesečn</w:t>
      </w:r>
      <w:r w:rsidR="00B12C01">
        <w:rPr>
          <w:sz w:val="24"/>
          <w:szCs w:val="24"/>
          <w:lang w:val="hr-HR"/>
        </w:rPr>
        <w:t>om</w:t>
      </w:r>
      <w:r w:rsidR="00B12C01" w:rsidRPr="00B12C01">
        <w:rPr>
          <w:sz w:val="24"/>
          <w:szCs w:val="24"/>
          <w:lang w:val="hr-HR"/>
        </w:rPr>
        <w:t xml:space="preserve"> plać</w:t>
      </w:r>
      <w:r w:rsidR="00B12C01">
        <w:rPr>
          <w:sz w:val="24"/>
          <w:szCs w:val="24"/>
          <w:lang w:val="hr-HR"/>
        </w:rPr>
        <w:t>om</w:t>
      </w:r>
      <w:r w:rsidR="00B12C01" w:rsidRPr="00B12C01">
        <w:rPr>
          <w:sz w:val="24"/>
          <w:szCs w:val="24"/>
          <w:lang w:val="hr-HR"/>
        </w:rPr>
        <w:t xml:space="preserve"> na regionalnoj razini </w:t>
      </w:r>
      <w:r w:rsidR="00F20882">
        <w:rPr>
          <w:sz w:val="24"/>
          <w:szCs w:val="24"/>
          <w:lang w:val="hr-HR"/>
        </w:rPr>
        <w:t xml:space="preserve">(Međimurska županija) </w:t>
      </w:r>
      <w:r w:rsidR="00B12C01" w:rsidRPr="00B12C01">
        <w:rPr>
          <w:sz w:val="24"/>
          <w:szCs w:val="24"/>
          <w:lang w:val="hr-HR"/>
        </w:rPr>
        <w:t>za prosinac 2020. godine, dok srednja</w:t>
      </w:r>
      <w:r w:rsidR="00B12C01">
        <w:rPr>
          <w:sz w:val="24"/>
          <w:szCs w:val="24"/>
          <w:lang w:val="hr-HR"/>
        </w:rPr>
        <w:t xml:space="preserve">, odnosno </w:t>
      </w:r>
      <w:r w:rsidR="00B12C01" w:rsidRPr="00B12C01">
        <w:rPr>
          <w:sz w:val="24"/>
          <w:szCs w:val="24"/>
          <w:lang w:val="hr-HR"/>
        </w:rPr>
        <w:t>gornja granica odgovara iznosu od dvije mjesečne medijalne plaće</w:t>
      </w:r>
      <w:r w:rsidR="00B12C01">
        <w:rPr>
          <w:sz w:val="24"/>
          <w:szCs w:val="24"/>
          <w:lang w:val="hr-HR"/>
        </w:rPr>
        <w:t xml:space="preserve"> (8.600,00 HRK)</w:t>
      </w:r>
      <w:r w:rsidR="00B12C01" w:rsidRPr="00B12C01">
        <w:rPr>
          <w:sz w:val="24"/>
          <w:szCs w:val="24"/>
          <w:lang w:val="hr-HR"/>
        </w:rPr>
        <w:t>.</w:t>
      </w:r>
      <w:r w:rsidR="0089129F" w:rsidRPr="00B12C01">
        <w:rPr>
          <w:sz w:val="24"/>
          <w:szCs w:val="24"/>
          <w:lang w:val="hr-HR"/>
        </w:rPr>
        <w:t xml:space="preserve"> </w:t>
      </w:r>
    </w:p>
    <w:p w14:paraId="7C8F77C5" w14:textId="0965418C" w:rsidR="005C7691" w:rsidRPr="00B12C01" w:rsidRDefault="00B12C01" w:rsidP="00B12C01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potrebe bodovanja u obzir je uzet iznos medijalne mjesečne plaće</w:t>
      </w:r>
      <w:r w:rsidR="00C30B5A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C30B5A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zračun temeljen na medijanu se smatra boljom opcijom od prosjeka jer daje uvid u stvarno stanje, jer </w:t>
      </w:r>
      <w:r w:rsidRPr="00B12C01">
        <w:rPr>
          <w:sz w:val="24"/>
          <w:szCs w:val="24"/>
          <w:lang w:val="hr-HR"/>
        </w:rPr>
        <w:t>u izračun prosječne plaće ulaze i one najviše</w:t>
      </w:r>
      <w:r>
        <w:rPr>
          <w:sz w:val="24"/>
          <w:szCs w:val="24"/>
          <w:lang w:val="hr-HR"/>
        </w:rPr>
        <w:t xml:space="preserve"> plaće</w:t>
      </w:r>
      <w:r w:rsidRPr="00B12C01">
        <w:rPr>
          <w:sz w:val="24"/>
          <w:szCs w:val="24"/>
          <w:lang w:val="hr-HR"/>
        </w:rPr>
        <w:t>, koje su vrlo često puno puta više od onih najnižih, a izračunom medijana to se zaobilazi.</w:t>
      </w:r>
      <w:r>
        <w:rPr>
          <w:sz w:val="24"/>
          <w:szCs w:val="24"/>
          <w:lang w:val="hr-HR"/>
        </w:rPr>
        <w:t xml:space="preserve"> </w:t>
      </w:r>
      <w:r w:rsidR="005E3E9D">
        <w:rPr>
          <w:sz w:val="24"/>
          <w:szCs w:val="24"/>
          <w:lang w:val="hr-HR"/>
        </w:rPr>
        <w:t xml:space="preserve">U prvi i drugi raspon uključena su kućanstva s niskim mjesečnim prihodima, međutim srednjem rasponu se dodjeljuje veći broj bodova jer se tu radi o kućanstvima koja bi s dostupnim budžetom mogla ulagati u povećanje energetske učinkovitosti svojih </w:t>
      </w:r>
      <w:r w:rsidR="005E3E9D">
        <w:rPr>
          <w:sz w:val="24"/>
          <w:szCs w:val="24"/>
          <w:lang w:val="hr-HR"/>
        </w:rPr>
        <w:lastRenderedPageBreak/>
        <w:t>domova</w:t>
      </w:r>
      <w:r w:rsidR="00F20882">
        <w:rPr>
          <w:sz w:val="24"/>
          <w:szCs w:val="24"/>
          <w:lang w:val="hr-HR"/>
        </w:rPr>
        <w:t xml:space="preserve"> uz korištenje dostupnih mehanizama sufinanciranja</w:t>
      </w:r>
      <w:r w:rsidR="005E3E9D">
        <w:rPr>
          <w:sz w:val="24"/>
          <w:szCs w:val="24"/>
          <w:lang w:val="hr-HR"/>
        </w:rPr>
        <w:t>. U najniži raspon ulaze kućanstva koja se s dostupnim prihodima smatraju siromašnima i puno je veća vjerojatnost da takva kućanstva neće ulagati u povećanje energetske učinkovitosti svojih domova jer sredstva koja su im trenutno raspoloživa su dostatna samo za zadovoljenje osnovnih životnih potreba.</w:t>
      </w:r>
      <w:r w:rsidR="00F20882">
        <w:rPr>
          <w:sz w:val="24"/>
          <w:szCs w:val="24"/>
          <w:lang w:val="hr-HR"/>
        </w:rPr>
        <w:t xml:space="preserve"> Njihov interes za ulaganje u povećanje energetske učinkovitosti doma ovisio bi o postotku sufinanciranja iz dostupnih izvora sufinanciranja</w:t>
      </w:r>
      <w:r w:rsidR="008B794A">
        <w:rPr>
          <w:sz w:val="24"/>
          <w:szCs w:val="24"/>
          <w:lang w:val="hr-HR"/>
        </w:rPr>
        <w:t xml:space="preserve"> pri čemu bi veća vjerojatnost za ulaganje bila u slučaju stopa sufinanciranja od 100%.</w:t>
      </w:r>
    </w:p>
    <w:p w14:paraId="7EF1EF35" w14:textId="720F1354" w:rsidR="0089129F" w:rsidRDefault="0089129F" w:rsidP="00961148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Prihodi kućanstva u korelaciji s brojem članova kućanstva dobar </w:t>
      </w:r>
      <w:r w:rsidR="00BB1A26">
        <w:rPr>
          <w:sz w:val="24"/>
          <w:szCs w:val="24"/>
          <w:lang w:val="hr-HR"/>
        </w:rPr>
        <w:t>su</w:t>
      </w:r>
      <w:r>
        <w:rPr>
          <w:sz w:val="24"/>
          <w:szCs w:val="24"/>
          <w:lang w:val="hr-HR"/>
        </w:rPr>
        <w:t xml:space="preserve"> pokazatelj razine energetskog siromaštva. Sukladno tome od </w:t>
      </w:r>
      <w:r w:rsidR="00BB1A26">
        <w:rPr>
          <w:sz w:val="24"/>
          <w:szCs w:val="24"/>
          <w:lang w:val="hr-HR"/>
        </w:rPr>
        <w:t xml:space="preserve">podnositelja prijave </w:t>
      </w:r>
      <w:r>
        <w:rPr>
          <w:sz w:val="24"/>
          <w:szCs w:val="24"/>
          <w:lang w:val="hr-HR"/>
        </w:rPr>
        <w:t>će se tražiti da specificiraju i broj članova kućanstva kao i njihov status (zaposlen, nezaposlen, dijete, umirovljenik) koji će se koristiti isključivo za potrebe interne statistike.</w:t>
      </w:r>
      <w:r w:rsidR="005E3E9D">
        <w:rPr>
          <w:sz w:val="24"/>
          <w:szCs w:val="24"/>
          <w:lang w:val="hr-HR"/>
        </w:rPr>
        <w:t xml:space="preserve"> Budući da neki od članova kućanstva ne ostvaruju prihode </w:t>
      </w:r>
      <w:r w:rsidR="006F0FF1">
        <w:rPr>
          <w:sz w:val="24"/>
          <w:szCs w:val="24"/>
          <w:lang w:val="hr-HR"/>
        </w:rPr>
        <w:t>u formulu ulazi i iznos od 1.500,00 HRK (procijenjeni iznos prema uputama stručnjakinja s područja socijalnog rada s obzirom na podatke o maksimalnom iznosu naknada koje mogu biti dodijeljene korisnicima centara za socijalnu skrb) po svakom sljedećem članu pri čemu se srednji i gornji raspon povećavaju sukladno povećanju broja članova kućanstva.</w:t>
      </w:r>
    </w:p>
    <w:p w14:paraId="58E1A964" w14:textId="77777777" w:rsidR="00706083" w:rsidRPr="001C0373" w:rsidRDefault="00706083" w:rsidP="00961148">
      <w:pPr>
        <w:spacing w:after="120" w:line="276" w:lineRule="auto"/>
        <w:rPr>
          <w:sz w:val="24"/>
          <w:szCs w:val="24"/>
          <w:lang w:val="hr-HR"/>
        </w:rPr>
      </w:pPr>
    </w:p>
    <w:p w14:paraId="722A88EE" w14:textId="40FADE1A" w:rsidR="00341C29" w:rsidRDefault="00341C29" w:rsidP="00961148">
      <w:pPr>
        <w:pStyle w:val="Naslov3"/>
        <w:numPr>
          <w:ilvl w:val="1"/>
          <w:numId w:val="44"/>
        </w:numPr>
        <w:spacing w:before="240" w:after="240" w:line="276" w:lineRule="auto"/>
        <w:ind w:left="992" w:hanging="425"/>
        <w:rPr>
          <w:lang w:val="hr-HR"/>
        </w:rPr>
      </w:pPr>
      <w:r w:rsidRPr="00341C29">
        <w:rPr>
          <w:lang w:val="hr-HR"/>
        </w:rPr>
        <w:t>Godina izgradnje objekta</w:t>
      </w:r>
    </w:p>
    <w:p w14:paraId="459EAD86" w14:textId="3A6815CB" w:rsidR="00961148" w:rsidRDefault="00BD61F3" w:rsidP="008B794A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Sljedeći kriterij je kriterij g</w:t>
      </w:r>
      <w:r w:rsidRPr="00BD61F3">
        <w:rPr>
          <w:sz w:val="24"/>
          <w:szCs w:val="24"/>
          <w:lang w:val="hr-HR"/>
        </w:rPr>
        <w:t>odin</w:t>
      </w:r>
      <w:r>
        <w:rPr>
          <w:sz w:val="24"/>
          <w:szCs w:val="24"/>
          <w:lang w:val="hr-HR"/>
        </w:rPr>
        <w:t>e</w:t>
      </w:r>
      <w:r w:rsidRPr="00BD61F3">
        <w:rPr>
          <w:sz w:val="24"/>
          <w:szCs w:val="24"/>
          <w:lang w:val="hr-HR"/>
        </w:rPr>
        <w:t xml:space="preserve"> izgradnje objekta</w:t>
      </w:r>
      <w:r>
        <w:rPr>
          <w:sz w:val="24"/>
          <w:szCs w:val="24"/>
          <w:lang w:val="hr-HR"/>
        </w:rPr>
        <w:t xml:space="preserve"> koji</w:t>
      </w:r>
      <w:r w:rsidRPr="00BD61F3">
        <w:rPr>
          <w:sz w:val="24"/>
          <w:szCs w:val="24"/>
          <w:lang w:val="hr-HR"/>
        </w:rPr>
        <w:t xml:space="preserve"> određuje svojstva i građevinske značajke objekta</w:t>
      </w:r>
      <w:r>
        <w:rPr>
          <w:sz w:val="24"/>
          <w:szCs w:val="24"/>
          <w:lang w:val="hr-HR"/>
        </w:rPr>
        <w:t xml:space="preserve"> što opet može pomoći kod identifikacije stupnja energetskog siromaštva. </w:t>
      </w:r>
      <w:r w:rsidR="00F20882" w:rsidRPr="00F20882">
        <w:rPr>
          <w:sz w:val="24"/>
          <w:szCs w:val="24"/>
          <w:lang w:val="hr-HR"/>
        </w:rPr>
        <w:t>Opća kvaliteta zgrada mijenjala se tijekom različitih razdoblja izgradnje kao posljedica različitih klimatskih, gospodarskih, tehničko-tehnoloških i socioloških utjecaja, a poseban utjecaj na kvalitetu i samim tim potrošnju energije imala je cijena energije potrebna za zagrijavanje i propisi iz područja toplinske zaštite zgrada</w:t>
      </w:r>
      <w:r w:rsidR="00F20882">
        <w:rPr>
          <w:sz w:val="24"/>
          <w:szCs w:val="24"/>
          <w:lang w:val="hr-HR"/>
        </w:rPr>
        <w:t>. Sukladno tome, za</w:t>
      </w:r>
      <w:r>
        <w:rPr>
          <w:sz w:val="24"/>
          <w:szCs w:val="24"/>
          <w:lang w:val="hr-HR"/>
        </w:rPr>
        <w:t xml:space="preserve"> ovaj kriterij tak</w:t>
      </w:r>
      <w:r w:rsidR="00F20882">
        <w:rPr>
          <w:sz w:val="24"/>
          <w:szCs w:val="24"/>
          <w:lang w:val="hr-HR"/>
        </w:rPr>
        <w:t xml:space="preserve">ođer </w:t>
      </w:r>
      <w:r>
        <w:rPr>
          <w:sz w:val="24"/>
          <w:szCs w:val="24"/>
          <w:lang w:val="hr-HR"/>
        </w:rPr>
        <w:t>su definirana 3 raspona. Prvi raspon</w:t>
      </w:r>
      <w:r w:rsidR="00FC5140">
        <w:rPr>
          <w:sz w:val="24"/>
          <w:szCs w:val="24"/>
          <w:lang w:val="hr-HR"/>
        </w:rPr>
        <w:t xml:space="preserve"> se odnosi na </w:t>
      </w:r>
      <w:r w:rsidR="00BB1A26">
        <w:rPr>
          <w:sz w:val="24"/>
          <w:szCs w:val="24"/>
          <w:lang w:val="hr-HR"/>
        </w:rPr>
        <w:t>vremensko razdoblje</w:t>
      </w:r>
      <w:r w:rsidR="00FC5140">
        <w:rPr>
          <w:sz w:val="24"/>
          <w:szCs w:val="24"/>
          <w:lang w:val="hr-HR"/>
        </w:rPr>
        <w:t xml:space="preserve"> do 1987. godine, jer su 1987. godine doneseni prvi propisi s područja toplinske zaštite u Hrvatskoj koji su uključivali oštrije zahtjeve u pogledu toplinske zaštite zgrada</w:t>
      </w:r>
      <w:r w:rsidR="00BB1A26">
        <w:rPr>
          <w:sz w:val="24"/>
          <w:szCs w:val="24"/>
          <w:lang w:val="hr-HR"/>
        </w:rPr>
        <w:t xml:space="preserve"> kroz ograničavanje toplinskih gubitaka ne samo kroz pojedine elemente vanjske ovojnice, već i za zgradu kao cjelinu</w:t>
      </w:r>
      <w:r w:rsidR="00FC5140">
        <w:rPr>
          <w:sz w:val="24"/>
          <w:szCs w:val="24"/>
          <w:lang w:val="hr-HR"/>
        </w:rPr>
        <w:t xml:space="preserve">. </w:t>
      </w:r>
      <w:r w:rsidR="00C61B2D">
        <w:rPr>
          <w:sz w:val="24"/>
          <w:szCs w:val="24"/>
          <w:lang w:val="hr-HR"/>
        </w:rPr>
        <w:t>Zgrade građene u razdoblju do 1987. godine</w:t>
      </w:r>
      <w:r w:rsidR="00F20882" w:rsidRPr="00F20882">
        <w:t xml:space="preserve"> </w:t>
      </w:r>
      <w:r w:rsidR="00F20882">
        <w:t xml:space="preserve">su </w:t>
      </w:r>
      <w:r w:rsidR="00F20882" w:rsidRPr="00F20882">
        <w:rPr>
          <w:sz w:val="24"/>
          <w:szCs w:val="24"/>
          <w:lang w:val="hr-HR"/>
        </w:rPr>
        <w:t>veliki</w:t>
      </w:r>
      <w:r w:rsidR="00F20882">
        <w:rPr>
          <w:sz w:val="24"/>
          <w:szCs w:val="24"/>
          <w:lang w:val="hr-HR"/>
        </w:rPr>
        <w:t xml:space="preserve"> </w:t>
      </w:r>
      <w:r w:rsidR="00F20882" w:rsidRPr="00F20882">
        <w:rPr>
          <w:sz w:val="24"/>
          <w:szCs w:val="24"/>
          <w:lang w:val="hr-HR"/>
        </w:rPr>
        <w:t>potrošači toplinske energije</w:t>
      </w:r>
      <w:r w:rsidR="00F20882">
        <w:rPr>
          <w:sz w:val="24"/>
          <w:szCs w:val="24"/>
          <w:lang w:val="hr-HR"/>
        </w:rPr>
        <w:t xml:space="preserve"> te</w:t>
      </w:r>
      <w:r w:rsidR="00F20882" w:rsidRPr="00F20882">
        <w:rPr>
          <w:sz w:val="24"/>
          <w:szCs w:val="24"/>
          <w:lang w:val="hr-HR"/>
        </w:rPr>
        <w:t xml:space="preserve"> imaju samo minimalnu toplinsku izolaciju ili je uopće nemaju, imaju značajne toplinske gubitke te ne ispunjavaju sadašnje zahtjeve vezane uz energetsku učinkovitost.</w:t>
      </w:r>
      <w:r w:rsidR="00F20882">
        <w:rPr>
          <w:sz w:val="24"/>
          <w:szCs w:val="24"/>
          <w:lang w:val="hr-HR"/>
        </w:rPr>
        <w:t xml:space="preserve"> </w:t>
      </w:r>
      <w:r w:rsidR="00FC5140">
        <w:rPr>
          <w:sz w:val="24"/>
          <w:szCs w:val="24"/>
          <w:lang w:val="hr-HR"/>
        </w:rPr>
        <w:t>Drugi raspon uključuje razdoblje između 1987. i 2008. godine</w:t>
      </w:r>
      <w:r w:rsidR="00C61B2D">
        <w:rPr>
          <w:sz w:val="24"/>
          <w:szCs w:val="24"/>
          <w:lang w:val="hr-HR"/>
        </w:rPr>
        <w:t xml:space="preserve">. </w:t>
      </w:r>
      <w:r w:rsidR="00FC5140">
        <w:rPr>
          <w:sz w:val="24"/>
          <w:szCs w:val="24"/>
          <w:lang w:val="hr-HR"/>
        </w:rPr>
        <w:t>Treći raspon se odnosi na razdoblje nakon 2008. godine kada je u na Europskoj razini donesena D</w:t>
      </w:r>
      <w:r w:rsidR="00FC5140" w:rsidRPr="00FC5140">
        <w:rPr>
          <w:sz w:val="24"/>
          <w:szCs w:val="24"/>
          <w:lang w:val="hr-HR"/>
        </w:rPr>
        <w:t>irektiva 2002/91/EC o energetskim svojstvima zgrada Europskog parlamenta od 16. prosinca 2002. i Direktiva 89/108/EEC Europskog parlamenta od 22. prosinca 1989. godine</w:t>
      </w:r>
      <w:r w:rsidR="00FC5140">
        <w:rPr>
          <w:sz w:val="24"/>
          <w:szCs w:val="24"/>
          <w:lang w:val="hr-HR"/>
        </w:rPr>
        <w:t>.</w:t>
      </w:r>
      <w:r w:rsidR="00C61B2D">
        <w:rPr>
          <w:sz w:val="24"/>
          <w:szCs w:val="24"/>
          <w:lang w:val="hr-HR"/>
        </w:rPr>
        <w:t xml:space="preserve"> Novonastale direktive su se nakon toga morale implementirati u nacionalna zakonodavstva država članica što je opet rezultiralo u</w:t>
      </w:r>
      <w:r w:rsidR="00DC52A7">
        <w:rPr>
          <w:sz w:val="24"/>
          <w:szCs w:val="24"/>
          <w:lang w:val="hr-HR"/>
        </w:rPr>
        <w:t xml:space="preserve"> povećanju zahtjeva u pogledu toplinske zaštite zgrada.</w:t>
      </w:r>
      <w:r w:rsidR="00C61B2D">
        <w:rPr>
          <w:sz w:val="24"/>
          <w:szCs w:val="24"/>
          <w:lang w:val="hr-HR"/>
        </w:rPr>
        <w:t xml:space="preserve"> </w:t>
      </w:r>
      <w:r w:rsidR="00FC5140">
        <w:rPr>
          <w:sz w:val="24"/>
          <w:szCs w:val="24"/>
          <w:lang w:val="hr-HR"/>
        </w:rPr>
        <w:t xml:space="preserve"> Navedeni rasponi bodovani su kako slijedi s 10, 6 i 0 bodova. </w:t>
      </w:r>
    </w:p>
    <w:p w14:paraId="73276AD4" w14:textId="7545CBBD" w:rsidR="00744483" w:rsidRDefault="00FC5140" w:rsidP="00961148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Nakon izgradnje objekta na objekt</w:t>
      </w:r>
      <w:r w:rsidR="00961148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se često provode </w:t>
      </w:r>
      <w:r w:rsidR="00961148">
        <w:rPr>
          <w:sz w:val="24"/>
          <w:szCs w:val="24"/>
          <w:lang w:val="hr-HR"/>
        </w:rPr>
        <w:t xml:space="preserve">određene mjere kao što je zamjena vanjske stolarije, </w:t>
      </w:r>
      <w:r w:rsidR="00732AD9">
        <w:rPr>
          <w:sz w:val="24"/>
          <w:szCs w:val="24"/>
          <w:lang w:val="hr-HR"/>
        </w:rPr>
        <w:t>toplinska zaštita</w:t>
      </w:r>
      <w:r w:rsidR="00961148">
        <w:rPr>
          <w:sz w:val="24"/>
          <w:szCs w:val="24"/>
          <w:lang w:val="hr-HR"/>
        </w:rPr>
        <w:t xml:space="preserve"> vanjskih zidova, kr</w:t>
      </w:r>
      <w:r w:rsidR="00732AD9">
        <w:rPr>
          <w:sz w:val="24"/>
          <w:szCs w:val="24"/>
          <w:lang w:val="hr-HR"/>
        </w:rPr>
        <w:t>o</w:t>
      </w:r>
      <w:r w:rsidR="00961148">
        <w:rPr>
          <w:sz w:val="24"/>
          <w:szCs w:val="24"/>
          <w:lang w:val="hr-HR"/>
        </w:rPr>
        <w:t xml:space="preserve">va, stropa prema tavanu, poda prema podrumu, itd. čime se ovisno u korištenoj tehnologiji povećavaju fizikalna svojstva objekta u pogledu energetske učinkovitosti (energetska obnova). Zbog toga će prijavitelji morati naznačiti godinu </w:t>
      </w:r>
      <w:r w:rsidR="00732AD9">
        <w:rPr>
          <w:sz w:val="24"/>
          <w:szCs w:val="24"/>
          <w:lang w:val="hr-HR"/>
        </w:rPr>
        <w:t xml:space="preserve">u </w:t>
      </w:r>
      <w:r w:rsidR="00961148">
        <w:rPr>
          <w:sz w:val="24"/>
          <w:szCs w:val="24"/>
          <w:lang w:val="hr-HR"/>
        </w:rPr>
        <w:t>kojoj su proveli određen</w:t>
      </w:r>
      <w:r w:rsidR="00732AD9">
        <w:rPr>
          <w:sz w:val="24"/>
          <w:szCs w:val="24"/>
          <w:lang w:val="hr-HR"/>
        </w:rPr>
        <w:t>u</w:t>
      </w:r>
      <w:r w:rsidR="00961148">
        <w:rPr>
          <w:sz w:val="24"/>
          <w:szCs w:val="24"/>
          <w:lang w:val="hr-HR"/>
        </w:rPr>
        <w:t xml:space="preserve"> mjer</w:t>
      </w:r>
      <w:r w:rsidR="00732AD9">
        <w:rPr>
          <w:sz w:val="24"/>
          <w:szCs w:val="24"/>
          <w:lang w:val="hr-HR"/>
        </w:rPr>
        <w:t>u/e</w:t>
      </w:r>
      <w:r w:rsidR="00961148">
        <w:rPr>
          <w:sz w:val="24"/>
          <w:szCs w:val="24"/>
          <w:lang w:val="hr-HR"/>
        </w:rPr>
        <w:t xml:space="preserve"> energetske obnove</w:t>
      </w:r>
      <w:r w:rsidR="00732AD9">
        <w:rPr>
          <w:sz w:val="24"/>
          <w:szCs w:val="24"/>
          <w:lang w:val="hr-HR"/>
        </w:rPr>
        <w:t xml:space="preserve"> što neće biti dodatno bodovano, ali će biti </w:t>
      </w:r>
      <w:r w:rsidR="008B794A">
        <w:rPr>
          <w:sz w:val="24"/>
          <w:szCs w:val="24"/>
          <w:lang w:val="hr-HR"/>
        </w:rPr>
        <w:t xml:space="preserve">relevantan </w:t>
      </w:r>
      <w:r w:rsidR="00732AD9">
        <w:rPr>
          <w:sz w:val="24"/>
          <w:szCs w:val="24"/>
          <w:lang w:val="hr-HR"/>
        </w:rPr>
        <w:t xml:space="preserve">pokazatelj da postoji svijest kućanstva o važnosti ulaganja u povećanje energetske učinkovitosti doma </w:t>
      </w:r>
      <w:r w:rsidR="008B794A">
        <w:rPr>
          <w:sz w:val="24"/>
          <w:szCs w:val="24"/>
          <w:lang w:val="hr-HR"/>
        </w:rPr>
        <w:t xml:space="preserve">što posljedično dovodi do </w:t>
      </w:r>
      <w:r w:rsidR="00732AD9">
        <w:rPr>
          <w:sz w:val="24"/>
          <w:szCs w:val="24"/>
          <w:lang w:val="hr-HR"/>
        </w:rPr>
        <w:t>poboljšanj</w:t>
      </w:r>
      <w:r w:rsidR="008B794A">
        <w:rPr>
          <w:sz w:val="24"/>
          <w:szCs w:val="24"/>
          <w:lang w:val="hr-HR"/>
        </w:rPr>
        <w:t>a</w:t>
      </w:r>
      <w:r w:rsidR="00732AD9">
        <w:rPr>
          <w:sz w:val="24"/>
          <w:szCs w:val="24"/>
          <w:lang w:val="hr-HR"/>
        </w:rPr>
        <w:t xml:space="preserve"> kvalitete života.</w:t>
      </w:r>
    </w:p>
    <w:p w14:paraId="1222B88F" w14:textId="77777777" w:rsidR="00706083" w:rsidRPr="001C0373" w:rsidRDefault="00706083" w:rsidP="00961148">
      <w:pPr>
        <w:spacing w:line="276" w:lineRule="auto"/>
        <w:rPr>
          <w:sz w:val="24"/>
          <w:szCs w:val="24"/>
          <w:lang w:val="hr-HR"/>
        </w:rPr>
      </w:pPr>
    </w:p>
    <w:p w14:paraId="345B941A" w14:textId="503ACC07" w:rsidR="00744483" w:rsidRDefault="00744483" w:rsidP="00961148">
      <w:pPr>
        <w:pStyle w:val="Naslov3"/>
        <w:numPr>
          <w:ilvl w:val="1"/>
          <w:numId w:val="44"/>
        </w:numPr>
        <w:spacing w:before="240" w:after="240" w:line="276" w:lineRule="auto"/>
        <w:ind w:left="992" w:hanging="425"/>
        <w:rPr>
          <w:lang w:val="hr-HR"/>
        </w:rPr>
      </w:pPr>
      <w:r>
        <w:rPr>
          <w:lang w:val="hr-HR"/>
        </w:rPr>
        <w:t>Vrsta energenta za grijanje</w:t>
      </w:r>
    </w:p>
    <w:p w14:paraId="00A6A17E" w14:textId="2941954E" w:rsidR="00CF1593" w:rsidRDefault="003D5D4E" w:rsidP="00CF1593">
      <w:pPr>
        <w:spacing w:before="240" w:after="120" w:line="276" w:lineRule="auto"/>
        <w:rPr>
          <w:sz w:val="24"/>
          <w:szCs w:val="24"/>
          <w:lang w:val="hr-HR"/>
        </w:rPr>
      </w:pPr>
      <w:r w:rsidRPr="003D5D4E">
        <w:rPr>
          <w:sz w:val="24"/>
          <w:szCs w:val="24"/>
          <w:lang w:val="hr-HR"/>
        </w:rPr>
        <w:t xml:space="preserve">Prilikom identifikacije energetskog siromaštva vrlo je važno utvrditi vrstu energenta koji se koristi za potrebe grijanja i pripreme potrošne tople vode jer energetsko siromaštvo nije samo posljedica niskih prihoda, već i neučinkovite upotrebe energije </w:t>
      </w:r>
      <w:r w:rsidR="00CF1593">
        <w:rPr>
          <w:sz w:val="24"/>
          <w:szCs w:val="24"/>
          <w:lang w:val="hr-HR"/>
        </w:rPr>
        <w:t>te</w:t>
      </w:r>
      <w:r w:rsidRPr="003D5D4E">
        <w:rPr>
          <w:sz w:val="24"/>
          <w:szCs w:val="24"/>
          <w:lang w:val="hr-HR"/>
        </w:rPr>
        <w:t xml:space="preserve"> vrste korištenog energenta za grijanje</w:t>
      </w:r>
      <w:r w:rsidR="00213D4C">
        <w:rPr>
          <w:sz w:val="24"/>
          <w:szCs w:val="24"/>
          <w:lang w:val="hr-HR"/>
        </w:rPr>
        <w:t xml:space="preserve">. Najpoznatiji energenti </w:t>
      </w:r>
      <w:r w:rsidR="00D97F9F">
        <w:rPr>
          <w:sz w:val="24"/>
          <w:szCs w:val="24"/>
          <w:lang w:val="hr-HR"/>
        </w:rPr>
        <w:t xml:space="preserve">za </w:t>
      </w:r>
      <w:r w:rsidR="00213D4C">
        <w:rPr>
          <w:sz w:val="24"/>
          <w:szCs w:val="24"/>
          <w:lang w:val="hr-HR"/>
        </w:rPr>
        <w:t xml:space="preserve">zagrijavanje stambenog prostora su električna energija, loživo ulje, prirodni plin, ogrjevno drvo/biomasa te obnovljivi izvori. </w:t>
      </w:r>
    </w:p>
    <w:p w14:paraId="12B01E2F" w14:textId="6CAB3F41" w:rsidR="00706083" w:rsidRDefault="00213D4C" w:rsidP="00CF1593">
      <w:pPr>
        <w:spacing w:before="120"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Korišteni energent uvelike utječe na sam trošak grijanja te u određenoj mjeri šteti okolišu kroz ispuštanje CO</w:t>
      </w:r>
      <w:r w:rsidRPr="00213D4C">
        <w:rPr>
          <w:sz w:val="24"/>
          <w:szCs w:val="24"/>
          <w:vertAlign w:val="subscript"/>
          <w:lang w:val="hr-HR"/>
        </w:rPr>
        <w:t>2</w:t>
      </w:r>
      <w:r w:rsidRPr="00213D4C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961148">
        <w:rPr>
          <w:sz w:val="24"/>
          <w:szCs w:val="24"/>
          <w:lang w:val="hr-HR"/>
        </w:rPr>
        <w:t>Cjenovno n</w:t>
      </w:r>
      <w:r>
        <w:rPr>
          <w:sz w:val="24"/>
          <w:szCs w:val="24"/>
          <w:lang w:val="hr-HR"/>
        </w:rPr>
        <w:t xml:space="preserve">ajpovoljniji energenti za zagrijavanje stambenog prostora su ogrjevno drvo, </w:t>
      </w:r>
      <w:r w:rsidR="00F20882">
        <w:rPr>
          <w:sz w:val="24"/>
          <w:szCs w:val="24"/>
          <w:lang w:val="hr-HR"/>
        </w:rPr>
        <w:t>biomasa</w:t>
      </w:r>
      <w:r>
        <w:rPr>
          <w:sz w:val="24"/>
          <w:szCs w:val="24"/>
          <w:lang w:val="hr-HR"/>
        </w:rPr>
        <w:t xml:space="preserve"> i prirodni plin, međutim u slučaju prirodnog plina </w:t>
      </w:r>
      <w:r w:rsidRPr="00213D4C">
        <w:rPr>
          <w:sz w:val="24"/>
          <w:szCs w:val="24"/>
          <w:lang w:val="hr-HR"/>
        </w:rPr>
        <w:t>kao energenta za zagrijavanje stambenog prostora</w:t>
      </w:r>
      <w:r>
        <w:rPr>
          <w:sz w:val="24"/>
          <w:szCs w:val="24"/>
          <w:lang w:val="hr-HR"/>
        </w:rPr>
        <w:t xml:space="preserve"> </w:t>
      </w:r>
      <w:r w:rsidRPr="00213D4C">
        <w:rPr>
          <w:sz w:val="24"/>
          <w:szCs w:val="24"/>
          <w:lang w:val="hr-HR"/>
        </w:rPr>
        <w:t>postoji velik</w:t>
      </w:r>
      <w:r>
        <w:rPr>
          <w:sz w:val="24"/>
          <w:szCs w:val="24"/>
          <w:lang w:val="hr-HR"/>
        </w:rPr>
        <w:t xml:space="preserve">i </w:t>
      </w:r>
      <w:r w:rsidRPr="00213D4C">
        <w:rPr>
          <w:sz w:val="24"/>
          <w:szCs w:val="24"/>
          <w:lang w:val="hr-HR"/>
        </w:rPr>
        <w:t>nedostatak, a to je ispuštanje emisija CO</w:t>
      </w:r>
      <w:r w:rsidRPr="00213D4C">
        <w:rPr>
          <w:sz w:val="24"/>
          <w:szCs w:val="24"/>
          <w:vertAlign w:val="subscript"/>
          <w:lang w:val="hr-HR"/>
        </w:rPr>
        <w:t>2</w:t>
      </w:r>
      <w:r>
        <w:rPr>
          <w:sz w:val="24"/>
          <w:szCs w:val="24"/>
          <w:lang w:val="hr-HR"/>
        </w:rPr>
        <w:t xml:space="preserve"> </w:t>
      </w:r>
      <w:r w:rsidRPr="00213D4C">
        <w:rPr>
          <w:sz w:val="24"/>
          <w:szCs w:val="24"/>
          <w:lang w:val="hr-HR"/>
        </w:rPr>
        <w:t>u okoliš što, u današnje vrijeme nije niti malo prihvatljiv podatak</w:t>
      </w:r>
      <w:r>
        <w:rPr>
          <w:sz w:val="24"/>
          <w:szCs w:val="24"/>
          <w:lang w:val="hr-HR"/>
        </w:rPr>
        <w:t>.</w:t>
      </w:r>
      <w:r w:rsidR="0096114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Osim prirodnog plina za okoliš su štetni i električna energija i loživo ulje.</w:t>
      </w:r>
      <w:r w:rsidR="00961148">
        <w:rPr>
          <w:sz w:val="24"/>
          <w:szCs w:val="24"/>
          <w:lang w:val="hr-HR"/>
        </w:rPr>
        <w:t xml:space="preserve"> Među ekološki prihvatljive energente ubrajaju se ogrjevno drvo/biomasa, i obnovljivi izvori energije. </w:t>
      </w:r>
    </w:p>
    <w:p w14:paraId="6ED0C8FE" w14:textId="350511F3" w:rsidR="001C0373" w:rsidRDefault="00961148" w:rsidP="00F20882">
      <w:pPr>
        <w:spacing w:before="120"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Sukladno svemu navedenome, električnoj energiji i loživom ulju dodijeljeno je najviše bodova 10 i 8, prirodnom plinu dodijeljeno je 6 bodova, ogrjevnom drvu/biomasi 4 boda i obnovljivim izvorima 0 bodova.</w:t>
      </w:r>
    </w:p>
    <w:p w14:paraId="1E8E57CB" w14:textId="77777777" w:rsidR="001D12D8" w:rsidRDefault="001D12D8" w:rsidP="00F20882">
      <w:pPr>
        <w:spacing w:before="120" w:after="120" w:line="276" w:lineRule="auto"/>
        <w:rPr>
          <w:sz w:val="24"/>
          <w:szCs w:val="24"/>
          <w:lang w:val="hr-HR"/>
        </w:rPr>
      </w:pPr>
    </w:p>
    <w:p w14:paraId="2B5E5927" w14:textId="4DF385C9" w:rsidR="008B794A" w:rsidRDefault="00706083" w:rsidP="001D12D8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Tablici 1 je prikazan tablični prikaz sustava bodovanja.</w:t>
      </w:r>
    </w:p>
    <w:p w14:paraId="5932AD7F" w14:textId="0D3FB311" w:rsidR="00A30420" w:rsidRPr="00A30420" w:rsidRDefault="00A30420" w:rsidP="00706083">
      <w:pPr>
        <w:spacing w:after="120" w:line="276" w:lineRule="auto"/>
        <w:jc w:val="center"/>
        <w:rPr>
          <w:b/>
          <w:bCs/>
          <w:i/>
          <w:iCs/>
          <w:sz w:val="20"/>
          <w:szCs w:val="20"/>
          <w:lang w:val="hr-HR"/>
        </w:rPr>
      </w:pPr>
      <w:r w:rsidRPr="00A30420">
        <w:rPr>
          <w:b/>
          <w:bCs/>
          <w:i/>
          <w:iCs/>
          <w:sz w:val="20"/>
          <w:szCs w:val="20"/>
          <w:lang w:val="hr-HR"/>
        </w:rPr>
        <w:t>Tablica 1. Sustav bodovanja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562"/>
      </w:tblGrid>
      <w:tr w:rsidR="003E00AC" w:rsidRPr="00706083" w14:paraId="03DE90F2" w14:textId="019B01F0" w:rsidTr="00115FF6">
        <w:trPr>
          <w:trHeight w:val="567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32DFBE66" w14:textId="3E6B6337" w:rsidR="003E00AC" w:rsidRPr="00706083" w:rsidRDefault="003E00AC" w:rsidP="00961148">
            <w:pPr>
              <w:spacing w:line="276" w:lineRule="auto"/>
              <w:jc w:val="left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b/>
                <w:bCs/>
                <w:sz w:val="20"/>
                <w:szCs w:val="20"/>
                <w:lang w:val="hr-HR"/>
              </w:rPr>
              <w:t>Naziv kriterija</w:t>
            </w:r>
          </w:p>
        </w:tc>
        <w:tc>
          <w:tcPr>
            <w:tcW w:w="7507" w:type="dxa"/>
            <w:gridSpan w:val="2"/>
            <w:tcBorders>
              <w:bottom w:val="double" w:sz="4" w:space="0" w:color="auto"/>
            </w:tcBorders>
            <w:vAlign w:val="center"/>
          </w:tcPr>
          <w:p w14:paraId="32A61693" w14:textId="2B908F9E" w:rsidR="003E00AC" w:rsidRPr="00706083" w:rsidRDefault="003E00AC" w:rsidP="00961148">
            <w:pPr>
              <w:spacing w:line="276" w:lineRule="auto"/>
              <w:jc w:val="left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b/>
                <w:bCs/>
                <w:sz w:val="20"/>
                <w:szCs w:val="20"/>
                <w:lang w:val="hr-HR"/>
              </w:rPr>
              <w:t>Bodovanje</w:t>
            </w:r>
          </w:p>
        </w:tc>
      </w:tr>
      <w:tr w:rsidR="003E00AC" w:rsidRPr="00706083" w14:paraId="309A4A50" w14:textId="28BCDCB2" w:rsidTr="00115FF6">
        <w:trPr>
          <w:trHeight w:val="567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14:paraId="0C6B48D1" w14:textId="2BEFBD55" w:rsidR="003E00AC" w:rsidRPr="00706083" w:rsidRDefault="003E00AC" w:rsidP="008B794A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b/>
                <w:bCs/>
                <w:sz w:val="20"/>
                <w:szCs w:val="20"/>
                <w:lang w:val="hr-HR"/>
              </w:rPr>
              <w:t>Prihodi kućanstva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14:paraId="0AD5368C" w14:textId="74D9DB49" w:rsidR="003E00AC" w:rsidRPr="00F20882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F20882">
              <w:rPr>
                <w:rFonts w:cs="Arial"/>
                <w:sz w:val="20"/>
                <w:szCs w:val="20"/>
                <w:lang w:val="hr-HR"/>
              </w:rPr>
              <w:t xml:space="preserve">do </w:t>
            </w:r>
            <w:r w:rsidR="00F20882" w:rsidRPr="00F20882">
              <w:rPr>
                <w:rFonts w:cs="Arial"/>
                <w:sz w:val="20"/>
                <w:szCs w:val="20"/>
                <w:lang w:val="hr-HR"/>
              </w:rPr>
              <w:t>4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>.</w:t>
            </w:r>
            <w:r w:rsidR="00F20882" w:rsidRPr="00F20882">
              <w:rPr>
                <w:rFonts w:cs="Arial"/>
                <w:sz w:val="20"/>
                <w:szCs w:val="20"/>
                <w:lang w:val="hr-HR"/>
              </w:rPr>
              <w:t>3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>00,00 HRK</w:t>
            </w:r>
          </w:p>
        </w:tc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706B6F17" w14:textId="58F398C1" w:rsidR="003E00AC" w:rsidRPr="00F20882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F20882">
              <w:rPr>
                <w:rFonts w:cs="Arial"/>
                <w:sz w:val="20"/>
                <w:szCs w:val="20"/>
                <w:lang w:val="hr-HR"/>
              </w:rPr>
              <w:t>6</w:t>
            </w:r>
          </w:p>
        </w:tc>
      </w:tr>
      <w:tr w:rsidR="003E00AC" w:rsidRPr="00706083" w14:paraId="0868FD99" w14:textId="77777777" w:rsidTr="00115FF6">
        <w:trPr>
          <w:trHeight w:val="567"/>
        </w:trPr>
        <w:tc>
          <w:tcPr>
            <w:tcW w:w="1555" w:type="dxa"/>
            <w:vMerge/>
            <w:vAlign w:val="center"/>
          </w:tcPr>
          <w:p w14:paraId="044C81AD" w14:textId="77777777" w:rsidR="003E00AC" w:rsidRPr="00706083" w:rsidRDefault="003E00AC" w:rsidP="008B794A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945" w:type="dxa"/>
            <w:vAlign w:val="center"/>
          </w:tcPr>
          <w:p w14:paraId="06176A72" w14:textId="5A963E95" w:rsidR="003E00AC" w:rsidRPr="00F20882" w:rsidRDefault="00F20882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F20882">
              <w:rPr>
                <w:rFonts w:cs="Arial"/>
                <w:sz w:val="20"/>
                <w:szCs w:val="20"/>
                <w:lang w:val="hr-HR"/>
              </w:rPr>
              <w:t>4</w:t>
            </w:r>
            <w:r w:rsidR="003E00AC" w:rsidRPr="00F20882">
              <w:rPr>
                <w:rFonts w:cs="Arial"/>
                <w:sz w:val="20"/>
                <w:szCs w:val="20"/>
                <w:lang w:val="hr-HR"/>
              </w:rPr>
              <w:t>.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>3</w:t>
            </w:r>
            <w:r w:rsidR="003E00AC" w:rsidRPr="00F20882">
              <w:rPr>
                <w:rFonts w:cs="Arial"/>
                <w:sz w:val="20"/>
                <w:szCs w:val="20"/>
                <w:lang w:val="hr-HR"/>
              </w:rPr>
              <w:t xml:space="preserve">00,00 HRK - 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>8</w:t>
            </w:r>
            <w:r w:rsidR="003E00AC" w:rsidRPr="00F20882">
              <w:rPr>
                <w:rFonts w:cs="Arial"/>
                <w:sz w:val="20"/>
                <w:szCs w:val="20"/>
                <w:lang w:val="hr-HR"/>
              </w:rPr>
              <w:t>.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>6</w:t>
            </w:r>
            <w:r w:rsidR="003E00AC" w:rsidRPr="00F20882">
              <w:rPr>
                <w:rFonts w:cs="Arial"/>
                <w:sz w:val="20"/>
                <w:szCs w:val="20"/>
                <w:lang w:val="hr-HR"/>
              </w:rPr>
              <w:t xml:space="preserve">00,00 HRK + 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>1</w:t>
            </w:r>
            <w:r w:rsidR="003E00AC" w:rsidRPr="00F20882">
              <w:rPr>
                <w:rFonts w:cs="Arial"/>
                <w:sz w:val="20"/>
                <w:szCs w:val="20"/>
                <w:lang w:val="hr-HR"/>
              </w:rPr>
              <w:t>.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>5</w:t>
            </w:r>
            <w:r w:rsidR="003E00AC" w:rsidRPr="00F20882">
              <w:rPr>
                <w:rFonts w:cs="Arial"/>
                <w:sz w:val="20"/>
                <w:szCs w:val="20"/>
                <w:lang w:val="hr-HR"/>
              </w:rPr>
              <w:t xml:space="preserve">00,00 HRK po svakom sljedećem članu </w:t>
            </w:r>
          </w:p>
        </w:tc>
        <w:tc>
          <w:tcPr>
            <w:tcW w:w="562" w:type="dxa"/>
            <w:vAlign w:val="center"/>
          </w:tcPr>
          <w:p w14:paraId="4B5B4B6A" w14:textId="14381A64" w:rsidR="003E00AC" w:rsidRPr="00F20882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F20882">
              <w:rPr>
                <w:rFonts w:cs="Arial"/>
                <w:sz w:val="20"/>
                <w:szCs w:val="20"/>
                <w:lang w:val="hr-HR"/>
              </w:rPr>
              <w:t>10</w:t>
            </w:r>
          </w:p>
        </w:tc>
      </w:tr>
      <w:tr w:rsidR="003E00AC" w:rsidRPr="00706083" w14:paraId="29738667" w14:textId="77777777" w:rsidTr="00115FF6">
        <w:trPr>
          <w:trHeight w:val="567"/>
        </w:trPr>
        <w:tc>
          <w:tcPr>
            <w:tcW w:w="1555" w:type="dxa"/>
            <w:vMerge/>
            <w:tcBorders>
              <w:bottom w:val="double" w:sz="4" w:space="0" w:color="auto"/>
            </w:tcBorders>
            <w:vAlign w:val="center"/>
          </w:tcPr>
          <w:p w14:paraId="71A38E6D" w14:textId="77777777" w:rsidR="003E00AC" w:rsidRPr="00706083" w:rsidRDefault="003E00AC" w:rsidP="008B794A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945" w:type="dxa"/>
            <w:tcBorders>
              <w:bottom w:val="double" w:sz="4" w:space="0" w:color="auto"/>
            </w:tcBorders>
            <w:vAlign w:val="center"/>
          </w:tcPr>
          <w:p w14:paraId="2A9BD998" w14:textId="468FDC6E" w:rsidR="003E00AC" w:rsidRPr="00F20882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F20882">
              <w:rPr>
                <w:rFonts w:cs="Arial"/>
                <w:sz w:val="20"/>
                <w:szCs w:val="20"/>
                <w:lang w:val="hr-HR"/>
              </w:rPr>
              <w:t xml:space="preserve">&gt; </w:t>
            </w:r>
            <w:r w:rsidR="00F20882" w:rsidRPr="00F20882">
              <w:rPr>
                <w:rFonts w:cs="Arial"/>
                <w:sz w:val="20"/>
                <w:szCs w:val="20"/>
                <w:lang w:val="hr-HR"/>
              </w:rPr>
              <w:t>8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>.</w:t>
            </w:r>
            <w:r w:rsidR="00F20882" w:rsidRPr="00F20882">
              <w:rPr>
                <w:rFonts w:cs="Arial"/>
                <w:sz w:val="20"/>
                <w:szCs w:val="20"/>
                <w:lang w:val="hr-HR"/>
              </w:rPr>
              <w:t>6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 xml:space="preserve">00,00 HRK + </w:t>
            </w:r>
            <w:r w:rsidR="00F20882" w:rsidRPr="00F20882">
              <w:rPr>
                <w:rFonts w:cs="Arial"/>
                <w:sz w:val="20"/>
                <w:szCs w:val="20"/>
                <w:lang w:val="hr-HR"/>
              </w:rPr>
              <w:t>1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>.</w:t>
            </w:r>
            <w:r w:rsidR="00F20882" w:rsidRPr="00F20882">
              <w:rPr>
                <w:rFonts w:cs="Arial"/>
                <w:sz w:val="20"/>
                <w:szCs w:val="20"/>
                <w:lang w:val="hr-HR"/>
              </w:rPr>
              <w:t>5</w:t>
            </w:r>
            <w:r w:rsidRPr="00F20882">
              <w:rPr>
                <w:rFonts w:cs="Arial"/>
                <w:sz w:val="20"/>
                <w:szCs w:val="20"/>
                <w:lang w:val="hr-HR"/>
              </w:rPr>
              <w:t xml:space="preserve">00,00 HRK po svakom sljedećem članu 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14:paraId="37F76892" w14:textId="47592A45" w:rsidR="003E00AC" w:rsidRPr="00F20882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F20882">
              <w:rPr>
                <w:rFonts w:cs="Arial"/>
                <w:sz w:val="20"/>
                <w:szCs w:val="20"/>
                <w:lang w:val="hr-HR"/>
              </w:rPr>
              <w:t>0</w:t>
            </w:r>
          </w:p>
        </w:tc>
      </w:tr>
      <w:tr w:rsidR="003E00AC" w:rsidRPr="00706083" w14:paraId="6EA973CD" w14:textId="6491C66B" w:rsidTr="00115FF6">
        <w:trPr>
          <w:trHeight w:val="567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14:paraId="2A21B468" w14:textId="4C484C2F" w:rsidR="003E00AC" w:rsidRPr="00706083" w:rsidRDefault="003E00AC" w:rsidP="008B794A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b/>
                <w:bCs/>
                <w:sz w:val="20"/>
                <w:szCs w:val="20"/>
                <w:lang w:val="hr-HR"/>
              </w:rPr>
              <w:t xml:space="preserve">Godina izgradnje </w:t>
            </w:r>
            <w:r w:rsidRPr="00706083">
              <w:rPr>
                <w:rFonts w:cs="Arial"/>
                <w:b/>
                <w:bCs/>
                <w:sz w:val="20"/>
                <w:szCs w:val="20"/>
                <w:lang w:val="hr-HR"/>
              </w:rPr>
              <w:lastRenderedPageBreak/>
              <w:t>objekta</w:t>
            </w:r>
          </w:p>
        </w:tc>
        <w:tc>
          <w:tcPr>
            <w:tcW w:w="694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12CF59" w14:textId="58BB3C40" w:rsidR="003E00AC" w:rsidRPr="00706083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color w:val="000000"/>
                <w:sz w:val="20"/>
                <w:szCs w:val="20"/>
              </w:rPr>
              <w:lastRenderedPageBreak/>
              <w:t>do 1987</w:t>
            </w:r>
            <w:r w:rsidR="00C30B5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4775DF3F" w14:textId="2C0ECBA8" w:rsidR="003E00AC" w:rsidRPr="00706083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sz w:val="20"/>
                <w:szCs w:val="20"/>
                <w:lang w:val="hr-HR"/>
              </w:rPr>
              <w:t>10</w:t>
            </w:r>
          </w:p>
        </w:tc>
      </w:tr>
      <w:tr w:rsidR="003E00AC" w:rsidRPr="00706083" w14:paraId="7E68188C" w14:textId="10024EB4" w:rsidTr="00115FF6">
        <w:trPr>
          <w:trHeight w:val="567"/>
        </w:trPr>
        <w:tc>
          <w:tcPr>
            <w:tcW w:w="1555" w:type="dxa"/>
            <w:vMerge/>
            <w:vAlign w:val="center"/>
          </w:tcPr>
          <w:p w14:paraId="75CC83F1" w14:textId="77777777" w:rsidR="003E00AC" w:rsidRPr="00706083" w:rsidRDefault="003E00AC" w:rsidP="008B794A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EEBA26" w14:textId="0C90505C" w:rsidR="003E00AC" w:rsidRPr="00706083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color w:val="000000"/>
                <w:sz w:val="20"/>
                <w:szCs w:val="20"/>
              </w:rPr>
              <w:t>između 1987</w:t>
            </w:r>
            <w:r w:rsidR="00C30B5A">
              <w:rPr>
                <w:rFonts w:cs="Arial"/>
                <w:color w:val="000000"/>
                <w:sz w:val="20"/>
                <w:szCs w:val="20"/>
              </w:rPr>
              <w:t>.</w:t>
            </w:r>
            <w:r w:rsidR="009F2441" w:rsidRPr="0070608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30B5A">
              <w:rPr>
                <w:rFonts w:cs="Arial"/>
                <w:color w:val="000000"/>
                <w:sz w:val="20"/>
                <w:szCs w:val="20"/>
              </w:rPr>
              <w:t>–</w:t>
            </w:r>
            <w:r w:rsidR="009F2441" w:rsidRPr="0070608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06083">
              <w:rPr>
                <w:rFonts w:cs="Arial"/>
                <w:color w:val="000000"/>
                <w:sz w:val="20"/>
                <w:szCs w:val="20"/>
              </w:rPr>
              <w:t>2008</w:t>
            </w:r>
            <w:r w:rsidR="00C30B5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2" w:type="dxa"/>
            <w:vAlign w:val="center"/>
          </w:tcPr>
          <w:p w14:paraId="43920890" w14:textId="4EA7AF17" w:rsidR="003E00AC" w:rsidRPr="00706083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sz w:val="20"/>
                <w:szCs w:val="20"/>
                <w:lang w:val="hr-HR"/>
              </w:rPr>
              <w:t>6</w:t>
            </w:r>
          </w:p>
        </w:tc>
      </w:tr>
      <w:tr w:rsidR="003E00AC" w:rsidRPr="00706083" w14:paraId="701E29D9" w14:textId="545F467E" w:rsidTr="001D12D8">
        <w:trPr>
          <w:trHeight w:val="567"/>
        </w:trPr>
        <w:tc>
          <w:tcPr>
            <w:tcW w:w="1555" w:type="dxa"/>
            <w:vMerge/>
            <w:tcBorders>
              <w:bottom w:val="double" w:sz="4" w:space="0" w:color="auto"/>
            </w:tcBorders>
            <w:vAlign w:val="center"/>
          </w:tcPr>
          <w:p w14:paraId="7A829D67" w14:textId="77777777" w:rsidR="003E00AC" w:rsidRPr="00706083" w:rsidRDefault="003E00AC" w:rsidP="008B794A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DD8401" w14:textId="087F8406" w:rsidR="003E00AC" w:rsidRPr="00706083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color w:val="000000"/>
                <w:sz w:val="20"/>
                <w:szCs w:val="20"/>
              </w:rPr>
              <w:t>nakon 2008</w:t>
            </w:r>
            <w:r w:rsidR="00C30B5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14:paraId="662022DE" w14:textId="11F4F500" w:rsidR="003E00AC" w:rsidRPr="00706083" w:rsidRDefault="003E00AC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sz w:val="20"/>
                <w:szCs w:val="20"/>
                <w:lang w:val="hr-HR"/>
              </w:rPr>
              <w:t>0</w:t>
            </w:r>
          </w:p>
        </w:tc>
      </w:tr>
      <w:tr w:rsidR="009F2441" w:rsidRPr="00706083" w14:paraId="4C213B8F" w14:textId="79E68958" w:rsidTr="00115FF6">
        <w:trPr>
          <w:trHeight w:val="567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14:paraId="5038640A" w14:textId="7A03739F" w:rsidR="009F2441" w:rsidRPr="00706083" w:rsidRDefault="009F2441" w:rsidP="008B794A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b/>
                <w:bCs/>
                <w:sz w:val="20"/>
                <w:szCs w:val="20"/>
                <w:lang w:val="hr-HR"/>
              </w:rPr>
              <w:t>Vrsta energenta za grijanje</w:t>
            </w:r>
          </w:p>
        </w:tc>
        <w:tc>
          <w:tcPr>
            <w:tcW w:w="6945" w:type="dxa"/>
            <w:tcBorders>
              <w:top w:val="double" w:sz="4" w:space="0" w:color="auto"/>
            </w:tcBorders>
            <w:vAlign w:val="center"/>
          </w:tcPr>
          <w:p w14:paraId="1E62B75D" w14:textId="2B60A8C7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sz w:val="20"/>
                <w:szCs w:val="20"/>
              </w:rPr>
              <w:t>Električna energija</w:t>
            </w:r>
          </w:p>
        </w:tc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1C2FE7FC" w14:textId="580AA849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sz w:val="20"/>
                <w:szCs w:val="20"/>
                <w:lang w:val="hr-HR"/>
              </w:rPr>
              <w:t>10</w:t>
            </w:r>
          </w:p>
        </w:tc>
      </w:tr>
      <w:tr w:rsidR="009F2441" w:rsidRPr="00706083" w14:paraId="513EAA31" w14:textId="74E3817D" w:rsidTr="00115FF6">
        <w:trPr>
          <w:trHeight w:val="567"/>
        </w:trPr>
        <w:tc>
          <w:tcPr>
            <w:tcW w:w="1555" w:type="dxa"/>
            <w:vMerge/>
            <w:vAlign w:val="center"/>
          </w:tcPr>
          <w:p w14:paraId="31F6AF72" w14:textId="339E8540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945" w:type="dxa"/>
            <w:vAlign w:val="center"/>
          </w:tcPr>
          <w:p w14:paraId="5FB581BA" w14:textId="36379FE7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sz w:val="20"/>
                <w:szCs w:val="20"/>
              </w:rPr>
              <w:t>Loživo ulje</w:t>
            </w:r>
          </w:p>
        </w:tc>
        <w:tc>
          <w:tcPr>
            <w:tcW w:w="562" w:type="dxa"/>
            <w:vAlign w:val="center"/>
          </w:tcPr>
          <w:p w14:paraId="56EB9B89" w14:textId="2BE6D608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sz w:val="20"/>
                <w:szCs w:val="20"/>
                <w:lang w:val="hr-HR"/>
              </w:rPr>
              <w:t>8</w:t>
            </w:r>
          </w:p>
        </w:tc>
      </w:tr>
      <w:tr w:rsidR="009F2441" w:rsidRPr="00706083" w14:paraId="0884FC90" w14:textId="77777777" w:rsidTr="00115FF6">
        <w:trPr>
          <w:trHeight w:val="567"/>
        </w:trPr>
        <w:tc>
          <w:tcPr>
            <w:tcW w:w="1555" w:type="dxa"/>
            <w:vMerge/>
            <w:vAlign w:val="center"/>
          </w:tcPr>
          <w:p w14:paraId="290D0084" w14:textId="77777777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945" w:type="dxa"/>
            <w:vAlign w:val="center"/>
          </w:tcPr>
          <w:p w14:paraId="72D98A56" w14:textId="0EFE30F2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sz w:val="20"/>
                <w:szCs w:val="20"/>
              </w:rPr>
              <w:t>Prirodni plin</w:t>
            </w:r>
          </w:p>
        </w:tc>
        <w:tc>
          <w:tcPr>
            <w:tcW w:w="562" w:type="dxa"/>
            <w:vAlign w:val="center"/>
          </w:tcPr>
          <w:p w14:paraId="1E9D02E6" w14:textId="51ADBEC2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sz w:val="20"/>
                <w:szCs w:val="20"/>
                <w:lang w:val="hr-HR"/>
              </w:rPr>
              <w:t>6</w:t>
            </w:r>
          </w:p>
        </w:tc>
      </w:tr>
      <w:tr w:rsidR="009F2441" w:rsidRPr="00706083" w14:paraId="1E23CDC0" w14:textId="77777777" w:rsidTr="00115FF6">
        <w:trPr>
          <w:trHeight w:val="567"/>
        </w:trPr>
        <w:tc>
          <w:tcPr>
            <w:tcW w:w="1555" w:type="dxa"/>
            <w:vMerge/>
            <w:vAlign w:val="center"/>
          </w:tcPr>
          <w:p w14:paraId="659E7E7F" w14:textId="77777777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945" w:type="dxa"/>
            <w:vAlign w:val="center"/>
          </w:tcPr>
          <w:p w14:paraId="0C67B757" w14:textId="48A86717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sz w:val="20"/>
                <w:szCs w:val="20"/>
              </w:rPr>
              <w:t>Ogrjevno drvo/biomasa</w:t>
            </w:r>
          </w:p>
        </w:tc>
        <w:tc>
          <w:tcPr>
            <w:tcW w:w="562" w:type="dxa"/>
            <w:vAlign w:val="center"/>
          </w:tcPr>
          <w:p w14:paraId="01F138FC" w14:textId="117BE7C1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sz w:val="20"/>
                <w:szCs w:val="20"/>
                <w:lang w:val="hr-HR"/>
              </w:rPr>
              <w:t>4</w:t>
            </w:r>
          </w:p>
        </w:tc>
      </w:tr>
      <w:tr w:rsidR="009F2441" w:rsidRPr="00706083" w14:paraId="4D2A8A8B" w14:textId="77777777" w:rsidTr="001D12D8">
        <w:trPr>
          <w:trHeight w:val="567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64631827" w14:textId="77777777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48A277A5" w14:textId="7DA20741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sz w:val="20"/>
                <w:szCs w:val="20"/>
              </w:rPr>
              <w:t>Obnovljivi izvori</w:t>
            </w:r>
            <w:r w:rsidR="00F20882">
              <w:rPr>
                <w:sz w:val="20"/>
                <w:szCs w:val="20"/>
              </w:rPr>
              <w:t xml:space="preserve"> energije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BD4C8DD" w14:textId="59769155" w:rsidR="009F2441" w:rsidRPr="00706083" w:rsidRDefault="009F2441" w:rsidP="00961148">
            <w:pPr>
              <w:spacing w:line="276" w:lineRule="auto"/>
              <w:jc w:val="left"/>
              <w:rPr>
                <w:rFonts w:cs="Arial"/>
                <w:sz w:val="20"/>
                <w:szCs w:val="20"/>
                <w:lang w:val="hr-HR"/>
              </w:rPr>
            </w:pPr>
            <w:r w:rsidRPr="00706083">
              <w:rPr>
                <w:rFonts w:cs="Arial"/>
                <w:sz w:val="20"/>
                <w:szCs w:val="20"/>
                <w:lang w:val="hr-HR"/>
              </w:rPr>
              <w:t>0</w:t>
            </w:r>
          </w:p>
        </w:tc>
      </w:tr>
    </w:tbl>
    <w:p w14:paraId="7BCF6D3A" w14:textId="77777777" w:rsidR="002F09DD" w:rsidRPr="00650665" w:rsidRDefault="002F09DD" w:rsidP="00961148">
      <w:pPr>
        <w:spacing w:after="120" w:line="276" w:lineRule="auto"/>
        <w:rPr>
          <w:sz w:val="14"/>
          <w:szCs w:val="14"/>
          <w:lang w:val="hr-HR"/>
        </w:rPr>
      </w:pPr>
    </w:p>
    <w:p w14:paraId="7A518A61" w14:textId="6AE91FE0" w:rsidR="00A30420" w:rsidRDefault="00F4789E" w:rsidP="00961148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pregleda i obrade svih zaprimljenih prijava, Međimurska energetska agencija d.o.o. će</w:t>
      </w:r>
      <w:r w:rsidR="002F09DD">
        <w:rPr>
          <w:sz w:val="24"/>
          <w:szCs w:val="24"/>
          <w:lang w:val="hr-HR"/>
        </w:rPr>
        <w:t xml:space="preserve"> </w:t>
      </w:r>
      <w:r w:rsidR="00706083">
        <w:rPr>
          <w:sz w:val="24"/>
          <w:szCs w:val="24"/>
          <w:lang w:val="hr-HR"/>
        </w:rPr>
        <w:t xml:space="preserve">izraditi </w:t>
      </w:r>
      <w:r w:rsidR="00706083" w:rsidRPr="001D12D8">
        <w:rPr>
          <w:b/>
          <w:bCs/>
          <w:sz w:val="24"/>
          <w:szCs w:val="24"/>
          <w:u w:val="single"/>
          <w:lang w:val="hr-HR"/>
        </w:rPr>
        <w:t>rang listu zaprimljenih prijava</w:t>
      </w:r>
      <w:r w:rsidR="00706083">
        <w:rPr>
          <w:sz w:val="24"/>
          <w:szCs w:val="24"/>
          <w:lang w:val="hr-HR"/>
        </w:rPr>
        <w:t xml:space="preserve"> te će </w:t>
      </w:r>
      <w:r w:rsidR="001C0373">
        <w:rPr>
          <w:sz w:val="24"/>
          <w:szCs w:val="24"/>
          <w:lang w:val="hr-HR"/>
        </w:rPr>
        <w:t xml:space="preserve">zatražiti dostavu dodatne dokumentacije </w:t>
      </w:r>
      <w:r w:rsidR="002F09DD">
        <w:rPr>
          <w:sz w:val="24"/>
          <w:szCs w:val="24"/>
          <w:lang w:val="hr-HR"/>
        </w:rPr>
        <w:t xml:space="preserve">za 5 najbolje </w:t>
      </w:r>
      <w:r w:rsidR="001C0373">
        <w:rPr>
          <w:sz w:val="24"/>
          <w:szCs w:val="24"/>
          <w:lang w:val="hr-HR"/>
        </w:rPr>
        <w:t xml:space="preserve">rangiranih </w:t>
      </w:r>
      <w:r w:rsidR="002F09DD">
        <w:rPr>
          <w:sz w:val="24"/>
          <w:szCs w:val="24"/>
          <w:lang w:val="hr-HR"/>
        </w:rPr>
        <w:t>prijava</w:t>
      </w:r>
      <w:r w:rsidR="00F514ED">
        <w:rPr>
          <w:sz w:val="24"/>
          <w:szCs w:val="24"/>
          <w:lang w:val="hr-HR"/>
        </w:rPr>
        <w:t xml:space="preserve"> pri čemu će ispitati točnost podataka iz </w:t>
      </w:r>
      <w:r w:rsidR="00F20882">
        <w:rPr>
          <w:sz w:val="24"/>
          <w:szCs w:val="24"/>
          <w:lang w:val="hr-HR"/>
        </w:rPr>
        <w:t>Prijavnog obrasca</w:t>
      </w:r>
      <w:r w:rsidR="00F514ED">
        <w:rPr>
          <w:sz w:val="24"/>
          <w:szCs w:val="24"/>
          <w:lang w:val="hr-HR"/>
        </w:rPr>
        <w:t xml:space="preserve"> </w:t>
      </w:r>
      <w:r w:rsidR="00F20882">
        <w:rPr>
          <w:sz w:val="24"/>
          <w:szCs w:val="24"/>
          <w:lang w:val="hr-HR"/>
        </w:rPr>
        <w:t>te potvrditi stanje isključujućih kriterija</w:t>
      </w:r>
      <w:r w:rsidR="002F09DD">
        <w:rPr>
          <w:sz w:val="24"/>
          <w:szCs w:val="24"/>
          <w:lang w:val="hr-HR"/>
        </w:rPr>
        <w:t xml:space="preserve">. </w:t>
      </w:r>
    </w:p>
    <w:p w14:paraId="47A72FEB" w14:textId="33600ABA" w:rsidR="00B77DDE" w:rsidRDefault="002F09DD" w:rsidP="00961148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slučaju da se </w:t>
      </w:r>
      <w:r w:rsidR="001C0373">
        <w:rPr>
          <w:sz w:val="24"/>
          <w:szCs w:val="24"/>
          <w:lang w:val="hr-HR"/>
        </w:rPr>
        <w:t xml:space="preserve">nakon uvida u dodatnu dokumentaciju </w:t>
      </w:r>
      <w:r>
        <w:rPr>
          <w:sz w:val="24"/>
          <w:szCs w:val="24"/>
          <w:lang w:val="hr-HR"/>
        </w:rPr>
        <w:t>kod prijava utvrde određene nepravilnosti u odnosu na podatke iz prijavnog obrasca, Međimurska energetska agencija d.o.o. zadržava pravo da navedenu prijavu</w:t>
      </w:r>
      <w:r w:rsidR="001C0373">
        <w:rPr>
          <w:sz w:val="24"/>
          <w:szCs w:val="24"/>
          <w:lang w:val="hr-HR"/>
        </w:rPr>
        <w:t>/e</w:t>
      </w:r>
      <w:r>
        <w:rPr>
          <w:sz w:val="24"/>
          <w:szCs w:val="24"/>
          <w:lang w:val="hr-HR"/>
        </w:rPr>
        <w:t xml:space="preserve"> odbaci i nastavi </w:t>
      </w:r>
      <w:r w:rsidR="001C0373">
        <w:rPr>
          <w:sz w:val="24"/>
          <w:szCs w:val="24"/>
          <w:lang w:val="hr-HR"/>
        </w:rPr>
        <w:t xml:space="preserve">tražiti dostavu dodatne dokumentacije </w:t>
      </w:r>
      <w:r w:rsidR="00A30420">
        <w:rPr>
          <w:sz w:val="24"/>
          <w:szCs w:val="24"/>
          <w:lang w:val="hr-HR"/>
        </w:rPr>
        <w:t>za</w:t>
      </w:r>
      <w:r>
        <w:rPr>
          <w:sz w:val="24"/>
          <w:szCs w:val="24"/>
          <w:lang w:val="hr-HR"/>
        </w:rPr>
        <w:t xml:space="preserve"> sljedeć</w:t>
      </w:r>
      <w:r w:rsidR="00A30420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najbolje ocijenjen</w:t>
      </w:r>
      <w:r w:rsidR="00A30420">
        <w:rPr>
          <w:sz w:val="24"/>
          <w:szCs w:val="24"/>
          <w:lang w:val="hr-HR"/>
        </w:rPr>
        <w:t>u</w:t>
      </w:r>
      <w:r w:rsidR="001C0373">
        <w:rPr>
          <w:sz w:val="24"/>
          <w:szCs w:val="24"/>
          <w:lang w:val="hr-HR"/>
        </w:rPr>
        <w:t>/e</w:t>
      </w:r>
      <w:r>
        <w:rPr>
          <w:sz w:val="24"/>
          <w:szCs w:val="24"/>
          <w:lang w:val="hr-HR"/>
        </w:rPr>
        <w:t xml:space="preserve"> prijav</w:t>
      </w:r>
      <w:r w:rsidR="00A30420">
        <w:rPr>
          <w:sz w:val="24"/>
          <w:szCs w:val="24"/>
          <w:lang w:val="hr-HR"/>
        </w:rPr>
        <w:t>u</w:t>
      </w:r>
      <w:r w:rsidR="001C0373">
        <w:rPr>
          <w:sz w:val="24"/>
          <w:szCs w:val="24"/>
          <w:lang w:val="hr-HR"/>
        </w:rPr>
        <w:t>/e</w:t>
      </w:r>
      <w:r w:rsidR="005D7C10">
        <w:rPr>
          <w:sz w:val="24"/>
          <w:szCs w:val="24"/>
          <w:lang w:val="hr-HR"/>
        </w:rPr>
        <w:t xml:space="preserve"> do trenutka kada bude izabrano 5 obiteljskih kuća</w:t>
      </w:r>
      <w:r w:rsidR="00706083">
        <w:rPr>
          <w:sz w:val="24"/>
          <w:szCs w:val="24"/>
          <w:lang w:val="hr-HR"/>
        </w:rPr>
        <w:t xml:space="preserve"> koje ispunjavaju sve uvjete Javnog poziva</w:t>
      </w:r>
      <w:r w:rsidR="00A30420">
        <w:rPr>
          <w:sz w:val="24"/>
          <w:szCs w:val="24"/>
          <w:lang w:val="hr-HR"/>
        </w:rPr>
        <w:t>.</w:t>
      </w:r>
    </w:p>
    <w:p w14:paraId="1A11664D" w14:textId="49889042" w:rsidR="000E6D0D" w:rsidRDefault="003C05AF" w:rsidP="00961148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</w:t>
      </w:r>
      <w:r w:rsidR="00706083">
        <w:rPr>
          <w:sz w:val="24"/>
          <w:szCs w:val="24"/>
          <w:lang w:val="hr-HR"/>
        </w:rPr>
        <w:t xml:space="preserve">rezultata </w:t>
      </w:r>
      <w:r w:rsidR="001C0373">
        <w:rPr>
          <w:sz w:val="24"/>
          <w:szCs w:val="24"/>
          <w:lang w:val="hr-HR"/>
        </w:rPr>
        <w:t xml:space="preserve">kontrole nakon dostavljanja dodatne dokumentacije </w:t>
      </w:r>
      <w:r w:rsidRPr="00F20882">
        <w:rPr>
          <w:b/>
          <w:bCs/>
          <w:sz w:val="24"/>
          <w:szCs w:val="24"/>
          <w:u w:val="single"/>
          <w:lang w:val="hr-HR"/>
        </w:rPr>
        <w:t>odabrati će se 5 obiteljskih kuća na području Međimurske županije koje će biti uključene u implementaciju pilot projekata</w:t>
      </w:r>
      <w:r>
        <w:rPr>
          <w:sz w:val="24"/>
          <w:szCs w:val="24"/>
          <w:lang w:val="hr-HR"/>
        </w:rPr>
        <w:t xml:space="preserve">. </w:t>
      </w:r>
    </w:p>
    <w:p w14:paraId="4C74277D" w14:textId="0AC4FFA0" w:rsidR="003C05AF" w:rsidRDefault="003C05AF" w:rsidP="00961148">
      <w:pPr>
        <w:spacing w:after="120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Kako bi se ostvarila suradnja između Podnositelja odabranih prijava</w:t>
      </w:r>
      <w:r w:rsidR="000E6D0D">
        <w:rPr>
          <w:sz w:val="24"/>
          <w:szCs w:val="24"/>
          <w:lang w:val="hr-HR"/>
        </w:rPr>
        <w:t xml:space="preserve"> (vlasnik i/ili suvlasnik obiteljske kuće)</w:t>
      </w:r>
      <w:r>
        <w:rPr>
          <w:sz w:val="24"/>
          <w:szCs w:val="24"/>
          <w:lang w:val="hr-HR"/>
        </w:rPr>
        <w:t xml:space="preserve"> i Međimurske energetske agencije d.o.o., potpisat će se </w:t>
      </w:r>
      <w:r w:rsidRPr="00F20882">
        <w:rPr>
          <w:b/>
          <w:bCs/>
          <w:sz w:val="24"/>
          <w:szCs w:val="24"/>
          <w:u w:val="single"/>
          <w:lang w:val="hr-HR"/>
        </w:rPr>
        <w:t>sporazum</w:t>
      </w:r>
      <w:r>
        <w:rPr>
          <w:sz w:val="24"/>
          <w:szCs w:val="24"/>
          <w:lang w:val="hr-HR"/>
        </w:rPr>
        <w:t xml:space="preserve"> gdje će se definirati međusobna prava i obveze prije i tijekom provedbe pilot projekata.</w:t>
      </w:r>
    </w:p>
    <w:p w14:paraId="434DF02D" w14:textId="77777777" w:rsidR="003C05AF" w:rsidRPr="00650665" w:rsidRDefault="003C05AF" w:rsidP="00961148">
      <w:pPr>
        <w:spacing w:after="120" w:line="276" w:lineRule="auto"/>
        <w:rPr>
          <w:sz w:val="14"/>
          <w:szCs w:val="14"/>
          <w:lang w:val="hr-HR"/>
        </w:rPr>
      </w:pPr>
    </w:p>
    <w:sectPr w:rsidR="003C05AF" w:rsidRPr="00650665" w:rsidSect="00706083">
      <w:headerReference w:type="default" r:id="rId12"/>
      <w:footerReference w:type="default" r:id="rId13"/>
      <w:pgSz w:w="11906" w:h="16838"/>
      <w:pgMar w:top="709" w:right="1417" w:bottom="1276" w:left="1417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BFDD" w14:textId="77777777" w:rsidR="00D96C7E" w:rsidRDefault="00D96C7E" w:rsidP="001777BB">
      <w:pPr>
        <w:spacing w:after="0" w:line="240" w:lineRule="auto"/>
      </w:pPr>
      <w:r>
        <w:separator/>
      </w:r>
    </w:p>
  </w:endnote>
  <w:endnote w:type="continuationSeparator" w:id="0">
    <w:p w14:paraId="30D8FD1C" w14:textId="77777777" w:rsidR="00D96C7E" w:rsidRDefault="00D96C7E" w:rsidP="0017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55839"/>
      <w:docPartObj>
        <w:docPartGallery w:val="Page Numbers (Bottom of Page)"/>
        <w:docPartUnique/>
      </w:docPartObj>
    </w:sdtPr>
    <w:sdtEndPr/>
    <w:sdtContent>
      <w:p w14:paraId="5EA39831" w14:textId="6EDE8513" w:rsidR="00FF7C3F" w:rsidRDefault="00FF7C3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5A" w:rsidRPr="00C30B5A">
          <w:rPr>
            <w:noProof/>
            <w:lang w:val="hr-HR"/>
          </w:rPr>
          <w:t>6</w:t>
        </w:r>
        <w:r>
          <w:fldChar w:fldCharType="end"/>
        </w:r>
      </w:p>
    </w:sdtContent>
  </w:sdt>
  <w:p w14:paraId="0C7067BE" w14:textId="77777777" w:rsidR="00FF7C3F" w:rsidRDefault="00FF7C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85BAA" w14:textId="77777777" w:rsidR="00D96C7E" w:rsidRDefault="00D96C7E" w:rsidP="001777BB">
      <w:pPr>
        <w:spacing w:after="0" w:line="240" w:lineRule="auto"/>
      </w:pPr>
      <w:r>
        <w:separator/>
      </w:r>
    </w:p>
  </w:footnote>
  <w:footnote w:type="continuationSeparator" w:id="0">
    <w:p w14:paraId="3D3D98AB" w14:textId="77777777" w:rsidR="00D96C7E" w:rsidRDefault="00D96C7E" w:rsidP="0017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6B2A" w14:textId="6582F006" w:rsidR="00FF7C3F" w:rsidRPr="00060B28" w:rsidRDefault="00FF7C3F" w:rsidP="00060B28">
    <w:pPr>
      <w:pStyle w:val="Zaglavlje"/>
      <w:jc w:val="center"/>
      <w:rPr>
        <w:bCs/>
        <w:sz w:val="20"/>
        <w:szCs w:val="20"/>
        <w:lang w:val="en-GB"/>
      </w:rPr>
    </w:pPr>
    <w:r w:rsidRPr="00060B28">
      <w:rPr>
        <w:bCs/>
        <w:sz w:val="20"/>
        <w:szCs w:val="20"/>
        <w:lang w:val="en-GB"/>
      </w:rPr>
      <w:t xml:space="preserve">CO-EMEP – </w:t>
    </w:r>
    <w:r w:rsidR="00060B28" w:rsidRPr="00060B28">
      <w:rPr>
        <w:bCs/>
        <w:sz w:val="20"/>
        <w:szCs w:val="20"/>
        <w:lang w:val="hr-HR"/>
      </w:rPr>
      <w:t>Javni poziv za zainteresirana kućanstva s ciljem procjene rizika od energetskog siromaštva i/ili identifikacije razine energetskog siromaštva</w:t>
    </w:r>
  </w:p>
  <w:p w14:paraId="1C0400B5" w14:textId="77777777" w:rsidR="00FF7C3F" w:rsidRPr="0097394A" w:rsidRDefault="00FF7C3F" w:rsidP="00646109">
    <w:pPr>
      <w:pStyle w:val="Zaglavlje"/>
      <w:jc w:val="left"/>
      <w:rPr>
        <w:bCs/>
        <w:sz w:val="2"/>
        <w:szCs w:val="2"/>
        <w:lang w:val="en-GB"/>
      </w:rPr>
    </w:pPr>
  </w:p>
  <w:p w14:paraId="37F9300A" w14:textId="77777777" w:rsidR="00FF7C3F" w:rsidRPr="006C7E70" w:rsidRDefault="00FF7C3F" w:rsidP="00B1183E">
    <w:pPr>
      <w:pStyle w:val="Zaglavlje"/>
      <w:jc w:val="left"/>
      <w:rPr>
        <w:bCs/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2C7A"/>
    <w:multiLevelType w:val="hybridMultilevel"/>
    <w:tmpl w:val="125A7ECE"/>
    <w:lvl w:ilvl="0" w:tplc="E2E0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92E"/>
    <w:multiLevelType w:val="hybridMultilevel"/>
    <w:tmpl w:val="0504E27A"/>
    <w:lvl w:ilvl="0" w:tplc="FC501ED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4801"/>
    <w:multiLevelType w:val="hybridMultilevel"/>
    <w:tmpl w:val="20BE9F7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A43EF"/>
    <w:multiLevelType w:val="hybridMultilevel"/>
    <w:tmpl w:val="5C78BCD4"/>
    <w:lvl w:ilvl="0" w:tplc="E924A6F4">
      <w:numFmt w:val="bullet"/>
      <w:lvlText w:val="•"/>
      <w:lvlJc w:val="left"/>
      <w:pPr>
        <w:ind w:left="717" w:hanging="360"/>
      </w:pPr>
      <w:rPr>
        <w:rFonts w:ascii="Arial" w:eastAsia="Adelle-Regular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6817EA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35173B"/>
    <w:multiLevelType w:val="hybridMultilevel"/>
    <w:tmpl w:val="D95C5B66"/>
    <w:lvl w:ilvl="0" w:tplc="CBCA7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62F42"/>
    <w:multiLevelType w:val="hybridMultilevel"/>
    <w:tmpl w:val="5DB66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75D5"/>
    <w:multiLevelType w:val="hybridMultilevel"/>
    <w:tmpl w:val="878CB11A"/>
    <w:lvl w:ilvl="0" w:tplc="52A84996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D5AFB"/>
    <w:multiLevelType w:val="hybridMultilevel"/>
    <w:tmpl w:val="3E92E96A"/>
    <w:lvl w:ilvl="0" w:tplc="B44671B8"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13C38B1"/>
    <w:multiLevelType w:val="hybridMultilevel"/>
    <w:tmpl w:val="20D4DCBC"/>
    <w:lvl w:ilvl="0" w:tplc="E2E03B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3F6FE4"/>
    <w:multiLevelType w:val="hybridMultilevel"/>
    <w:tmpl w:val="43F8F13A"/>
    <w:lvl w:ilvl="0" w:tplc="A7CE0B7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67761D"/>
    <w:multiLevelType w:val="hybridMultilevel"/>
    <w:tmpl w:val="DF8C892E"/>
    <w:lvl w:ilvl="0" w:tplc="52A8499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E46F2"/>
    <w:multiLevelType w:val="hybridMultilevel"/>
    <w:tmpl w:val="F5267E14"/>
    <w:lvl w:ilvl="0" w:tplc="CBCA7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B6AD3"/>
    <w:multiLevelType w:val="hybridMultilevel"/>
    <w:tmpl w:val="0B06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872BA"/>
    <w:multiLevelType w:val="hybridMultilevel"/>
    <w:tmpl w:val="404027D0"/>
    <w:lvl w:ilvl="0" w:tplc="E2E0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0712CE"/>
    <w:multiLevelType w:val="hybridMultilevel"/>
    <w:tmpl w:val="449C6B5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D4135B"/>
    <w:multiLevelType w:val="hybridMultilevel"/>
    <w:tmpl w:val="59C416E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3E5CB5"/>
    <w:multiLevelType w:val="hybridMultilevel"/>
    <w:tmpl w:val="4CC813D2"/>
    <w:lvl w:ilvl="0" w:tplc="52A84996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8B25A1"/>
    <w:multiLevelType w:val="hybridMultilevel"/>
    <w:tmpl w:val="84D67FEE"/>
    <w:lvl w:ilvl="0" w:tplc="7278BF1C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A73E91"/>
    <w:multiLevelType w:val="hybridMultilevel"/>
    <w:tmpl w:val="C34E078E"/>
    <w:lvl w:ilvl="0" w:tplc="7E143E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C006A"/>
    <w:multiLevelType w:val="hybridMultilevel"/>
    <w:tmpl w:val="7A92C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02521"/>
    <w:multiLevelType w:val="hybridMultilevel"/>
    <w:tmpl w:val="261A0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E19E0"/>
    <w:multiLevelType w:val="hybridMultilevel"/>
    <w:tmpl w:val="97729100"/>
    <w:lvl w:ilvl="0" w:tplc="E2E03B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2A83812">
      <w:numFmt w:val="bullet"/>
      <w:lvlText w:val="-"/>
      <w:lvlJc w:val="left"/>
      <w:pPr>
        <w:ind w:left="1797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9DB27E1"/>
    <w:multiLevelType w:val="hybridMultilevel"/>
    <w:tmpl w:val="35288DC4"/>
    <w:lvl w:ilvl="0" w:tplc="E2E03B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B20438C"/>
    <w:multiLevelType w:val="hybridMultilevel"/>
    <w:tmpl w:val="4B44C28A"/>
    <w:lvl w:ilvl="0" w:tplc="E2E03B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31180F"/>
    <w:multiLevelType w:val="hybridMultilevel"/>
    <w:tmpl w:val="6DE69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802FA"/>
    <w:multiLevelType w:val="hybridMultilevel"/>
    <w:tmpl w:val="EAA094A4"/>
    <w:lvl w:ilvl="0" w:tplc="3E6E75D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13FCA"/>
    <w:multiLevelType w:val="hybridMultilevel"/>
    <w:tmpl w:val="5874C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4963"/>
    <w:multiLevelType w:val="hybridMultilevel"/>
    <w:tmpl w:val="091A718C"/>
    <w:lvl w:ilvl="0" w:tplc="4834730C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C6B6E"/>
    <w:multiLevelType w:val="hybridMultilevel"/>
    <w:tmpl w:val="A0102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17B68"/>
    <w:multiLevelType w:val="multilevel"/>
    <w:tmpl w:val="590EF0E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538135" w:themeColor="accent6" w:themeShade="BF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3B91894"/>
    <w:multiLevelType w:val="hybridMultilevel"/>
    <w:tmpl w:val="13283A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07A0B"/>
    <w:multiLevelType w:val="hybridMultilevel"/>
    <w:tmpl w:val="A41A1AB4"/>
    <w:lvl w:ilvl="0" w:tplc="E2E0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676FE"/>
    <w:multiLevelType w:val="hybridMultilevel"/>
    <w:tmpl w:val="9A4E36B8"/>
    <w:lvl w:ilvl="0" w:tplc="CBCA7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E4459"/>
    <w:multiLevelType w:val="hybridMultilevel"/>
    <w:tmpl w:val="957AF9A2"/>
    <w:lvl w:ilvl="0" w:tplc="E2E03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23557D"/>
    <w:multiLevelType w:val="hybridMultilevel"/>
    <w:tmpl w:val="C42C6EF0"/>
    <w:lvl w:ilvl="0" w:tplc="E1D2BA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A36DD"/>
    <w:multiLevelType w:val="hybridMultilevel"/>
    <w:tmpl w:val="E2B03C8A"/>
    <w:lvl w:ilvl="0" w:tplc="E2E03B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E42838"/>
    <w:multiLevelType w:val="hybridMultilevel"/>
    <w:tmpl w:val="7D0CA450"/>
    <w:lvl w:ilvl="0" w:tplc="655E375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D5E25"/>
    <w:multiLevelType w:val="hybridMultilevel"/>
    <w:tmpl w:val="297030DA"/>
    <w:lvl w:ilvl="0" w:tplc="7278BF1C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505AA7"/>
    <w:multiLevelType w:val="hybridMultilevel"/>
    <w:tmpl w:val="FCCCCDB8"/>
    <w:lvl w:ilvl="0" w:tplc="E2E0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5452F"/>
    <w:multiLevelType w:val="hybridMultilevel"/>
    <w:tmpl w:val="D2848920"/>
    <w:lvl w:ilvl="0" w:tplc="E2E0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4002A"/>
    <w:multiLevelType w:val="hybridMultilevel"/>
    <w:tmpl w:val="E1E25B0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25F7DA5"/>
    <w:multiLevelType w:val="hybridMultilevel"/>
    <w:tmpl w:val="123603CA"/>
    <w:lvl w:ilvl="0" w:tplc="E2E0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A08D7"/>
    <w:multiLevelType w:val="multilevel"/>
    <w:tmpl w:val="62363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2160"/>
      </w:pPr>
      <w:rPr>
        <w:rFonts w:hint="default"/>
      </w:rPr>
    </w:lvl>
  </w:abstractNum>
  <w:abstractNum w:abstractNumId="44" w15:restartNumberingAfterBreak="0">
    <w:nsid w:val="78757B5B"/>
    <w:multiLevelType w:val="hybridMultilevel"/>
    <w:tmpl w:val="443C3832"/>
    <w:lvl w:ilvl="0" w:tplc="E2E0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94C47"/>
    <w:multiLevelType w:val="hybridMultilevel"/>
    <w:tmpl w:val="0AC201C8"/>
    <w:lvl w:ilvl="0" w:tplc="E2E03B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B1476C9"/>
    <w:multiLevelType w:val="hybridMultilevel"/>
    <w:tmpl w:val="954AE1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3382C"/>
    <w:multiLevelType w:val="hybridMultilevel"/>
    <w:tmpl w:val="6AF84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B3EAE"/>
    <w:multiLevelType w:val="hybridMultilevel"/>
    <w:tmpl w:val="AAF04010"/>
    <w:lvl w:ilvl="0" w:tplc="E2E0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5"/>
  </w:num>
  <w:num w:numId="5">
    <w:abstractNumId w:val="12"/>
  </w:num>
  <w:num w:numId="6">
    <w:abstractNumId w:val="31"/>
  </w:num>
  <w:num w:numId="7">
    <w:abstractNumId w:val="46"/>
  </w:num>
  <w:num w:numId="8">
    <w:abstractNumId w:val="8"/>
  </w:num>
  <w:num w:numId="9">
    <w:abstractNumId w:val="6"/>
  </w:num>
  <w:num w:numId="10">
    <w:abstractNumId w:val="27"/>
  </w:num>
  <w:num w:numId="11">
    <w:abstractNumId w:val="11"/>
  </w:num>
  <w:num w:numId="12">
    <w:abstractNumId w:val="15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18"/>
  </w:num>
  <w:num w:numId="18">
    <w:abstractNumId w:val="45"/>
  </w:num>
  <w:num w:numId="19">
    <w:abstractNumId w:val="3"/>
  </w:num>
  <w:num w:numId="20">
    <w:abstractNumId w:val="17"/>
  </w:num>
  <w:num w:numId="21">
    <w:abstractNumId w:val="34"/>
  </w:num>
  <w:num w:numId="22">
    <w:abstractNumId w:val="7"/>
  </w:num>
  <w:num w:numId="23">
    <w:abstractNumId w:val="2"/>
  </w:num>
  <w:num w:numId="24">
    <w:abstractNumId w:val="9"/>
  </w:num>
  <w:num w:numId="25">
    <w:abstractNumId w:val="23"/>
  </w:num>
  <w:num w:numId="26">
    <w:abstractNumId w:val="36"/>
  </w:num>
  <w:num w:numId="27">
    <w:abstractNumId w:val="0"/>
  </w:num>
  <w:num w:numId="28">
    <w:abstractNumId w:val="19"/>
  </w:num>
  <w:num w:numId="29">
    <w:abstractNumId w:val="32"/>
  </w:num>
  <w:num w:numId="30">
    <w:abstractNumId w:val="22"/>
  </w:num>
  <w:num w:numId="31">
    <w:abstractNumId w:val="39"/>
  </w:num>
  <w:num w:numId="32">
    <w:abstractNumId w:val="37"/>
  </w:num>
  <w:num w:numId="33">
    <w:abstractNumId w:val="40"/>
  </w:num>
  <w:num w:numId="34">
    <w:abstractNumId w:val="28"/>
  </w:num>
  <w:num w:numId="35">
    <w:abstractNumId w:val="44"/>
  </w:num>
  <w:num w:numId="36">
    <w:abstractNumId w:val="41"/>
  </w:num>
  <w:num w:numId="37">
    <w:abstractNumId w:val="38"/>
  </w:num>
  <w:num w:numId="38">
    <w:abstractNumId w:val="13"/>
  </w:num>
  <w:num w:numId="39">
    <w:abstractNumId w:val="35"/>
  </w:num>
  <w:num w:numId="40">
    <w:abstractNumId w:val="14"/>
  </w:num>
  <w:num w:numId="41">
    <w:abstractNumId w:val="29"/>
  </w:num>
  <w:num w:numId="42">
    <w:abstractNumId w:val="10"/>
  </w:num>
  <w:num w:numId="43">
    <w:abstractNumId w:val="20"/>
  </w:num>
  <w:num w:numId="44">
    <w:abstractNumId w:val="43"/>
  </w:num>
  <w:num w:numId="45">
    <w:abstractNumId w:val="48"/>
  </w:num>
  <w:num w:numId="46">
    <w:abstractNumId w:val="21"/>
  </w:num>
  <w:num w:numId="47">
    <w:abstractNumId w:val="1"/>
  </w:num>
  <w:num w:numId="48">
    <w:abstractNumId w:val="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A45"/>
    <w:rsid w:val="00000E6A"/>
    <w:rsid w:val="00001809"/>
    <w:rsid w:val="00004C5D"/>
    <w:rsid w:val="00006529"/>
    <w:rsid w:val="0000782A"/>
    <w:rsid w:val="00014070"/>
    <w:rsid w:val="00025DF8"/>
    <w:rsid w:val="00030F9C"/>
    <w:rsid w:val="00035E85"/>
    <w:rsid w:val="00036052"/>
    <w:rsid w:val="00036137"/>
    <w:rsid w:val="00036DA9"/>
    <w:rsid w:val="00041B07"/>
    <w:rsid w:val="00043EA4"/>
    <w:rsid w:val="000526AA"/>
    <w:rsid w:val="000527A2"/>
    <w:rsid w:val="00056872"/>
    <w:rsid w:val="0006051A"/>
    <w:rsid w:val="00060B28"/>
    <w:rsid w:val="0006512D"/>
    <w:rsid w:val="00066601"/>
    <w:rsid w:val="00070818"/>
    <w:rsid w:val="00071BBE"/>
    <w:rsid w:val="00074CCD"/>
    <w:rsid w:val="0007664D"/>
    <w:rsid w:val="00082DEF"/>
    <w:rsid w:val="00084BEF"/>
    <w:rsid w:val="00084EE0"/>
    <w:rsid w:val="00086388"/>
    <w:rsid w:val="00086E34"/>
    <w:rsid w:val="00094BE4"/>
    <w:rsid w:val="00096677"/>
    <w:rsid w:val="000971F8"/>
    <w:rsid w:val="000978B9"/>
    <w:rsid w:val="000A0A8C"/>
    <w:rsid w:val="000A3EAA"/>
    <w:rsid w:val="000B4E7E"/>
    <w:rsid w:val="000B699A"/>
    <w:rsid w:val="000C1EAC"/>
    <w:rsid w:val="000C253D"/>
    <w:rsid w:val="000C3019"/>
    <w:rsid w:val="000C5307"/>
    <w:rsid w:val="000C5BD2"/>
    <w:rsid w:val="000D1C45"/>
    <w:rsid w:val="000D3E08"/>
    <w:rsid w:val="000D51A0"/>
    <w:rsid w:val="000E0ABC"/>
    <w:rsid w:val="000E1398"/>
    <w:rsid w:val="000E26E7"/>
    <w:rsid w:val="000E6D0D"/>
    <w:rsid w:val="000E7825"/>
    <w:rsid w:val="000F28DB"/>
    <w:rsid w:val="000F466A"/>
    <w:rsid w:val="000F59F4"/>
    <w:rsid w:val="001009FA"/>
    <w:rsid w:val="00101372"/>
    <w:rsid w:val="00106552"/>
    <w:rsid w:val="00110555"/>
    <w:rsid w:val="00112BA7"/>
    <w:rsid w:val="00115833"/>
    <w:rsid w:val="00115A62"/>
    <w:rsid w:val="00115FF6"/>
    <w:rsid w:val="00125B2A"/>
    <w:rsid w:val="00127E1A"/>
    <w:rsid w:val="00131962"/>
    <w:rsid w:val="00133930"/>
    <w:rsid w:val="0014180E"/>
    <w:rsid w:val="00144BE3"/>
    <w:rsid w:val="00151281"/>
    <w:rsid w:val="00152254"/>
    <w:rsid w:val="00155F1F"/>
    <w:rsid w:val="0015752E"/>
    <w:rsid w:val="00157B75"/>
    <w:rsid w:val="00161509"/>
    <w:rsid w:val="001618E8"/>
    <w:rsid w:val="0016396A"/>
    <w:rsid w:val="001650B5"/>
    <w:rsid w:val="00171736"/>
    <w:rsid w:val="001721D4"/>
    <w:rsid w:val="00172E95"/>
    <w:rsid w:val="00174E6E"/>
    <w:rsid w:val="001777BB"/>
    <w:rsid w:val="0018729C"/>
    <w:rsid w:val="0019099F"/>
    <w:rsid w:val="001941BF"/>
    <w:rsid w:val="00194845"/>
    <w:rsid w:val="0019538B"/>
    <w:rsid w:val="001A1A4B"/>
    <w:rsid w:val="001A4826"/>
    <w:rsid w:val="001B773E"/>
    <w:rsid w:val="001C0373"/>
    <w:rsid w:val="001C2527"/>
    <w:rsid w:val="001C4270"/>
    <w:rsid w:val="001C43A3"/>
    <w:rsid w:val="001D0E61"/>
    <w:rsid w:val="001D12D8"/>
    <w:rsid w:val="001D1708"/>
    <w:rsid w:val="001D1715"/>
    <w:rsid w:val="001D3C4A"/>
    <w:rsid w:val="001E0327"/>
    <w:rsid w:val="001E0FFD"/>
    <w:rsid w:val="001E6ED6"/>
    <w:rsid w:val="001F0739"/>
    <w:rsid w:val="001F11E8"/>
    <w:rsid w:val="001F50C6"/>
    <w:rsid w:val="0020407C"/>
    <w:rsid w:val="002058F1"/>
    <w:rsid w:val="00207E38"/>
    <w:rsid w:val="00210221"/>
    <w:rsid w:val="002109AE"/>
    <w:rsid w:val="00213D4C"/>
    <w:rsid w:val="00216C3B"/>
    <w:rsid w:val="0022280A"/>
    <w:rsid w:val="00224D68"/>
    <w:rsid w:val="0023216A"/>
    <w:rsid w:val="002338B3"/>
    <w:rsid w:val="00233F03"/>
    <w:rsid w:val="00235067"/>
    <w:rsid w:val="00235328"/>
    <w:rsid w:val="002366B3"/>
    <w:rsid w:val="00237F17"/>
    <w:rsid w:val="00245BDA"/>
    <w:rsid w:val="00250444"/>
    <w:rsid w:val="00252E42"/>
    <w:rsid w:val="00253AAD"/>
    <w:rsid w:val="00257ABC"/>
    <w:rsid w:val="00257C3A"/>
    <w:rsid w:val="00267AF2"/>
    <w:rsid w:val="002759DF"/>
    <w:rsid w:val="002772C0"/>
    <w:rsid w:val="00284EBE"/>
    <w:rsid w:val="002850A5"/>
    <w:rsid w:val="0029021C"/>
    <w:rsid w:val="002917D6"/>
    <w:rsid w:val="00293B4B"/>
    <w:rsid w:val="00294883"/>
    <w:rsid w:val="00295E1B"/>
    <w:rsid w:val="00296CB6"/>
    <w:rsid w:val="002976C1"/>
    <w:rsid w:val="002A2F2D"/>
    <w:rsid w:val="002A7CD8"/>
    <w:rsid w:val="002B05D2"/>
    <w:rsid w:val="002B419D"/>
    <w:rsid w:val="002B7C0C"/>
    <w:rsid w:val="002C0B8E"/>
    <w:rsid w:val="002C17F5"/>
    <w:rsid w:val="002C53A1"/>
    <w:rsid w:val="002C75D0"/>
    <w:rsid w:val="002D02D0"/>
    <w:rsid w:val="002D2AFD"/>
    <w:rsid w:val="002D79E5"/>
    <w:rsid w:val="002E2588"/>
    <w:rsid w:val="002F09DD"/>
    <w:rsid w:val="002F387C"/>
    <w:rsid w:val="00300379"/>
    <w:rsid w:val="00301C2D"/>
    <w:rsid w:val="0030328F"/>
    <w:rsid w:val="00304746"/>
    <w:rsid w:val="00305613"/>
    <w:rsid w:val="0031194D"/>
    <w:rsid w:val="00312BEC"/>
    <w:rsid w:val="00321E25"/>
    <w:rsid w:val="00322322"/>
    <w:rsid w:val="00323424"/>
    <w:rsid w:val="0032524C"/>
    <w:rsid w:val="00326822"/>
    <w:rsid w:val="0033259E"/>
    <w:rsid w:val="0034065D"/>
    <w:rsid w:val="00340ABD"/>
    <w:rsid w:val="00341C29"/>
    <w:rsid w:val="0035318D"/>
    <w:rsid w:val="0035581D"/>
    <w:rsid w:val="003567AD"/>
    <w:rsid w:val="0036045E"/>
    <w:rsid w:val="00363096"/>
    <w:rsid w:val="00363D68"/>
    <w:rsid w:val="003649C8"/>
    <w:rsid w:val="00364B7C"/>
    <w:rsid w:val="0036508B"/>
    <w:rsid w:val="00366D22"/>
    <w:rsid w:val="003702D0"/>
    <w:rsid w:val="00371C8A"/>
    <w:rsid w:val="00374CE9"/>
    <w:rsid w:val="00385B2A"/>
    <w:rsid w:val="00386225"/>
    <w:rsid w:val="00390826"/>
    <w:rsid w:val="003930B6"/>
    <w:rsid w:val="0039677F"/>
    <w:rsid w:val="00397245"/>
    <w:rsid w:val="003A157F"/>
    <w:rsid w:val="003A31A9"/>
    <w:rsid w:val="003A461A"/>
    <w:rsid w:val="003A65D3"/>
    <w:rsid w:val="003A6A6B"/>
    <w:rsid w:val="003B300D"/>
    <w:rsid w:val="003C032D"/>
    <w:rsid w:val="003C05AF"/>
    <w:rsid w:val="003C5BE9"/>
    <w:rsid w:val="003C6045"/>
    <w:rsid w:val="003C713B"/>
    <w:rsid w:val="003D0F38"/>
    <w:rsid w:val="003D4B53"/>
    <w:rsid w:val="003D5D4E"/>
    <w:rsid w:val="003E00AC"/>
    <w:rsid w:val="003E3887"/>
    <w:rsid w:val="003E3D2A"/>
    <w:rsid w:val="003E54FC"/>
    <w:rsid w:val="003F0326"/>
    <w:rsid w:val="003F27A6"/>
    <w:rsid w:val="003F336F"/>
    <w:rsid w:val="003F3E65"/>
    <w:rsid w:val="003F475D"/>
    <w:rsid w:val="003F5CFF"/>
    <w:rsid w:val="003F6B3C"/>
    <w:rsid w:val="00404D0C"/>
    <w:rsid w:val="00405599"/>
    <w:rsid w:val="00405A3F"/>
    <w:rsid w:val="00405E8C"/>
    <w:rsid w:val="0041097F"/>
    <w:rsid w:val="0041238C"/>
    <w:rsid w:val="00423856"/>
    <w:rsid w:val="004246F0"/>
    <w:rsid w:val="00425C07"/>
    <w:rsid w:val="0043491C"/>
    <w:rsid w:val="0043640D"/>
    <w:rsid w:val="00437342"/>
    <w:rsid w:val="00441256"/>
    <w:rsid w:val="00441B02"/>
    <w:rsid w:val="0044217C"/>
    <w:rsid w:val="004433C1"/>
    <w:rsid w:val="00447E48"/>
    <w:rsid w:val="00453444"/>
    <w:rsid w:val="00453C95"/>
    <w:rsid w:val="00460205"/>
    <w:rsid w:val="004616D7"/>
    <w:rsid w:val="00462C7D"/>
    <w:rsid w:val="00471AED"/>
    <w:rsid w:val="00471DF4"/>
    <w:rsid w:val="00472EE1"/>
    <w:rsid w:val="00473191"/>
    <w:rsid w:val="004768BE"/>
    <w:rsid w:val="0048472F"/>
    <w:rsid w:val="004867E5"/>
    <w:rsid w:val="0049247C"/>
    <w:rsid w:val="0049279F"/>
    <w:rsid w:val="00495C42"/>
    <w:rsid w:val="004A1407"/>
    <w:rsid w:val="004A36C1"/>
    <w:rsid w:val="004A76D8"/>
    <w:rsid w:val="004A7AAF"/>
    <w:rsid w:val="004B1DA9"/>
    <w:rsid w:val="004B2DFD"/>
    <w:rsid w:val="004B42EF"/>
    <w:rsid w:val="004B5DDD"/>
    <w:rsid w:val="004B72CE"/>
    <w:rsid w:val="004C38A2"/>
    <w:rsid w:val="004C67C8"/>
    <w:rsid w:val="004C797B"/>
    <w:rsid w:val="004C7B99"/>
    <w:rsid w:val="004D23E6"/>
    <w:rsid w:val="004D465F"/>
    <w:rsid w:val="004D7A5D"/>
    <w:rsid w:val="004E22B5"/>
    <w:rsid w:val="004E3C2E"/>
    <w:rsid w:val="004E64FF"/>
    <w:rsid w:val="004E7F3C"/>
    <w:rsid w:val="004F115F"/>
    <w:rsid w:val="004F1170"/>
    <w:rsid w:val="004F32E3"/>
    <w:rsid w:val="004F33D1"/>
    <w:rsid w:val="004F4774"/>
    <w:rsid w:val="004F7AF5"/>
    <w:rsid w:val="00504B8D"/>
    <w:rsid w:val="00511995"/>
    <w:rsid w:val="00511C17"/>
    <w:rsid w:val="005159AE"/>
    <w:rsid w:val="00517475"/>
    <w:rsid w:val="00520F6D"/>
    <w:rsid w:val="00530D30"/>
    <w:rsid w:val="005317BE"/>
    <w:rsid w:val="00532BE9"/>
    <w:rsid w:val="00537692"/>
    <w:rsid w:val="00537FEF"/>
    <w:rsid w:val="0054067C"/>
    <w:rsid w:val="0054125A"/>
    <w:rsid w:val="00543AAD"/>
    <w:rsid w:val="00543E97"/>
    <w:rsid w:val="00546853"/>
    <w:rsid w:val="005527C0"/>
    <w:rsid w:val="00552B51"/>
    <w:rsid w:val="00553820"/>
    <w:rsid w:val="005545D2"/>
    <w:rsid w:val="00554EB7"/>
    <w:rsid w:val="00556052"/>
    <w:rsid w:val="005565C2"/>
    <w:rsid w:val="00556AC7"/>
    <w:rsid w:val="005666C3"/>
    <w:rsid w:val="00567A96"/>
    <w:rsid w:val="00570FC3"/>
    <w:rsid w:val="00572DB2"/>
    <w:rsid w:val="00577C32"/>
    <w:rsid w:val="0058248E"/>
    <w:rsid w:val="00585776"/>
    <w:rsid w:val="00590D4C"/>
    <w:rsid w:val="005933A1"/>
    <w:rsid w:val="005936CB"/>
    <w:rsid w:val="005956CD"/>
    <w:rsid w:val="00596C63"/>
    <w:rsid w:val="00597863"/>
    <w:rsid w:val="005A2A18"/>
    <w:rsid w:val="005A3C6B"/>
    <w:rsid w:val="005A750A"/>
    <w:rsid w:val="005B3550"/>
    <w:rsid w:val="005B56ED"/>
    <w:rsid w:val="005B72EA"/>
    <w:rsid w:val="005C536B"/>
    <w:rsid w:val="005C7691"/>
    <w:rsid w:val="005D32D7"/>
    <w:rsid w:val="005D51B2"/>
    <w:rsid w:val="005D5B5A"/>
    <w:rsid w:val="005D7C10"/>
    <w:rsid w:val="005E16C7"/>
    <w:rsid w:val="005E3E9D"/>
    <w:rsid w:val="005E72E0"/>
    <w:rsid w:val="005F0B95"/>
    <w:rsid w:val="005F3E80"/>
    <w:rsid w:val="005F7315"/>
    <w:rsid w:val="0060092B"/>
    <w:rsid w:val="00601867"/>
    <w:rsid w:val="00603BFE"/>
    <w:rsid w:val="00612F82"/>
    <w:rsid w:val="00620997"/>
    <w:rsid w:val="00621078"/>
    <w:rsid w:val="00622BFE"/>
    <w:rsid w:val="00625813"/>
    <w:rsid w:val="00626FBC"/>
    <w:rsid w:val="006276DB"/>
    <w:rsid w:val="0063418A"/>
    <w:rsid w:val="00643117"/>
    <w:rsid w:val="00644935"/>
    <w:rsid w:val="00646109"/>
    <w:rsid w:val="00646D27"/>
    <w:rsid w:val="00647E18"/>
    <w:rsid w:val="00650665"/>
    <w:rsid w:val="00652CC7"/>
    <w:rsid w:val="00655120"/>
    <w:rsid w:val="0065564E"/>
    <w:rsid w:val="006574A6"/>
    <w:rsid w:val="0065770A"/>
    <w:rsid w:val="00662E03"/>
    <w:rsid w:val="00666797"/>
    <w:rsid w:val="006778CE"/>
    <w:rsid w:val="006834F5"/>
    <w:rsid w:val="00684D0D"/>
    <w:rsid w:val="0069114B"/>
    <w:rsid w:val="006A0AF4"/>
    <w:rsid w:val="006A2CF2"/>
    <w:rsid w:val="006A2FFC"/>
    <w:rsid w:val="006A427D"/>
    <w:rsid w:val="006A509E"/>
    <w:rsid w:val="006A66DB"/>
    <w:rsid w:val="006A6946"/>
    <w:rsid w:val="006A6F75"/>
    <w:rsid w:val="006B0432"/>
    <w:rsid w:val="006B4625"/>
    <w:rsid w:val="006C7A18"/>
    <w:rsid w:val="006C7E70"/>
    <w:rsid w:val="006D60D3"/>
    <w:rsid w:val="006D6C0A"/>
    <w:rsid w:val="006E0865"/>
    <w:rsid w:val="006E1222"/>
    <w:rsid w:val="006E785F"/>
    <w:rsid w:val="006F07E9"/>
    <w:rsid w:val="006F0FF1"/>
    <w:rsid w:val="006F6C4B"/>
    <w:rsid w:val="006F7A6E"/>
    <w:rsid w:val="00706083"/>
    <w:rsid w:val="00706125"/>
    <w:rsid w:val="0071395D"/>
    <w:rsid w:val="00717AEA"/>
    <w:rsid w:val="007213CF"/>
    <w:rsid w:val="00723314"/>
    <w:rsid w:val="007263D6"/>
    <w:rsid w:val="00732AD9"/>
    <w:rsid w:val="007337F1"/>
    <w:rsid w:val="007354F7"/>
    <w:rsid w:val="007377C6"/>
    <w:rsid w:val="00741131"/>
    <w:rsid w:val="00744483"/>
    <w:rsid w:val="00745EBD"/>
    <w:rsid w:val="00746C7F"/>
    <w:rsid w:val="00750010"/>
    <w:rsid w:val="00750F85"/>
    <w:rsid w:val="00751C88"/>
    <w:rsid w:val="00755311"/>
    <w:rsid w:val="0075579C"/>
    <w:rsid w:val="007572BA"/>
    <w:rsid w:val="00760EC4"/>
    <w:rsid w:val="00765B33"/>
    <w:rsid w:val="00767C2A"/>
    <w:rsid w:val="00777324"/>
    <w:rsid w:val="0078008F"/>
    <w:rsid w:val="007861E3"/>
    <w:rsid w:val="007869CB"/>
    <w:rsid w:val="00790705"/>
    <w:rsid w:val="007944CF"/>
    <w:rsid w:val="007A04C1"/>
    <w:rsid w:val="007A7AB3"/>
    <w:rsid w:val="007B3240"/>
    <w:rsid w:val="007B7064"/>
    <w:rsid w:val="007B75BD"/>
    <w:rsid w:val="007C107E"/>
    <w:rsid w:val="007C2486"/>
    <w:rsid w:val="007C4007"/>
    <w:rsid w:val="007C5923"/>
    <w:rsid w:val="007D21BD"/>
    <w:rsid w:val="007D238C"/>
    <w:rsid w:val="007D3986"/>
    <w:rsid w:val="007D72AE"/>
    <w:rsid w:val="007D77B7"/>
    <w:rsid w:val="007E0075"/>
    <w:rsid w:val="007E210E"/>
    <w:rsid w:val="007E4A45"/>
    <w:rsid w:val="007E736B"/>
    <w:rsid w:val="007F19E2"/>
    <w:rsid w:val="007F504B"/>
    <w:rsid w:val="007F5425"/>
    <w:rsid w:val="008068FE"/>
    <w:rsid w:val="008123B0"/>
    <w:rsid w:val="008129CC"/>
    <w:rsid w:val="00814769"/>
    <w:rsid w:val="00815B2F"/>
    <w:rsid w:val="00815DB9"/>
    <w:rsid w:val="00821CDF"/>
    <w:rsid w:val="00821D0A"/>
    <w:rsid w:val="00821FA1"/>
    <w:rsid w:val="008253C8"/>
    <w:rsid w:val="00826582"/>
    <w:rsid w:val="00826DA1"/>
    <w:rsid w:val="00831040"/>
    <w:rsid w:val="00833155"/>
    <w:rsid w:val="00836A61"/>
    <w:rsid w:val="008373B9"/>
    <w:rsid w:val="00837BEE"/>
    <w:rsid w:val="008404E0"/>
    <w:rsid w:val="0084303A"/>
    <w:rsid w:val="00843D21"/>
    <w:rsid w:val="008464EB"/>
    <w:rsid w:val="00846970"/>
    <w:rsid w:val="00846E56"/>
    <w:rsid w:val="00846E91"/>
    <w:rsid w:val="008470C3"/>
    <w:rsid w:val="00850EA9"/>
    <w:rsid w:val="00851D63"/>
    <w:rsid w:val="008553DA"/>
    <w:rsid w:val="008651E6"/>
    <w:rsid w:val="008657BF"/>
    <w:rsid w:val="008660E6"/>
    <w:rsid w:val="00872C59"/>
    <w:rsid w:val="00876097"/>
    <w:rsid w:val="00877133"/>
    <w:rsid w:val="00877383"/>
    <w:rsid w:val="008775EF"/>
    <w:rsid w:val="00881F77"/>
    <w:rsid w:val="00883FF3"/>
    <w:rsid w:val="00884369"/>
    <w:rsid w:val="0088601B"/>
    <w:rsid w:val="0089129F"/>
    <w:rsid w:val="008A08A6"/>
    <w:rsid w:val="008A216E"/>
    <w:rsid w:val="008A61C2"/>
    <w:rsid w:val="008B66F0"/>
    <w:rsid w:val="008B794A"/>
    <w:rsid w:val="008C0DE8"/>
    <w:rsid w:val="008C34D4"/>
    <w:rsid w:val="008C3961"/>
    <w:rsid w:val="008C4DA9"/>
    <w:rsid w:val="008C74E7"/>
    <w:rsid w:val="008D1340"/>
    <w:rsid w:val="008D3254"/>
    <w:rsid w:val="008D346C"/>
    <w:rsid w:val="008E179F"/>
    <w:rsid w:val="008E7265"/>
    <w:rsid w:val="008F0676"/>
    <w:rsid w:val="00903AD4"/>
    <w:rsid w:val="00906BB9"/>
    <w:rsid w:val="0090747A"/>
    <w:rsid w:val="0090790C"/>
    <w:rsid w:val="00911542"/>
    <w:rsid w:val="00911BBE"/>
    <w:rsid w:val="0091254D"/>
    <w:rsid w:val="0091755E"/>
    <w:rsid w:val="009309C1"/>
    <w:rsid w:val="00940AA2"/>
    <w:rsid w:val="00941DAC"/>
    <w:rsid w:val="009420E9"/>
    <w:rsid w:val="00942F77"/>
    <w:rsid w:val="00943999"/>
    <w:rsid w:val="00950BB3"/>
    <w:rsid w:val="00953E89"/>
    <w:rsid w:val="00960063"/>
    <w:rsid w:val="00961148"/>
    <w:rsid w:val="009666FF"/>
    <w:rsid w:val="00971A9B"/>
    <w:rsid w:val="00971FED"/>
    <w:rsid w:val="00972AEE"/>
    <w:rsid w:val="0097394A"/>
    <w:rsid w:val="009748F2"/>
    <w:rsid w:val="00976C7D"/>
    <w:rsid w:val="00982979"/>
    <w:rsid w:val="0098301A"/>
    <w:rsid w:val="00985C1C"/>
    <w:rsid w:val="00987360"/>
    <w:rsid w:val="00994B31"/>
    <w:rsid w:val="00997454"/>
    <w:rsid w:val="009A264D"/>
    <w:rsid w:val="009A3F03"/>
    <w:rsid w:val="009A4629"/>
    <w:rsid w:val="009A6500"/>
    <w:rsid w:val="009B0BCC"/>
    <w:rsid w:val="009B35A8"/>
    <w:rsid w:val="009B5379"/>
    <w:rsid w:val="009B62CB"/>
    <w:rsid w:val="009B6583"/>
    <w:rsid w:val="009B7B56"/>
    <w:rsid w:val="009C11FA"/>
    <w:rsid w:val="009C3727"/>
    <w:rsid w:val="009C39D2"/>
    <w:rsid w:val="009C50CF"/>
    <w:rsid w:val="009D0936"/>
    <w:rsid w:val="009D12D1"/>
    <w:rsid w:val="009E3B58"/>
    <w:rsid w:val="009E42BA"/>
    <w:rsid w:val="009E694C"/>
    <w:rsid w:val="009F2441"/>
    <w:rsid w:val="009F45CE"/>
    <w:rsid w:val="00A01518"/>
    <w:rsid w:val="00A04FCB"/>
    <w:rsid w:val="00A06306"/>
    <w:rsid w:val="00A1617F"/>
    <w:rsid w:val="00A21823"/>
    <w:rsid w:val="00A27812"/>
    <w:rsid w:val="00A30420"/>
    <w:rsid w:val="00A30B9E"/>
    <w:rsid w:val="00A31BCA"/>
    <w:rsid w:val="00A35BB6"/>
    <w:rsid w:val="00A41460"/>
    <w:rsid w:val="00A432A7"/>
    <w:rsid w:val="00A50C65"/>
    <w:rsid w:val="00A52D22"/>
    <w:rsid w:val="00A54DF1"/>
    <w:rsid w:val="00A60298"/>
    <w:rsid w:val="00A6254C"/>
    <w:rsid w:val="00A64DD0"/>
    <w:rsid w:val="00A66F39"/>
    <w:rsid w:val="00A70CC9"/>
    <w:rsid w:val="00A7616F"/>
    <w:rsid w:val="00A9519B"/>
    <w:rsid w:val="00AA0E81"/>
    <w:rsid w:val="00AB428A"/>
    <w:rsid w:val="00AB79A1"/>
    <w:rsid w:val="00AC1463"/>
    <w:rsid w:val="00AC782A"/>
    <w:rsid w:val="00AD397A"/>
    <w:rsid w:val="00AD5D2E"/>
    <w:rsid w:val="00AE1819"/>
    <w:rsid w:val="00AE3DD1"/>
    <w:rsid w:val="00AE47BF"/>
    <w:rsid w:val="00AE56A2"/>
    <w:rsid w:val="00AF35A5"/>
    <w:rsid w:val="00AF398C"/>
    <w:rsid w:val="00AF4E86"/>
    <w:rsid w:val="00AF7612"/>
    <w:rsid w:val="00B00EDA"/>
    <w:rsid w:val="00B03D8E"/>
    <w:rsid w:val="00B05369"/>
    <w:rsid w:val="00B05E57"/>
    <w:rsid w:val="00B06F27"/>
    <w:rsid w:val="00B10A58"/>
    <w:rsid w:val="00B1183E"/>
    <w:rsid w:val="00B1195C"/>
    <w:rsid w:val="00B11962"/>
    <w:rsid w:val="00B1211E"/>
    <w:rsid w:val="00B1296B"/>
    <w:rsid w:val="00B12C01"/>
    <w:rsid w:val="00B14027"/>
    <w:rsid w:val="00B14FC0"/>
    <w:rsid w:val="00B15072"/>
    <w:rsid w:val="00B15460"/>
    <w:rsid w:val="00B31848"/>
    <w:rsid w:val="00B34457"/>
    <w:rsid w:val="00B41BF4"/>
    <w:rsid w:val="00B45034"/>
    <w:rsid w:val="00B4580E"/>
    <w:rsid w:val="00B45E82"/>
    <w:rsid w:val="00B51C03"/>
    <w:rsid w:val="00B545AA"/>
    <w:rsid w:val="00B550CB"/>
    <w:rsid w:val="00B5637D"/>
    <w:rsid w:val="00B61B0B"/>
    <w:rsid w:val="00B67C4F"/>
    <w:rsid w:val="00B7028D"/>
    <w:rsid w:val="00B72373"/>
    <w:rsid w:val="00B7311E"/>
    <w:rsid w:val="00B74CC9"/>
    <w:rsid w:val="00B74EDD"/>
    <w:rsid w:val="00B77AAF"/>
    <w:rsid w:val="00B77CD3"/>
    <w:rsid w:val="00B77DDE"/>
    <w:rsid w:val="00B84545"/>
    <w:rsid w:val="00B9096A"/>
    <w:rsid w:val="00B9516A"/>
    <w:rsid w:val="00B9669F"/>
    <w:rsid w:val="00B97BB5"/>
    <w:rsid w:val="00BA5573"/>
    <w:rsid w:val="00BA667D"/>
    <w:rsid w:val="00BA6B02"/>
    <w:rsid w:val="00BA6D6E"/>
    <w:rsid w:val="00BB0417"/>
    <w:rsid w:val="00BB0666"/>
    <w:rsid w:val="00BB1A26"/>
    <w:rsid w:val="00BB3A93"/>
    <w:rsid w:val="00BB6AD2"/>
    <w:rsid w:val="00BB721C"/>
    <w:rsid w:val="00BC585D"/>
    <w:rsid w:val="00BC593E"/>
    <w:rsid w:val="00BD546A"/>
    <w:rsid w:val="00BD61F3"/>
    <w:rsid w:val="00BD6284"/>
    <w:rsid w:val="00BD7DCE"/>
    <w:rsid w:val="00BE055A"/>
    <w:rsid w:val="00BE12B1"/>
    <w:rsid w:val="00BE32B0"/>
    <w:rsid w:val="00BF2F74"/>
    <w:rsid w:val="00BF478C"/>
    <w:rsid w:val="00BF5012"/>
    <w:rsid w:val="00BF67CA"/>
    <w:rsid w:val="00BF6FCE"/>
    <w:rsid w:val="00C04885"/>
    <w:rsid w:val="00C1239E"/>
    <w:rsid w:val="00C14059"/>
    <w:rsid w:val="00C178C8"/>
    <w:rsid w:val="00C21460"/>
    <w:rsid w:val="00C216A9"/>
    <w:rsid w:val="00C21ECE"/>
    <w:rsid w:val="00C2446A"/>
    <w:rsid w:val="00C259F2"/>
    <w:rsid w:val="00C26D72"/>
    <w:rsid w:val="00C30B5A"/>
    <w:rsid w:val="00C33886"/>
    <w:rsid w:val="00C33A07"/>
    <w:rsid w:val="00C34722"/>
    <w:rsid w:val="00C379ED"/>
    <w:rsid w:val="00C422C3"/>
    <w:rsid w:val="00C431E6"/>
    <w:rsid w:val="00C4525F"/>
    <w:rsid w:val="00C4558D"/>
    <w:rsid w:val="00C474E6"/>
    <w:rsid w:val="00C51002"/>
    <w:rsid w:val="00C52287"/>
    <w:rsid w:val="00C53FB8"/>
    <w:rsid w:val="00C55047"/>
    <w:rsid w:val="00C55AF8"/>
    <w:rsid w:val="00C57640"/>
    <w:rsid w:val="00C57F5F"/>
    <w:rsid w:val="00C60B43"/>
    <w:rsid w:val="00C61B2D"/>
    <w:rsid w:val="00C62298"/>
    <w:rsid w:val="00C62B96"/>
    <w:rsid w:val="00C674A4"/>
    <w:rsid w:val="00C72916"/>
    <w:rsid w:val="00C73730"/>
    <w:rsid w:val="00C743C3"/>
    <w:rsid w:val="00C757A1"/>
    <w:rsid w:val="00C76B92"/>
    <w:rsid w:val="00C77C03"/>
    <w:rsid w:val="00C816DD"/>
    <w:rsid w:val="00C87BCC"/>
    <w:rsid w:val="00C91032"/>
    <w:rsid w:val="00C94EA6"/>
    <w:rsid w:val="00C95817"/>
    <w:rsid w:val="00C9663E"/>
    <w:rsid w:val="00C971ED"/>
    <w:rsid w:val="00CA2FAB"/>
    <w:rsid w:val="00CA5AFD"/>
    <w:rsid w:val="00CA6D20"/>
    <w:rsid w:val="00CB19C6"/>
    <w:rsid w:val="00CB55A6"/>
    <w:rsid w:val="00CB6170"/>
    <w:rsid w:val="00CB76DA"/>
    <w:rsid w:val="00CB77AC"/>
    <w:rsid w:val="00CC3AC5"/>
    <w:rsid w:val="00CC58E9"/>
    <w:rsid w:val="00CC69BB"/>
    <w:rsid w:val="00CC7343"/>
    <w:rsid w:val="00CD7E01"/>
    <w:rsid w:val="00CE01D4"/>
    <w:rsid w:val="00CE0619"/>
    <w:rsid w:val="00CE34B2"/>
    <w:rsid w:val="00CE4733"/>
    <w:rsid w:val="00CE58C4"/>
    <w:rsid w:val="00CE6760"/>
    <w:rsid w:val="00CE67EC"/>
    <w:rsid w:val="00CE7AB8"/>
    <w:rsid w:val="00CF0BDB"/>
    <w:rsid w:val="00CF1186"/>
    <w:rsid w:val="00CF1593"/>
    <w:rsid w:val="00CF1A32"/>
    <w:rsid w:val="00CF4B63"/>
    <w:rsid w:val="00CF4E67"/>
    <w:rsid w:val="00D03D64"/>
    <w:rsid w:val="00D04442"/>
    <w:rsid w:val="00D05A3F"/>
    <w:rsid w:val="00D10391"/>
    <w:rsid w:val="00D10F5B"/>
    <w:rsid w:val="00D115C1"/>
    <w:rsid w:val="00D167B2"/>
    <w:rsid w:val="00D202EF"/>
    <w:rsid w:val="00D23884"/>
    <w:rsid w:val="00D34C1B"/>
    <w:rsid w:val="00D4038B"/>
    <w:rsid w:val="00D427DE"/>
    <w:rsid w:val="00D45BA5"/>
    <w:rsid w:val="00D46DF7"/>
    <w:rsid w:val="00D478D4"/>
    <w:rsid w:val="00D511B7"/>
    <w:rsid w:val="00D52870"/>
    <w:rsid w:val="00D56A8D"/>
    <w:rsid w:val="00D60D33"/>
    <w:rsid w:val="00D7047B"/>
    <w:rsid w:val="00D70C09"/>
    <w:rsid w:val="00D71F69"/>
    <w:rsid w:val="00D836DD"/>
    <w:rsid w:val="00D83990"/>
    <w:rsid w:val="00D84D4D"/>
    <w:rsid w:val="00D9199D"/>
    <w:rsid w:val="00D933E5"/>
    <w:rsid w:val="00D95490"/>
    <w:rsid w:val="00D95964"/>
    <w:rsid w:val="00D96275"/>
    <w:rsid w:val="00D96C7E"/>
    <w:rsid w:val="00D97772"/>
    <w:rsid w:val="00D97F9F"/>
    <w:rsid w:val="00DA030A"/>
    <w:rsid w:val="00DA149F"/>
    <w:rsid w:val="00DA3FEF"/>
    <w:rsid w:val="00DA5F4B"/>
    <w:rsid w:val="00DB296D"/>
    <w:rsid w:val="00DB3832"/>
    <w:rsid w:val="00DB3F45"/>
    <w:rsid w:val="00DC2D7B"/>
    <w:rsid w:val="00DC52A7"/>
    <w:rsid w:val="00DC7484"/>
    <w:rsid w:val="00DD03A1"/>
    <w:rsid w:val="00DD7053"/>
    <w:rsid w:val="00DE3C28"/>
    <w:rsid w:val="00DE46E6"/>
    <w:rsid w:val="00DE678C"/>
    <w:rsid w:val="00DE75DD"/>
    <w:rsid w:val="00DF19BC"/>
    <w:rsid w:val="00DF4CC0"/>
    <w:rsid w:val="00E04A20"/>
    <w:rsid w:val="00E10AA8"/>
    <w:rsid w:val="00E1167D"/>
    <w:rsid w:val="00E11FD9"/>
    <w:rsid w:val="00E1432B"/>
    <w:rsid w:val="00E24CB1"/>
    <w:rsid w:val="00E25178"/>
    <w:rsid w:val="00E26EEC"/>
    <w:rsid w:val="00E2770C"/>
    <w:rsid w:val="00E32866"/>
    <w:rsid w:val="00E32FD8"/>
    <w:rsid w:val="00E339FB"/>
    <w:rsid w:val="00E347B7"/>
    <w:rsid w:val="00E42871"/>
    <w:rsid w:val="00E536C7"/>
    <w:rsid w:val="00E55F41"/>
    <w:rsid w:val="00E67FB7"/>
    <w:rsid w:val="00E72176"/>
    <w:rsid w:val="00E76792"/>
    <w:rsid w:val="00E80E84"/>
    <w:rsid w:val="00E84B03"/>
    <w:rsid w:val="00E85557"/>
    <w:rsid w:val="00E907B3"/>
    <w:rsid w:val="00E90AB8"/>
    <w:rsid w:val="00E95C96"/>
    <w:rsid w:val="00E95FE0"/>
    <w:rsid w:val="00EA00C4"/>
    <w:rsid w:val="00EA125B"/>
    <w:rsid w:val="00EA13A7"/>
    <w:rsid w:val="00EA5362"/>
    <w:rsid w:val="00EA7519"/>
    <w:rsid w:val="00EB2436"/>
    <w:rsid w:val="00EB48F3"/>
    <w:rsid w:val="00EB6535"/>
    <w:rsid w:val="00EC42CB"/>
    <w:rsid w:val="00EC42DA"/>
    <w:rsid w:val="00EC6C48"/>
    <w:rsid w:val="00EC71CE"/>
    <w:rsid w:val="00EE01E3"/>
    <w:rsid w:val="00EE110A"/>
    <w:rsid w:val="00EE7B61"/>
    <w:rsid w:val="00F01F43"/>
    <w:rsid w:val="00F02DF8"/>
    <w:rsid w:val="00F0537A"/>
    <w:rsid w:val="00F0674F"/>
    <w:rsid w:val="00F06E9C"/>
    <w:rsid w:val="00F12FC8"/>
    <w:rsid w:val="00F20882"/>
    <w:rsid w:val="00F26B93"/>
    <w:rsid w:val="00F34F69"/>
    <w:rsid w:val="00F37D99"/>
    <w:rsid w:val="00F44A2C"/>
    <w:rsid w:val="00F46E3F"/>
    <w:rsid w:val="00F4789E"/>
    <w:rsid w:val="00F514ED"/>
    <w:rsid w:val="00F52600"/>
    <w:rsid w:val="00F531F6"/>
    <w:rsid w:val="00F61857"/>
    <w:rsid w:val="00F61A40"/>
    <w:rsid w:val="00F76B98"/>
    <w:rsid w:val="00F77359"/>
    <w:rsid w:val="00F7754C"/>
    <w:rsid w:val="00F81E2C"/>
    <w:rsid w:val="00F853B1"/>
    <w:rsid w:val="00F8684F"/>
    <w:rsid w:val="00F909B5"/>
    <w:rsid w:val="00F92D6C"/>
    <w:rsid w:val="00F956CA"/>
    <w:rsid w:val="00F97041"/>
    <w:rsid w:val="00FA0363"/>
    <w:rsid w:val="00FA0525"/>
    <w:rsid w:val="00FA05EE"/>
    <w:rsid w:val="00FA2142"/>
    <w:rsid w:val="00FA66D6"/>
    <w:rsid w:val="00FA7A0F"/>
    <w:rsid w:val="00FB1DF4"/>
    <w:rsid w:val="00FB2C14"/>
    <w:rsid w:val="00FB4747"/>
    <w:rsid w:val="00FB4DAC"/>
    <w:rsid w:val="00FB7853"/>
    <w:rsid w:val="00FC5140"/>
    <w:rsid w:val="00FC638B"/>
    <w:rsid w:val="00FD03BC"/>
    <w:rsid w:val="00FD2105"/>
    <w:rsid w:val="00FD288E"/>
    <w:rsid w:val="00FD43AC"/>
    <w:rsid w:val="00FD5F11"/>
    <w:rsid w:val="00FE52B8"/>
    <w:rsid w:val="00FF1E04"/>
    <w:rsid w:val="00FF25EF"/>
    <w:rsid w:val="00FF2B45"/>
    <w:rsid w:val="00FF5077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0B7F15"/>
  <w15:docId w15:val="{BC240E76-EEE4-4A38-A25F-39F74CFD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2A"/>
    <w:pPr>
      <w:jc w:val="both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364B7C"/>
    <w:pPr>
      <w:keepNext/>
      <w:keepLines/>
      <w:pageBreakBefore/>
      <w:numPr>
        <w:numId w:val="1"/>
      </w:numPr>
      <w:spacing w:before="240" w:after="0"/>
      <w:ind w:left="714" w:hanging="357"/>
      <w:outlineLvl w:val="0"/>
    </w:pPr>
    <w:rPr>
      <w:rFonts w:eastAsiaTheme="majorEastAsia" w:cstheme="majorBidi"/>
      <w:b/>
      <w:color w:val="538135" w:themeColor="accent6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90D4C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74CCD"/>
    <w:pPr>
      <w:keepNext/>
      <w:keepLines/>
      <w:spacing w:before="40" w:after="0"/>
      <w:outlineLvl w:val="2"/>
    </w:pPr>
    <w:rPr>
      <w:rFonts w:eastAsiaTheme="majorEastAsia" w:cstheme="majorBidi"/>
      <w:color w:val="538135" w:themeColor="accent6" w:themeShade="B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64B7C"/>
    <w:rPr>
      <w:rFonts w:ascii="Arial" w:eastAsiaTheme="majorEastAsia" w:hAnsi="Arial" w:cstheme="majorBidi"/>
      <w:b/>
      <w:color w:val="538135" w:themeColor="accent6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90D4C"/>
    <w:rPr>
      <w:rFonts w:ascii="Arial" w:eastAsiaTheme="majorEastAsia" w:hAnsi="Arial" w:cstheme="majorBidi"/>
      <w:b/>
      <w:color w:val="538135" w:themeColor="accent6" w:themeShade="BF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74CCD"/>
    <w:rPr>
      <w:rFonts w:ascii="Arial" w:eastAsiaTheme="majorEastAsia" w:hAnsi="Arial" w:cstheme="majorBidi"/>
      <w:color w:val="538135" w:themeColor="accent6" w:themeShade="BF"/>
      <w:sz w:val="24"/>
      <w:szCs w:val="24"/>
    </w:rPr>
  </w:style>
  <w:style w:type="paragraph" w:styleId="Odlomakpopisa">
    <w:name w:val="List Paragraph"/>
    <w:basedOn w:val="Normal"/>
    <w:uiPriority w:val="34"/>
    <w:qFormat/>
    <w:rsid w:val="00FD43AC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8651E6"/>
    <w:pPr>
      <w:spacing w:after="200" w:line="240" w:lineRule="auto"/>
      <w:jc w:val="left"/>
    </w:pPr>
    <w:rPr>
      <w:i/>
      <w:iCs/>
      <w:color w:val="44546A" w:themeColor="text2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7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77BB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17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77BB"/>
    <w:rPr>
      <w:rFonts w:ascii="Arial" w:hAnsi="Arial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118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1186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118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D02D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D02D0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2D0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02D0"/>
    <w:pPr>
      <w:spacing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02D0"/>
    <w:rPr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24C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D933E5"/>
    <w:pPr>
      <w:pageBreakBefore w:val="0"/>
      <w:numPr>
        <w:numId w:val="0"/>
      </w:numPr>
      <w:jc w:val="left"/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301C2D"/>
    <w:pPr>
      <w:tabs>
        <w:tab w:val="left" w:pos="440"/>
        <w:tab w:val="right" w:leader="dot" w:pos="9062"/>
      </w:tabs>
      <w:spacing w:after="100" w:line="240" w:lineRule="auto"/>
    </w:pPr>
  </w:style>
  <w:style w:type="paragraph" w:styleId="Sadraj2">
    <w:name w:val="toc 2"/>
    <w:basedOn w:val="Normal"/>
    <w:next w:val="Normal"/>
    <w:autoRedefine/>
    <w:uiPriority w:val="39"/>
    <w:unhideWhenUsed/>
    <w:rsid w:val="00D933E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D933E5"/>
    <w:pPr>
      <w:spacing w:after="100"/>
      <w:ind w:left="440"/>
    </w:pPr>
  </w:style>
  <w:style w:type="paragraph" w:customStyle="1" w:styleId="Pa1">
    <w:name w:val="Pa1"/>
    <w:basedOn w:val="Normal"/>
    <w:next w:val="Normal"/>
    <w:uiPriority w:val="99"/>
    <w:rsid w:val="009F45CE"/>
    <w:pPr>
      <w:autoSpaceDE w:val="0"/>
      <w:autoSpaceDN w:val="0"/>
      <w:adjustRightInd w:val="0"/>
      <w:spacing w:after="0" w:line="201" w:lineRule="atLeast"/>
      <w:jc w:val="left"/>
    </w:pPr>
    <w:rPr>
      <w:rFonts w:ascii="Myriad Pro" w:hAnsi="Myriad Pro"/>
      <w:sz w:val="24"/>
      <w:szCs w:val="24"/>
      <w:lang w:val="hr-HR"/>
    </w:rPr>
  </w:style>
  <w:style w:type="character" w:customStyle="1" w:styleId="A11">
    <w:name w:val="A11"/>
    <w:uiPriority w:val="99"/>
    <w:rsid w:val="009F45CE"/>
    <w:rPr>
      <w:rFonts w:cs="Myriad Pro"/>
      <w:color w:val="000000"/>
      <w:sz w:val="11"/>
      <w:szCs w:val="11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E54FC"/>
    <w:rPr>
      <w:color w:val="605E5C"/>
      <w:shd w:val="clear" w:color="auto" w:fill="E1DFDD"/>
    </w:rPr>
  </w:style>
  <w:style w:type="character" w:customStyle="1" w:styleId="viiyi">
    <w:name w:val="viiyi"/>
    <w:basedOn w:val="Zadanifontodlomka"/>
    <w:rsid w:val="00A70CC9"/>
  </w:style>
  <w:style w:type="character" w:customStyle="1" w:styleId="jlqj4b">
    <w:name w:val="jlqj4b"/>
    <w:basedOn w:val="Zadanifontodlomka"/>
    <w:rsid w:val="00A70CC9"/>
  </w:style>
  <w:style w:type="paragraph" w:styleId="Tablicaslika">
    <w:name w:val="table of figures"/>
    <w:basedOn w:val="Normal"/>
    <w:next w:val="Normal"/>
    <w:uiPriority w:val="99"/>
    <w:unhideWhenUsed/>
    <w:rsid w:val="004E64FF"/>
    <w:pPr>
      <w:spacing w:after="0"/>
    </w:pPr>
  </w:style>
  <w:style w:type="table" w:customStyle="1" w:styleId="Obinatablica11">
    <w:name w:val="Obična tablica 11"/>
    <w:basedOn w:val="Obinatablica"/>
    <w:uiPriority w:val="41"/>
    <w:rsid w:val="003930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1">
    <w:name w:val="Svijetla tablica rešetke 11"/>
    <w:basedOn w:val="Obinatablica"/>
    <w:uiPriority w:val="46"/>
    <w:rsid w:val="003930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Normal"/>
    <w:uiPriority w:val="99"/>
    <w:unhideWhenUsed/>
    <w:rsid w:val="002338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ref-lnk">
    <w:name w:val="ref-lnk"/>
    <w:basedOn w:val="Zadanifontodlomka"/>
    <w:rsid w:val="002338B3"/>
  </w:style>
  <w:style w:type="table" w:customStyle="1" w:styleId="Tamnatablicareetke5-isticanje61">
    <w:name w:val="Tamna tablica rešetke 5 - isticanje 61"/>
    <w:basedOn w:val="Obinatablica"/>
    <w:uiPriority w:val="50"/>
    <w:rsid w:val="00F92D6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4C797B"/>
    <w:rPr>
      <w:color w:val="954F72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7772"/>
    <w:pPr>
      <w:jc w:val="both"/>
    </w:pPr>
    <w:rPr>
      <w:rFonts w:ascii="Arial" w:hAnsi="Arial"/>
      <w:b/>
      <w:bCs/>
      <w:lang w:val="hu-HU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7772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4B2E-9EBE-469F-BDB3-99847A44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Pámer Zoltán</dc:creator>
  <cp:lastModifiedBy>Danijela Vrtarić</cp:lastModifiedBy>
  <cp:revision>22</cp:revision>
  <cp:lastPrinted>2021-01-08T11:05:00Z</cp:lastPrinted>
  <dcterms:created xsi:type="dcterms:W3CDTF">2021-03-31T12:54:00Z</dcterms:created>
  <dcterms:modified xsi:type="dcterms:W3CDTF">2021-07-08T05:10:00Z</dcterms:modified>
</cp:coreProperties>
</file>