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Reetkatablice"/>
        <w:tblpPr w:leftFromText="180" w:rightFromText="180" w:horzAnchor="margin" w:tblpY="570"/>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6"/>
        <w:gridCol w:w="4836"/>
      </w:tblGrid>
      <w:tr w:rsidR="00B77DDE" w:rsidRPr="00F81E2C" w14:paraId="5E103127" w14:textId="77777777" w:rsidTr="00292FA6">
        <w:trPr>
          <w:trHeight w:val="2694"/>
        </w:trPr>
        <w:tc>
          <w:tcPr>
            <w:tcW w:w="4661" w:type="dxa"/>
            <w:vAlign w:val="center"/>
          </w:tcPr>
          <w:p w14:paraId="4E4908BA" w14:textId="440554C5" w:rsidR="00364B7C" w:rsidRPr="00F81E2C" w:rsidRDefault="00292FA6" w:rsidP="00292FA6">
            <w:pPr>
              <w:spacing w:after="120" w:line="276" w:lineRule="auto"/>
              <w:jc w:val="center"/>
              <w:rPr>
                <w:rFonts w:cs="Arial"/>
                <w:b/>
                <w:sz w:val="32"/>
                <w:szCs w:val="32"/>
                <w:lang w:val="hr-HR"/>
              </w:rPr>
            </w:pPr>
            <w:bookmarkStart w:id="0" w:name="_Hlk494880882"/>
            <w:r>
              <w:rPr>
                <w:noProof/>
              </w:rPr>
              <w:drawing>
                <wp:inline distT="0" distB="0" distL="0" distR="0" wp14:anchorId="1B91D9F8" wp14:editId="4563AEC0">
                  <wp:extent cx="1440180" cy="1440180"/>
                  <wp:effectExtent l="0" t="0" r="7620" b="7620"/>
                  <wp:docPr id="2" name="Slika 2"/>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180" cy="1440180"/>
                          </a:xfrm>
                          <a:prstGeom prst="rect">
                            <a:avLst/>
                          </a:prstGeom>
                          <a:noFill/>
                          <a:ln>
                            <a:noFill/>
                          </a:ln>
                        </pic:spPr>
                      </pic:pic>
                    </a:graphicData>
                  </a:graphic>
                </wp:inline>
              </w:drawing>
            </w:r>
          </w:p>
        </w:tc>
        <w:tc>
          <w:tcPr>
            <w:tcW w:w="4661" w:type="dxa"/>
            <w:vAlign w:val="center"/>
          </w:tcPr>
          <w:p w14:paraId="62E09DBC" w14:textId="020910B0" w:rsidR="003B300D" w:rsidRPr="00F81E2C" w:rsidRDefault="00292FA6" w:rsidP="00961148">
            <w:pPr>
              <w:spacing w:after="120" w:line="276" w:lineRule="auto"/>
              <w:jc w:val="center"/>
              <w:rPr>
                <w:rFonts w:cs="Arial"/>
                <w:b/>
                <w:sz w:val="32"/>
                <w:szCs w:val="32"/>
                <w:lang w:val="hr-HR"/>
              </w:rPr>
            </w:pPr>
            <w:r>
              <w:rPr>
                <w:noProof/>
              </w:rPr>
              <w:drawing>
                <wp:inline distT="0" distB="0" distL="0" distR="0" wp14:anchorId="30D1D10F" wp14:editId="7C4DEADD">
                  <wp:extent cx="2926715" cy="830580"/>
                  <wp:effectExtent l="0" t="0" r="6985" b="7620"/>
                  <wp:docPr id="3" name="Slika 3"/>
                  <wp:cNvGraphicFramePr/>
                  <a:graphic xmlns:a="http://schemas.openxmlformats.org/drawingml/2006/main">
                    <a:graphicData uri="http://schemas.openxmlformats.org/drawingml/2006/picture">
                      <pic:pic xmlns:pic="http://schemas.openxmlformats.org/drawingml/2006/picture">
                        <pic:nvPicPr>
                          <pic:cNvPr id="3" name="Slika 3"/>
                          <pic:cNvPicPr/>
                        </pic:nvPicPr>
                        <pic:blipFill rotWithShape="1">
                          <a:blip r:embed="rId9" cstate="print">
                            <a:extLst>
                              <a:ext uri="{28A0092B-C50C-407E-A947-70E740481C1C}">
                                <a14:useLocalDpi xmlns:a14="http://schemas.microsoft.com/office/drawing/2010/main" val="0"/>
                              </a:ext>
                            </a:extLst>
                          </a:blip>
                          <a:srcRect t="31618" b="28291"/>
                          <a:stretch/>
                        </pic:blipFill>
                        <pic:spPr bwMode="auto">
                          <a:xfrm>
                            <a:off x="0" y="0"/>
                            <a:ext cx="2926715" cy="83058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64B7C" w:rsidRPr="00F81E2C" w14:paraId="169A10B8" w14:textId="77777777" w:rsidTr="00B77DDE">
        <w:trPr>
          <w:trHeight w:val="959"/>
        </w:trPr>
        <w:tc>
          <w:tcPr>
            <w:tcW w:w="9322" w:type="dxa"/>
            <w:gridSpan w:val="2"/>
            <w:vAlign w:val="bottom"/>
          </w:tcPr>
          <w:p w14:paraId="2E3A88AD" w14:textId="4035BE81" w:rsidR="00364B7C" w:rsidRPr="00F81E2C" w:rsidRDefault="00292FA6" w:rsidP="00961148">
            <w:pPr>
              <w:spacing w:after="120" w:line="276" w:lineRule="auto"/>
              <w:jc w:val="center"/>
              <w:rPr>
                <w:rFonts w:cs="Arial"/>
                <w:b/>
                <w:noProof/>
                <w:sz w:val="32"/>
                <w:szCs w:val="32"/>
                <w:lang w:val="hr-HR"/>
              </w:rPr>
            </w:pPr>
            <w:r>
              <w:rPr>
                <w:noProof/>
              </w:rPr>
              <w:drawing>
                <wp:inline distT="0" distB="0" distL="0" distR="0" wp14:anchorId="68DA41AA" wp14:editId="1815F8B1">
                  <wp:extent cx="2537460" cy="351155"/>
                  <wp:effectExtent l="0" t="0" r="0" b="0"/>
                  <wp:docPr id="4" name="Slika 4"/>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7460" cy="351155"/>
                          </a:xfrm>
                          <a:prstGeom prst="rect">
                            <a:avLst/>
                          </a:prstGeom>
                          <a:noFill/>
                          <a:ln>
                            <a:noFill/>
                          </a:ln>
                        </pic:spPr>
                      </pic:pic>
                    </a:graphicData>
                  </a:graphic>
                </wp:inline>
              </w:drawing>
            </w:r>
          </w:p>
        </w:tc>
      </w:tr>
      <w:bookmarkEnd w:id="0"/>
    </w:tbl>
    <w:p w14:paraId="2F801B57" w14:textId="77777777" w:rsidR="00B11962" w:rsidRPr="00F81E2C" w:rsidRDefault="00B11962" w:rsidP="00961148">
      <w:pPr>
        <w:spacing w:after="120" w:line="276" w:lineRule="auto"/>
        <w:jc w:val="center"/>
        <w:rPr>
          <w:rFonts w:cs="Arial"/>
          <w:b/>
          <w:sz w:val="28"/>
          <w:szCs w:val="28"/>
          <w:lang w:val="hr-HR"/>
        </w:rPr>
      </w:pPr>
    </w:p>
    <w:p w14:paraId="4F7C53EE" w14:textId="3622D1E5" w:rsidR="00364B7C" w:rsidRPr="00292FA6" w:rsidRDefault="00364B7C" w:rsidP="00961148">
      <w:pPr>
        <w:spacing w:after="120" w:line="276" w:lineRule="auto"/>
        <w:jc w:val="center"/>
        <w:rPr>
          <w:rFonts w:cs="Arial"/>
          <w:b/>
          <w:lang w:val="hr-HR"/>
        </w:rPr>
      </w:pPr>
    </w:p>
    <w:p w14:paraId="70DAFE1A" w14:textId="77777777" w:rsidR="00DB3F45" w:rsidRPr="00292FA6" w:rsidRDefault="00DB3F45" w:rsidP="00961148">
      <w:pPr>
        <w:spacing w:after="120" w:line="276" w:lineRule="auto"/>
        <w:jc w:val="center"/>
        <w:rPr>
          <w:rFonts w:cs="Arial"/>
          <w:b/>
          <w:lang w:val="hr-HR"/>
        </w:rPr>
      </w:pPr>
    </w:p>
    <w:p w14:paraId="6FACB8C9" w14:textId="0B52F03F" w:rsidR="00364B7C" w:rsidRPr="00F81E2C" w:rsidRDefault="00B1183E" w:rsidP="00961148">
      <w:pPr>
        <w:spacing w:after="120" w:line="276" w:lineRule="auto"/>
        <w:jc w:val="center"/>
        <w:rPr>
          <w:rFonts w:cs="Arial"/>
          <w:b/>
          <w:sz w:val="32"/>
          <w:szCs w:val="32"/>
          <w:lang w:val="hr-HR"/>
        </w:rPr>
      </w:pPr>
      <w:r w:rsidRPr="00F81E2C">
        <w:rPr>
          <w:noProof/>
          <w:lang w:val="hr-HR" w:eastAsia="hr-HR"/>
        </w:rPr>
        <w:drawing>
          <wp:inline distT="0" distB="0" distL="0" distR="0" wp14:anchorId="40374D72" wp14:editId="5BFAAE7D">
            <wp:extent cx="1463971" cy="888841"/>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6306" cy="920616"/>
                    </a:xfrm>
                    <a:prstGeom prst="rect">
                      <a:avLst/>
                    </a:prstGeom>
                    <a:noFill/>
                    <a:ln>
                      <a:noFill/>
                    </a:ln>
                  </pic:spPr>
                </pic:pic>
              </a:graphicData>
            </a:graphic>
          </wp:inline>
        </w:drawing>
      </w:r>
    </w:p>
    <w:p w14:paraId="5039E35D" w14:textId="6ACF6145" w:rsidR="00B11962" w:rsidRPr="00060B28" w:rsidRDefault="00F81E2C" w:rsidP="00961148">
      <w:pPr>
        <w:spacing w:after="120" w:line="276" w:lineRule="auto"/>
        <w:jc w:val="center"/>
        <w:rPr>
          <w:rFonts w:cs="Arial"/>
          <w:bCs/>
          <w:lang w:val="hr-HR"/>
        </w:rPr>
      </w:pPr>
      <w:r w:rsidRPr="00060B28">
        <w:rPr>
          <w:rFonts w:cs="Arial"/>
          <w:bCs/>
          <w:lang w:val="hr-HR"/>
        </w:rPr>
        <w:t xml:space="preserve">Projekt </w:t>
      </w:r>
      <w:r w:rsidR="00A01518" w:rsidRPr="00060B28">
        <w:rPr>
          <w:rFonts w:cs="Arial"/>
          <w:bCs/>
          <w:lang w:val="hr-HR"/>
        </w:rPr>
        <w:t>CO-EMEP</w:t>
      </w:r>
      <w:r w:rsidR="00364B7C" w:rsidRPr="00060B28">
        <w:rPr>
          <w:rFonts w:cs="Arial"/>
          <w:bCs/>
          <w:lang w:val="hr-HR"/>
        </w:rPr>
        <w:t xml:space="preserve"> </w:t>
      </w:r>
      <w:r w:rsidR="00D70C09" w:rsidRPr="00060B28">
        <w:rPr>
          <w:rFonts w:cs="Arial"/>
          <w:bCs/>
          <w:lang w:val="hr-HR"/>
        </w:rPr>
        <w:t>–</w:t>
      </w:r>
      <w:r w:rsidR="00364B7C" w:rsidRPr="00060B28">
        <w:rPr>
          <w:rFonts w:cs="Arial"/>
          <w:bCs/>
          <w:lang w:val="hr-HR"/>
        </w:rPr>
        <w:t xml:space="preserve"> </w:t>
      </w:r>
      <w:r w:rsidR="00A01518" w:rsidRPr="00060B28">
        <w:rPr>
          <w:rFonts w:cs="Arial"/>
          <w:bCs/>
          <w:lang w:val="en-US"/>
        </w:rPr>
        <w:t>Improvement of cooperation for better energy management and reduction of energy poverty in HU-HR cross-border area</w:t>
      </w:r>
    </w:p>
    <w:p w14:paraId="05A3B784" w14:textId="40BEF14D" w:rsidR="00B1183E" w:rsidRPr="00060B28" w:rsidRDefault="00B1183E" w:rsidP="00961148">
      <w:pPr>
        <w:spacing w:after="120" w:line="276" w:lineRule="auto"/>
        <w:jc w:val="center"/>
        <w:rPr>
          <w:rFonts w:cs="Arial"/>
          <w:bCs/>
          <w:lang w:val="hr-HR"/>
        </w:rPr>
      </w:pPr>
      <w:r w:rsidRPr="00060B28">
        <w:rPr>
          <w:rFonts w:cs="Arial"/>
          <w:bCs/>
          <w:lang w:val="hr-HR"/>
        </w:rPr>
        <w:t>(HUHR/1901/3.1.1/0019)</w:t>
      </w:r>
    </w:p>
    <w:p w14:paraId="59D4ABB5" w14:textId="77777777" w:rsidR="00301C2D" w:rsidRPr="00292FA6" w:rsidRDefault="00301C2D" w:rsidP="00961148">
      <w:pPr>
        <w:spacing w:after="120" w:line="276" w:lineRule="auto"/>
        <w:jc w:val="center"/>
        <w:rPr>
          <w:rFonts w:cs="Arial"/>
          <w:b/>
          <w:lang w:val="hr-HR"/>
        </w:rPr>
      </w:pPr>
    </w:p>
    <w:p w14:paraId="0885E059" w14:textId="77777777" w:rsidR="00364B7C" w:rsidRPr="00292FA6" w:rsidRDefault="00364B7C" w:rsidP="00961148">
      <w:pPr>
        <w:spacing w:after="120" w:line="276" w:lineRule="auto"/>
        <w:jc w:val="center"/>
        <w:rPr>
          <w:rFonts w:cs="Arial"/>
          <w:b/>
          <w:lang w:val="hr-HR"/>
        </w:rPr>
      </w:pPr>
    </w:p>
    <w:p w14:paraId="0804F2F7" w14:textId="77777777" w:rsidR="00CE1FAF" w:rsidRPr="00CE1FAF" w:rsidRDefault="00CE1FAF" w:rsidP="00CE1FAF">
      <w:pPr>
        <w:pStyle w:val="Odlomakpopisa"/>
        <w:spacing w:after="120" w:line="276" w:lineRule="auto"/>
        <w:ind w:left="0"/>
        <w:contextualSpacing w:val="0"/>
        <w:jc w:val="center"/>
        <w:rPr>
          <w:rFonts w:cs="Arial"/>
          <w:b/>
          <w:sz w:val="28"/>
          <w:szCs w:val="28"/>
          <w:lang w:val="en-US"/>
        </w:rPr>
      </w:pPr>
      <w:r w:rsidRPr="00CE1FAF">
        <w:rPr>
          <w:rFonts w:cs="Arial"/>
          <w:b/>
          <w:sz w:val="32"/>
          <w:szCs w:val="32"/>
          <w:lang w:val="en-US"/>
        </w:rPr>
        <w:t>Public call for collecting applications of interested citizens – private house owners or co-owners in order to assess their energy poverty risk and/or energy poverty stage</w:t>
      </w:r>
    </w:p>
    <w:p w14:paraId="44B31A35" w14:textId="26DF01F1" w:rsidR="00E32866" w:rsidRPr="00437A0E" w:rsidRDefault="00292FA6" w:rsidP="00CE1FAF">
      <w:pPr>
        <w:pStyle w:val="Odlomakpopisa"/>
        <w:numPr>
          <w:ilvl w:val="0"/>
          <w:numId w:val="50"/>
        </w:numPr>
        <w:spacing w:after="120" w:line="276" w:lineRule="auto"/>
        <w:ind w:left="0" w:firstLine="0"/>
        <w:contextualSpacing w:val="0"/>
        <w:jc w:val="center"/>
        <w:rPr>
          <w:rFonts w:cs="Arial"/>
          <w:b/>
          <w:sz w:val="28"/>
          <w:szCs w:val="28"/>
          <w:lang w:val="en-US"/>
        </w:rPr>
      </w:pPr>
      <w:r w:rsidRPr="00437A0E">
        <w:rPr>
          <w:rFonts w:cs="Arial"/>
          <w:b/>
          <w:sz w:val="28"/>
          <w:szCs w:val="28"/>
          <w:lang w:val="en-US"/>
        </w:rPr>
        <w:t xml:space="preserve">Clarification of the </w:t>
      </w:r>
      <w:r w:rsidR="007C385B">
        <w:rPr>
          <w:rFonts w:cs="Arial"/>
          <w:b/>
          <w:sz w:val="28"/>
          <w:szCs w:val="28"/>
          <w:lang w:val="en-US"/>
        </w:rPr>
        <w:t xml:space="preserve">selecting </w:t>
      </w:r>
      <w:r w:rsidRPr="00437A0E">
        <w:rPr>
          <w:rFonts w:cs="Arial"/>
          <w:b/>
          <w:sz w:val="28"/>
          <w:szCs w:val="28"/>
          <w:lang w:val="en-US"/>
        </w:rPr>
        <w:t xml:space="preserve">criteria </w:t>
      </w:r>
      <w:r w:rsidR="00E32866" w:rsidRPr="00437A0E">
        <w:rPr>
          <w:rFonts w:cs="Arial"/>
          <w:b/>
          <w:sz w:val="28"/>
          <w:szCs w:val="28"/>
          <w:lang w:val="en-US"/>
        </w:rPr>
        <w:t>–</w:t>
      </w:r>
    </w:p>
    <w:p w14:paraId="4E0D6A2E" w14:textId="77777777" w:rsidR="00292FA6" w:rsidRPr="00292FA6" w:rsidRDefault="00292FA6" w:rsidP="00292FA6">
      <w:pPr>
        <w:pStyle w:val="Odlomakpopisa"/>
        <w:spacing w:before="120" w:after="120" w:line="276" w:lineRule="auto"/>
        <w:ind w:left="0"/>
        <w:jc w:val="center"/>
        <w:rPr>
          <w:rFonts w:cs="Arial"/>
          <w:lang w:val="en-US"/>
        </w:rPr>
      </w:pPr>
      <w:r w:rsidRPr="00292FA6">
        <w:rPr>
          <w:rFonts w:cs="Arial"/>
          <w:lang w:val="en-US"/>
        </w:rPr>
        <w:t>Medjimurje Energy Agency Ltd./Zala County</w:t>
      </w:r>
    </w:p>
    <w:p w14:paraId="5E934708" w14:textId="5318F019" w:rsidR="00F81E2C" w:rsidRDefault="00F81E2C" w:rsidP="00961148">
      <w:pPr>
        <w:spacing w:after="120" w:line="276" w:lineRule="auto"/>
        <w:jc w:val="center"/>
        <w:rPr>
          <w:rFonts w:cs="Arial"/>
          <w:lang w:val="hr-HR"/>
        </w:rPr>
      </w:pPr>
    </w:p>
    <w:p w14:paraId="7EBFC206" w14:textId="1D83634E" w:rsidR="00F81E2C" w:rsidRDefault="00F81E2C" w:rsidP="00961148">
      <w:pPr>
        <w:spacing w:after="120" w:line="276" w:lineRule="auto"/>
        <w:jc w:val="center"/>
        <w:rPr>
          <w:rFonts w:cs="Arial"/>
          <w:lang w:val="hr-HR"/>
        </w:rPr>
      </w:pPr>
    </w:p>
    <w:p w14:paraId="7E972623" w14:textId="77777777" w:rsidR="00DB3F45" w:rsidRPr="00F81E2C" w:rsidRDefault="00DB3F45" w:rsidP="00961148">
      <w:pPr>
        <w:spacing w:after="120" w:line="276" w:lineRule="auto"/>
        <w:rPr>
          <w:rFonts w:cs="Arial"/>
          <w:lang w:val="hr-HR"/>
        </w:rPr>
      </w:pPr>
    </w:p>
    <w:p w14:paraId="7DDBECA3" w14:textId="77777777" w:rsidR="00292FA6" w:rsidRPr="00357825" w:rsidRDefault="00292FA6" w:rsidP="00292FA6">
      <w:pPr>
        <w:spacing w:before="120" w:after="120" w:line="276" w:lineRule="auto"/>
        <w:rPr>
          <w:rFonts w:cs="Arial"/>
          <w:b/>
          <w:bCs/>
          <w:lang w:val="en-US"/>
        </w:rPr>
      </w:pPr>
      <w:r w:rsidRPr="00357825">
        <w:rPr>
          <w:rFonts w:cs="Arial"/>
          <w:sz w:val="20"/>
          <w:szCs w:val="20"/>
          <w:lang w:val="en-US"/>
        </w:rPr>
        <w:t xml:space="preserve">*This document has been produced with the financial assistance of the European Union. The content of the document is the sole responsibility of </w:t>
      </w:r>
      <w:r w:rsidRPr="00465471">
        <w:rPr>
          <w:rFonts w:cs="Arial"/>
          <w:sz w:val="20"/>
          <w:szCs w:val="20"/>
          <w:lang w:val="en-US"/>
        </w:rPr>
        <w:t>Medjimurje Energy Agency Ltd./Zala County</w:t>
      </w:r>
      <w:r>
        <w:rPr>
          <w:rFonts w:cs="Arial"/>
          <w:sz w:val="20"/>
          <w:szCs w:val="20"/>
          <w:lang w:val="en-US"/>
        </w:rPr>
        <w:t xml:space="preserve"> </w:t>
      </w:r>
      <w:r w:rsidRPr="00357825">
        <w:rPr>
          <w:rFonts w:cs="Arial"/>
          <w:sz w:val="20"/>
          <w:szCs w:val="20"/>
          <w:lang w:val="en-US"/>
        </w:rPr>
        <w:t>and can under no circumstances be regarded as reflecting the position of the European Union and/or the Managing Authority.</w:t>
      </w:r>
    </w:p>
    <w:p w14:paraId="7A4787D7" w14:textId="23464819" w:rsidR="00B1183E" w:rsidRPr="00F81E2C" w:rsidRDefault="00B1183E" w:rsidP="00961148">
      <w:pPr>
        <w:spacing w:after="120" w:line="276" w:lineRule="auto"/>
        <w:jc w:val="center"/>
        <w:rPr>
          <w:rFonts w:cs="Arial"/>
          <w:b/>
          <w:bCs/>
          <w:lang w:val="hr-HR"/>
        </w:rPr>
      </w:pPr>
    </w:p>
    <w:p w14:paraId="7EF1AEA2" w14:textId="66B55F67" w:rsidR="00F81E2C" w:rsidRDefault="00F81E2C" w:rsidP="00961148">
      <w:pPr>
        <w:spacing w:after="120" w:line="276" w:lineRule="auto"/>
        <w:rPr>
          <w:rFonts w:cs="Arial"/>
          <w:b/>
          <w:bCs/>
          <w:lang w:val="hr-HR"/>
        </w:rPr>
      </w:pPr>
    </w:p>
    <w:p w14:paraId="55D25EC1" w14:textId="1FB5389F" w:rsidR="00F81E2C" w:rsidRPr="00F81E2C" w:rsidRDefault="00292FA6" w:rsidP="00961148">
      <w:pPr>
        <w:spacing w:after="120" w:line="276" w:lineRule="auto"/>
        <w:jc w:val="center"/>
        <w:rPr>
          <w:rFonts w:cs="Arial"/>
          <w:b/>
          <w:bCs/>
          <w:lang w:val="hr-HR"/>
        </w:rPr>
      </w:pPr>
      <w:r>
        <w:rPr>
          <w:rFonts w:cs="Arial"/>
          <w:b/>
          <w:bCs/>
          <w:lang w:val="hr-HR"/>
        </w:rPr>
        <w:t>April, 2021</w:t>
      </w:r>
    </w:p>
    <w:p w14:paraId="4D4C5874" w14:textId="380011EE" w:rsidR="00590D4C" w:rsidRPr="00CE1FAF" w:rsidRDefault="00292FA6" w:rsidP="00292FA6">
      <w:pPr>
        <w:pStyle w:val="Naslov1"/>
        <w:numPr>
          <w:ilvl w:val="0"/>
          <w:numId w:val="49"/>
        </w:numPr>
        <w:spacing w:after="240" w:line="276" w:lineRule="auto"/>
        <w:ind w:left="284" w:hanging="284"/>
        <w:rPr>
          <w:sz w:val="28"/>
          <w:szCs w:val="28"/>
          <w:lang w:val="en-US"/>
        </w:rPr>
      </w:pPr>
      <w:r w:rsidRPr="00CE1FAF">
        <w:rPr>
          <w:sz w:val="28"/>
          <w:szCs w:val="28"/>
          <w:lang w:val="en-US"/>
        </w:rPr>
        <w:lastRenderedPageBreak/>
        <w:t>Introduction</w:t>
      </w:r>
    </w:p>
    <w:p w14:paraId="198688BE" w14:textId="77777777" w:rsidR="00404B07" w:rsidRDefault="00437A0E" w:rsidP="00CE1FAF">
      <w:pPr>
        <w:spacing w:before="120" w:after="120" w:line="276" w:lineRule="auto"/>
        <w:rPr>
          <w:sz w:val="24"/>
          <w:szCs w:val="24"/>
          <w:lang w:val="en-US"/>
        </w:rPr>
      </w:pPr>
      <w:r w:rsidRPr="00CE1FAF">
        <w:rPr>
          <w:sz w:val="24"/>
          <w:szCs w:val="24"/>
          <w:lang w:val="en-US"/>
        </w:rPr>
        <w:t xml:space="preserve">As pointed out in the </w:t>
      </w:r>
      <w:r w:rsidRPr="00CE1FAF">
        <w:rPr>
          <w:b/>
          <w:bCs/>
          <w:sz w:val="24"/>
          <w:szCs w:val="24"/>
          <w:u w:val="single"/>
          <w:lang w:val="en-US"/>
        </w:rPr>
        <w:t xml:space="preserve">Public call for collecting applications of interested </w:t>
      </w:r>
      <w:r w:rsidR="00CE1FAF" w:rsidRPr="00CE1FAF">
        <w:rPr>
          <w:rFonts w:cs="Arial"/>
          <w:b/>
          <w:bCs/>
          <w:sz w:val="24"/>
          <w:szCs w:val="24"/>
          <w:u w:val="single"/>
          <w:lang w:val="en-US"/>
        </w:rPr>
        <w:t>citizens – private house owners or co-owners in order</w:t>
      </w:r>
      <w:r w:rsidRPr="00CE1FAF">
        <w:rPr>
          <w:b/>
          <w:bCs/>
          <w:sz w:val="24"/>
          <w:szCs w:val="24"/>
          <w:u w:val="single"/>
          <w:lang w:val="en-US"/>
        </w:rPr>
        <w:t xml:space="preserve"> to assess their energy poverty risk and/or energy poverty stage</w:t>
      </w:r>
      <w:r w:rsidRPr="00CE1FAF">
        <w:rPr>
          <w:sz w:val="24"/>
          <w:szCs w:val="24"/>
          <w:lang w:val="en-US"/>
        </w:rPr>
        <w:t xml:space="preserve"> </w:t>
      </w:r>
      <w:r w:rsidR="00982D1A" w:rsidRPr="00CE1FAF">
        <w:rPr>
          <w:sz w:val="24"/>
          <w:szCs w:val="24"/>
          <w:lang w:val="en-US"/>
        </w:rPr>
        <w:t xml:space="preserve">(in further text: Public call), the main goal is to select </w:t>
      </w:r>
      <w:r w:rsidR="00CE1FAF">
        <w:rPr>
          <w:sz w:val="24"/>
          <w:szCs w:val="24"/>
          <w:lang w:val="en-US"/>
        </w:rPr>
        <w:t>5</w:t>
      </w:r>
      <w:r w:rsidR="00982D1A" w:rsidRPr="00CE1FAF">
        <w:rPr>
          <w:sz w:val="24"/>
          <w:szCs w:val="24"/>
          <w:lang w:val="en-US"/>
        </w:rPr>
        <w:t xml:space="preserve"> </w:t>
      </w:r>
      <w:r w:rsidR="00CE1FAF">
        <w:rPr>
          <w:sz w:val="24"/>
          <w:szCs w:val="24"/>
          <w:lang w:val="en-US"/>
        </w:rPr>
        <w:t xml:space="preserve">private </w:t>
      </w:r>
      <w:r w:rsidR="00982D1A" w:rsidRPr="00CE1FAF">
        <w:rPr>
          <w:sz w:val="24"/>
          <w:szCs w:val="24"/>
          <w:lang w:val="en-US"/>
        </w:rPr>
        <w:t xml:space="preserve">houses </w:t>
      </w:r>
      <w:r w:rsidR="00CE1FAF">
        <w:rPr>
          <w:sz w:val="24"/>
          <w:szCs w:val="24"/>
          <w:lang w:val="en-US"/>
        </w:rPr>
        <w:t xml:space="preserve">in Medjimurje County and 5 private houses in Zala County </w:t>
      </w:r>
      <w:r w:rsidR="00982D1A" w:rsidRPr="00CE1FAF">
        <w:rPr>
          <w:sz w:val="24"/>
          <w:szCs w:val="24"/>
          <w:lang w:val="en-US"/>
        </w:rPr>
        <w:t xml:space="preserve">that will be included in the implementation of pilot actions. </w:t>
      </w:r>
    </w:p>
    <w:p w14:paraId="27356EE7" w14:textId="04D5CF83" w:rsidR="00982D1A" w:rsidRPr="00CE1FAF" w:rsidRDefault="00982D1A" w:rsidP="00CE1FAF">
      <w:pPr>
        <w:spacing w:before="120" w:after="120" w:line="276" w:lineRule="auto"/>
        <w:rPr>
          <w:rFonts w:cs="Arial"/>
          <w:sz w:val="24"/>
          <w:szCs w:val="24"/>
          <w:lang w:val="en-US"/>
        </w:rPr>
      </w:pPr>
      <w:r w:rsidRPr="00CE1FAF">
        <w:rPr>
          <w:sz w:val="24"/>
          <w:szCs w:val="24"/>
          <w:lang w:val="en-US"/>
        </w:rPr>
        <w:t xml:space="preserve">Pilot actions include development of energy audits and measurements of general building characteristics (thermographic measurements, blower door testing and U-value measurement) for </w:t>
      </w:r>
      <w:r w:rsidR="007B6541" w:rsidRPr="00CE1FAF">
        <w:rPr>
          <w:sz w:val="24"/>
          <w:szCs w:val="24"/>
          <w:lang w:val="en-US"/>
        </w:rPr>
        <w:t xml:space="preserve">10 </w:t>
      </w:r>
      <w:r w:rsidRPr="00CE1FAF">
        <w:rPr>
          <w:sz w:val="24"/>
          <w:szCs w:val="24"/>
          <w:lang w:val="en-US"/>
        </w:rPr>
        <w:t xml:space="preserve">selected </w:t>
      </w:r>
      <w:r w:rsidR="00CE1FAF">
        <w:rPr>
          <w:sz w:val="24"/>
          <w:szCs w:val="24"/>
          <w:lang w:val="en-US"/>
        </w:rPr>
        <w:t>private</w:t>
      </w:r>
      <w:r w:rsidRPr="00CE1FAF">
        <w:rPr>
          <w:sz w:val="24"/>
          <w:szCs w:val="24"/>
          <w:lang w:val="en-US"/>
        </w:rPr>
        <w:t xml:space="preserve"> houses in </w:t>
      </w:r>
      <w:r w:rsidR="007B6541" w:rsidRPr="00CE1FAF">
        <w:rPr>
          <w:sz w:val="24"/>
          <w:szCs w:val="24"/>
          <w:lang w:val="en-US"/>
        </w:rPr>
        <w:t xml:space="preserve">HU-HR </w:t>
      </w:r>
      <w:r w:rsidRPr="00CE1FAF">
        <w:rPr>
          <w:sz w:val="24"/>
          <w:szCs w:val="24"/>
          <w:lang w:val="en-US"/>
        </w:rPr>
        <w:t xml:space="preserve">cross-border area. Based on results of energy audits and implemented measurements the detailed plans for enhancing energy efficiency with defined measures with relevant technical solutions and financial possibilities for each relevant household will be developed. </w:t>
      </w:r>
    </w:p>
    <w:p w14:paraId="446A33B9" w14:textId="2ED554C3" w:rsidR="00590D4C" w:rsidRPr="004B7AF3" w:rsidRDefault="00982D1A" w:rsidP="00CE1FAF">
      <w:pPr>
        <w:spacing w:after="120" w:line="276" w:lineRule="auto"/>
        <w:rPr>
          <w:sz w:val="24"/>
          <w:szCs w:val="24"/>
          <w:lang w:val="en-US"/>
        </w:rPr>
      </w:pPr>
      <w:r w:rsidRPr="00CE1FAF">
        <w:rPr>
          <w:sz w:val="24"/>
          <w:szCs w:val="24"/>
          <w:lang w:val="en-US"/>
        </w:rPr>
        <w:t xml:space="preserve">In order to select 10 </w:t>
      </w:r>
      <w:r w:rsidR="00404B07">
        <w:rPr>
          <w:sz w:val="24"/>
          <w:szCs w:val="24"/>
          <w:lang w:val="en-US"/>
        </w:rPr>
        <w:t>private</w:t>
      </w:r>
      <w:r w:rsidRPr="00CE1FAF">
        <w:rPr>
          <w:sz w:val="24"/>
          <w:szCs w:val="24"/>
          <w:lang w:val="en-US"/>
        </w:rPr>
        <w:t xml:space="preserve"> houses</w:t>
      </w:r>
      <w:r w:rsidR="004B7AF3" w:rsidRPr="00CE1FAF">
        <w:rPr>
          <w:sz w:val="24"/>
          <w:szCs w:val="24"/>
          <w:lang w:val="en-US"/>
        </w:rPr>
        <w:t xml:space="preserve"> which will be included in the implementation of pilot actions</w:t>
      </w:r>
      <w:r w:rsidR="007B6541" w:rsidRPr="00CE1FAF">
        <w:rPr>
          <w:sz w:val="24"/>
          <w:szCs w:val="24"/>
          <w:lang w:val="en-US"/>
        </w:rPr>
        <w:t>, project partners defined</w:t>
      </w:r>
      <w:r w:rsidR="004B7AF3" w:rsidRPr="00CE1FAF">
        <w:rPr>
          <w:sz w:val="24"/>
          <w:szCs w:val="24"/>
          <w:lang w:val="en-US"/>
        </w:rPr>
        <w:t xml:space="preserve"> a </w:t>
      </w:r>
      <w:r w:rsidRPr="00CE1FAF">
        <w:rPr>
          <w:sz w:val="24"/>
          <w:szCs w:val="24"/>
          <w:lang w:val="en-US"/>
        </w:rPr>
        <w:t>scoring system</w:t>
      </w:r>
      <w:r w:rsidR="004B7AF3" w:rsidRPr="00CE1FAF">
        <w:rPr>
          <w:sz w:val="24"/>
          <w:szCs w:val="24"/>
          <w:lang w:val="en-US"/>
        </w:rPr>
        <w:t xml:space="preserve"> based on relevant criteri</w:t>
      </w:r>
      <w:r w:rsidR="007B6541" w:rsidRPr="00CE1FAF">
        <w:rPr>
          <w:sz w:val="24"/>
          <w:szCs w:val="24"/>
          <w:lang w:val="en-US"/>
        </w:rPr>
        <w:t>a</w:t>
      </w:r>
      <w:r w:rsidR="004B7AF3" w:rsidRPr="00CE1FAF">
        <w:rPr>
          <w:sz w:val="24"/>
          <w:szCs w:val="24"/>
          <w:lang w:val="en-US"/>
        </w:rPr>
        <w:t>. The criteria are defined in line with the energy poverty definition developed within CO-EMEP project. The purpose of this document is to clarify th</w:t>
      </w:r>
      <w:r w:rsidR="007B6541" w:rsidRPr="00CE1FAF">
        <w:rPr>
          <w:sz w:val="24"/>
          <w:szCs w:val="24"/>
          <w:lang w:val="en-US"/>
        </w:rPr>
        <w:t>is</w:t>
      </w:r>
      <w:r w:rsidR="004B7AF3" w:rsidRPr="00CE1FAF">
        <w:rPr>
          <w:sz w:val="24"/>
          <w:szCs w:val="24"/>
          <w:lang w:val="en-US"/>
        </w:rPr>
        <w:t xml:space="preserve"> scoring system</w:t>
      </w:r>
      <w:r w:rsidR="004B7AF3" w:rsidRPr="004B7AF3">
        <w:rPr>
          <w:sz w:val="24"/>
          <w:szCs w:val="24"/>
          <w:lang w:val="en-US"/>
        </w:rPr>
        <w:t>.</w:t>
      </w:r>
    </w:p>
    <w:p w14:paraId="496CDC3A" w14:textId="70498093" w:rsidR="005C7691" w:rsidRPr="00341C29" w:rsidRDefault="005C7691" w:rsidP="00961148">
      <w:pPr>
        <w:spacing w:after="120" w:line="276" w:lineRule="auto"/>
        <w:rPr>
          <w:sz w:val="24"/>
          <w:szCs w:val="24"/>
          <w:lang w:val="hr-HR"/>
        </w:rPr>
      </w:pPr>
    </w:p>
    <w:p w14:paraId="4ED669A2" w14:textId="30A7457F" w:rsidR="005C7691" w:rsidRPr="00CE1FAF" w:rsidRDefault="004B7AF3" w:rsidP="00961148">
      <w:pPr>
        <w:pStyle w:val="Naslov2"/>
        <w:numPr>
          <w:ilvl w:val="0"/>
          <w:numId w:val="49"/>
        </w:numPr>
        <w:spacing w:before="120" w:after="240" w:line="276" w:lineRule="auto"/>
        <w:ind w:left="284" w:hanging="284"/>
        <w:rPr>
          <w:sz w:val="28"/>
          <w:szCs w:val="28"/>
          <w:lang w:val="en-US"/>
        </w:rPr>
      </w:pPr>
      <w:r w:rsidRPr="00CE1FAF">
        <w:rPr>
          <w:sz w:val="28"/>
          <w:szCs w:val="28"/>
          <w:lang w:val="en-US"/>
        </w:rPr>
        <w:t>Ex</w:t>
      </w:r>
      <w:r w:rsidR="007B6541" w:rsidRPr="00CE1FAF">
        <w:rPr>
          <w:sz w:val="28"/>
          <w:szCs w:val="28"/>
          <w:lang w:val="en-US"/>
        </w:rPr>
        <w:t>c</w:t>
      </w:r>
      <w:r w:rsidRPr="00CE1FAF">
        <w:rPr>
          <w:sz w:val="28"/>
          <w:szCs w:val="28"/>
          <w:lang w:val="en-US"/>
        </w:rPr>
        <w:t>luding criteria</w:t>
      </w:r>
    </w:p>
    <w:p w14:paraId="49E47AB9" w14:textId="7C9E75BE" w:rsidR="00D10F5B" w:rsidRPr="007B6541" w:rsidRDefault="004B7AF3" w:rsidP="004B7AF3">
      <w:pPr>
        <w:spacing w:after="120" w:line="276" w:lineRule="auto"/>
        <w:rPr>
          <w:sz w:val="24"/>
          <w:szCs w:val="24"/>
          <w:lang w:val="en-US"/>
        </w:rPr>
      </w:pPr>
      <w:r w:rsidRPr="00AF32C0">
        <w:rPr>
          <w:sz w:val="24"/>
          <w:szCs w:val="24"/>
          <w:lang w:val="en-US"/>
        </w:rPr>
        <w:t>By applying the excluding criteria, the</w:t>
      </w:r>
      <w:r w:rsidR="007B6541" w:rsidRPr="00AF32C0">
        <w:rPr>
          <w:sz w:val="24"/>
          <w:szCs w:val="24"/>
          <w:lang w:val="en-US"/>
        </w:rPr>
        <w:t xml:space="preserve"> received applications can be excluded from the future selection proces</w:t>
      </w:r>
      <w:r w:rsidR="00AF32C0" w:rsidRPr="00AF32C0">
        <w:rPr>
          <w:sz w:val="24"/>
          <w:szCs w:val="24"/>
          <w:lang w:val="en-US"/>
        </w:rPr>
        <w:t>s, i.e.,</w:t>
      </w:r>
      <w:r w:rsidR="00AF32C0" w:rsidRPr="00AF32C0">
        <w:rPr>
          <w:rStyle w:val="jlqj4b"/>
          <w:sz w:val="24"/>
          <w:szCs w:val="24"/>
          <w:lang w:val="en"/>
        </w:rPr>
        <w:t xml:space="preserve"> scoring in order to define the ranking list of valid and timely received applications.</w:t>
      </w:r>
      <w:r w:rsidR="007B6541" w:rsidRPr="007B6541">
        <w:rPr>
          <w:sz w:val="24"/>
          <w:szCs w:val="24"/>
          <w:lang w:val="en-US"/>
        </w:rPr>
        <w:t xml:space="preserve"> The excluding criteria are the following:</w:t>
      </w:r>
      <w:r w:rsidR="007B6541">
        <w:rPr>
          <w:sz w:val="24"/>
          <w:szCs w:val="24"/>
          <w:lang w:val="en-US"/>
        </w:rPr>
        <w:t xml:space="preserve"> </w:t>
      </w:r>
      <w:r w:rsidR="007B6541" w:rsidRPr="007B6541">
        <w:rPr>
          <w:sz w:val="24"/>
          <w:szCs w:val="24"/>
          <w:lang w:val="en-US"/>
        </w:rPr>
        <w:t xml:space="preserve">legality of the </w:t>
      </w:r>
      <w:r w:rsidR="00404B07">
        <w:rPr>
          <w:sz w:val="24"/>
          <w:szCs w:val="24"/>
          <w:lang w:val="en-US"/>
        </w:rPr>
        <w:t>private house</w:t>
      </w:r>
      <w:r w:rsidR="007B6541" w:rsidRPr="007B6541">
        <w:rPr>
          <w:sz w:val="24"/>
          <w:szCs w:val="24"/>
          <w:lang w:val="en-US"/>
        </w:rPr>
        <w:t xml:space="preserve">, </w:t>
      </w:r>
      <w:bookmarkStart w:id="1" w:name="_Hlk68765418"/>
      <w:r w:rsidR="007B6541" w:rsidRPr="007B6541">
        <w:rPr>
          <w:sz w:val="24"/>
          <w:szCs w:val="24"/>
          <w:lang w:val="en-US"/>
        </w:rPr>
        <w:t xml:space="preserve">power of the primary heat source </w:t>
      </w:r>
      <w:r w:rsidR="00404B07">
        <w:rPr>
          <w:sz w:val="24"/>
          <w:szCs w:val="24"/>
          <w:lang w:val="en-US"/>
        </w:rPr>
        <w:t xml:space="preserve">of private house </w:t>
      </w:r>
      <w:r w:rsidR="007B6541" w:rsidRPr="007B6541">
        <w:rPr>
          <w:sz w:val="24"/>
          <w:szCs w:val="24"/>
          <w:lang w:val="en-US"/>
        </w:rPr>
        <w:t>for heating and preparation of domestic hot water greater than 30 kW</w:t>
      </w:r>
      <w:bookmarkEnd w:id="1"/>
      <w:r w:rsidR="007B6541" w:rsidRPr="007B6541">
        <w:rPr>
          <w:sz w:val="24"/>
          <w:szCs w:val="24"/>
          <w:lang w:val="en-US"/>
        </w:rPr>
        <w:t>, gross</w:t>
      </w:r>
      <w:r w:rsidR="00735149">
        <w:rPr>
          <w:sz w:val="24"/>
          <w:szCs w:val="24"/>
          <w:lang w:val="en-US"/>
        </w:rPr>
        <w:t xml:space="preserve"> floor </w:t>
      </w:r>
      <w:r w:rsidR="007B6541" w:rsidRPr="007B6541">
        <w:rPr>
          <w:sz w:val="24"/>
          <w:szCs w:val="24"/>
          <w:lang w:val="en-US"/>
        </w:rPr>
        <w:t xml:space="preserve">area </w:t>
      </w:r>
      <w:r w:rsidR="00404B07">
        <w:rPr>
          <w:sz w:val="24"/>
          <w:szCs w:val="24"/>
          <w:lang w:val="en-US"/>
        </w:rPr>
        <w:t xml:space="preserve">of the private </w:t>
      </w:r>
      <w:r w:rsidR="00AF32C0">
        <w:rPr>
          <w:sz w:val="24"/>
          <w:szCs w:val="24"/>
          <w:lang w:val="en-US"/>
        </w:rPr>
        <w:t>house</w:t>
      </w:r>
      <w:r w:rsidR="00404B07">
        <w:rPr>
          <w:sz w:val="24"/>
          <w:szCs w:val="24"/>
          <w:lang w:val="en-US"/>
        </w:rPr>
        <w:t xml:space="preserve"> </w:t>
      </w:r>
      <w:r w:rsidR="007B6541" w:rsidRPr="007B6541">
        <w:rPr>
          <w:sz w:val="24"/>
          <w:szCs w:val="24"/>
          <w:lang w:val="en-US"/>
        </w:rPr>
        <w:t>greater than 250 m</w:t>
      </w:r>
      <w:r w:rsidR="007B6541" w:rsidRPr="007B6541">
        <w:rPr>
          <w:sz w:val="24"/>
          <w:szCs w:val="24"/>
          <w:vertAlign w:val="superscript"/>
          <w:lang w:val="en-US"/>
        </w:rPr>
        <w:t>2</w:t>
      </w:r>
      <w:r w:rsidR="007B6541" w:rsidRPr="007B6541">
        <w:rPr>
          <w:sz w:val="24"/>
          <w:szCs w:val="24"/>
          <w:lang w:val="en-US"/>
        </w:rPr>
        <w:t xml:space="preserve"> and the existence of an energy certificate. </w:t>
      </w:r>
    </w:p>
    <w:p w14:paraId="44EE6187" w14:textId="29294E22" w:rsidR="00084BEF" w:rsidRPr="007B6541" w:rsidRDefault="007B6541" w:rsidP="00084BEF">
      <w:pPr>
        <w:spacing w:after="120" w:line="276" w:lineRule="auto"/>
        <w:rPr>
          <w:sz w:val="24"/>
          <w:szCs w:val="24"/>
          <w:lang w:val="en-US"/>
        </w:rPr>
      </w:pPr>
      <w:r w:rsidRPr="007B6541">
        <w:rPr>
          <w:sz w:val="24"/>
          <w:szCs w:val="24"/>
          <w:lang w:val="en-US"/>
        </w:rPr>
        <w:t>Explanations for each exclusion criterion are given below</w:t>
      </w:r>
      <w:r w:rsidR="00084BEF" w:rsidRPr="007B6541">
        <w:rPr>
          <w:sz w:val="24"/>
          <w:szCs w:val="24"/>
          <w:lang w:val="en-US"/>
        </w:rPr>
        <w:t>:</w:t>
      </w:r>
    </w:p>
    <w:p w14:paraId="676FED3E" w14:textId="52F35807" w:rsidR="005C7691" w:rsidRPr="00CB1D9B" w:rsidRDefault="007B6541" w:rsidP="00961148">
      <w:pPr>
        <w:pStyle w:val="Odlomakpopisa"/>
        <w:numPr>
          <w:ilvl w:val="1"/>
          <w:numId w:val="44"/>
        </w:numPr>
        <w:spacing w:after="120" w:line="276" w:lineRule="auto"/>
        <w:ind w:left="993" w:hanging="437"/>
        <w:contextualSpacing w:val="0"/>
        <w:rPr>
          <w:sz w:val="24"/>
          <w:szCs w:val="24"/>
          <w:lang w:val="en-US"/>
        </w:rPr>
      </w:pPr>
      <w:commentRangeStart w:id="2"/>
      <w:r w:rsidRPr="00CB1D9B">
        <w:rPr>
          <w:b/>
          <w:bCs/>
          <w:sz w:val="24"/>
          <w:szCs w:val="24"/>
          <w:u w:val="single"/>
          <w:lang w:val="en-US"/>
        </w:rPr>
        <w:t xml:space="preserve">Legality of the </w:t>
      </w:r>
      <w:r w:rsidR="00404B07">
        <w:rPr>
          <w:b/>
          <w:bCs/>
          <w:sz w:val="24"/>
          <w:szCs w:val="24"/>
          <w:u w:val="single"/>
          <w:lang w:val="en-US"/>
        </w:rPr>
        <w:t>private house</w:t>
      </w:r>
      <w:commentRangeEnd w:id="2"/>
      <w:r w:rsidR="00404B07">
        <w:rPr>
          <w:sz w:val="24"/>
          <w:szCs w:val="24"/>
          <w:lang w:val="en-US"/>
        </w:rPr>
        <w:t xml:space="preserve"> </w:t>
      </w:r>
      <w:r w:rsidRPr="00CB1D9B">
        <w:rPr>
          <w:rStyle w:val="Referencakomentara"/>
          <w:rFonts w:asciiTheme="minorHAnsi" w:hAnsiTheme="minorHAnsi"/>
          <w:lang w:val="en-US"/>
        </w:rPr>
        <w:commentReference w:id="2"/>
      </w:r>
      <w:r w:rsidR="005C7691" w:rsidRPr="00CB1D9B">
        <w:rPr>
          <w:sz w:val="24"/>
          <w:szCs w:val="24"/>
          <w:lang w:val="en-US"/>
        </w:rPr>
        <w:t xml:space="preserve">– </w:t>
      </w:r>
      <w:r w:rsidRPr="00CB1D9B">
        <w:rPr>
          <w:sz w:val="24"/>
          <w:szCs w:val="24"/>
          <w:lang w:val="en-US"/>
        </w:rPr>
        <w:t xml:space="preserve">the </w:t>
      </w:r>
      <w:r w:rsidR="00404B07">
        <w:rPr>
          <w:sz w:val="24"/>
          <w:szCs w:val="24"/>
          <w:lang w:val="en-US"/>
        </w:rPr>
        <w:t>private</w:t>
      </w:r>
      <w:r w:rsidRPr="00CB1D9B">
        <w:rPr>
          <w:sz w:val="24"/>
          <w:szCs w:val="24"/>
          <w:lang w:val="en-US"/>
        </w:rPr>
        <w:t xml:space="preserve"> house for which the application is submitted should be</w:t>
      </w:r>
      <w:r w:rsidR="005425CC">
        <w:rPr>
          <w:sz w:val="24"/>
          <w:szCs w:val="24"/>
          <w:lang w:val="en-US"/>
        </w:rPr>
        <w:t xml:space="preserve"> l</w:t>
      </w:r>
      <w:r w:rsidRPr="00CB1D9B">
        <w:rPr>
          <w:sz w:val="24"/>
          <w:szCs w:val="24"/>
          <w:lang w:val="en-US"/>
        </w:rPr>
        <w:t>egal, i.e.</w:t>
      </w:r>
      <w:r w:rsidR="004E13B3" w:rsidRPr="00CB1D9B">
        <w:rPr>
          <w:sz w:val="24"/>
          <w:szCs w:val="24"/>
          <w:lang w:val="en-US"/>
        </w:rPr>
        <w:t>,</w:t>
      </w:r>
      <w:r w:rsidRPr="00CB1D9B">
        <w:rPr>
          <w:sz w:val="24"/>
          <w:szCs w:val="24"/>
          <w:lang w:val="en-US"/>
        </w:rPr>
        <w:t xml:space="preserve"> built on a basis of a building permit or other appropriate act in accordance with Construction Act (OG 153/13, 20/17, 39/19, 125/19) in Croatia or any other or equated with it by a special law and which has not been upgraded or changed in relation to the act proving its legality</w:t>
      </w:r>
      <w:r w:rsidR="005C7691" w:rsidRPr="00CB1D9B">
        <w:rPr>
          <w:sz w:val="24"/>
          <w:szCs w:val="24"/>
          <w:lang w:val="en-US"/>
        </w:rPr>
        <w:t>;</w:t>
      </w:r>
    </w:p>
    <w:p w14:paraId="79A484C4" w14:textId="77143DFF" w:rsidR="00EA00C4" w:rsidRPr="00CB1D9B" w:rsidRDefault="004E13B3" w:rsidP="00084BEF">
      <w:pPr>
        <w:pStyle w:val="Odlomakpopisa"/>
        <w:numPr>
          <w:ilvl w:val="1"/>
          <w:numId w:val="44"/>
        </w:numPr>
        <w:spacing w:after="120" w:line="276" w:lineRule="auto"/>
        <w:ind w:left="993" w:hanging="437"/>
        <w:contextualSpacing w:val="0"/>
        <w:rPr>
          <w:sz w:val="24"/>
          <w:szCs w:val="24"/>
          <w:lang w:val="en-US"/>
        </w:rPr>
      </w:pPr>
      <w:r w:rsidRPr="00CB1D9B">
        <w:rPr>
          <w:b/>
          <w:bCs/>
          <w:sz w:val="24"/>
          <w:szCs w:val="24"/>
          <w:u w:val="single"/>
          <w:lang w:val="en-US"/>
        </w:rPr>
        <w:t>Power of the primary heat source for heating and preparation of domestic hot water greater than 30 kW</w:t>
      </w:r>
      <w:r w:rsidRPr="00CB1D9B">
        <w:rPr>
          <w:b/>
          <w:bCs/>
          <w:sz w:val="24"/>
          <w:szCs w:val="24"/>
          <w:lang w:val="en-US"/>
        </w:rPr>
        <w:t xml:space="preserve"> </w:t>
      </w:r>
      <w:r w:rsidR="00EA00C4" w:rsidRPr="00CB1D9B">
        <w:rPr>
          <w:sz w:val="24"/>
          <w:szCs w:val="24"/>
          <w:lang w:val="en-US"/>
        </w:rPr>
        <w:t xml:space="preserve">– </w:t>
      </w:r>
      <w:r w:rsidRPr="00CB1D9B">
        <w:rPr>
          <w:sz w:val="24"/>
          <w:szCs w:val="24"/>
          <w:lang w:val="en-US"/>
        </w:rPr>
        <w:t>according to</w:t>
      </w:r>
      <w:r w:rsidR="00EA00C4" w:rsidRPr="00CB1D9B">
        <w:rPr>
          <w:sz w:val="24"/>
          <w:szCs w:val="24"/>
          <w:lang w:val="en-US"/>
        </w:rPr>
        <w:t xml:space="preserve"> </w:t>
      </w:r>
      <w:r w:rsidR="00AF32C0">
        <w:rPr>
          <w:sz w:val="24"/>
          <w:szCs w:val="24"/>
          <w:lang w:val="en-US"/>
        </w:rPr>
        <w:t xml:space="preserve">the </w:t>
      </w:r>
      <w:r w:rsidRPr="00CB1D9B">
        <w:rPr>
          <w:sz w:val="24"/>
          <w:szCs w:val="24"/>
          <w:lang w:val="en-US"/>
        </w:rPr>
        <w:t>Ordinance on simple and other constructions and works (OG 112/17; 34/18, 36/19, 98/19, 31/20) in Croatia if the power of primary heat source for heating and preparation of domestic hot water is greater than 30 kW</w:t>
      </w:r>
      <w:r w:rsidR="005425CC">
        <w:rPr>
          <w:sz w:val="24"/>
          <w:szCs w:val="24"/>
          <w:lang w:val="en-US"/>
        </w:rPr>
        <w:t xml:space="preserve">, </w:t>
      </w:r>
      <w:r w:rsidR="00CB1D9B" w:rsidRPr="00CB1D9B">
        <w:rPr>
          <w:sz w:val="24"/>
          <w:szCs w:val="24"/>
          <w:lang w:val="en-US"/>
        </w:rPr>
        <w:t>then this is a case of a building with a com</w:t>
      </w:r>
      <w:r w:rsidR="00CB1D9B">
        <w:rPr>
          <w:sz w:val="24"/>
          <w:szCs w:val="24"/>
          <w:lang w:val="en-US"/>
        </w:rPr>
        <w:t>p</w:t>
      </w:r>
      <w:r w:rsidR="00CB1D9B" w:rsidRPr="00CB1D9B">
        <w:rPr>
          <w:sz w:val="24"/>
          <w:szCs w:val="24"/>
          <w:lang w:val="en-US"/>
        </w:rPr>
        <w:t>lex technical system where a person fo</w:t>
      </w:r>
      <w:r w:rsidR="00CB1D9B">
        <w:rPr>
          <w:sz w:val="24"/>
          <w:szCs w:val="24"/>
          <w:lang w:val="en-US"/>
        </w:rPr>
        <w:t>r</w:t>
      </w:r>
      <w:r w:rsidR="00CB1D9B" w:rsidRPr="00CB1D9B">
        <w:rPr>
          <w:sz w:val="24"/>
          <w:szCs w:val="24"/>
          <w:lang w:val="en-US"/>
        </w:rPr>
        <w:t xml:space="preserve"> energy certification of building is obligated to ensure that the energy audit and energy certification of </w:t>
      </w:r>
      <w:r w:rsidR="00AF32C0">
        <w:rPr>
          <w:sz w:val="24"/>
          <w:szCs w:val="24"/>
          <w:lang w:val="en-US"/>
        </w:rPr>
        <w:t xml:space="preserve">the </w:t>
      </w:r>
      <w:r w:rsidR="00CB1D9B" w:rsidRPr="00CB1D9B">
        <w:rPr>
          <w:sz w:val="24"/>
          <w:szCs w:val="24"/>
          <w:lang w:val="en-US"/>
        </w:rPr>
        <w:t xml:space="preserve">building should be performed in a team of at least three </w:t>
      </w:r>
      <w:r w:rsidR="00CB1D9B" w:rsidRPr="00CB1D9B">
        <w:rPr>
          <w:sz w:val="24"/>
          <w:szCs w:val="24"/>
          <w:lang w:val="en-US"/>
        </w:rPr>
        <w:lastRenderedPageBreak/>
        <w:t>experts each of whom must be one of the following professions: architectural/construction, mechanical and electrical (according to Article 17 of Ordinance on persons authorized for energy certification, energy audit of a building and regular inspection of heating and cooling or air conditioning systems in a building - OG 73/15, 133/15, 60/20);</w:t>
      </w:r>
    </w:p>
    <w:p w14:paraId="1FBCA4AB" w14:textId="3C6D373A" w:rsidR="00CB1D9B" w:rsidRPr="00CB1D9B" w:rsidRDefault="00CB1D9B" w:rsidP="00CB1D9B">
      <w:pPr>
        <w:pStyle w:val="Odlomakpopisa"/>
        <w:numPr>
          <w:ilvl w:val="1"/>
          <w:numId w:val="44"/>
        </w:numPr>
        <w:spacing w:after="120" w:line="276" w:lineRule="auto"/>
        <w:ind w:left="993" w:hanging="437"/>
        <w:contextualSpacing w:val="0"/>
        <w:rPr>
          <w:sz w:val="24"/>
          <w:szCs w:val="24"/>
          <w:lang w:val="en-US"/>
        </w:rPr>
      </w:pPr>
      <w:r w:rsidRPr="00CB1D9B">
        <w:rPr>
          <w:b/>
          <w:bCs/>
          <w:sz w:val="24"/>
          <w:szCs w:val="24"/>
          <w:u w:val="single"/>
          <w:lang w:val="en-US"/>
        </w:rPr>
        <w:t xml:space="preserve">Gross </w:t>
      </w:r>
      <w:r w:rsidR="00735149">
        <w:rPr>
          <w:b/>
          <w:bCs/>
          <w:sz w:val="24"/>
          <w:szCs w:val="24"/>
          <w:u w:val="single"/>
          <w:lang w:val="en-US"/>
        </w:rPr>
        <w:t>floor</w:t>
      </w:r>
      <w:r w:rsidRPr="00CB1D9B">
        <w:rPr>
          <w:b/>
          <w:bCs/>
          <w:sz w:val="24"/>
          <w:szCs w:val="24"/>
          <w:u w:val="single"/>
          <w:lang w:val="en-US"/>
        </w:rPr>
        <w:t xml:space="preserve"> area </w:t>
      </w:r>
      <w:r w:rsidR="005425CC">
        <w:rPr>
          <w:b/>
          <w:bCs/>
          <w:sz w:val="24"/>
          <w:szCs w:val="24"/>
          <w:u w:val="single"/>
          <w:lang w:val="en-US"/>
        </w:rPr>
        <w:t xml:space="preserve">of private house </w:t>
      </w:r>
      <w:r w:rsidRPr="00CB1D9B">
        <w:rPr>
          <w:b/>
          <w:bCs/>
          <w:sz w:val="24"/>
          <w:szCs w:val="24"/>
          <w:u w:val="single"/>
          <w:lang w:val="en-US"/>
        </w:rPr>
        <w:t>is larger than 250 m</w:t>
      </w:r>
      <w:r w:rsidRPr="00CB1D9B">
        <w:rPr>
          <w:b/>
          <w:bCs/>
          <w:sz w:val="24"/>
          <w:szCs w:val="24"/>
          <w:u w:val="single"/>
          <w:vertAlign w:val="superscript"/>
          <w:lang w:val="en-US"/>
        </w:rPr>
        <w:t>2</w:t>
      </w:r>
      <w:r w:rsidRPr="00CB1D9B">
        <w:rPr>
          <w:b/>
          <w:bCs/>
          <w:sz w:val="24"/>
          <w:szCs w:val="24"/>
          <w:lang w:val="en-US"/>
        </w:rPr>
        <w:t xml:space="preserve"> – </w:t>
      </w:r>
      <w:r w:rsidRPr="00CB1D9B">
        <w:rPr>
          <w:sz w:val="24"/>
          <w:szCs w:val="24"/>
          <w:lang w:val="en-US"/>
        </w:rPr>
        <w:t xml:space="preserve">in accordance with the Ordinance on simple and other buildings and works (OG 112/17; 34/18, 36/19, 98/19, 31/20) in Croatia a </w:t>
      </w:r>
      <w:r w:rsidR="005425CC">
        <w:rPr>
          <w:sz w:val="24"/>
          <w:szCs w:val="24"/>
          <w:lang w:val="en-US"/>
        </w:rPr>
        <w:t>private</w:t>
      </w:r>
      <w:r w:rsidRPr="00CB1D9B">
        <w:rPr>
          <w:sz w:val="24"/>
          <w:szCs w:val="24"/>
          <w:lang w:val="en-US"/>
        </w:rPr>
        <w:t xml:space="preserve"> house is considered a simple building in case its gross construction area is less than or equal to 600 m</w:t>
      </w:r>
      <w:r w:rsidRPr="00CB1D9B">
        <w:rPr>
          <w:sz w:val="24"/>
          <w:szCs w:val="24"/>
          <w:vertAlign w:val="superscript"/>
          <w:lang w:val="en-US"/>
        </w:rPr>
        <w:t>2</w:t>
      </w:r>
      <w:r w:rsidRPr="00CB1D9B">
        <w:rPr>
          <w:sz w:val="24"/>
          <w:szCs w:val="24"/>
          <w:lang w:val="en-US"/>
        </w:rPr>
        <w:t>. Households, especially those characterized as energy poor in the cross-border area, live on average in smaller buildings, so as an exclusive criterion it is stated that its gross construction area may not exceed 250 m</w:t>
      </w:r>
      <w:r w:rsidRPr="00CB1D9B">
        <w:rPr>
          <w:sz w:val="24"/>
          <w:szCs w:val="24"/>
          <w:vertAlign w:val="superscript"/>
          <w:lang w:val="en-US"/>
        </w:rPr>
        <w:t>2</w:t>
      </w:r>
      <w:r w:rsidR="007F504B" w:rsidRPr="00CB1D9B">
        <w:rPr>
          <w:sz w:val="24"/>
          <w:szCs w:val="24"/>
          <w:lang w:val="en-US"/>
        </w:rPr>
        <w:t>;</w:t>
      </w:r>
    </w:p>
    <w:p w14:paraId="78545EC4" w14:textId="17AD4FF5" w:rsidR="005C7691" w:rsidRPr="00CB1D9B" w:rsidRDefault="00CB1D9B" w:rsidP="00CB1D9B">
      <w:pPr>
        <w:pStyle w:val="Odlomakpopisa"/>
        <w:numPr>
          <w:ilvl w:val="1"/>
          <w:numId w:val="44"/>
        </w:numPr>
        <w:spacing w:after="120" w:line="276" w:lineRule="auto"/>
        <w:ind w:left="993" w:hanging="437"/>
        <w:contextualSpacing w:val="0"/>
        <w:rPr>
          <w:rStyle w:val="jlqj4b"/>
          <w:sz w:val="24"/>
          <w:szCs w:val="24"/>
          <w:lang w:val="en-US"/>
        </w:rPr>
      </w:pPr>
      <w:r w:rsidRPr="00CB1D9B">
        <w:rPr>
          <w:rStyle w:val="jlqj4b"/>
          <w:b/>
          <w:bCs/>
          <w:sz w:val="24"/>
          <w:szCs w:val="24"/>
          <w:u w:val="single"/>
          <w:lang w:val="en-US"/>
        </w:rPr>
        <w:t>Existence of energy certificate</w:t>
      </w:r>
      <w:r w:rsidRPr="00CB1D9B">
        <w:rPr>
          <w:rStyle w:val="jlqj4b"/>
          <w:sz w:val="24"/>
          <w:szCs w:val="24"/>
          <w:lang w:val="en-US"/>
        </w:rPr>
        <w:t xml:space="preserve"> – a </w:t>
      </w:r>
      <w:r w:rsidR="005425CC">
        <w:rPr>
          <w:rStyle w:val="jlqj4b"/>
          <w:sz w:val="24"/>
          <w:szCs w:val="24"/>
          <w:lang w:val="en-US"/>
        </w:rPr>
        <w:t>private</w:t>
      </w:r>
      <w:r w:rsidRPr="00CB1D9B">
        <w:rPr>
          <w:rStyle w:val="jlqj4b"/>
          <w:sz w:val="24"/>
          <w:szCs w:val="24"/>
          <w:lang w:val="en-US"/>
        </w:rPr>
        <w:t xml:space="preserve"> house has an energy certificate.</w:t>
      </w:r>
    </w:p>
    <w:p w14:paraId="74FE97F1" w14:textId="77777777" w:rsidR="00CB1D9B" w:rsidRPr="00CB1D9B" w:rsidRDefault="00CB1D9B" w:rsidP="00CB1D9B">
      <w:pPr>
        <w:pStyle w:val="Odlomakpopisa"/>
        <w:spacing w:after="120" w:line="276" w:lineRule="auto"/>
        <w:ind w:left="993"/>
        <w:contextualSpacing w:val="0"/>
        <w:rPr>
          <w:sz w:val="24"/>
          <w:szCs w:val="24"/>
          <w:lang w:val="hr-HR"/>
        </w:rPr>
      </w:pPr>
    </w:p>
    <w:p w14:paraId="2548756C" w14:textId="041CC73B" w:rsidR="00341C29" w:rsidRPr="00CE1FAF" w:rsidRDefault="00CB1D9B" w:rsidP="00961148">
      <w:pPr>
        <w:pStyle w:val="Naslov2"/>
        <w:numPr>
          <w:ilvl w:val="0"/>
          <w:numId w:val="44"/>
        </w:numPr>
        <w:spacing w:before="0" w:after="240" w:line="276" w:lineRule="auto"/>
        <w:ind w:left="284" w:hanging="284"/>
        <w:rPr>
          <w:sz w:val="28"/>
          <w:szCs w:val="28"/>
          <w:lang w:val="en-US"/>
        </w:rPr>
      </w:pPr>
      <w:r w:rsidRPr="00CE1FAF">
        <w:rPr>
          <w:sz w:val="28"/>
          <w:szCs w:val="28"/>
          <w:lang w:val="en-US"/>
        </w:rPr>
        <w:t>Scoring criteria</w:t>
      </w:r>
    </w:p>
    <w:p w14:paraId="5B3AFF75" w14:textId="7A61B561" w:rsidR="00AF32C0" w:rsidRPr="00AF32C0" w:rsidRDefault="00CB1D9B" w:rsidP="00961148">
      <w:pPr>
        <w:spacing w:line="276" w:lineRule="auto"/>
        <w:rPr>
          <w:sz w:val="24"/>
          <w:szCs w:val="24"/>
          <w:lang w:val="en-US"/>
        </w:rPr>
      </w:pPr>
      <w:r w:rsidRPr="00AF32C0">
        <w:rPr>
          <w:sz w:val="24"/>
          <w:szCs w:val="24"/>
          <w:lang w:val="en-US"/>
        </w:rPr>
        <w:t>Criteria relevant for scoring the received applications ar</w:t>
      </w:r>
      <w:r w:rsidR="00161798" w:rsidRPr="00AF32C0">
        <w:rPr>
          <w:sz w:val="24"/>
          <w:szCs w:val="24"/>
          <w:lang w:val="en-US"/>
        </w:rPr>
        <w:t>e</w:t>
      </w:r>
      <w:r w:rsidRPr="00AF32C0">
        <w:rPr>
          <w:sz w:val="24"/>
          <w:szCs w:val="24"/>
          <w:lang w:val="en-US"/>
        </w:rPr>
        <w:t xml:space="preserve"> the following: total household net income, year of construction</w:t>
      </w:r>
      <w:r w:rsidR="00161798" w:rsidRPr="00AF32C0">
        <w:rPr>
          <w:sz w:val="24"/>
          <w:szCs w:val="24"/>
          <w:lang w:val="en-US"/>
        </w:rPr>
        <w:t xml:space="preserve"> and</w:t>
      </w:r>
      <w:r w:rsidRPr="00AF32C0">
        <w:rPr>
          <w:sz w:val="24"/>
          <w:szCs w:val="24"/>
          <w:lang w:val="en-US"/>
        </w:rPr>
        <w:t xml:space="preserve"> </w:t>
      </w:r>
      <w:bookmarkStart w:id="3" w:name="_Hlk68778374"/>
      <w:r w:rsidRPr="00AF32C0">
        <w:rPr>
          <w:sz w:val="24"/>
          <w:szCs w:val="24"/>
          <w:lang w:val="en-US"/>
        </w:rPr>
        <w:t>type of heating energy source</w:t>
      </w:r>
      <w:bookmarkEnd w:id="3"/>
      <w:r w:rsidRPr="00AF32C0">
        <w:rPr>
          <w:sz w:val="24"/>
          <w:szCs w:val="24"/>
          <w:lang w:val="en-US"/>
        </w:rPr>
        <w:t xml:space="preserve">. </w:t>
      </w:r>
      <w:r w:rsidR="00AF32C0" w:rsidRPr="00AF32C0">
        <w:rPr>
          <w:rStyle w:val="jlqj4b"/>
          <w:sz w:val="24"/>
          <w:szCs w:val="24"/>
          <w:lang w:val="en"/>
        </w:rPr>
        <w:t>These criteria are in line with the definition developed within the project by relevant experts.</w:t>
      </w:r>
    </w:p>
    <w:p w14:paraId="744903E0" w14:textId="6517C059" w:rsidR="00341C29" w:rsidRPr="00CB1D9B" w:rsidRDefault="00CB1D9B" w:rsidP="00961148">
      <w:pPr>
        <w:spacing w:line="276" w:lineRule="auto"/>
        <w:rPr>
          <w:sz w:val="24"/>
          <w:szCs w:val="24"/>
          <w:lang w:val="en-US"/>
        </w:rPr>
      </w:pPr>
      <w:r w:rsidRPr="00CB1D9B">
        <w:rPr>
          <w:sz w:val="24"/>
          <w:szCs w:val="24"/>
          <w:lang w:val="en-US"/>
        </w:rPr>
        <w:t>Each of these criteria</w:t>
      </w:r>
      <w:r w:rsidR="00161798">
        <w:rPr>
          <w:sz w:val="24"/>
          <w:szCs w:val="24"/>
          <w:lang w:val="en-US"/>
        </w:rPr>
        <w:t xml:space="preserve"> with appointed points</w:t>
      </w:r>
      <w:r w:rsidRPr="00CB1D9B">
        <w:rPr>
          <w:sz w:val="24"/>
          <w:szCs w:val="24"/>
          <w:lang w:val="en-US"/>
        </w:rPr>
        <w:t xml:space="preserve"> </w:t>
      </w:r>
      <w:r w:rsidR="00161798">
        <w:rPr>
          <w:sz w:val="24"/>
          <w:szCs w:val="24"/>
          <w:lang w:val="en-US"/>
        </w:rPr>
        <w:t>are</w:t>
      </w:r>
      <w:r w:rsidRPr="00CB1D9B">
        <w:rPr>
          <w:sz w:val="24"/>
          <w:szCs w:val="24"/>
          <w:lang w:val="en-US"/>
        </w:rPr>
        <w:t xml:space="preserve"> described below.</w:t>
      </w:r>
    </w:p>
    <w:p w14:paraId="428DC7E3" w14:textId="77777777" w:rsidR="00706083" w:rsidRPr="00AF32C0" w:rsidRDefault="00706083" w:rsidP="00961148">
      <w:pPr>
        <w:spacing w:line="276" w:lineRule="auto"/>
        <w:rPr>
          <w:sz w:val="24"/>
          <w:szCs w:val="24"/>
          <w:lang w:val="hr-HR"/>
        </w:rPr>
      </w:pPr>
    </w:p>
    <w:p w14:paraId="7E6474FF" w14:textId="198A1705" w:rsidR="00590D4C" w:rsidRPr="007E494B" w:rsidRDefault="00CB1D9B" w:rsidP="00961148">
      <w:pPr>
        <w:pStyle w:val="Naslov3"/>
        <w:numPr>
          <w:ilvl w:val="1"/>
          <w:numId w:val="44"/>
        </w:numPr>
        <w:spacing w:before="240" w:after="240" w:line="276" w:lineRule="auto"/>
        <w:ind w:left="992" w:hanging="425"/>
        <w:rPr>
          <w:lang w:val="en-US"/>
        </w:rPr>
      </w:pPr>
      <w:r w:rsidRPr="007E494B">
        <w:rPr>
          <w:lang w:val="en-US"/>
        </w:rPr>
        <w:t>Household income</w:t>
      </w:r>
    </w:p>
    <w:p w14:paraId="3EB70F71" w14:textId="524626A7" w:rsidR="00CB1D9B" w:rsidRPr="007E494B" w:rsidRDefault="00CB1D9B" w:rsidP="00961148">
      <w:pPr>
        <w:spacing w:after="120" w:line="276" w:lineRule="auto"/>
        <w:rPr>
          <w:sz w:val="24"/>
          <w:szCs w:val="24"/>
          <w:lang w:val="en-US"/>
        </w:rPr>
      </w:pPr>
      <w:r w:rsidRPr="007E494B">
        <w:rPr>
          <w:sz w:val="24"/>
          <w:szCs w:val="24"/>
          <w:lang w:val="en-US"/>
        </w:rPr>
        <w:t>One of the most important criteria for addressing energy poverty is total household income, i.e.</w:t>
      </w:r>
      <w:r w:rsidR="007E494B" w:rsidRPr="007E494B">
        <w:rPr>
          <w:sz w:val="24"/>
          <w:szCs w:val="24"/>
          <w:lang w:val="en-US"/>
        </w:rPr>
        <w:t>,</w:t>
      </w:r>
      <w:r w:rsidRPr="007E494B">
        <w:rPr>
          <w:sz w:val="24"/>
          <w:szCs w:val="24"/>
          <w:lang w:val="en-US"/>
        </w:rPr>
        <w:t xml:space="preserve"> total net household income </w:t>
      </w:r>
      <w:r w:rsidR="005425CC">
        <w:rPr>
          <w:sz w:val="24"/>
          <w:szCs w:val="24"/>
          <w:lang w:val="en-US"/>
        </w:rPr>
        <w:t xml:space="preserve">in </w:t>
      </w:r>
      <w:r w:rsidR="00AF32C0">
        <w:rPr>
          <w:rFonts w:cs="Arial"/>
          <w:sz w:val="24"/>
          <w:szCs w:val="24"/>
          <w:lang w:val="en-US"/>
        </w:rPr>
        <w:t>€</w:t>
      </w:r>
      <w:r w:rsidR="005425CC">
        <w:rPr>
          <w:sz w:val="24"/>
          <w:szCs w:val="24"/>
          <w:lang w:val="en-US"/>
        </w:rPr>
        <w:t xml:space="preserve"> </w:t>
      </w:r>
      <w:r w:rsidRPr="007E494B">
        <w:rPr>
          <w:sz w:val="24"/>
          <w:szCs w:val="24"/>
          <w:lang w:val="en-US"/>
        </w:rPr>
        <w:t xml:space="preserve">that includes income of employed household members and income of other household members (including personal income, pensions, child allowances, unemployment benefits, social assistance, insurance benefits and </w:t>
      </w:r>
      <w:r w:rsidR="007E494B" w:rsidRPr="007E494B">
        <w:rPr>
          <w:sz w:val="24"/>
          <w:szCs w:val="24"/>
          <w:lang w:val="en-US"/>
        </w:rPr>
        <w:t>other)</w:t>
      </w:r>
      <w:r w:rsidRPr="007E494B">
        <w:rPr>
          <w:sz w:val="24"/>
          <w:szCs w:val="24"/>
          <w:lang w:val="en-US"/>
        </w:rPr>
        <w:t>.</w:t>
      </w:r>
    </w:p>
    <w:p w14:paraId="7BF1C079" w14:textId="026D6AF5" w:rsidR="007E494B" w:rsidRPr="00F34C04" w:rsidRDefault="007E494B" w:rsidP="00F34C04">
      <w:pPr>
        <w:spacing w:after="120" w:line="276" w:lineRule="auto"/>
        <w:rPr>
          <w:rStyle w:val="jlqj4b"/>
          <w:sz w:val="24"/>
          <w:szCs w:val="24"/>
          <w:lang w:val="en-US"/>
        </w:rPr>
      </w:pPr>
      <w:r w:rsidRPr="005425CC">
        <w:rPr>
          <w:sz w:val="24"/>
          <w:szCs w:val="24"/>
          <w:lang w:val="en-US"/>
        </w:rPr>
        <w:t xml:space="preserve">For the purposes of scoring this criterion, 3 ranges are defined: up to </w:t>
      </w:r>
      <w:r w:rsidR="000C4C2D" w:rsidRPr="000C4C2D">
        <w:rPr>
          <w:sz w:val="24"/>
          <w:szCs w:val="24"/>
          <w:lang w:val="en-US"/>
        </w:rPr>
        <w:t>570,00 €</w:t>
      </w:r>
      <w:r w:rsidRPr="005425CC">
        <w:rPr>
          <w:sz w:val="24"/>
          <w:szCs w:val="24"/>
          <w:lang w:val="en-US"/>
        </w:rPr>
        <w:t>, HRK</w:t>
      </w:r>
      <w:r w:rsidR="00F34C04">
        <w:rPr>
          <w:sz w:val="24"/>
          <w:szCs w:val="24"/>
          <w:lang w:val="en-US"/>
        </w:rPr>
        <w:t>;</w:t>
      </w:r>
      <w:r w:rsidRPr="005425CC">
        <w:rPr>
          <w:sz w:val="24"/>
          <w:szCs w:val="24"/>
          <w:lang w:val="en-US"/>
        </w:rPr>
        <w:t xml:space="preserve"> </w:t>
      </w:r>
      <w:r w:rsidR="000C4C2D" w:rsidRPr="000C4C2D">
        <w:rPr>
          <w:sz w:val="24"/>
          <w:szCs w:val="24"/>
          <w:lang w:val="en-US"/>
        </w:rPr>
        <w:t>570,00 €</w:t>
      </w:r>
      <w:r w:rsidRPr="005425CC">
        <w:rPr>
          <w:sz w:val="24"/>
          <w:szCs w:val="24"/>
          <w:lang w:val="en-US"/>
        </w:rPr>
        <w:t xml:space="preserve"> </w:t>
      </w:r>
      <w:r w:rsidR="00F34C04">
        <w:rPr>
          <w:sz w:val="24"/>
          <w:szCs w:val="24"/>
          <w:lang w:val="en-US"/>
        </w:rPr>
        <w:t>-</w:t>
      </w:r>
      <w:r w:rsidRPr="005425CC">
        <w:rPr>
          <w:sz w:val="24"/>
          <w:szCs w:val="24"/>
          <w:lang w:val="en-US"/>
        </w:rPr>
        <w:t xml:space="preserve"> </w:t>
      </w:r>
      <w:r w:rsidR="000C4C2D">
        <w:rPr>
          <w:sz w:val="24"/>
          <w:szCs w:val="24"/>
          <w:lang w:val="en-US"/>
        </w:rPr>
        <w:t xml:space="preserve">1.140,00 </w:t>
      </w:r>
      <w:r w:rsidR="000C4C2D" w:rsidRPr="000C4C2D">
        <w:rPr>
          <w:sz w:val="24"/>
          <w:szCs w:val="24"/>
          <w:lang w:val="en-US"/>
        </w:rPr>
        <w:t>€</w:t>
      </w:r>
      <w:r w:rsidRPr="005425CC">
        <w:rPr>
          <w:sz w:val="24"/>
          <w:szCs w:val="24"/>
          <w:lang w:val="en-US"/>
        </w:rPr>
        <w:t xml:space="preserve"> (+ </w:t>
      </w:r>
      <w:r w:rsidR="000C4C2D">
        <w:rPr>
          <w:sz w:val="24"/>
          <w:szCs w:val="24"/>
          <w:lang w:val="en-US"/>
        </w:rPr>
        <w:t xml:space="preserve">200,00 </w:t>
      </w:r>
      <w:r w:rsidR="000C4C2D">
        <w:rPr>
          <w:rFonts w:cs="Arial"/>
          <w:sz w:val="24"/>
          <w:szCs w:val="24"/>
          <w:lang w:val="en-US"/>
        </w:rPr>
        <w:t>€</w:t>
      </w:r>
      <w:r w:rsidR="000C4C2D">
        <w:rPr>
          <w:sz w:val="24"/>
          <w:szCs w:val="24"/>
          <w:lang w:val="en-US"/>
        </w:rPr>
        <w:t xml:space="preserve"> </w:t>
      </w:r>
      <w:r w:rsidRPr="005425CC">
        <w:rPr>
          <w:sz w:val="24"/>
          <w:szCs w:val="24"/>
          <w:lang w:val="en-US"/>
        </w:rPr>
        <w:t>for each subsequent household member)</w:t>
      </w:r>
      <w:r w:rsidR="00F34C04">
        <w:rPr>
          <w:sz w:val="24"/>
          <w:szCs w:val="24"/>
          <w:lang w:val="en-US"/>
        </w:rPr>
        <w:t>;</w:t>
      </w:r>
      <w:r w:rsidRPr="005425CC">
        <w:rPr>
          <w:sz w:val="24"/>
          <w:szCs w:val="24"/>
          <w:lang w:val="en-US"/>
        </w:rPr>
        <w:t xml:space="preserve"> and over </w:t>
      </w:r>
      <w:r w:rsidR="004342FE">
        <w:rPr>
          <w:sz w:val="24"/>
          <w:szCs w:val="24"/>
          <w:lang w:val="en-US"/>
        </w:rPr>
        <w:t xml:space="preserve">1.140,00 </w:t>
      </w:r>
      <w:r w:rsidR="004342FE" w:rsidRPr="000C4C2D">
        <w:rPr>
          <w:sz w:val="24"/>
          <w:szCs w:val="24"/>
          <w:lang w:val="en-US"/>
        </w:rPr>
        <w:t>€</w:t>
      </w:r>
      <w:r w:rsidRPr="005425CC">
        <w:rPr>
          <w:sz w:val="24"/>
          <w:szCs w:val="24"/>
          <w:lang w:val="en-US"/>
        </w:rPr>
        <w:t xml:space="preserve"> (+</w:t>
      </w:r>
      <w:r w:rsidR="004342FE">
        <w:rPr>
          <w:sz w:val="24"/>
          <w:szCs w:val="24"/>
          <w:lang w:val="en-US"/>
        </w:rPr>
        <w:t xml:space="preserve"> 200,</w:t>
      </w:r>
      <w:r w:rsidRPr="005425CC">
        <w:rPr>
          <w:sz w:val="24"/>
          <w:szCs w:val="24"/>
          <w:lang w:val="en-US"/>
        </w:rPr>
        <w:t>00</w:t>
      </w:r>
      <w:r w:rsidR="004342FE">
        <w:rPr>
          <w:sz w:val="24"/>
          <w:szCs w:val="24"/>
          <w:lang w:val="en-US"/>
        </w:rPr>
        <w:t xml:space="preserve"> </w:t>
      </w:r>
      <w:r w:rsidR="004342FE">
        <w:rPr>
          <w:rFonts w:cs="Arial"/>
          <w:sz w:val="24"/>
          <w:szCs w:val="24"/>
          <w:lang w:val="en-US"/>
        </w:rPr>
        <w:t>€</w:t>
      </w:r>
      <w:r w:rsidRPr="005425CC">
        <w:rPr>
          <w:sz w:val="24"/>
          <w:szCs w:val="24"/>
          <w:lang w:val="en-US"/>
        </w:rPr>
        <w:t xml:space="preserve"> for</w:t>
      </w:r>
      <w:r w:rsidR="00F34C04">
        <w:rPr>
          <w:sz w:val="24"/>
          <w:szCs w:val="24"/>
          <w:lang w:val="en-US"/>
        </w:rPr>
        <w:t xml:space="preserve"> each</w:t>
      </w:r>
      <w:r w:rsidRPr="005425CC">
        <w:rPr>
          <w:sz w:val="24"/>
          <w:szCs w:val="24"/>
          <w:lang w:val="en-US"/>
        </w:rPr>
        <w:t xml:space="preserve"> subsequent household member) where the range will be scored in order with 0, 10 and 6 points. </w:t>
      </w:r>
      <w:r w:rsidR="005425CC" w:rsidRPr="005425CC">
        <w:rPr>
          <w:rStyle w:val="jlqj4b"/>
          <w:sz w:val="24"/>
          <w:szCs w:val="24"/>
          <w:lang w:val="en"/>
        </w:rPr>
        <w:t>The lower limit (</w:t>
      </w:r>
      <w:r w:rsidR="004342FE" w:rsidRPr="000C4C2D">
        <w:rPr>
          <w:sz w:val="24"/>
          <w:szCs w:val="24"/>
          <w:lang w:val="en-US"/>
        </w:rPr>
        <w:t>570,00 €</w:t>
      </w:r>
      <w:r w:rsidR="005425CC" w:rsidRPr="005425CC">
        <w:rPr>
          <w:rStyle w:val="jlqj4b"/>
          <w:sz w:val="24"/>
          <w:szCs w:val="24"/>
          <w:lang w:val="en"/>
        </w:rPr>
        <w:t>) is determined by the median monthly salary at the regional level (Me</w:t>
      </w:r>
      <w:r w:rsidR="00C91784">
        <w:rPr>
          <w:rStyle w:val="jlqj4b"/>
          <w:sz w:val="24"/>
          <w:szCs w:val="24"/>
          <w:lang w:val="en"/>
        </w:rPr>
        <w:t>dj</w:t>
      </w:r>
      <w:r w:rsidR="005425CC" w:rsidRPr="005425CC">
        <w:rPr>
          <w:rStyle w:val="jlqj4b"/>
          <w:sz w:val="24"/>
          <w:szCs w:val="24"/>
          <w:lang w:val="en"/>
        </w:rPr>
        <w:t>imurje County) for December 2020, while the middle and upper limit corresponds to the amount of two monthly media</w:t>
      </w:r>
      <w:r w:rsidR="00F34C04">
        <w:rPr>
          <w:rStyle w:val="jlqj4b"/>
          <w:sz w:val="24"/>
          <w:szCs w:val="24"/>
          <w:lang w:val="en"/>
        </w:rPr>
        <w:t>n</w:t>
      </w:r>
      <w:r w:rsidR="005425CC" w:rsidRPr="005425CC">
        <w:rPr>
          <w:rStyle w:val="jlqj4b"/>
          <w:sz w:val="24"/>
          <w:szCs w:val="24"/>
          <w:lang w:val="en"/>
        </w:rPr>
        <w:t xml:space="preserve"> salaries (</w:t>
      </w:r>
      <w:r w:rsidR="004342FE">
        <w:rPr>
          <w:sz w:val="24"/>
          <w:szCs w:val="24"/>
          <w:lang w:val="en-US"/>
        </w:rPr>
        <w:t xml:space="preserve">1.140,00 </w:t>
      </w:r>
      <w:r w:rsidR="004342FE" w:rsidRPr="000C4C2D">
        <w:rPr>
          <w:sz w:val="24"/>
          <w:szCs w:val="24"/>
          <w:lang w:val="en-US"/>
        </w:rPr>
        <w:t>€</w:t>
      </w:r>
      <w:r w:rsidR="005425CC" w:rsidRPr="005425CC">
        <w:rPr>
          <w:rStyle w:val="jlqj4b"/>
          <w:sz w:val="24"/>
          <w:szCs w:val="24"/>
          <w:lang w:val="en"/>
        </w:rPr>
        <w:t>).</w:t>
      </w:r>
    </w:p>
    <w:p w14:paraId="252F1479" w14:textId="616BFD6F" w:rsidR="005425CC" w:rsidRPr="005425CC" w:rsidRDefault="005425CC" w:rsidP="00961148">
      <w:pPr>
        <w:spacing w:after="120" w:line="276" w:lineRule="auto"/>
        <w:rPr>
          <w:sz w:val="28"/>
          <w:szCs w:val="28"/>
          <w:lang w:val="en-US"/>
        </w:rPr>
      </w:pPr>
      <w:r w:rsidRPr="005425CC">
        <w:rPr>
          <w:rStyle w:val="jlqj4b"/>
          <w:sz w:val="24"/>
          <w:szCs w:val="24"/>
          <w:lang w:val="en"/>
        </w:rPr>
        <w:t xml:space="preserve">For scoring purposes, the amount of the median monthly salary was taken into account, because the calculation based on the median is considered a better option than the average </w:t>
      </w:r>
      <w:r>
        <w:rPr>
          <w:rStyle w:val="jlqj4b"/>
          <w:sz w:val="24"/>
          <w:szCs w:val="24"/>
          <w:lang w:val="en"/>
        </w:rPr>
        <w:t>since</w:t>
      </w:r>
      <w:r w:rsidRPr="005425CC">
        <w:rPr>
          <w:rStyle w:val="jlqj4b"/>
          <w:sz w:val="24"/>
          <w:szCs w:val="24"/>
          <w:lang w:val="en"/>
        </w:rPr>
        <w:t xml:space="preserve"> it gives an insight into the real situation, because the calculation of the average salary includes the highest salaries, which are often m</w:t>
      </w:r>
      <w:r>
        <w:rPr>
          <w:rStyle w:val="jlqj4b"/>
          <w:sz w:val="24"/>
          <w:szCs w:val="24"/>
          <w:lang w:val="en"/>
        </w:rPr>
        <w:t>uch</w:t>
      </w:r>
      <w:r w:rsidRPr="005425CC">
        <w:rPr>
          <w:rStyle w:val="jlqj4b"/>
          <w:sz w:val="24"/>
          <w:szCs w:val="24"/>
          <w:lang w:val="en"/>
        </w:rPr>
        <w:t xml:space="preserve"> higher than the lowest</w:t>
      </w:r>
      <w:r>
        <w:rPr>
          <w:rStyle w:val="jlqj4b"/>
          <w:sz w:val="24"/>
          <w:szCs w:val="24"/>
          <w:lang w:val="en"/>
        </w:rPr>
        <w:t>. B</w:t>
      </w:r>
      <w:r w:rsidRPr="005425CC">
        <w:rPr>
          <w:rStyle w:val="jlqj4b"/>
          <w:sz w:val="24"/>
          <w:szCs w:val="24"/>
          <w:lang w:val="en"/>
        </w:rPr>
        <w:t xml:space="preserve">y calculating the median this is </w:t>
      </w:r>
      <w:r>
        <w:rPr>
          <w:rStyle w:val="jlqj4b"/>
          <w:sz w:val="24"/>
          <w:szCs w:val="24"/>
          <w:lang w:val="en"/>
        </w:rPr>
        <w:t>bypassed</w:t>
      </w:r>
      <w:r w:rsidRPr="005425CC">
        <w:rPr>
          <w:rStyle w:val="jlqj4b"/>
          <w:sz w:val="24"/>
          <w:szCs w:val="24"/>
          <w:lang w:val="en"/>
        </w:rPr>
        <w:t xml:space="preserve">. The first and </w:t>
      </w:r>
      <w:r>
        <w:rPr>
          <w:rStyle w:val="jlqj4b"/>
          <w:sz w:val="24"/>
          <w:szCs w:val="24"/>
          <w:lang w:val="en"/>
        </w:rPr>
        <w:t xml:space="preserve">the </w:t>
      </w:r>
      <w:r w:rsidRPr="005425CC">
        <w:rPr>
          <w:rStyle w:val="jlqj4b"/>
          <w:sz w:val="24"/>
          <w:szCs w:val="24"/>
          <w:lang w:val="en"/>
        </w:rPr>
        <w:t xml:space="preserve">second range </w:t>
      </w:r>
      <w:r w:rsidR="00AF32C0">
        <w:rPr>
          <w:rStyle w:val="jlqj4b"/>
          <w:sz w:val="24"/>
          <w:szCs w:val="24"/>
          <w:lang w:val="en"/>
        </w:rPr>
        <w:lastRenderedPageBreak/>
        <w:t>refers to the</w:t>
      </w:r>
      <w:r w:rsidRPr="005425CC">
        <w:rPr>
          <w:rStyle w:val="jlqj4b"/>
          <w:sz w:val="24"/>
          <w:szCs w:val="24"/>
          <w:lang w:val="en"/>
        </w:rPr>
        <w:t xml:space="preserve"> households with low monthly incomes, but the</w:t>
      </w:r>
      <w:r>
        <w:rPr>
          <w:rStyle w:val="jlqj4b"/>
          <w:sz w:val="24"/>
          <w:szCs w:val="24"/>
          <w:lang w:val="en"/>
        </w:rPr>
        <w:t xml:space="preserve"> second </w:t>
      </w:r>
      <w:r w:rsidRPr="005425CC">
        <w:rPr>
          <w:rStyle w:val="jlqj4b"/>
          <w:sz w:val="24"/>
          <w:szCs w:val="24"/>
          <w:lang w:val="en"/>
        </w:rPr>
        <w:t xml:space="preserve">range is awarded </w:t>
      </w:r>
      <w:r>
        <w:rPr>
          <w:rStyle w:val="jlqj4b"/>
          <w:sz w:val="24"/>
          <w:szCs w:val="24"/>
          <w:lang w:val="en"/>
        </w:rPr>
        <w:t xml:space="preserve">with </w:t>
      </w:r>
      <w:r w:rsidRPr="005425CC">
        <w:rPr>
          <w:rStyle w:val="jlqj4b"/>
          <w:sz w:val="24"/>
          <w:szCs w:val="24"/>
          <w:lang w:val="en"/>
        </w:rPr>
        <w:t xml:space="preserve">a higher number of points because </w:t>
      </w:r>
      <w:r w:rsidR="00AF32C0">
        <w:rPr>
          <w:rStyle w:val="jlqj4b"/>
          <w:sz w:val="24"/>
          <w:szCs w:val="24"/>
          <w:lang w:val="en"/>
        </w:rPr>
        <w:t>it refers to the</w:t>
      </w:r>
      <w:r w:rsidRPr="005425CC">
        <w:rPr>
          <w:rStyle w:val="jlqj4b"/>
          <w:sz w:val="24"/>
          <w:szCs w:val="24"/>
          <w:lang w:val="en"/>
        </w:rPr>
        <w:t xml:space="preserve"> households that with an affordable budget could invest in increasing the energy efficiency of their homes using available co-financing mechanisms. The lowest range includes households that are considered poor with disposable income and are much more likely that such households will not invest in increasing the energy efficiency of their homes because the funds currently available to them are sufficient only to meet basic living needs. Their interest in investing in increasing the energy efficiency of the</w:t>
      </w:r>
      <w:r w:rsidR="00AF32C0">
        <w:rPr>
          <w:rStyle w:val="jlqj4b"/>
          <w:sz w:val="24"/>
          <w:szCs w:val="24"/>
          <w:lang w:val="en"/>
        </w:rPr>
        <w:t>ir</w:t>
      </w:r>
      <w:r w:rsidRPr="005425CC">
        <w:rPr>
          <w:rStyle w:val="jlqj4b"/>
          <w:sz w:val="24"/>
          <w:szCs w:val="24"/>
          <w:lang w:val="en"/>
        </w:rPr>
        <w:t xml:space="preserve"> home would depend on the percentage of co-financing</w:t>
      </w:r>
      <w:r w:rsidR="00AF32C0">
        <w:rPr>
          <w:rStyle w:val="jlqj4b"/>
          <w:sz w:val="24"/>
          <w:szCs w:val="24"/>
          <w:lang w:val="en"/>
        </w:rPr>
        <w:t xml:space="preserve"> rates</w:t>
      </w:r>
      <w:r w:rsidRPr="005425CC">
        <w:rPr>
          <w:rStyle w:val="jlqj4b"/>
          <w:sz w:val="24"/>
          <w:szCs w:val="24"/>
          <w:lang w:val="en"/>
        </w:rPr>
        <w:t xml:space="preserve"> from available co-financing sources, with a higher probability of investment in the case of 100% co-financing rates.</w:t>
      </w:r>
    </w:p>
    <w:p w14:paraId="16A7C8A6" w14:textId="12006593" w:rsidR="007E494B" w:rsidRDefault="007E494B" w:rsidP="00961148">
      <w:pPr>
        <w:spacing w:after="120" w:line="276" w:lineRule="auto"/>
        <w:rPr>
          <w:sz w:val="24"/>
          <w:szCs w:val="24"/>
          <w:lang w:val="en-US"/>
        </w:rPr>
      </w:pPr>
      <w:r w:rsidRPr="007E494B">
        <w:rPr>
          <w:sz w:val="24"/>
          <w:szCs w:val="24"/>
          <w:lang w:val="en-US"/>
        </w:rPr>
        <w:t>Household income correlated with the number of household members is a good indicator of the level of energy poverty. Accordingly, applicants will be required to specify the number of household members as well as their status (employed, unemployed, child, pensioner) to be used exclusively for internal statistics purposes.</w:t>
      </w:r>
    </w:p>
    <w:p w14:paraId="34456B81" w14:textId="1ABDAC17" w:rsidR="00AF32C0" w:rsidRPr="00AF32C0" w:rsidRDefault="00AF32C0" w:rsidP="00961148">
      <w:pPr>
        <w:spacing w:after="120" w:line="276" w:lineRule="auto"/>
        <w:rPr>
          <w:sz w:val="28"/>
          <w:szCs w:val="28"/>
          <w:lang w:val="en-US"/>
        </w:rPr>
      </w:pPr>
      <w:r w:rsidRPr="00AF32C0">
        <w:rPr>
          <w:rStyle w:val="jlqj4b"/>
          <w:sz w:val="24"/>
          <w:szCs w:val="24"/>
          <w:lang w:val="en"/>
        </w:rPr>
        <w:t xml:space="preserve">Since some </w:t>
      </w:r>
      <w:r>
        <w:rPr>
          <w:rStyle w:val="jlqj4b"/>
          <w:sz w:val="24"/>
          <w:szCs w:val="24"/>
          <w:lang w:val="en"/>
        </w:rPr>
        <w:t xml:space="preserve">household </w:t>
      </w:r>
      <w:r w:rsidRPr="00AF32C0">
        <w:rPr>
          <w:rStyle w:val="jlqj4b"/>
          <w:sz w:val="24"/>
          <w:szCs w:val="24"/>
          <w:lang w:val="en"/>
        </w:rPr>
        <w:t>members do</w:t>
      </w:r>
      <w:r w:rsidR="000734BB">
        <w:rPr>
          <w:rStyle w:val="jlqj4b"/>
          <w:sz w:val="24"/>
          <w:szCs w:val="24"/>
          <w:lang w:val="en"/>
        </w:rPr>
        <w:t xml:space="preserve">n’t have </w:t>
      </w:r>
      <w:r w:rsidRPr="00AF32C0">
        <w:rPr>
          <w:rStyle w:val="jlqj4b"/>
          <w:sz w:val="24"/>
          <w:szCs w:val="24"/>
          <w:lang w:val="en"/>
        </w:rPr>
        <w:t xml:space="preserve">income, the formula </w:t>
      </w:r>
      <w:r w:rsidR="000734BB">
        <w:rPr>
          <w:rStyle w:val="jlqj4b"/>
          <w:sz w:val="24"/>
          <w:szCs w:val="24"/>
          <w:lang w:val="en"/>
        </w:rPr>
        <w:t xml:space="preserve">(energy poverty definition also) </w:t>
      </w:r>
      <w:r w:rsidRPr="00AF32C0">
        <w:rPr>
          <w:rStyle w:val="jlqj4b"/>
          <w:sz w:val="24"/>
          <w:szCs w:val="24"/>
          <w:lang w:val="en"/>
        </w:rPr>
        <w:t xml:space="preserve">also includes </w:t>
      </w:r>
      <w:r w:rsidR="00F34C04">
        <w:rPr>
          <w:rStyle w:val="jlqj4b"/>
          <w:sz w:val="24"/>
          <w:szCs w:val="24"/>
          <w:lang w:val="en"/>
        </w:rPr>
        <w:t xml:space="preserve">adding </w:t>
      </w:r>
      <w:r w:rsidRPr="00AF32C0">
        <w:rPr>
          <w:rStyle w:val="jlqj4b"/>
          <w:sz w:val="24"/>
          <w:szCs w:val="24"/>
          <w:lang w:val="en"/>
        </w:rPr>
        <w:t xml:space="preserve">the amount of </w:t>
      </w:r>
      <w:r w:rsidR="00F34C04" w:rsidRPr="00F34C04">
        <w:rPr>
          <w:rStyle w:val="jlqj4b"/>
          <w:sz w:val="24"/>
          <w:szCs w:val="24"/>
          <w:lang w:val="en"/>
        </w:rPr>
        <w:t xml:space="preserve">200,00 € </w:t>
      </w:r>
      <w:r w:rsidRPr="00AF32C0">
        <w:rPr>
          <w:rStyle w:val="jlqj4b"/>
          <w:sz w:val="24"/>
          <w:szCs w:val="24"/>
          <w:lang w:val="en"/>
        </w:rPr>
        <w:t xml:space="preserve">(estimated amount according to the instructions of social work experts </w:t>
      </w:r>
      <w:r w:rsidR="00F34C04">
        <w:rPr>
          <w:rStyle w:val="jlqj4b"/>
          <w:sz w:val="24"/>
          <w:szCs w:val="24"/>
          <w:lang w:val="en"/>
        </w:rPr>
        <w:t>based on</w:t>
      </w:r>
      <w:r w:rsidRPr="00AF32C0">
        <w:rPr>
          <w:rStyle w:val="jlqj4b"/>
          <w:sz w:val="24"/>
          <w:szCs w:val="24"/>
          <w:lang w:val="en"/>
        </w:rPr>
        <w:t xml:space="preserve"> to the </w:t>
      </w:r>
      <w:r w:rsidR="000734BB">
        <w:rPr>
          <w:rStyle w:val="jlqj4b"/>
          <w:sz w:val="24"/>
          <w:szCs w:val="24"/>
          <w:lang w:val="en"/>
        </w:rPr>
        <w:t xml:space="preserve">information </w:t>
      </w:r>
      <w:r w:rsidRPr="00AF32C0">
        <w:rPr>
          <w:rStyle w:val="jlqj4b"/>
          <w:sz w:val="24"/>
          <w:szCs w:val="24"/>
          <w:lang w:val="en"/>
        </w:rPr>
        <w:t xml:space="preserve">on the maximum </w:t>
      </w:r>
      <w:proofErr w:type="gramStart"/>
      <w:r w:rsidRPr="00AF32C0">
        <w:rPr>
          <w:rStyle w:val="jlqj4b"/>
          <w:sz w:val="24"/>
          <w:szCs w:val="24"/>
          <w:lang w:val="en"/>
        </w:rPr>
        <w:t>amount</w:t>
      </w:r>
      <w:proofErr w:type="gramEnd"/>
      <w:r w:rsidRPr="00AF32C0">
        <w:rPr>
          <w:rStyle w:val="jlqj4b"/>
          <w:sz w:val="24"/>
          <w:szCs w:val="24"/>
          <w:lang w:val="en"/>
        </w:rPr>
        <w:t xml:space="preserve"> of benefits that can be granted to users of social care centers</w:t>
      </w:r>
      <w:r w:rsidR="000734BB">
        <w:rPr>
          <w:rStyle w:val="jlqj4b"/>
          <w:sz w:val="24"/>
          <w:szCs w:val="24"/>
          <w:lang w:val="en"/>
        </w:rPr>
        <w:t xml:space="preserve"> in Croatia</w:t>
      </w:r>
      <w:r w:rsidRPr="00AF32C0">
        <w:rPr>
          <w:rStyle w:val="jlqj4b"/>
          <w:sz w:val="24"/>
          <w:szCs w:val="24"/>
          <w:lang w:val="en"/>
        </w:rPr>
        <w:t>) for each subsequent</w:t>
      </w:r>
      <w:r w:rsidRPr="00AF32C0">
        <w:rPr>
          <w:rStyle w:val="viiyi"/>
          <w:sz w:val="24"/>
          <w:szCs w:val="24"/>
          <w:lang w:val="en"/>
        </w:rPr>
        <w:t xml:space="preserve"> </w:t>
      </w:r>
      <w:r w:rsidR="000734BB">
        <w:rPr>
          <w:rStyle w:val="viiyi"/>
          <w:sz w:val="24"/>
          <w:szCs w:val="24"/>
          <w:lang w:val="en"/>
        </w:rPr>
        <w:t xml:space="preserve">household </w:t>
      </w:r>
      <w:r w:rsidRPr="00AF32C0">
        <w:rPr>
          <w:rStyle w:val="jlqj4b"/>
          <w:sz w:val="24"/>
          <w:szCs w:val="24"/>
          <w:lang w:val="en"/>
        </w:rPr>
        <w:t xml:space="preserve">member where the middle and upper range increase according to the increase </w:t>
      </w:r>
      <w:r w:rsidR="00F34C04">
        <w:rPr>
          <w:rStyle w:val="jlqj4b"/>
          <w:sz w:val="24"/>
          <w:szCs w:val="24"/>
          <w:lang w:val="en"/>
        </w:rPr>
        <w:t>of</w:t>
      </w:r>
      <w:r w:rsidRPr="00AF32C0">
        <w:rPr>
          <w:rStyle w:val="jlqj4b"/>
          <w:sz w:val="24"/>
          <w:szCs w:val="24"/>
          <w:lang w:val="en"/>
        </w:rPr>
        <w:t xml:space="preserve"> the number of household members.</w:t>
      </w:r>
    </w:p>
    <w:p w14:paraId="58E1A964" w14:textId="77777777" w:rsidR="00706083" w:rsidRPr="00706083" w:rsidRDefault="00706083" w:rsidP="00961148">
      <w:pPr>
        <w:spacing w:after="120" w:line="276" w:lineRule="auto"/>
        <w:rPr>
          <w:sz w:val="14"/>
          <w:szCs w:val="14"/>
          <w:lang w:val="hr-HR"/>
        </w:rPr>
      </w:pPr>
    </w:p>
    <w:p w14:paraId="722A88EE" w14:textId="214C158F" w:rsidR="00341C29" w:rsidRPr="007E494B" w:rsidRDefault="007E494B" w:rsidP="00961148">
      <w:pPr>
        <w:pStyle w:val="Naslov3"/>
        <w:numPr>
          <w:ilvl w:val="1"/>
          <w:numId w:val="44"/>
        </w:numPr>
        <w:spacing w:before="240" w:after="240" w:line="276" w:lineRule="auto"/>
        <w:ind w:left="992" w:hanging="425"/>
        <w:rPr>
          <w:lang w:val="en-US"/>
        </w:rPr>
      </w:pPr>
      <w:r w:rsidRPr="007E494B">
        <w:rPr>
          <w:lang w:val="en-US"/>
        </w:rPr>
        <w:t>Year of construction</w:t>
      </w:r>
    </w:p>
    <w:p w14:paraId="76CC3899" w14:textId="7C1982E8" w:rsidR="007E494B" w:rsidRPr="007E494B" w:rsidRDefault="007E494B" w:rsidP="00E26D19">
      <w:pPr>
        <w:spacing w:after="120" w:line="276" w:lineRule="auto"/>
        <w:rPr>
          <w:sz w:val="24"/>
          <w:szCs w:val="24"/>
          <w:lang w:val="en-US"/>
        </w:rPr>
      </w:pPr>
      <w:r w:rsidRPr="007E494B">
        <w:rPr>
          <w:sz w:val="24"/>
          <w:szCs w:val="24"/>
          <w:lang w:val="en-US"/>
        </w:rPr>
        <w:t xml:space="preserve">Next relevant criterion is the year of construction of the </w:t>
      </w:r>
      <w:r w:rsidR="000734BB">
        <w:rPr>
          <w:sz w:val="24"/>
          <w:szCs w:val="24"/>
          <w:lang w:val="en-US"/>
        </w:rPr>
        <w:t>private</w:t>
      </w:r>
      <w:r w:rsidRPr="007E494B">
        <w:rPr>
          <w:sz w:val="24"/>
          <w:szCs w:val="24"/>
          <w:lang w:val="en-US"/>
        </w:rPr>
        <w:t xml:space="preserve"> house which indicates the construction characteristics of the object</w:t>
      </w:r>
      <w:r w:rsidR="001F1E00">
        <w:rPr>
          <w:sz w:val="24"/>
          <w:szCs w:val="24"/>
          <w:lang w:val="en-US"/>
        </w:rPr>
        <w:t>, i.e.,</w:t>
      </w:r>
      <w:r w:rsidR="000734BB">
        <w:rPr>
          <w:sz w:val="24"/>
          <w:szCs w:val="24"/>
          <w:lang w:val="en-US"/>
        </w:rPr>
        <w:t xml:space="preserve"> private </w:t>
      </w:r>
      <w:r w:rsidR="001F1E00">
        <w:rPr>
          <w:sz w:val="24"/>
          <w:szCs w:val="24"/>
          <w:lang w:val="en-US"/>
        </w:rPr>
        <w:t>house</w:t>
      </w:r>
      <w:r w:rsidRPr="007E494B">
        <w:rPr>
          <w:sz w:val="24"/>
          <w:szCs w:val="24"/>
          <w:lang w:val="en-US"/>
        </w:rPr>
        <w:t xml:space="preserve"> which can help in identifying the degree of energy poverty. </w:t>
      </w:r>
      <w:r w:rsidR="000734BB" w:rsidRPr="000734BB">
        <w:rPr>
          <w:sz w:val="24"/>
          <w:szCs w:val="24"/>
          <w:lang w:val="en-US"/>
        </w:rPr>
        <w:t xml:space="preserve">The general quality of buildings changed during different periods of construction as a result of different climatic, economic, technical-technological and sociological influences, </w:t>
      </w:r>
      <w:r w:rsidR="000734BB">
        <w:rPr>
          <w:sz w:val="24"/>
          <w:szCs w:val="24"/>
          <w:lang w:val="en-US"/>
        </w:rPr>
        <w:t>whereas</w:t>
      </w:r>
      <w:r w:rsidR="000734BB" w:rsidRPr="000734BB">
        <w:rPr>
          <w:sz w:val="24"/>
          <w:szCs w:val="24"/>
          <w:lang w:val="en-US"/>
        </w:rPr>
        <w:t xml:space="preserve"> a special influence on the quality and energy consumption had the </w:t>
      </w:r>
      <w:r w:rsidR="000734BB">
        <w:rPr>
          <w:sz w:val="24"/>
          <w:szCs w:val="24"/>
          <w:lang w:val="en-US"/>
        </w:rPr>
        <w:t xml:space="preserve">required </w:t>
      </w:r>
      <w:r w:rsidR="000734BB" w:rsidRPr="000734BB">
        <w:rPr>
          <w:sz w:val="24"/>
          <w:szCs w:val="24"/>
          <w:lang w:val="en-US"/>
        </w:rPr>
        <w:t>energy pric</w:t>
      </w:r>
      <w:r w:rsidR="000734BB">
        <w:rPr>
          <w:sz w:val="24"/>
          <w:szCs w:val="24"/>
          <w:lang w:val="en-US"/>
        </w:rPr>
        <w:t xml:space="preserve">e </w:t>
      </w:r>
      <w:r w:rsidR="000734BB" w:rsidRPr="000734BB">
        <w:rPr>
          <w:sz w:val="24"/>
          <w:szCs w:val="24"/>
          <w:lang w:val="en-US"/>
        </w:rPr>
        <w:t xml:space="preserve">for heating and thermal protection regulations. Accordingly, 3 ranges are also defined for this criterion. </w:t>
      </w:r>
      <w:r w:rsidRPr="007E494B">
        <w:rPr>
          <w:sz w:val="24"/>
          <w:szCs w:val="24"/>
          <w:lang w:val="en-US"/>
        </w:rPr>
        <w:t xml:space="preserve">The first range refers to the period before year 1987, because in 1987 the first regulations in the field of thermal protection in Croatia were adopted, which included stricter requirements for thermal protection of buildings by limiting heat losses not only through individual elements of the outer shell, but also for the building as a whole. </w:t>
      </w:r>
      <w:r w:rsidR="000734BB" w:rsidRPr="000734BB">
        <w:rPr>
          <w:sz w:val="24"/>
          <w:szCs w:val="24"/>
          <w:lang w:val="en-US"/>
        </w:rPr>
        <w:t xml:space="preserve">Buildings built in the period up to 1987 are large </w:t>
      </w:r>
      <w:r w:rsidR="000734BB">
        <w:rPr>
          <w:sz w:val="24"/>
          <w:szCs w:val="24"/>
          <w:lang w:val="en-US"/>
        </w:rPr>
        <w:t xml:space="preserve">energy </w:t>
      </w:r>
      <w:r w:rsidR="000734BB" w:rsidRPr="000734BB">
        <w:rPr>
          <w:sz w:val="24"/>
          <w:szCs w:val="24"/>
          <w:lang w:val="en-US"/>
        </w:rPr>
        <w:t xml:space="preserve">consumers </w:t>
      </w:r>
      <w:r w:rsidR="000734BB">
        <w:rPr>
          <w:sz w:val="24"/>
          <w:szCs w:val="24"/>
          <w:lang w:val="en-US"/>
        </w:rPr>
        <w:t>with</w:t>
      </w:r>
      <w:r w:rsidR="000734BB" w:rsidRPr="000734BB">
        <w:rPr>
          <w:sz w:val="24"/>
          <w:szCs w:val="24"/>
          <w:lang w:val="en-US"/>
        </w:rPr>
        <w:t xml:space="preserve"> only </w:t>
      </w:r>
      <w:r w:rsidR="000734BB">
        <w:rPr>
          <w:sz w:val="24"/>
          <w:szCs w:val="24"/>
          <w:lang w:val="en-US"/>
        </w:rPr>
        <w:t xml:space="preserve">a </w:t>
      </w:r>
      <w:r w:rsidR="000734BB" w:rsidRPr="000734BB">
        <w:rPr>
          <w:sz w:val="24"/>
          <w:szCs w:val="24"/>
          <w:lang w:val="en-US"/>
        </w:rPr>
        <w:t>minimal thermal insulation or no thermal insulation at all</w:t>
      </w:r>
      <w:r w:rsidR="000734BB">
        <w:rPr>
          <w:sz w:val="24"/>
          <w:szCs w:val="24"/>
          <w:lang w:val="en-US"/>
        </w:rPr>
        <w:t xml:space="preserve"> and they </w:t>
      </w:r>
      <w:r w:rsidR="000734BB" w:rsidRPr="000734BB">
        <w:rPr>
          <w:sz w:val="24"/>
          <w:szCs w:val="24"/>
          <w:lang w:val="en-US"/>
        </w:rPr>
        <w:t xml:space="preserve">have significant heat losses and do not meet current energy efficiency requirements. </w:t>
      </w:r>
      <w:r w:rsidRPr="007E494B">
        <w:rPr>
          <w:sz w:val="24"/>
          <w:szCs w:val="24"/>
          <w:lang w:val="en-US"/>
        </w:rPr>
        <w:t xml:space="preserve">The second range includes the period between years 1987 and 2008. The third range refers to the period after 2008 when Directive 2002/91/EC on the energy performance of European Parliament buildings of 16 December 2002 and Directive 89/108 / EEC of the European Parliament of 22 December 1989 were adopted at European level. </w:t>
      </w:r>
      <w:r w:rsidR="000734BB" w:rsidRPr="00E26D19">
        <w:rPr>
          <w:sz w:val="24"/>
          <w:szCs w:val="24"/>
          <w:lang w:val="en-US"/>
        </w:rPr>
        <w:t xml:space="preserve">The newly enacted directives then had to be implemented into the national legislation of the Member States, which in turn </w:t>
      </w:r>
      <w:r w:rsidR="000734BB" w:rsidRPr="00E26D19">
        <w:rPr>
          <w:sz w:val="24"/>
          <w:szCs w:val="24"/>
          <w:lang w:val="en-US"/>
        </w:rPr>
        <w:lastRenderedPageBreak/>
        <w:t>resulted in increased requirements for the thermal protection of buildings.</w:t>
      </w:r>
      <w:r w:rsidR="00E26D19">
        <w:rPr>
          <w:sz w:val="24"/>
          <w:szCs w:val="24"/>
          <w:lang w:val="en-US"/>
        </w:rPr>
        <w:t xml:space="preserve"> </w:t>
      </w:r>
      <w:r w:rsidRPr="007E494B">
        <w:rPr>
          <w:sz w:val="24"/>
          <w:szCs w:val="24"/>
          <w:lang w:val="en-US"/>
        </w:rPr>
        <w:t>The listed ranges were scored as follows with 10, 6 and 0 points.</w:t>
      </w:r>
    </w:p>
    <w:p w14:paraId="23231B4D" w14:textId="6E532F7F" w:rsidR="00EB4170" w:rsidRDefault="007E494B" w:rsidP="007E494B">
      <w:pPr>
        <w:spacing w:after="120" w:line="276" w:lineRule="auto"/>
        <w:rPr>
          <w:sz w:val="24"/>
          <w:szCs w:val="24"/>
          <w:lang w:val="en-US"/>
        </w:rPr>
      </w:pPr>
      <w:r w:rsidRPr="00AD3678">
        <w:rPr>
          <w:sz w:val="24"/>
          <w:szCs w:val="24"/>
          <w:lang w:val="en-US"/>
        </w:rPr>
        <w:t xml:space="preserve">After the construction of the building, certain measures, such as replacement of external carpentry, thermal protection of external walls, roof, ceiling to the attic, floor to the basement, etc. are often implemented, which increases the physical </w:t>
      </w:r>
      <w:r w:rsidR="00D57011">
        <w:rPr>
          <w:sz w:val="24"/>
          <w:szCs w:val="24"/>
          <w:lang w:val="en-US"/>
        </w:rPr>
        <w:t>properties</w:t>
      </w:r>
      <w:r w:rsidR="00EB4170">
        <w:rPr>
          <w:sz w:val="24"/>
          <w:szCs w:val="24"/>
          <w:lang w:val="en-US"/>
        </w:rPr>
        <w:t xml:space="preserve"> </w:t>
      </w:r>
      <w:r w:rsidRPr="00AD3678">
        <w:rPr>
          <w:sz w:val="24"/>
          <w:szCs w:val="24"/>
          <w:lang w:val="en-US"/>
        </w:rPr>
        <w:t xml:space="preserve">of the building in terms of energy efficiency (energy renovation). </w:t>
      </w:r>
    </w:p>
    <w:p w14:paraId="7A2C59D3" w14:textId="1008D5C1" w:rsidR="007E494B" w:rsidRPr="00AD3678" w:rsidRDefault="007E494B" w:rsidP="007E494B">
      <w:pPr>
        <w:spacing w:after="120" w:line="276" w:lineRule="auto"/>
        <w:rPr>
          <w:sz w:val="24"/>
          <w:szCs w:val="24"/>
          <w:lang w:val="en-US"/>
        </w:rPr>
      </w:pPr>
      <w:r w:rsidRPr="00AD3678">
        <w:rPr>
          <w:sz w:val="24"/>
          <w:szCs w:val="24"/>
          <w:lang w:val="en-US"/>
        </w:rPr>
        <w:t xml:space="preserve">Therefore, applicants will have to indicate the year in which they carried out a certain measure/s of energy renovation, which will not be further scored, but will be an indication that there is household awareness of the importance of investing in increasing energy efficiency </w:t>
      </w:r>
      <w:r w:rsidR="00EB4170">
        <w:rPr>
          <w:sz w:val="24"/>
          <w:szCs w:val="24"/>
          <w:lang w:val="en-US"/>
        </w:rPr>
        <w:t xml:space="preserve">of their home </w:t>
      </w:r>
      <w:r w:rsidRPr="00AD3678">
        <w:rPr>
          <w:sz w:val="24"/>
          <w:szCs w:val="24"/>
          <w:lang w:val="en-US"/>
        </w:rPr>
        <w:t>and improving quality of</w:t>
      </w:r>
      <w:r w:rsidR="00EB4170">
        <w:rPr>
          <w:sz w:val="24"/>
          <w:szCs w:val="24"/>
          <w:lang w:val="en-US"/>
        </w:rPr>
        <w:t xml:space="preserve"> their</w:t>
      </w:r>
      <w:r w:rsidRPr="00AD3678">
        <w:rPr>
          <w:sz w:val="24"/>
          <w:szCs w:val="24"/>
          <w:lang w:val="en-US"/>
        </w:rPr>
        <w:t xml:space="preserve"> life.</w:t>
      </w:r>
    </w:p>
    <w:p w14:paraId="1222B88F" w14:textId="77777777" w:rsidR="00706083" w:rsidRPr="00706083" w:rsidRDefault="00706083" w:rsidP="00961148">
      <w:pPr>
        <w:spacing w:line="276" w:lineRule="auto"/>
        <w:rPr>
          <w:sz w:val="14"/>
          <w:szCs w:val="14"/>
          <w:lang w:val="hr-HR"/>
        </w:rPr>
      </w:pPr>
    </w:p>
    <w:p w14:paraId="345B941A" w14:textId="3F29D170" w:rsidR="00744483" w:rsidRPr="00AD3678" w:rsidRDefault="00AD3678" w:rsidP="00961148">
      <w:pPr>
        <w:pStyle w:val="Naslov3"/>
        <w:numPr>
          <w:ilvl w:val="1"/>
          <w:numId w:val="44"/>
        </w:numPr>
        <w:spacing w:before="240" w:after="240" w:line="276" w:lineRule="auto"/>
        <w:ind w:left="992" w:hanging="425"/>
        <w:rPr>
          <w:lang w:val="en-US"/>
        </w:rPr>
      </w:pPr>
      <w:r w:rsidRPr="00AD3678">
        <w:rPr>
          <w:lang w:val="en-US"/>
        </w:rPr>
        <w:t>Type of heating energy source</w:t>
      </w:r>
    </w:p>
    <w:p w14:paraId="3403F5C8" w14:textId="23A74811" w:rsidR="002E5ADB" w:rsidRDefault="002E5ADB" w:rsidP="002E5ADB">
      <w:pPr>
        <w:spacing w:before="240" w:after="120" w:line="276" w:lineRule="auto"/>
        <w:rPr>
          <w:sz w:val="24"/>
          <w:szCs w:val="24"/>
          <w:lang w:val="en-US"/>
        </w:rPr>
      </w:pPr>
      <w:bookmarkStart w:id="4" w:name="_Hlk68778948"/>
      <w:r w:rsidRPr="002E5ADB">
        <w:rPr>
          <w:sz w:val="24"/>
          <w:szCs w:val="24"/>
          <w:lang w:val="en-US"/>
        </w:rPr>
        <w:t xml:space="preserve">When identifying </w:t>
      </w:r>
      <w:r>
        <w:rPr>
          <w:sz w:val="24"/>
          <w:szCs w:val="24"/>
          <w:lang w:val="en-US"/>
        </w:rPr>
        <w:t xml:space="preserve">the stage of </w:t>
      </w:r>
      <w:r w:rsidRPr="002E5ADB">
        <w:rPr>
          <w:sz w:val="24"/>
          <w:szCs w:val="24"/>
          <w:lang w:val="en-US"/>
        </w:rPr>
        <w:t xml:space="preserve">energy poverty of a household, it is very important to determine the type of energy source used for heating and domestic hot water preparation because energy poverty is not only a consequence of low income, but also of inefficient use of energy and the type of </w:t>
      </w:r>
      <w:r w:rsidR="00EB4170">
        <w:rPr>
          <w:sz w:val="24"/>
          <w:szCs w:val="24"/>
          <w:lang w:val="en-US"/>
        </w:rPr>
        <w:t xml:space="preserve">used </w:t>
      </w:r>
      <w:r w:rsidRPr="002E5ADB">
        <w:rPr>
          <w:sz w:val="24"/>
          <w:szCs w:val="24"/>
          <w:lang w:val="en-US"/>
        </w:rPr>
        <w:t xml:space="preserve">energy source for </w:t>
      </w:r>
      <w:r w:rsidR="00EB4170">
        <w:rPr>
          <w:sz w:val="24"/>
          <w:szCs w:val="24"/>
          <w:lang w:val="en-US"/>
        </w:rPr>
        <w:t xml:space="preserve">space </w:t>
      </w:r>
      <w:r w:rsidRPr="002E5ADB">
        <w:rPr>
          <w:sz w:val="24"/>
          <w:szCs w:val="24"/>
          <w:lang w:val="en-US"/>
        </w:rPr>
        <w:t xml:space="preserve">heating. The most well-known energy sources for </w:t>
      </w:r>
      <w:r w:rsidR="00EB4170">
        <w:rPr>
          <w:sz w:val="24"/>
          <w:szCs w:val="24"/>
          <w:lang w:val="en-US"/>
        </w:rPr>
        <w:t xml:space="preserve">space </w:t>
      </w:r>
      <w:r w:rsidRPr="002E5ADB">
        <w:rPr>
          <w:sz w:val="24"/>
          <w:szCs w:val="24"/>
          <w:lang w:val="en-US"/>
        </w:rPr>
        <w:t xml:space="preserve">heating are electricity, fuel oil, natural gas, firewood/biomass and </w:t>
      </w:r>
      <w:r w:rsidR="00EB4170">
        <w:rPr>
          <w:sz w:val="24"/>
          <w:szCs w:val="24"/>
          <w:lang w:val="en-US"/>
        </w:rPr>
        <w:t>renewables (</w:t>
      </w:r>
      <w:r w:rsidRPr="002E5ADB">
        <w:rPr>
          <w:sz w:val="24"/>
          <w:szCs w:val="24"/>
          <w:lang w:val="en-US"/>
        </w:rPr>
        <w:t>renewable energy sources</w:t>
      </w:r>
      <w:r w:rsidR="00EB4170">
        <w:rPr>
          <w:sz w:val="24"/>
          <w:szCs w:val="24"/>
          <w:lang w:val="en-US"/>
        </w:rPr>
        <w:t>)</w:t>
      </w:r>
      <w:r w:rsidRPr="002E5ADB">
        <w:rPr>
          <w:sz w:val="24"/>
          <w:szCs w:val="24"/>
          <w:lang w:val="en-US"/>
        </w:rPr>
        <w:t xml:space="preserve">. </w:t>
      </w:r>
    </w:p>
    <w:p w14:paraId="0D7666FF" w14:textId="26AE54CF" w:rsidR="002E5ADB" w:rsidRPr="002E5ADB" w:rsidRDefault="002E5ADB" w:rsidP="002E5ADB">
      <w:pPr>
        <w:spacing w:before="120" w:after="120" w:line="276" w:lineRule="auto"/>
        <w:rPr>
          <w:sz w:val="24"/>
          <w:szCs w:val="24"/>
          <w:lang w:val="en-US"/>
        </w:rPr>
      </w:pPr>
      <w:r w:rsidRPr="002E5ADB">
        <w:rPr>
          <w:sz w:val="24"/>
          <w:szCs w:val="24"/>
          <w:lang w:val="en-US"/>
        </w:rPr>
        <w:t>The energy source used greatly affects the cost of heating and to some extent harms the environment through CO</w:t>
      </w:r>
      <w:r w:rsidRPr="002E5ADB">
        <w:rPr>
          <w:sz w:val="24"/>
          <w:szCs w:val="24"/>
          <w:vertAlign w:val="subscript"/>
          <w:lang w:val="en-US"/>
        </w:rPr>
        <w:t>2</w:t>
      </w:r>
      <w:r w:rsidRPr="002E5ADB">
        <w:rPr>
          <w:sz w:val="24"/>
          <w:szCs w:val="24"/>
          <w:lang w:val="en-US"/>
        </w:rPr>
        <w:t xml:space="preserve"> emissions. The most cost-effective energy sources for heating space are firewood/biomass and natural gas, but in the case of natural gas as an energy source for heating space there is a big drawback, and that is the release of CO</w:t>
      </w:r>
      <w:r w:rsidRPr="002E5ADB">
        <w:rPr>
          <w:sz w:val="24"/>
          <w:szCs w:val="24"/>
          <w:vertAlign w:val="subscript"/>
          <w:lang w:val="en-US"/>
        </w:rPr>
        <w:t>2</w:t>
      </w:r>
      <w:r w:rsidRPr="002E5ADB">
        <w:rPr>
          <w:sz w:val="24"/>
          <w:szCs w:val="24"/>
          <w:lang w:val="en-US"/>
        </w:rPr>
        <w:t xml:space="preserve"> emissions into the environment which is not acceptable today. In addition to natural gas, electricity and fuel oil are also harmful to the environment. Environmentally friendly energy sources include firewood/biomass and renewable</w:t>
      </w:r>
      <w:r w:rsidR="009E05F3">
        <w:rPr>
          <w:sz w:val="24"/>
          <w:szCs w:val="24"/>
          <w:lang w:val="en-US"/>
        </w:rPr>
        <w:t>s</w:t>
      </w:r>
      <w:r w:rsidRPr="002E5ADB">
        <w:rPr>
          <w:sz w:val="24"/>
          <w:szCs w:val="24"/>
          <w:lang w:val="en-US"/>
        </w:rPr>
        <w:t>.</w:t>
      </w:r>
    </w:p>
    <w:p w14:paraId="795A0867" w14:textId="6BB7122E" w:rsidR="001F1E00" w:rsidRPr="00161798" w:rsidRDefault="002E5ADB" w:rsidP="009E05F3">
      <w:pPr>
        <w:spacing w:before="120" w:after="120" w:line="276" w:lineRule="auto"/>
        <w:rPr>
          <w:sz w:val="24"/>
          <w:szCs w:val="24"/>
          <w:lang w:val="en-US"/>
        </w:rPr>
      </w:pPr>
      <w:r w:rsidRPr="002E5ADB">
        <w:rPr>
          <w:sz w:val="24"/>
          <w:szCs w:val="24"/>
          <w:lang w:val="en-US"/>
        </w:rPr>
        <w:t xml:space="preserve">In accordance with all the above, </w:t>
      </w:r>
      <w:r w:rsidR="00C95FC0">
        <w:rPr>
          <w:sz w:val="24"/>
          <w:szCs w:val="24"/>
          <w:lang w:val="en-US"/>
        </w:rPr>
        <w:t xml:space="preserve">the highest points 10 and 8 can be achieved in case of </w:t>
      </w:r>
      <w:r w:rsidRPr="002E5ADB">
        <w:rPr>
          <w:sz w:val="24"/>
          <w:szCs w:val="24"/>
          <w:lang w:val="en-US"/>
        </w:rPr>
        <w:t xml:space="preserve">electricity and fuel oil, </w:t>
      </w:r>
      <w:r w:rsidR="00C95FC0">
        <w:rPr>
          <w:sz w:val="24"/>
          <w:szCs w:val="24"/>
          <w:lang w:val="en-US"/>
        </w:rPr>
        <w:t xml:space="preserve">in case of </w:t>
      </w:r>
      <w:r w:rsidRPr="002E5ADB">
        <w:rPr>
          <w:sz w:val="24"/>
          <w:szCs w:val="24"/>
          <w:lang w:val="en-US"/>
        </w:rPr>
        <w:t>natural</w:t>
      </w:r>
      <w:r w:rsidR="00C95FC0">
        <w:rPr>
          <w:sz w:val="24"/>
          <w:szCs w:val="24"/>
          <w:lang w:val="en-US"/>
        </w:rPr>
        <w:t xml:space="preserve"> gas</w:t>
      </w:r>
      <w:r w:rsidRPr="002E5ADB">
        <w:rPr>
          <w:sz w:val="24"/>
          <w:szCs w:val="24"/>
          <w:lang w:val="en-US"/>
        </w:rPr>
        <w:t xml:space="preserve"> 6 points, firewood/biomass 4 points and </w:t>
      </w:r>
      <w:r w:rsidR="00C95FC0">
        <w:rPr>
          <w:sz w:val="24"/>
          <w:szCs w:val="24"/>
          <w:lang w:val="en-US"/>
        </w:rPr>
        <w:t xml:space="preserve">in case of </w:t>
      </w:r>
      <w:r w:rsidRPr="002E5ADB">
        <w:rPr>
          <w:sz w:val="24"/>
          <w:szCs w:val="24"/>
          <w:lang w:val="en-US"/>
        </w:rPr>
        <w:t>renewabl</w:t>
      </w:r>
      <w:r w:rsidR="009E05F3">
        <w:rPr>
          <w:sz w:val="24"/>
          <w:szCs w:val="24"/>
          <w:lang w:val="en-US"/>
        </w:rPr>
        <w:t xml:space="preserve">es </w:t>
      </w:r>
      <w:r w:rsidRPr="002E5ADB">
        <w:rPr>
          <w:sz w:val="24"/>
          <w:szCs w:val="24"/>
          <w:lang w:val="en-US"/>
        </w:rPr>
        <w:t xml:space="preserve">0 points. </w:t>
      </w:r>
      <w:bookmarkEnd w:id="4"/>
    </w:p>
    <w:p w14:paraId="21F8B409" w14:textId="078E19E2" w:rsidR="00706083" w:rsidRPr="00C95FC0" w:rsidRDefault="00C95FC0" w:rsidP="00115FF6">
      <w:pPr>
        <w:spacing w:after="120" w:line="276" w:lineRule="auto"/>
        <w:rPr>
          <w:sz w:val="24"/>
          <w:szCs w:val="24"/>
          <w:lang w:val="en-US"/>
        </w:rPr>
      </w:pPr>
      <w:r w:rsidRPr="00C95FC0">
        <w:rPr>
          <w:sz w:val="24"/>
          <w:szCs w:val="24"/>
          <w:lang w:val="en-US"/>
        </w:rPr>
        <w:t>The scoring system is presented in Table 1.</w:t>
      </w:r>
    </w:p>
    <w:p w14:paraId="5932AD7F" w14:textId="0EAF76EA" w:rsidR="00A30420" w:rsidRPr="00AD3678" w:rsidRDefault="00AD3678" w:rsidP="00706083">
      <w:pPr>
        <w:spacing w:after="120" w:line="276" w:lineRule="auto"/>
        <w:jc w:val="center"/>
        <w:rPr>
          <w:b/>
          <w:bCs/>
          <w:i/>
          <w:iCs/>
          <w:sz w:val="20"/>
          <w:szCs w:val="20"/>
          <w:lang w:val="en-US"/>
        </w:rPr>
      </w:pPr>
      <w:r w:rsidRPr="00AD3678">
        <w:rPr>
          <w:b/>
          <w:bCs/>
          <w:i/>
          <w:iCs/>
          <w:sz w:val="20"/>
          <w:szCs w:val="20"/>
          <w:lang w:val="en-US"/>
        </w:rPr>
        <w:t>Table</w:t>
      </w:r>
      <w:r w:rsidR="00A30420" w:rsidRPr="00AD3678">
        <w:rPr>
          <w:b/>
          <w:bCs/>
          <w:i/>
          <w:iCs/>
          <w:sz w:val="20"/>
          <w:szCs w:val="20"/>
          <w:lang w:val="en-US"/>
        </w:rPr>
        <w:t xml:space="preserve"> 1. </w:t>
      </w:r>
      <w:r w:rsidRPr="00AD3678">
        <w:rPr>
          <w:b/>
          <w:bCs/>
          <w:i/>
          <w:iCs/>
          <w:sz w:val="20"/>
          <w:szCs w:val="20"/>
          <w:lang w:val="en-US"/>
        </w:rPr>
        <w:t>Scoring system</w:t>
      </w:r>
    </w:p>
    <w:tbl>
      <w:tblPr>
        <w:tblStyle w:val="Reetkatablice"/>
        <w:tblW w:w="0" w:type="auto"/>
        <w:tblLook w:val="04A0" w:firstRow="1" w:lastRow="0" w:firstColumn="1" w:lastColumn="0" w:noHBand="0" w:noVBand="1"/>
      </w:tblPr>
      <w:tblGrid>
        <w:gridCol w:w="1428"/>
        <w:gridCol w:w="7072"/>
        <w:gridCol w:w="562"/>
      </w:tblGrid>
      <w:tr w:rsidR="003E00AC" w:rsidRPr="00706083" w14:paraId="03DE90F2" w14:textId="019B01F0" w:rsidTr="009E05F3">
        <w:trPr>
          <w:trHeight w:val="680"/>
        </w:trPr>
        <w:tc>
          <w:tcPr>
            <w:tcW w:w="1413" w:type="dxa"/>
            <w:tcBorders>
              <w:bottom w:val="double" w:sz="4" w:space="0" w:color="auto"/>
            </w:tcBorders>
            <w:vAlign w:val="center"/>
          </w:tcPr>
          <w:p w14:paraId="32DFBE66" w14:textId="0E3B4789" w:rsidR="003E00AC" w:rsidRPr="009E05F3" w:rsidRDefault="009E05F3" w:rsidP="00961148">
            <w:pPr>
              <w:spacing w:line="276" w:lineRule="auto"/>
              <w:jc w:val="left"/>
              <w:rPr>
                <w:rFonts w:cs="Arial"/>
                <w:b/>
                <w:bCs/>
                <w:sz w:val="20"/>
                <w:szCs w:val="20"/>
                <w:lang w:val="en-US"/>
              </w:rPr>
            </w:pPr>
            <w:r w:rsidRPr="009E05F3">
              <w:rPr>
                <w:rFonts w:cs="Arial"/>
                <w:b/>
                <w:bCs/>
                <w:sz w:val="20"/>
                <w:szCs w:val="20"/>
                <w:lang w:val="en-US"/>
              </w:rPr>
              <w:t>Name of the criteria</w:t>
            </w:r>
          </w:p>
        </w:tc>
        <w:tc>
          <w:tcPr>
            <w:tcW w:w="7649" w:type="dxa"/>
            <w:gridSpan w:val="2"/>
            <w:tcBorders>
              <w:bottom w:val="double" w:sz="4" w:space="0" w:color="auto"/>
            </w:tcBorders>
            <w:vAlign w:val="center"/>
          </w:tcPr>
          <w:p w14:paraId="32A61693" w14:textId="29F1DE4B" w:rsidR="003E00AC" w:rsidRPr="009E05F3" w:rsidRDefault="009E05F3" w:rsidP="00961148">
            <w:pPr>
              <w:spacing w:line="276" w:lineRule="auto"/>
              <w:jc w:val="left"/>
              <w:rPr>
                <w:rFonts w:cs="Arial"/>
                <w:b/>
                <w:bCs/>
                <w:sz w:val="20"/>
                <w:szCs w:val="20"/>
                <w:lang w:val="en-US"/>
              </w:rPr>
            </w:pPr>
            <w:r w:rsidRPr="009E05F3">
              <w:rPr>
                <w:rFonts w:cs="Arial"/>
                <w:b/>
                <w:bCs/>
                <w:sz w:val="20"/>
                <w:szCs w:val="20"/>
                <w:lang w:val="en-US"/>
              </w:rPr>
              <w:t>Scoring</w:t>
            </w:r>
          </w:p>
        </w:tc>
      </w:tr>
      <w:tr w:rsidR="003E00AC" w:rsidRPr="00706083" w14:paraId="309A4A50" w14:textId="28BCDCB2" w:rsidTr="009E05F3">
        <w:trPr>
          <w:trHeight w:val="680"/>
        </w:trPr>
        <w:tc>
          <w:tcPr>
            <w:tcW w:w="1413" w:type="dxa"/>
            <w:vMerge w:val="restart"/>
            <w:tcBorders>
              <w:top w:val="double" w:sz="4" w:space="0" w:color="auto"/>
            </w:tcBorders>
            <w:vAlign w:val="center"/>
          </w:tcPr>
          <w:p w14:paraId="0C6B48D1" w14:textId="118968F6" w:rsidR="003E00AC" w:rsidRPr="001F1E00" w:rsidRDefault="00C95FC0" w:rsidP="009E05F3">
            <w:pPr>
              <w:spacing w:line="276" w:lineRule="auto"/>
              <w:jc w:val="center"/>
              <w:rPr>
                <w:rFonts w:cs="Arial"/>
                <w:b/>
                <w:bCs/>
                <w:sz w:val="20"/>
                <w:szCs w:val="20"/>
                <w:lang w:val="en-US"/>
              </w:rPr>
            </w:pPr>
            <w:r w:rsidRPr="001F1E00">
              <w:rPr>
                <w:rFonts w:cs="Arial"/>
                <w:b/>
                <w:bCs/>
                <w:sz w:val="20"/>
                <w:szCs w:val="20"/>
                <w:lang w:val="en-US"/>
              </w:rPr>
              <w:t>Household income</w:t>
            </w:r>
          </w:p>
        </w:tc>
        <w:tc>
          <w:tcPr>
            <w:tcW w:w="7087" w:type="dxa"/>
            <w:tcBorders>
              <w:top w:val="double" w:sz="4" w:space="0" w:color="auto"/>
            </w:tcBorders>
            <w:vAlign w:val="center"/>
          </w:tcPr>
          <w:p w14:paraId="0AD5368C" w14:textId="3E929067" w:rsidR="003E00AC" w:rsidRPr="004342FE" w:rsidRDefault="004342FE" w:rsidP="00961148">
            <w:pPr>
              <w:spacing w:line="276" w:lineRule="auto"/>
              <w:jc w:val="left"/>
              <w:rPr>
                <w:rFonts w:cs="Arial"/>
                <w:sz w:val="20"/>
                <w:szCs w:val="20"/>
                <w:lang w:val="en-US"/>
              </w:rPr>
            </w:pPr>
            <w:commentRangeStart w:id="5"/>
            <w:r w:rsidRPr="004342FE">
              <w:rPr>
                <w:rFonts w:cs="Arial"/>
                <w:sz w:val="20"/>
                <w:szCs w:val="20"/>
                <w:lang w:val="en-US"/>
              </w:rPr>
              <w:t xml:space="preserve">&lt; </w:t>
            </w:r>
            <w:r w:rsidR="000C4C2D" w:rsidRPr="004342FE">
              <w:rPr>
                <w:rFonts w:cs="Arial"/>
                <w:sz w:val="20"/>
                <w:szCs w:val="20"/>
                <w:lang w:val="en-US"/>
              </w:rPr>
              <w:t>570,00 €</w:t>
            </w:r>
            <w:commentRangeEnd w:id="5"/>
            <w:r w:rsidR="00C676F2">
              <w:rPr>
                <w:rStyle w:val="Referencakomentara"/>
                <w:rFonts w:asciiTheme="minorHAnsi" w:hAnsiTheme="minorHAnsi"/>
                <w:lang w:val="en-US"/>
              </w:rPr>
              <w:commentReference w:id="5"/>
            </w:r>
          </w:p>
        </w:tc>
        <w:tc>
          <w:tcPr>
            <w:tcW w:w="562" w:type="dxa"/>
            <w:tcBorders>
              <w:top w:val="double" w:sz="4" w:space="0" w:color="auto"/>
            </w:tcBorders>
            <w:vAlign w:val="center"/>
          </w:tcPr>
          <w:p w14:paraId="706B6F17" w14:textId="58F398C1" w:rsidR="003E00AC" w:rsidRPr="004342FE" w:rsidRDefault="003E00AC" w:rsidP="00961148">
            <w:pPr>
              <w:spacing w:line="276" w:lineRule="auto"/>
              <w:jc w:val="left"/>
              <w:rPr>
                <w:rFonts w:cs="Arial"/>
                <w:sz w:val="20"/>
                <w:szCs w:val="20"/>
                <w:lang w:val="hr-HR"/>
              </w:rPr>
            </w:pPr>
            <w:r w:rsidRPr="004342FE">
              <w:rPr>
                <w:rFonts w:cs="Arial"/>
                <w:sz w:val="20"/>
                <w:szCs w:val="20"/>
                <w:lang w:val="hr-HR"/>
              </w:rPr>
              <w:t>6</w:t>
            </w:r>
          </w:p>
        </w:tc>
      </w:tr>
      <w:tr w:rsidR="003E00AC" w:rsidRPr="00706083" w14:paraId="0868FD99" w14:textId="77777777" w:rsidTr="009E05F3">
        <w:trPr>
          <w:trHeight w:val="680"/>
        </w:trPr>
        <w:tc>
          <w:tcPr>
            <w:tcW w:w="1413" w:type="dxa"/>
            <w:vMerge/>
            <w:vAlign w:val="center"/>
          </w:tcPr>
          <w:p w14:paraId="044C81AD" w14:textId="77777777" w:rsidR="003E00AC" w:rsidRPr="001F1E00" w:rsidRDefault="003E00AC" w:rsidP="009E05F3">
            <w:pPr>
              <w:spacing w:line="276" w:lineRule="auto"/>
              <w:jc w:val="center"/>
              <w:rPr>
                <w:rFonts w:cs="Arial"/>
                <w:b/>
                <w:bCs/>
                <w:sz w:val="20"/>
                <w:szCs w:val="20"/>
                <w:lang w:val="en-US"/>
              </w:rPr>
            </w:pPr>
          </w:p>
        </w:tc>
        <w:tc>
          <w:tcPr>
            <w:tcW w:w="7087" w:type="dxa"/>
            <w:vAlign w:val="center"/>
          </w:tcPr>
          <w:p w14:paraId="06176A72" w14:textId="08BEA5E6" w:rsidR="003E00AC" w:rsidRPr="004342FE" w:rsidRDefault="000C4C2D" w:rsidP="00961148">
            <w:pPr>
              <w:spacing w:line="276" w:lineRule="auto"/>
              <w:jc w:val="left"/>
              <w:rPr>
                <w:rFonts w:cs="Arial"/>
                <w:sz w:val="20"/>
                <w:szCs w:val="20"/>
                <w:lang w:val="en-US"/>
              </w:rPr>
            </w:pPr>
            <w:r w:rsidRPr="004342FE">
              <w:rPr>
                <w:rFonts w:cs="Arial"/>
                <w:sz w:val="20"/>
                <w:szCs w:val="20"/>
                <w:lang w:val="en-US"/>
              </w:rPr>
              <w:t xml:space="preserve">570,00 € </w:t>
            </w:r>
            <w:r w:rsidR="001F1E00" w:rsidRPr="004342FE">
              <w:rPr>
                <w:rFonts w:cs="Arial"/>
                <w:sz w:val="20"/>
                <w:szCs w:val="20"/>
                <w:lang w:val="en-US"/>
              </w:rPr>
              <w:t>–</w:t>
            </w:r>
            <w:r w:rsidR="003E00AC" w:rsidRPr="004342FE">
              <w:rPr>
                <w:rFonts w:cs="Arial"/>
                <w:sz w:val="20"/>
                <w:szCs w:val="20"/>
                <w:lang w:val="en-US"/>
              </w:rPr>
              <w:t xml:space="preserve"> </w:t>
            </w:r>
            <w:r w:rsidRPr="004342FE">
              <w:rPr>
                <w:rFonts w:cs="Arial"/>
                <w:sz w:val="20"/>
                <w:szCs w:val="20"/>
                <w:lang w:val="en-US"/>
              </w:rPr>
              <w:t>1.140,00 €</w:t>
            </w:r>
            <w:r w:rsidR="004342FE" w:rsidRPr="004342FE">
              <w:rPr>
                <w:rFonts w:cs="Arial"/>
                <w:sz w:val="20"/>
                <w:szCs w:val="20"/>
                <w:lang w:val="en-US"/>
              </w:rPr>
              <w:t xml:space="preserve"> </w:t>
            </w:r>
            <w:r w:rsidR="00F34C04">
              <w:rPr>
                <w:rFonts w:cs="Arial"/>
                <w:sz w:val="20"/>
                <w:szCs w:val="20"/>
                <w:lang w:val="en-US"/>
              </w:rPr>
              <w:t>(</w:t>
            </w:r>
            <w:r w:rsidR="003E00AC" w:rsidRPr="004342FE">
              <w:rPr>
                <w:rFonts w:cs="Arial"/>
                <w:sz w:val="20"/>
                <w:szCs w:val="20"/>
                <w:lang w:val="en-US"/>
              </w:rPr>
              <w:t xml:space="preserve">+ </w:t>
            </w:r>
            <w:r w:rsidRPr="004342FE">
              <w:rPr>
                <w:rFonts w:cs="Arial"/>
                <w:sz w:val="20"/>
                <w:szCs w:val="20"/>
                <w:lang w:val="en-US"/>
              </w:rPr>
              <w:t xml:space="preserve">200,00 € </w:t>
            </w:r>
            <w:r w:rsidR="001F1E00" w:rsidRPr="004342FE">
              <w:rPr>
                <w:rFonts w:cs="Arial"/>
                <w:sz w:val="20"/>
                <w:szCs w:val="20"/>
                <w:lang w:val="en-US"/>
              </w:rPr>
              <w:t>by each subsequent household member</w:t>
            </w:r>
            <w:r w:rsidRPr="004342FE">
              <w:rPr>
                <w:rFonts w:cs="Arial"/>
                <w:sz w:val="20"/>
                <w:szCs w:val="20"/>
                <w:lang w:val="en-US"/>
              </w:rPr>
              <w:t>)</w:t>
            </w:r>
          </w:p>
        </w:tc>
        <w:tc>
          <w:tcPr>
            <w:tcW w:w="562" w:type="dxa"/>
            <w:vAlign w:val="center"/>
          </w:tcPr>
          <w:p w14:paraId="4B5B4B6A" w14:textId="14381A64" w:rsidR="003E00AC" w:rsidRPr="004342FE" w:rsidRDefault="003E00AC" w:rsidP="00961148">
            <w:pPr>
              <w:spacing w:line="276" w:lineRule="auto"/>
              <w:jc w:val="left"/>
              <w:rPr>
                <w:rFonts w:cs="Arial"/>
                <w:sz w:val="20"/>
                <w:szCs w:val="20"/>
                <w:lang w:val="hr-HR"/>
              </w:rPr>
            </w:pPr>
            <w:r w:rsidRPr="004342FE">
              <w:rPr>
                <w:rFonts w:cs="Arial"/>
                <w:sz w:val="20"/>
                <w:szCs w:val="20"/>
                <w:lang w:val="hr-HR"/>
              </w:rPr>
              <w:t>10</w:t>
            </w:r>
          </w:p>
        </w:tc>
      </w:tr>
      <w:tr w:rsidR="003E00AC" w:rsidRPr="00706083" w14:paraId="29738667" w14:textId="77777777" w:rsidTr="009E05F3">
        <w:trPr>
          <w:trHeight w:val="680"/>
        </w:trPr>
        <w:tc>
          <w:tcPr>
            <w:tcW w:w="1413" w:type="dxa"/>
            <w:vMerge/>
            <w:tcBorders>
              <w:bottom w:val="double" w:sz="4" w:space="0" w:color="auto"/>
            </w:tcBorders>
            <w:vAlign w:val="center"/>
          </w:tcPr>
          <w:p w14:paraId="71A38E6D" w14:textId="77777777" w:rsidR="003E00AC" w:rsidRPr="001F1E00" w:rsidRDefault="003E00AC" w:rsidP="009E05F3">
            <w:pPr>
              <w:spacing w:line="276" w:lineRule="auto"/>
              <w:jc w:val="center"/>
              <w:rPr>
                <w:rFonts w:cs="Arial"/>
                <w:b/>
                <w:bCs/>
                <w:sz w:val="20"/>
                <w:szCs w:val="20"/>
                <w:lang w:val="en-US"/>
              </w:rPr>
            </w:pPr>
          </w:p>
        </w:tc>
        <w:tc>
          <w:tcPr>
            <w:tcW w:w="7087" w:type="dxa"/>
            <w:tcBorders>
              <w:bottom w:val="double" w:sz="4" w:space="0" w:color="auto"/>
            </w:tcBorders>
            <w:vAlign w:val="center"/>
          </w:tcPr>
          <w:p w14:paraId="2A9BD998" w14:textId="46C867D6" w:rsidR="003E00AC" w:rsidRPr="004342FE" w:rsidRDefault="003E00AC" w:rsidP="00961148">
            <w:pPr>
              <w:spacing w:line="276" w:lineRule="auto"/>
              <w:jc w:val="left"/>
              <w:rPr>
                <w:rFonts w:cs="Arial"/>
                <w:sz w:val="20"/>
                <w:szCs w:val="20"/>
                <w:lang w:val="en-US"/>
              </w:rPr>
            </w:pPr>
            <w:r w:rsidRPr="004342FE">
              <w:rPr>
                <w:rFonts w:cs="Arial"/>
                <w:sz w:val="20"/>
                <w:szCs w:val="20"/>
                <w:lang w:val="en-US"/>
              </w:rPr>
              <w:t xml:space="preserve">&gt; </w:t>
            </w:r>
            <w:r w:rsidR="000C4C2D" w:rsidRPr="004342FE">
              <w:rPr>
                <w:rFonts w:cs="Arial"/>
                <w:sz w:val="20"/>
                <w:szCs w:val="20"/>
                <w:lang w:val="en-US"/>
              </w:rPr>
              <w:t xml:space="preserve">1.140,00 € </w:t>
            </w:r>
            <w:r w:rsidR="00F34C04">
              <w:rPr>
                <w:rFonts w:cs="Arial"/>
                <w:sz w:val="20"/>
                <w:szCs w:val="20"/>
                <w:lang w:val="en-US"/>
              </w:rPr>
              <w:t>(</w:t>
            </w:r>
            <w:r w:rsidRPr="004342FE">
              <w:rPr>
                <w:rFonts w:cs="Arial"/>
                <w:sz w:val="20"/>
                <w:szCs w:val="20"/>
                <w:lang w:val="en-US"/>
              </w:rPr>
              <w:t xml:space="preserve">+ </w:t>
            </w:r>
            <w:r w:rsidR="000C4C2D" w:rsidRPr="004342FE">
              <w:rPr>
                <w:rFonts w:cs="Arial"/>
                <w:sz w:val="20"/>
                <w:szCs w:val="20"/>
                <w:lang w:val="en-US"/>
              </w:rPr>
              <w:t xml:space="preserve">200,00 € </w:t>
            </w:r>
            <w:r w:rsidR="001F1E00" w:rsidRPr="004342FE">
              <w:rPr>
                <w:rFonts w:cs="Arial"/>
                <w:sz w:val="20"/>
                <w:szCs w:val="20"/>
                <w:lang w:val="en-US"/>
              </w:rPr>
              <w:t>by each subsequent household member</w:t>
            </w:r>
            <w:r w:rsidR="00F34C04">
              <w:rPr>
                <w:rFonts w:cs="Arial"/>
                <w:sz w:val="20"/>
                <w:szCs w:val="20"/>
                <w:lang w:val="en-US"/>
              </w:rPr>
              <w:t>)</w:t>
            </w:r>
          </w:p>
        </w:tc>
        <w:tc>
          <w:tcPr>
            <w:tcW w:w="562" w:type="dxa"/>
            <w:tcBorders>
              <w:bottom w:val="double" w:sz="4" w:space="0" w:color="auto"/>
            </w:tcBorders>
            <w:vAlign w:val="center"/>
          </w:tcPr>
          <w:p w14:paraId="37F76892" w14:textId="47592A45" w:rsidR="003E00AC" w:rsidRPr="004342FE" w:rsidRDefault="003E00AC" w:rsidP="00961148">
            <w:pPr>
              <w:spacing w:line="276" w:lineRule="auto"/>
              <w:jc w:val="left"/>
              <w:rPr>
                <w:rFonts w:cs="Arial"/>
                <w:sz w:val="20"/>
                <w:szCs w:val="20"/>
                <w:lang w:val="hr-HR"/>
              </w:rPr>
            </w:pPr>
            <w:r w:rsidRPr="004342FE">
              <w:rPr>
                <w:rFonts w:cs="Arial"/>
                <w:sz w:val="20"/>
                <w:szCs w:val="20"/>
                <w:lang w:val="hr-HR"/>
              </w:rPr>
              <w:t>0</w:t>
            </w:r>
          </w:p>
        </w:tc>
      </w:tr>
      <w:tr w:rsidR="003E00AC" w:rsidRPr="00706083" w14:paraId="6EA973CD" w14:textId="6491C66B" w:rsidTr="009E05F3">
        <w:trPr>
          <w:trHeight w:val="680"/>
        </w:trPr>
        <w:tc>
          <w:tcPr>
            <w:tcW w:w="1413" w:type="dxa"/>
            <w:vMerge w:val="restart"/>
            <w:tcBorders>
              <w:top w:val="double" w:sz="4" w:space="0" w:color="auto"/>
            </w:tcBorders>
            <w:vAlign w:val="center"/>
          </w:tcPr>
          <w:p w14:paraId="2A21B468" w14:textId="0C45204C" w:rsidR="003E00AC" w:rsidRPr="001F1E00" w:rsidRDefault="00C95FC0" w:rsidP="009E05F3">
            <w:pPr>
              <w:spacing w:line="276" w:lineRule="auto"/>
              <w:jc w:val="center"/>
              <w:rPr>
                <w:rFonts w:cs="Arial"/>
                <w:b/>
                <w:bCs/>
                <w:sz w:val="20"/>
                <w:szCs w:val="20"/>
                <w:lang w:val="en-US"/>
              </w:rPr>
            </w:pPr>
            <w:r w:rsidRPr="001F1E00">
              <w:rPr>
                <w:rFonts w:cs="Arial"/>
                <w:b/>
                <w:bCs/>
                <w:sz w:val="20"/>
                <w:szCs w:val="20"/>
                <w:lang w:val="en-US"/>
              </w:rPr>
              <w:lastRenderedPageBreak/>
              <w:t>Year of construction</w:t>
            </w:r>
          </w:p>
        </w:tc>
        <w:tc>
          <w:tcPr>
            <w:tcW w:w="7087" w:type="dxa"/>
            <w:tcBorders>
              <w:top w:val="double" w:sz="4" w:space="0" w:color="auto"/>
              <w:left w:val="single" w:sz="8" w:space="0" w:color="auto"/>
              <w:bottom w:val="single" w:sz="4" w:space="0" w:color="auto"/>
              <w:right w:val="single" w:sz="8" w:space="0" w:color="000000"/>
            </w:tcBorders>
            <w:shd w:val="clear" w:color="auto" w:fill="auto"/>
            <w:vAlign w:val="center"/>
          </w:tcPr>
          <w:p w14:paraId="6A12CF59" w14:textId="57DBF0A9" w:rsidR="003E00AC" w:rsidRPr="00706083" w:rsidRDefault="00161798" w:rsidP="00961148">
            <w:pPr>
              <w:spacing w:line="276" w:lineRule="auto"/>
              <w:jc w:val="left"/>
              <w:rPr>
                <w:rFonts w:cs="Arial"/>
                <w:sz w:val="20"/>
                <w:szCs w:val="20"/>
                <w:lang w:val="hr-HR"/>
              </w:rPr>
            </w:pPr>
            <w:r>
              <w:rPr>
                <w:rFonts w:cs="Arial"/>
                <w:color w:val="000000"/>
                <w:sz w:val="20"/>
                <w:szCs w:val="20"/>
              </w:rPr>
              <w:t>before</w:t>
            </w:r>
            <w:r w:rsidR="003E00AC" w:rsidRPr="00706083">
              <w:rPr>
                <w:rFonts w:cs="Arial"/>
                <w:color w:val="000000"/>
                <w:sz w:val="20"/>
                <w:szCs w:val="20"/>
              </w:rPr>
              <w:t xml:space="preserve"> 1987</w:t>
            </w:r>
          </w:p>
        </w:tc>
        <w:tc>
          <w:tcPr>
            <w:tcW w:w="562" w:type="dxa"/>
            <w:tcBorders>
              <w:top w:val="double" w:sz="4" w:space="0" w:color="auto"/>
            </w:tcBorders>
            <w:vAlign w:val="center"/>
          </w:tcPr>
          <w:p w14:paraId="4775DF3F" w14:textId="2C0ECBA8" w:rsidR="003E00AC" w:rsidRPr="00706083" w:rsidRDefault="003E00AC" w:rsidP="00961148">
            <w:pPr>
              <w:spacing w:line="276" w:lineRule="auto"/>
              <w:jc w:val="left"/>
              <w:rPr>
                <w:rFonts w:cs="Arial"/>
                <w:sz w:val="20"/>
                <w:szCs w:val="20"/>
                <w:lang w:val="hr-HR"/>
              </w:rPr>
            </w:pPr>
            <w:r w:rsidRPr="00706083">
              <w:rPr>
                <w:rFonts w:cs="Arial"/>
                <w:sz w:val="20"/>
                <w:szCs w:val="20"/>
                <w:lang w:val="hr-HR"/>
              </w:rPr>
              <w:t>10</w:t>
            </w:r>
          </w:p>
        </w:tc>
      </w:tr>
      <w:tr w:rsidR="003E00AC" w:rsidRPr="00706083" w14:paraId="7E68188C" w14:textId="10024EB4" w:rsidTr="009E05F3">
        <w:trPr>
          <w:trHeight w:val="680"/>
        </w:trPr>
        <w:tc>
          <w:tcPr>
            <w:tcW w:w="1413" w:type="dxa"/>
            <w:vMerge/>
            <w:vAlign w:val="center"/>
          </w:tcPr>
          <w:p w14:paraId="75CC83F1" w14:textId="77777777" w:rsidR="003E00AC" w:rsidRPr="001F1E00" w:rsidRDefault="003E00AC" w:rsidP="009E05F3">
            <w:pPr>
              <w:spacing w:line="276" w:lineRule="auto"/>
              <w:jc w:val="center"/>
              <w:rPr>
                <w:rFonts w:cs="Arial"/>
                <w:b/>
                <w:bCs/>
                <w:sz w:val="20"/>
                <w:szCs w:val="20"/>
                <w:lang w:val="en-US"/>
              </w:rPr>
            </w:pPr>
          </w:p>
        </w:tc>
        <w:tc>
          <w:tcPr>
            <w:tcW w:w="7087" w:type="dxa"/>
            <w:tcBorders>
              <w:top w:val="single" w:sz="4" w:space="0" w:color="auto"/>
              <w:left w:val="single" w:sz="8" w:space="0" w:color="auto"/>
              <w:bottom w:val="single" w:sz="4" w:space="0" w:color="auto"/>
              <w:right w:val="single" w:sz="8" w:space="0" w:color="000000"/>
            </w:tcBorders>
            <w:shd w:val="clear" w:color="auto" w:fill="auto"/>
            <w:vAlign w:val="center"/>
          </w:tcPr>
          <w:p w14:paraId="41EEBA26" w14:textId="14876000" w:rsidR="003E00AC" w:rsidRPr="00706083" w:rsidRDefault="001F1E00" w:rsidP="00961148">
            <w:pPr>
              <w:spacing w:line="276" w:lineRule="auto"/>
              <w:jc w:val="left"/>
              <w:rPr>
                <w:rFonts w:cs="Arial"/>
                <w:sz w:val="20"/>
                <w:szCs w:val="20"/>
                <w:lang w:val="hr-HR"/>
              </w:rPr>
            </w:pPr>
            <w:r>
              <w:rPr>
                <w:rFonts w:cs="Arial"/>
                <w:color w:val="000000"/>
                <w:sz w:val="20"/>
                <w:szCs w:val="20"/>
              </w:rPr>
              <w:t xml:space="preserve">between </w:t>
            </w:r>
            <w:r w:rsidR="003E00AC" w:rsidRPr="00706083">
              <w:rPr>
                <w:rFonts w:cs="Arial"/>
                <w:color w:val="000000"/>
                <w:sz w:val="20"/>
                <w:szCs w:val="20"/>
              </w:rPr>
              <w:t>1987</w:t>
            </w:r>
            <w:r w:rsidR="009F2441" w:rsidRPr="00706083">
              <w:rPr>
                <w:rFonts w:cs="Arial"/>
                <w:color w:val="000000"/>
                <w:sz w:val="20"/>
                <w:szCs w:val="20"/>
              </w:rPr>
              <w:t xml:space="preserve"> </w:t>
            </w:r>
            <w:r w:rsidR="003E00AC" w:rsidRPr="00706083">
              <w:rPr>
                <w:rFonts w:cs="Arial"/>
                <w:color w:val="000000"/>
                <w:sz w:val="20"/>
                <w:szCs w:val="20"/>
              </w:rPr>
              <w:t>-</w:t>
            </w:r>
            <w:r w:rsidR="009F2441" w:rsidRPr="00706083">
              <w:rPr>
                <w:rFonts w:cs="Arial"/>
                <w:color w:val="000000"/>
                <w:sz w:val="20"/>
                <w:szCs w:val="20"/>
              </w:rPr>
              <w:t xml:space="preserve"> </w:t>
            </w:r>
            <w:r w:rsidR="003E00AC" w:rsidRPr="00706083">
              <w:rPr>
                <w:rFonts w:cs="Arial"/>
                <w:color w:val="000000"/>
                <w:sz w:val="20"/>
                <w:szCs w:val="20"/>
              </w:rPr>
              <w:t>2008</w:t>
            </w:r>
          </w:p>
        </w:tc>
        <w:tc>
          <w:tcPr>
            <w:tcW w:w="562" w:type="dxa"/>
            <w:vAlign w:val="center"/>
          </w:tcPr>
          <w:p w14:paraId="43920890" w14:textId="4EA7AF17" w:rsidR="003E00AC" w:rsidRPr="00706083" w:rsidRDefault="003E00AC" w:rsidP="00961148">
            <w:pPr>
              <w:spacing w:line="276" w:lineRule="auto"/>
              <w:jc w:val="left"/>
              <w:rPr>
                <w:rFonts w:cs="Arial"/>
                <w:sz w:val="20"/>
                <w:szCs w:val="20"/>
                <w:lang w:val="hr-HR"/>
              </w:rPr>
            </w:pPr>
            <w:r w:rsidRPr="00706083">
              <w:rPr>
                <w:rFonts w:cs="Arial"/>
                <w:sz w:val="20"/>
                <w:szCs w:val="20"/>
                <w:lang w:val="hr-HR"/>
              </w:rPr>
              <w:t>6</w:t>
            </w:r>
          </w:p>
        </w:tc>
      </w:tr>
      <w:tr w:rsidR="003E00AC" w:rsidRPr="00706083" w14:paraId="701E29D9" w14:textId="545F467E" w:rsidTr="009E05F3">
        <w:trPr>
          <w:trHeight w:val="680"/>
        </w:trPr>
        <w:tc>
          <w:tcPr>
            <w:tcW w:w="1413" w:type="dxa"/>
            <w:vMerge/>
            <w:tcBorders>
              <w:bottom w:val="double" w:sz="4" w:space="0" w:color="auto"/>
            </w:tcBorders>
            <w:vAlign w:val="center"/>
          </w:tcPr>
          <w:p w14:paraId="7A829D67" w14:textId="77777777" w:rsidR="003E00AC" w:rsidRPr="001F1E00" w:rsidRDefault="003E00AC" w:rsidP="009E05F3">
            <w:pPr>
              <w:spacing w:line="276" w:lineRule="auto"/>
              <w:jc w:val="center"/>
              <w:rPr>
                <w:rFonts w:cs="Arial"/>
                <w:b/>
                <w:bCs/>
                <w:sz w:val="20"/>
                <w:szCs w:val="20"/>
                <w:lang w:val="en-US"/>
              </w:rPr>
            </w:pPr>
          </w:p>
        </w:tc>
        <w:tc>
          <w:tcPr>
            <w:tcW w:w="7087" w:type="dxa"/>
            <w:tcBorders>
              <w:top w:val="single" w:sz="4" w:space="0" w:color="auto"/>
              <w:left w:val="single" w:sz="8" w:space="0" w:color="auto"/>
              <w:bottom w:val="double" w:sz="4" w:space="0" w:color="auto"/>
              <w:right w:val="single" w:sz="8" w:space="0" w:color="000000"/>
            </w:tcBorders>
            <w:shd w:val="clear" w:color="auto" w:fill="auto"/>
            <w:vAlign w:val="center"/>
          </w:tcPr>
          <w:p w14:paraId="7FDD8401" w14:textId="4BDD79CD" w:rsidR="003E00AC" w:rsidRPr="00706083" w:rsidRDefault="001F1E00" w:rsidP="00961148">
            <w:pPr>
              <w:spacing w:line="276" w:lineRule="auto"/>
              <w:jc w:val="left"/>
              <w:rPr>
                <w:rFonts w:cs="Arial"/>
                <w:sz w:val="20"/>
                <w:szCs w:val="20"/>
                <w:lang w:val="hr-HR"/>
              </w:rPr>
            </w:pPr>
            <w:r>
              <w:rPr>
                <w:rFonts w:cs="Arial"/>
                <w:color w:val="000000"/>
                <w:sz w:val="20"/>
                <w:szCs w:val="20"/>
              </w:rPr>
              <w:t>after</w:t>
            </w:r>
            <w:r w:rsidR="003E00AC" w:rsidRPr="00706083">
              <w:rPr>
                <w:rFonts w:cs="Arial"/>
                <w:color w:val="000000"/>
                <w:sz w:val="20"/>
                <w:szCs w:val="20"/>
              </w:rPr>
              <w:t xml:space="preserve"> 2008</w:t>
            </w:r>
          </w:p>
        </w:tc>
        <w:tc>
          <w:tcPr>
            <w:tcW w:w="562" w:type="dxa"/>
            <w:tcBorders>
              <w:bottom w:val="double" w:sz="4" w:space="0" w:color="auto"/>
            </w:tcBorders>
            <w:vAlign w:val="center"/>
          </w:tcPr>
          <w:p w14:paraId="662022DE" w14:textId="11F4F500" w:rsidR="003E00AC" w:rsidRPr="00706083" w:rsidRDefault="003E00AC" w:rsidP="00961148">
            <w:pPr>
              <w:spacing w:line="276" w:lineRule="auto"/>
              <w:jc w:val="left"/>
              <w:rPr>
                <w:rFonts w:cs="Arial"/>
                <w:sz w:val="20"/>
                <w:szCs w:val="20"/>
                <w:lang w:val="hr-HR"/>
              </w:rPr>
            </w:pPr>
            <w:r w:rsidRPr="00706083">
              <w:rPr>
                <w:rFonts w:cs="Arial"/>
                <w:sz w:val="20"/>
                <w:szCs w:val="20"/>
                <w:lang w:val="hr-HR"/>
              </w:rPr>
              <w:t>0</w:t>
            </w:r>
          </w:p>
        </w:tc>
      </w:tr>
      <w:tr w:rsidR="009F2441" w:rsidRPr="00706083" w14:paraId="4C213B8F" w14:textId="79E68958" w:rsidTr="009E05F3">
        <w:trPr>
          <w:trHeight w:val="680"/>
        </w:trPr>
        <w:tc>
          <w:tcPr>
            <w:tcW w:w="1413" w:type="dxa"/>
            <w:vMerge w:val="restart"/>
            <w:tcBorders>
              <w:top w:val="double" w:sz="4" w:space="0" w:color="auto"/>
            </w:tcBorders>
            <w:vAlign w:val="center"/>
          </w:tcPr>
          <w:p w14:paraId="5038640A" w14:textId="45A7B67C" w:rsidR="009F2441" w:rsidRPr="001F1E00" w:rsidRDefault="00C95FC0" w:rsidP="009E05F3">
            <w:pPr>
              <w:spacing w:line="276" w:lineRule="auto"/>
              <w:jc w:val="center"/>
              <w:rPr>
                <w:rFonts w:cs="Arial"/>
                <w:b/>
                <w:bCs/>
                <w:sz w:val="20"/>
                <w:szCs w:val="20"/>
                <w:lang w:val="en-US"/>
              </w:rPr>
            </w:pPr>
            <w:r w:rsidRPr="001F1E00">
              <w:rPr>
                <w:rFonts w:cs="Arial"/>
                <w:b/>
                <w:bCs/>
                <w:sz w:val="20"/>
                <w:szCs w:val="20"/>
                <w:lang w:val="en-US"/>
              </w:rPr>
              <w:t>Type of heating energy source</w:t>
            </w:r>
          </w:p>
        </w:tc>
        <w:tc>
          <w:tcPr>
            <w:tcW w:w="7087" w:type="dxa"/>
            <w:tcBorders>
              <w:top w:val="double" w:sz="4" w:space="0" w:color="auto"/>
            </w:tcBorders>
            <w:vAlign w:val="center"/>
          </w:tcPr>
          <w:p w14:paraId="1E62B75D" w14:textId="138D60CB" w:rsidR="009F2441" w:rsidRPr="00161798" w:rsidRDefault="00161798" w:rsidP="00961148">
            <w:pPr>
              <w:spacing w:line="276" w:lineRule="auto"/>
              <w:jc w:val="left"/>
              <w:rPr>
                <w:rFonts w:cs="Arial"/>
                <w:sz w:val="20"/>
                <w:szCs w:val="20"/>
                <w:lang w:val="en-US"/>
              </w:rPr>
            </w:pPr>
            <w:r w:rsidRPr="00161798">
              <w:rPr>
                <w:sz w:val="20"/>
                <w:szCs w:val="20"/>
                <w:lang w:val="en-US"/>
              </w:rPr>
              <w:t>Electricity</w:t>
            </w:r>
          </w:p>
        </w:tc>
        <w:tc>
          <w:tcPr>
            <w:tcW w:w="562" w:type="dxa"/>
            <w:tcBorders>
              <w:top w:val="double" w:sz="4" w:space="0" w:color="auto"/>
            </w:tcBorders>
            <w:vAlign w:val="center"/>
          </w:tcPr>
          <w:p w14:paraId="1C2FE7FC" w14:textId="580AA849" w:rsidR="009F2441" w:rsidRPr="00706083" w:rsidRDefault="009F2441" w:rsidP="00961148">
            <w:pPr>
              <w:spacing w:line="276" w:lineRule="auto"/>
              <w:jc w:val="left"/>
              <w:rPr>
                <w:rFonts w:cs="Arial"/>
                <w:sz w:val="20"/>
                <w:szCs w:val="20"/>
                <w:lang w:val="hr-HR"/>
              </w:rPr>
            </w:pPr>
            <w:r w:rsidRPr="00706083">
              <w:rPr>
                <w:rFonts w:cs="Arial"/>
                <w:sz w:val="20"/>
                <w:szCs w:val="20"/>
                <w:lang w:val="hr-HR"/>
              </w:rPr>
              <w:t>10</w:t>
            </w:r>
          </w:p>
        </w:tc>
      </w:tr>
      <w:tr w:rsidR="009F2441" w:rsidRPr="00706083" w14:paraId="513EAA31" w14:textId="74E3817D" w:rsidTr="009E05F3">
        <w:trPr>
          <w:trHeight w:val="680"/>
        </w:trPr>
        <w:tc>
          <w:tcPr>
            <w:tcW w:w="1413" w:type="dxa"/>
            <w:vMerge/>
            <w:vAlign w:val="center"/>
          </w:tcPr>
          <w:p w14:paraId="31F6AF72" w14:textId="339E8540" w:rsidR="009F2441" w:rsidRPr="00161798" w:rsidRDefault="009F2441" w:rsidP="00961148">
            <w:pPr>
              <w:spacing w:line="276" w:lineRule="auto"/>
              <w:jc w:val="left"/>
              <w:rPr>
                <w:rFonts w:cs="Arial"/>
                <w:b/>
                <w:bCs/>
                <w:sz w:val="20"/>
                <w:szCs w:val="20"/>
                <w:lang w:val="en-US"/>
              </w:rPr>
            </w:pPr>
          </w:p>
        </w:tc>
        <w:tc>
          <w:tcPr>
            <w:tcW w:w="7087" w:type="dxa"/>
            <w:vAlign w:val="center"/>
          </w:tcPr>
          <w:p w14:paraId="5FB581BA" w14:textId="0F507C3E" w:rsidR="009F2441" w:rsidRPr="00161798" w:rsidRDefault="00161798" w:rsidP="00961148">
            <w:pPr>
              <w:spacing w:line="276" w:lineRule="auto"/>
              <w:jc w:val="left"/>
              <w:rPr>
                <w:rFonts w:cs="Arial"/>
                <w:sz w:val="20"/>
                <w:szCs w:val="20"/>
                <w:lang w:val="en-US"/>
              </w:rPr>
            </w:pPr>
            <w:r w:rsidRPr="00161798">
              <w:rPr>
                <w:sz w:val="20"/>
                <w:szCs w:val="20"/>
                <w:lang w:val="en-US"/>
              </w:rPr>
              <w:t>Fuel oil</w:t>
            </w:r>
          </w:p>
        </w:tc>
        <w:tc>
          <w:tcPr>
            <w:tcW w:w="562" w:type="dxa"/>
            <w:vAlign w:val="center"/>
          </w:tcPr>
          <w:p w14:paraId="56EB9B89" w14:textId="2BE6D608" w:rsidR="009F2441" w:rsidRPr="00706083" w:rsidRDefault="009F2441" w:rsidP="00961148">
            <w:pPr>
              <w:spacing w:line="276" w:lineRule="auto"/>
              <w:jc w:val="left"/>
              <w:rPr>
                <w:rFonts w:cs="Arial"/>
                <w:sz w:val="20"/>
                <w:szCs w:val="20"/>
                <w:lang w:val="hr-HR"/>
              </w:rPr>
            </w:pPr>
            <w:r w:rsidRPr="00706083">
              <w:rPr>
                <w:rFonts w:cs="Arial"/>
                <w:sz w:val="20"/>
                <w:szCs w:val="20"/>
                <w:lang w:val="hr-HR"/>
              </w:rPr>
              <w:t>8</w:t>
            </w:r>
          </w:p>
        </w:tc>
      </w:tr>
      <w:tr w:rsidR="009F2441" w:rsidRPr="00706083" w14:paraId="0884FC90" w14:textId="77777777" w:rsidTr="009E05F3">
        <w:trPr>
          <w:trHeight w:val="680"/>
        </w:trPr>
        <w:tc>
          <w:tcPr>
            <w:tcW w:w="1413" w:type="dxa"/>
            <w:vMerge/>
            <w:vAlign w:val="center"/>
          </w:tcPr>
          <w:p w14:paraId="290D0084" w14:textId="77777777" w:rsidR="009F2441" w:rsidRPr="00161798" w:rsidRDefault="009F2441" w:rsidP="00961148">
            <w:pPr>
              <w:spacing w:line="276" w:lineRule="auto"/>
              <w:jc w:val="left"/>
              <w:rPr>
                <w:rFonts w:cs="Arial"/>
                <w:b/>
                <w:bCs/>
                <w:sz w:val="20"/>
                <w:szCs w:val="20"/>
                <w:lang w:val="en-US"/>
              </w:rPr>
            </w:pPr>
          </w:p>
        </w:tc>
        <w:tc>
          <w:tcPr>
            <w:tcW w:w="7087" w:type="dxa"/>
            <w:vAlign w:val="center"/>
          </w:tcPr>
          <w:p w14:paraId="72D98A56" w14:textId="5DF98DC9" w:rsidR="009F2441" w:rsidRPr="00161798" w:rsidRDefault="00161798" w:rsidP="00961148">
            <w:pPr>
              <w:spacing w:line="276" w:lineRule="auto"/>
              <w:jc w:val="left"/>
              <w:rPr>
                <w:rFonts w:cs="Arial"/>
                <w:sz w:val="20"/>
                <w:szCs w:val="20"/>
                <w:lang w:val="en-US"/>
              </w:rPr>
            </w:pPr>
            <w:r w:rsidRPr="00161798">
              <w:rPr>
                <w:rFonts w:cs="Arial"/>
                <w:sz w:val="20"/>
                <w:szCs w:val="20"/>
                <w:lang w:val="en-US"/>
              </w:rPr>
              <w:t>Natural gas</w:t>
            </w:r>
          </w:p>
        </w:tc>
        <w:tc>
          <w:tcPr>
            <w:tcW w:w="562" w:type="dxa"/>
            <w:vAlign w:val="center"/>
          </w:tcPr>
          <w:p w14:paraId="1E9D02E6" w14:textId="51ADBEC2" w:rsidR="009F2441" w:rsidRPr="00706083" w:rsidRDefault="009F2441" w:rsidP="00961148">
            <w:pPr>
              <w:spacing w:line="276" w:lineRule="auto"/>
              <w:jc w:val="left"/>
              <w:rPr>
                <w:rFonts w:cs="Arial"/>
                <w:sz w:val="20"/>
                <w:szCs w:val="20"/>
                <w:lang w:val="hr-HR"/>
              </w:rPr>
            </w:pPr>
            <w:r w:rsidRPr="00706083">
              <w:rPr>
                <w:rFonts w:cs="Arial"/>
                <w:sz w:val="20"/>
                <w:szCs w:val="20"/>
                <w:lang w:val="hr-HR"/>
              </w:rPr>
              <w:t>6</w:t>
            </w:r>
          </w:p>
        </w:tc>
      </w:tr>
      <w:tr w:rsidR="009F2441" w:rsidRPr="00706083" w14:paraId="1E23CDC0" w14:textId="77777777" w:rsidTr="009E05F3">
        <w:trPr>
          <w:trHeight w:val="680"/>
        </w:trPr>
        <w:tc>
          <w:tcPr>
            <w:tcW w:w="1413" w:type="dxa"/>
            <w:vMerge/>
            <w:vAlign w:val="center"/>
          </w:tcPr>
          <w:p w14:paraId="659E7E7F" w14:textId="77777777" w:rsidR="009F2441" w:rsidRPr="00161798" w:rsidRDefault="009F2441" w:rsidP="00961148">
            <w:pPr>
              <w:spacing w:line="276" w:lineRule="auto"/>
              <w:jc w:val="left"/>
              <w:rPr>
                <w:rFonts w:cs="Arial"/>
                <w:b/>
                <w:bCs/>
                <w:sz w:val="20"/>
                <w:szCs w:val="20"/>
                <w:lang w:val="en-US"/>
              </w:rPr>
            </w:pPr>
          </w:p>
        </w:tc>
        <w:tc>
          <w:tcPr>
            <w:tcW w:w="7087" w:type="dxa"/>
            <w:vAlign w:val="center"/>
          </w:tcPr>
          <w:p w14:paraId="0C67B757" w14:textId="584EBD86" w:rsidR="009F2441" w:rsidRPr="00161798" w:rsidRDefault="00161798" w:rsidP="00961148">
            <w:pPr>
              <w:spacing w:line="276" w:lineRule="auto"/>
              <w:jc w:val="left"/>
              <w:rPr>
                <w:rFonts w:cs="Arial"/>
                <w:sz w:val="20"/>
                <w:szCs w:val="20"/>
                <w:lang w:val="en-US"/>
              </w:rPr>
            </w:pPr>
            <w:r w:rsidRPr="00161798">
              <w:rPr>
                <w:sz w:val="20"/>
                <w:szCs w:val="20"/>
                <w:lang w:val="en-US"/>
              </w:rPr>
              <w:t>Firewood/biomass</w:t>
            </w:r>
          </w:p>
        </w:tc>
        <w:tc>
          <w:tcPr>
            <w:tcW w:w="562" w:type="dxa"/>
            <w:vAlign w:val="center"/>
          </w:tcPr>
          <w:p w14:paraId="01F138FC" w14:textId="117BE7C1" w:rsidR="009F2441" w:rsidRPr="00706083" w:rsidRDefault="009F2441" w:rsidP="00961148">
            <w:pPr>
              <w:spacing w:line="276" w:lineRule="auto"/>
              <w:jc w:val="left"/>
              <w:rPr>
                <w:rFonts w:cs="Arial"/>
                <w:sz w:val="20"/>
                <w:szCs w:val="20"/>
                <w:lang w:val="hr-HR"/>
              </w:rPr>
            </w:pPr>
            <w:r w:rsidRPr="00706083">
              <w:rPr>
                <w:rFonts w:cs="Arial"/>
                <w:sz w:val="20"/>
                <w:szCs w:val="20"/>
                <w:lang w:val="hr-HR"/>
              </w:rPr>
              <w:t>4</w:t>
            </w:r>
          </w:p>
        </w:tc>
      </w:tr>
      <w:tr w:rsidR="009F2441" w:rsidRPr="00706083" w14:paraId="4D2A8A8B" w14:textId="77777777" w:rsidTr="009E05F3">
        <w:trPr>
          <w:trHeight w:val="680"/>
        </w:trPr>
        <w:tc>
          <w:tcPr>
            <w:tcW w:w="1413" w:type="dxa"/>
            <w:vMerge/>
            <w:tcBorders>
              <w:bottom w:val="single" w:sz="4" w:space="0" w:color="auto"/>
            </w:tcBorders>
            <w:vAlign w:val="center"/>
          </w:tcPr>
          <w:p w14:paraId="64631827" w14:textId="77777777" w:rsidR="009F2441" w:rsidRPr="00161798" w:rsidRDefault="009F2441" w:rsidP="00961148">
            <w:pPr>
              <w:spacing w:line="276" w:lineRule="auto"/>
              <w:jc w:val="left"/>
              <w:rPr>
                <w:rFonts w:cs="Arial"/>
                <w:b/>
                <w:bCs/>
                <w:sz w:val="20"/>
                <w:szCs w:val="20"/>
                <w:lang w:val="en-US"/>
              </w:rPr>
            </w:pPr>
          </w:p>
        </w:tc>
        <w:tc>
          <w:tcPr>
            <w:tcW w:w="7087" w:type="dxa"/>
            <w:tcBorders>
              <w:bottom w:val="single" w:sz="4" w:space="0" w:color="auto"/>
            </w:tcBorders>
            <w:vAlign w:val="center"/>
          </w:tcPr>
          <w:p w14:paraId="48A277A5" w14:textId="6B877290" w:rsidR="009F2441" w:rsidRPr="00161798" w:rsidRDefault="00161798" w:rsidP="00961148">
            <w:pPr>
              <w:spacing w:line="276" w:lineRule="auto"/>
              <w:jc w:val="left"/>
              <w:rPr>
                <w:rFonts w:cs="Arial"/>
                <w:sz w:val="20"/>
                <w:szCs w:val="20"/>
                <w:lang w:val="en-US"/>
              </w:rPr>
            </w:pPr>
            <w:r w:rsidRPr="00161798">
              <w:rPr>
                <w:rFonts w:cs="Arial"/>
                <w:sz w:val="20"/>
                <w:szCs w:val="20"/>
                <w:lang w:val="en-US"/>
              </w:rPr>
              <w:t>Renewable energy sources</w:t>
            </w:r>
          </w:p>
        </w:tc>
        <w:tc>
          <w:tcPr>
            <w:tcW w:w="562" w:type="dxa"/>
            <w:tcBorders>
              <w:bottom w:val="single" w:sz="4" w:space="0" w:color="auto"/>
            </w:tcBorders>
            <w:vAlign w:val="center"/>
          </w:tcPr>
          <w:p w14:paraId="1BD4C8DD" w14:textId="59769155" w:rsidR="009F2441" w:rsidRPr="00706083" w:rsidRDefault="009F2441" w:rsidP="00961148">
            <w:pPr>
              <w:spacing w:line="276" w:lineRule="auto"/>
              <w:jc w:val="left"/>
              <w:rPr>
                <w:rFonts w:cs="Arial"/>
                <w:sz w:val="20"/>
                <w:szCs w:val="20"/>
                <w:lang w:val="hr-HR"/>
              </w:rPr>
            </w:pPr>
            <w:r w:rsidRPr="00706083">
              <w:rPr>
                <w:rFonts w:cs="Arial"/>
                <w:sz w:val="20"/>
                <w:szCs w:val="20"/>
                <w:lang w:val="hr-HR"/>
              </w:rPr>
              <w:t>0</w:t>
            </w:r>
          </w:p>
        </w:tc>
      </w:tr>
    </w:tbl>
    <w:p w14:paraId="7BCF6D3A" w14:textId="77777777" w:rsidR="002F09DD" w:rsidRPr="00323090" w:rsidRDefault="002F09DD" w:rsidP="00961148">
      <w:pPr>
        <w:spacing w:after="120" w:line="276" w:lineRule="auto"/>
        <w:rPr>
          <w:sz w:val="14"/>
          <w:szCs w:val="14"/>
          <w:lang w:val="en-US"/>
        </w:rPr>
      </w:pPr>
    </w:p>
    <w:p w14:paraId="2798BF17" w14:textId="5B0E20BF" w:rsidR="001F1E00" w:rsidRPr="00323090" w:rsidRDefault="001F1E00" w:rsidP="001F1E00">
      <w:pPr>
        <w:spacing w:after="120" w:line="276" w:lineRule="auto"/>
        <w:rPr>
          <w:sz w:val="24"/>
          <w:szCs w:val="24"/>
          <w:lang w:val="en-US"/>
        </w:rPr>
      </w:pPr>
      <w:r w:rsidRPr="00323090">
        <w:rPr>
          <w:sz w:val="24"/>
          <w:szCs w:val="24"/>
          <w:lang w:val="en-US"/>
        </w:rPr>
        <w:t xml:space="preserve">After evaluating and scoring </w:t>
      </w:r>
      <w:r w:rsidR="009E05F3">
        <w:rPr>
          <w:sz w:val="24"/>
          <w:szCs w:val="24"/>
          <w:lang w:val="en-US"/>
        </w:rPr>
        <w:t xml:space="preserve">of </w:t>
      </w:r>
      <w:r w:rsidRPr="00323090">
        <w:rPr>
          <w:sz w:val="24"/>
          <w:szCs w:val="24"/>
          <w:lang w:val="en-US"/>
        </w:rPr>
        <w:t xml:space="preserve">all received applications, </w:t>
      </w:r>
      <w:bookmarkStart w:id="6" w:name="_Hlk68782771"/>
      <w:r w:rsidRPr="00323090">
        <w:rPr>
          <w:sz w:val="24"/>
          <w:szCs w:val="24"/>
          <w:lang w:val="en-US"/>
        </w:rPr>
        <w:t>Medjimurje Energy Agency Ltd./Zala County</w:t>
      </w:r>
      <w:bookmarkEnd w:id="6"/>
      <w:r w:rsidRPr="00323090">
        <w:rPr>
          <w:sz w:val="24"/>
          <w:szCs w:val="24"/>
          <w:lang w:val="en-US"/>
        </w:rPr>
        <w:t xml:space="preserve"> will make a </w:t>
      </w:r>
      <w:r w:rsidRPr="009E05F3">
        <w:rPr>
          <w:b/>
          <w:bCs/>
          <w:sz w:val="24"/>
          <w:szCs w:val="24"/>
          <w:u w:val="single"/>
          <w:lang w:val="en-US"/>
        </w:rPr>
        <w:t>ranking list of received applications</w:t>
      </w:r>
      <w:r w:rsidRPr="00323090">
        <w:rPr>
          <w:sz w:val="24"/>
          <w:szCs w:val="24"/>
          <w:lang w:val="en-US"/>
        </w:rPr>
        <w:t xml:space="preserve"> and will </w:t>
      </w:r>
      <w:r w:rsidR="00323090" w:rsidRPr="00323090">
        <w:rPr>
          <w:sz w:val="24"/>
          <w:szCs w:val="24"/>
          <w:lang w:val="en-US"/>
        </w:rPr>
        <w:t>send request for additiona</w:t>
      </w:r>
      <w:r w:rsidR="00323090">
        <w:rPr>
          <w:sz w:val="24"/>
          <w:szCs w:val="24"/>
          <w:lang w:val="en-US"/>
        </w:rPr>
        <w:t>l</w:t>
      </w:r>
      <w:r w:rsidR="00323090" w:rsidRPr="00323090">
        <w:rPr>
          <w:sz w:val="24"/>
          <w:szCs w:val="24"/>
          <w:lang w:val="en-US"/>
        </w:rPr>
        <w:t xml:space="preserve"> documentation</w:t>
      </w:r>
      <w:r w:rsidRPr="00323090">
        <w:rPr>
          <w:sz w:val="24"/>
          <w:szCs w:val="24"/>
          <w:lang w:val="en-US"/>
        </w:rPr>
        <w:t xml:space="preserve"> for the 5 best ra</w:t>
      </w:r>
      <w:r w:rsidR="00323090" w:rsidRPr="00323090">
        <w:rPr>
          <w:sz w:val="24"/>
          <w:szCs w:val="24"/>
          <w:lang w:val="en-US"/>
        </w:rPr>
        <w:t>nked</w:t>
      </w:r>
      <w:r w:rsidRPr="00323090">
        <w:rPr>
          <w:sz w:val="24"/>
          <w:szCs w:val="24"/>
          <w:lang w:val="en-US"/>
        </w:rPr>
        <w:t xml:space="preserve"> application</w:t>
      </w:r>
      <w:r w:rsidR="00323090" w:rsidRPr="00323090">
        <w:rPr>
          <w:sz w:val="24"/>
          <w:szCs w:val="24"/>
          <w:lang w:val="en-US"/>
        </w:rPr>
        <w:t xml:space="preserve"> in order to check </w:t>
      </w:r>
      <w:r w:rsidRPr="00323090">
        <w:rPr>
          <w:sz w:val="24"/>
          <w:szCs w:val="24"/>
          <w:lang w:val="en-US"/>
        </w:rPr>
        <w:t xml:space="preserve">the </w:t>
      </w:r>
      <w:r w:rsidR="00323090" w:rsidRPr="00323090">
        <w:rPr>
          <w:sz w:val="24"/>
          <w:szCs w:val="24"/>
          <w:lang w:val="en-US"/>
        </w:rPr>
        <w:t xml:space="preserve">truthfulness and </w:t>
      </w:r>
      <w:r w:rsidRPr="00323090">
        <w:rPr>
          <w:sz w:val="24"/>
          <w:szCs w:val="24"/>
          <w:lang w:val="en-US"/>
        </w:rPr>
        <w:t>accuracy of the data from the application</w:t>
      </w:r>
      <w:r w:rsidR="00323090" w:rsidRPr="00323090">
        <w:rPr>
          <w:sz w:val="24"/>
          <w:szCs w:val="24"/>
          <w:lang w:val="en-US"/>
        </w:rPr>
        <w:t xml:space="preserve"> form</w:t>
      </w:r>
      <w:r w:rsidRPr="00323090">
        <w:rPr>
          <w:sz w:val="24"/>
          <w:szCs w:val="24"/>
          <w:lang w:val="en-US"/>
        </w:rPr>
        <w:t xml:space="preserve"> as well as the fulfillment of the exclu</w:t>
      </w:r>
      <w:r w:rsidR="009E05F3">
        <w:rPr>
          <w:sz w:val="24"/>
          <w:szCs w:val="24"/>
          <w:lang w:val="en-US"/>
        </w:rPr>
        <w:t>ding</w:t>
      </w:r>
      <w:r w:rsidRPr="00323090">
        <w:rPr>
          <w:sz w:val="24"/>
          <w:szCs w:val="24"/>
          <w:lang w:val="en-US"/>
        </w:rPr>
        <w:t xml:space="preserve"> criteria.</w:t>
      </w:r>
    </w:p>
    <w:p w14:paraId="29E7A096" w14:textId="36CAC982" w:rsidR="001F1E00" w:rsidRDefault="00323090" w:rsidP="001F1E00">
      <w:pPr>
        <w:spacing w:after="120" w:line="276" w:lineRule="auto"/>
        <w:rPr>
          <w:sz w:val="24"/>
          <w:szCs w:val="24"/>
          <w:lang w:val="en-US"/>
        </w:rPr>
      </w:pPr>
      <w:r w:rsidRPr="00323090">
        <w:rPr>
          <w:sz w:val="24"/>
          <w:szCs w:val="24"/>
          <w:lang w:val="en-US"/>
        </w:rPr>
        <w:t>In case certain</w:t>
      </w:r>
      <w:r w:rsidR="001F1E00" w:rsidRPr="00323090">
        <w:rPr>
          <w:sz w:val="24"/>
          <w:szCs w:val="24"/>
          <w:lang w:val="en-US"/>
        </w:rPr>
        <w:t xml:space="preserve"> irregularities in the applications in relation to the data from the application form</w:t>
      </w:r>
      <w:r w:rsidRPr="00323090">
        <w:rPr>
          <w:sz w:val="24"/>
          <w:szCs w:val="24"/>
          <w:lang w:val="en-US"/>
        </w:rPr>
        <w:t xml:space="preserve"> are found</w:t>
      </w:r>
      <w:r w:rsidR="001F1E00" w:rsidRPr="00323090">
        <w:rPr>
          <w:sz w:val="24"/>
          <w:szCs w:val="24"/>
          <w:lang w:val="en-US"/>
        </w:rPr>
        <w:t xml:space="preserve">, </w:t>
      </w:r>
      <w:r w:rsidRPr="00323090">
        <w:rPr>
          <w:sz w:val="24"/>
          <w:szCs w:val="24"/>
          <w:lang w:val="en-US"/>
        </w:rPr>
        <w:t xml:space="preserve">Medjimurje Energy Agency Ltd./Zala County </w:t>
      </w:r>
      <w:r w:rsidR="001F1E00" w:rsidRPr="00323090">
        <w:rPr>
          <w:sz w:val="24"/>
          <w:szCs w:val="24"/>
          <w:lang w:val="en-US"/>
        </w:rPr>
        <w:t xml:space="preserve">reserves the right to reject the application and continue </w:t>
      </w:r>
      <w:r w:rsidRPr="00323090">
        <w:rPr>
          <w:sz w:val="24"/>
          <w:szCs w:val="24"/>
          <w:lang w:val="en-US"/>
        </w:rPr>
        <w:t>to request additional documentation and check</w:t>
      </w:r>
      <w:r w:rsidR="001F1E00" w:rsidRPr="00323090">
        <w:rPr>
          <w:sz w:val="24"/>
          <w:szCs w:val="24"/>
          <w:lang w:val="en-US"/>
        </w:rPr>
        <w:t xml:space="preserve"> </w:t>
      </w:r>
      <w:r w:rsidRPr="00323090">
        <w:rPr>
          <w:sz w:val="24"/>
          <w:szCs w:val="24"/>
          <w:lang w:val="en-US"/>
        </w:rPr>
        <w:t>the truthfulness and accuracy of the da</w:t>
      </w:r>
      <w:r w:rsidR="009E05F3">
        <w:rPr>
          <w:sz w:val="24"/>
          <w:szCs w:val="24"/>
          <w:lang w:val="en-US"/>
        </w:rPr>
        <w:t>t</w:t>
      </w:r>
      <w:r w:rsidRPr="00323090">
        <w:rPr>
          <w:sz w:val="24"/>
          <w:szCs w:val="24"/>
          <w:lang w:val="en-US"/>
        </w:rPr>
        <w:t xml:space="preserve">a </w:t>
      </w:r>
      <w:r w:rsidR="001F1E00" w:rsidRPr="00323090">
        <w:rPr>
          <w:sz w:val="24"/>
          <w:szCs w:val="24"/>
          <w:lang w:val="en-US"/>
        </w:rPr>
        <w:t>for the next best ra</w:t>
      </w:r>
      <w:r w:rsidRPr="00323090">
        <w:rPr>
          <w:sz w:val="24"/>
          <w:szCs w:val="24"/>
          <w:lang w:val="en-US"/>
        </w:rPr>
        <w:t>nked</w:t>
      </w:r>
      <w:r w:rsidR="001F1E00" w:rsidRPr="00323090">
        <w:rPr>
          <w:sz w:val="24"/>
          <w:szCs w:val="24"/>
          <w:lang w:val="en-US"/>
        </w:rPr>
        <w:t xml:space="preserve"> application</w:t>
      </w:r>
      <w:r w:rsidRPr="00323090">
        <w:rPr>
          <w:sz w:val="24"/>
          <w:szCs w:val="24"/>
          <w:lang w:val="en-US"/>
        </w:rPr>
        <w:t>/s</w:t>
      </w:r>
      <w:r w:rsidR="001F1E00" w:rsidRPr="00323090">
        <w:rPr>
          <w:sz w:val="24"/>
          <w:szCs w:val="24"/>
          <w:lang w:val="en-US"/>
        </w:rPr>
        <w:t xml:space="preserve"> until the moment when 5 </w:t>
      </w:r>
      <w:r w:rsidR="009E05F3">
        <w:rPr>
          <w:sz w:val="24"/>
          <w:szCs w:val="24"/>
          <w:lang w:val="en-US"/>
        </w:rPr>
        <w:t>private</w:t>
      </w:r>
      <w:r w:rsidR="001F1E00" w:rsidRPr="00323090">
        <w:rPr>
          <w:sz w:val="24"/>
          <w:szCs w:val="24"/>
          <w:lang w:val="en-US"/>
        </w:rPr>
        <w:t xml:space="preserve"> houses that meet all the conditions of the Public </w:t>
      </w:r>
      <w:r w:rsidRPr="00323090">
        <w:rPr>
          <w:sz w:val="24"/>
          <w:szCs w:val="24"/>
          <w:lang w:val="en-US"/>
        </w:rPr>
        <w:t>call</w:t>
      </w:r>
      <w:r w:rsidR="001F1E00" w:rsidRPr="00323090">
        <w:rPr>
          <w:sz w:val="24"/>
          <w:szCs w:val="24"/>
          <w:lang w:val="en-US"/>
        </w:rPr>
        <w:t xml:space="preserve"> are selected.</w:t>
      </w:r>
    </w:p>
    <w:p w14:paraId="1CA16190" w14:textId="6EA68EEC" w:rsidR="009E05F3" w:rsidRPr="009E05F3" w:rsidRDefault="009E05F3" w:rsidP="001F1E00">
      <w:pPr>
        <w:spacing w:after="120" w:line="276" w:lineRule="auto"/>
        <w:rPr>
          <w:sz w:val="24"/>
          <w:szCs w:val="24"/>
          <w:lang w:val="en-US"/>
        </w:rPr>
      </w:pPr>
      <w:r w:rsidRPr="009E05F3">
        <w:rPr>
          <w:rStyle w:val="jlqj4b"/>
          <w:sz w:val="24"/>
          <w:szCs w:val="24"/>
          <w:lang w:val="en"/>
        </w:rPr>
        <w:t xml:space="preserve">Based on the results of the truthfulness and accuracy of the applications, after submitting additional documentation, </w:t>
      </w:r>
      <w:r w:rsidRPr="009E05F3">
        <w:rPr>
          <w:rStyle w:val="jlqj4b"/>
          <w:b/>
          <w:bCs/>
          <w:sz w:val="24"/>
          <w:szCs w:val="24"/>
          <w:u w:val="single"/>
          <w:lang w:val="en"/>
        </w:rPr>
        <w:t>5 private houses in the Medjimurje County/Zala County will be selected in order to be included in the implementation of pilot actions</w:t>
      </w:r>
      <w:r w:rsidRPr="009E05F3">
        <w:rPr>
          <w:rStyle w:val="jlqj4b"/>
          <w:sz w:val="24"/>
          <w:szCs w:val="24"/>
          <w:lang w:val="en"/>
        </w:rPr>
        <w:t>.</w:t>
      </w:r>
    </w:p>
    <w:p w14:paraId="4C74277D" w14:textId="6627E853" w:rsidR="003C05AF" w:rsidRPr="00323090" w:rsidRDefault="001F1E00" w:rsidP="00323090">
      <w:pPr>
        <w:spacing w:after="120" w:line="276" w:lineRule="auto"/>
        <w:rPr>
          <w:sz w:val="24"/>
          <w:szCs w:val="24"/>
          <w:lang w:val="en-US"/>
        </w:rPr>
      </w:pPr>
      <w:r w:rsidRPr="00323090">
        <w:rPr>
          <w:sz w:val="24"/>
          <w:szCs w:val="24"/>
          <w:lang w:val="en-US"/>
        </w:rPr>
        <w:t>In order to achieve cooperation between the Applicants of the selected applications (owner</w:t>
      </w:r>
      <w:r w:rsidR="00323090" w:rsidRPr="00323090">
        <w:rPr>
          <w:sz w:val="24"/>
          <w:szCs w:val="24"/>
          <w:lang w:val="en-US"/>
        </w:rPr>
        <w:t>/</w:t>
      </w:r>
      <w:r w:rsidRPr="00323090">
        <w:rPr>
          <w:sz w:val="24"/>
          <w:szCs w:val="24"/>
          <w:lang w:val="en-US"/>
        </w:rPr>
        <w:t xml:space="preserve">co-owner of the family house) and </w:t>
      </w:r>
      <w:r w:rsidR="00323090" w:rsidRPr="00323090">
        <w:rPr>
          <w:sz w:val="24"/>
          <w:szCs w:val="24"/>
          <w:lang w:val="en-US"/>
        </w:rPr>
        <w:t xml:space="preserve">Medjimurje Energy Agency Ltd./Zala County </w:t>
      </w:r>
      <w:r w:rsidRPr="00323090">
        <w:rPr>
          <w:sz w:val="24"/>
          <w:szCs w:val="24"/>
          <w:lang w:val="en-US"/>
        </w:rPr>
        <w:t xml:space="preserve">an </w:t>
      </w:r>
      <w:r w:rsidRPr="009E05F3">
        <w:rPr>
          <w:b/>
          <w:bCs/>
          <w:sz w:val="24"/>
          <w:szCs w:val="24"/>
          <w:u w:val="single"/>
          <w:lang w:val="en-US"/>
        </w:rPr>
        <w:t>agreement</w:t>
      </w:r>
      <w:r w:rsidRPr="00323090">
        <w:rPr>
          <w:sz w:val="24"/>
          <w:szCs w:val="24"/>
          <w:lang w:val="en-US"/>
        </w:rPr>
        <w:t xml:space="preserve"> will be signed </w:t>
      </w:r>
      <w:r w:rsidR="00323090" w:rsidRPr="00323090">
        <w:rPr>
          <w:sz w:val="24"/>
          <w:szCs w:val="24"/>
          <w:lang w:val="en-US"/>
        </w:rPr>
        <w:t xml:space="preserve">where </w:t>
      </w:r>
      <w:r w:rsidRPr="00323090">
        <w:rPr>
          <w:sz w:val="24"/>
          <w:szCs w:val="24"/>
          <w:lang w:val="en-US"/>
        </w:rPr>
        <w:t xml:space="preserve">mutual rights and obligations before and during the implementation of pilot </w:t>
      </w:r>
      <w:r w:rsidR="00323090" w:rsidRPr="00323090">
        <w:rPr>
          <w:sz w:val="24"/>
          <w:szCs w:val="24"/>
          <w:lang w:val="en-US"/>
        </w:rPr>
        <w:t>actions will be defined</w:t>
      </w:r>
      <w:r w:rsidRPr="00323090">
        <w:rPr>
          <w:sz w:val="24"/>
          <w:szCs w:val="24"/>
          <w:lang w:val="en-US"/>
        </w:rPr>
        <w:t xml:space="preserve">. </w:t>
      </w:r>
    </w:p>
    <w:p w14:paraId="434DF02D" w14:textId="77777777" w:rsidR="003C05AF" w:rsidRPr="00650665" w:rsidRDefault="003C05AF" w:rsidP="00961148">
      <w:pPr>
        <w:spacing w:after="120" w:line="276" w:lineRule="auto"/>
        <w:rPr>
          <w:sz w:val="14"/>
          <w:szCs w:val="14"/>
          <w:lang w:val="hr-HR"/>
        </w:rPr>
      </w:pPr>
    </w:p>
    <w:sectPr w:rsidR="003C05AF" w:rsidRPr="00650665" w:rsidSect="00292FA6">
      <w:headerReference w:type="default" r:id="rId16"/>
      <w:footerReference w:type="default" r:id="rId17"/>
      <w:pgSz w:w="11906" w:h="16838"/>
      <w:pgMar w:top="1135" w:right="1417" w:bottom="1276" w:left="1417" w:header="708" w:footer="455"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Danijela Vrtarić" w:date="2021-04-08T09:06:00Z" w:initials="DV">
    <w:p w14:paraId="13B845A2" w14:textId="71C470FD" w:rsidR="007B6541" w:rsidRDefault="007B6541">
      <w:pPr>
        <w:pStyle w:val="Tekstkomentara"/>
      </w:pPr>
      <w:r>
        <w:rPr>
          <w:rStyle w:val="Referencakomentara"/>
        </w:rPr>
        <w:annotationRef/>
      </w:r>
      <w:r>
        <w:t xml:space="preserve">Please indicate the act/legal document which regulates the legality of </w:t>
      </w:r>
      <w:r w:rsidR="00AF32C0">
        <w:t xml:space="preserve">private </w:t>
      </w:r>
      <w:r>
        <w:t>houses in Hungary.</w:t>
      </w:r>
    </w:p>
  </w:comment>
  <w:comment w:id="5" w:author="Danijela Vrtarić" w:date="2021-04-12T09:15:00Z" w:initials="DV">
    <w:p w14:paraId="040DE21C" w14:textId="145982A1" w:rsidR="00C676F2" w:rsidRDefault="00C676F2">
      <w:pPr>
        <w:pStyle w:val="Tekstkomentara"/>
      </w:pPr>
      <w:r>
        <w:rPr>
          <w:rStyle w:val="Referencakomentara"/>
        </w:rPr>
        <w:annotationRef/>
      </w:r>
      <w:r>
        <w:t>Estimated median salary in Medjimurje County. There is a possibility to adopt the amounts according to actual data in Hungary on regional level.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3B845A2" w15:done="0"/>
  <w15:commentEx w15:paraId="040DE21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9460E" w16cex:dateUtc="2021-04-08T07:06:00Z"/>
  <w16cex:commentExtensible w16cex:durableId="241E8E19" w16cex:dateUtc="2021-04-12T07: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B845A2" w16cid:durableId="2419460E"/>
  <w16cid:commentId w16cid:paraId="040DE21C" w16cid:durableId="241E8E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9BFDD" w14:textId="77777777" w:rsidR="00D96C7E" w:rsidRDefault="00D96C7E" w:rsidP="001777BB">
      <w:pPr>
        <w:spacing w:after="0" w:line="240" w:lineRule="auto"/>
      </w:pPr>
      <w:r>
        <w:separator/>
      </w:r>
    </w:p>
  </w:endnote>
  <w:endnote w:type="continuationSeparator" w:id="0">
    <w:p w14:paraId="30D8FD1C" w14:textId="77777777" w:rsidR="00D96C7E" w:rsidRDefault="00D96C7E" w:rsidP="00177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elle-Regular">
    <w:altName w:val="Yu Gothic"/>
    <w:panose1 w:val="00000000000000000000"/>
    <w:charset w:val="80"/>
    <w:family w:val="roman"/>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55839"/>
      <w:docPartObj>
        <w:docPartGallery w:val="Page Numbers (Bottom of Page)"/>
        <w:docPartUnique/>
      </w:docPartObj>
    </w:sdtPr>
    <w:sdtEndPr/>
    <w:sdtContent>
      <w:p w14:paraId="5EA39831" w14:textId="6EDE8513" w:rsidR="00FF7C3F" w:rsidRDefault="00FF7C3F">
        <w:pPr>
          <w:pStyle w:val="Podnoje"/>
          <w:jc w:val="right"/>
        </w:pPr>
        <w:r>
          <w:fldChar w:fldCharType="begin"/>
        </w:r>
        <w:r>
          <w:instrText>PAGE   \* MERGEFORMAT</w:instrText>
        </w:r>
        <w:r>
          <w:fldChar w:fldCharType="separate"/>
        </w:r>
        <w:r w:rsidR="009C39D2" w:rsidRPr="009C39D2">
          <w:rPr>
            <w:noProof/>
            <w:lang w:val="hr-HR"/>
          </w:rPr>
          <w:t>6</w:t>
        </w:r>
        <w:r>
          <w:fldChar w:fldCharType="end"/>
        </w:r>
      </w:p>
    </w:sdtContent>
  </w:sdt>
  <w:p w14:paraId="0C7067BE" w14:textId="77777777" w:rsidR="00FF7C3F" w:rsidRDefault="00FF7C3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85BAA" w14:textId="77777777" w:rsidR="00D96C7E" w:rsidRDefault="00D96C7E" w:rsidP="001777BB">
      <w:pPr>
        <w:spacing w:after="0" w:line="240" w:lineRule="auto"/>
      </w:pPr>
      <w:r>
        <w:separator/>
      </w:r>
    </w:p>
  </w:footnote>
  <w:footnote w:type="continuationSeparator" w:id="0">
    <w:p w14:paraId="3D3D98AB" w14:textId="77777777" w:rsidR="00D96C7E" w:rsidRDefault="00D96C7E" w:rsidP="00177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400B5" w14:textId="790ED18E" w:rsidR="00FF7C3F" w:rsidRDefault="00292FA6" w:rsidP="00292FA6">
    <w:pPr>
      <w:pStyle w:val="Zaglavlje"/>
      <w:jc w:val="center"/>
      <w:rPr>
        <w:bCs/>
        <w:sz w:val="20"/>
        <w:szCs w:val="20"/>
        <w:lang w:val="en-GB"/>
      </w:rPr>
    </w:pPr>
    <w:r w:rsidRPr="00292FA6">
      <w:rPr>
        <w:bCs/>
        <w:sz w:val="20"/>
        <w:szCs w:val="20"/>
        <w:lang w:val="en-GB"/>
      </w:rPr>
      <w:t xml:space="preserve">CO-EMEP – </w:t>
    </w:r>
    <w:r w:rsidR="00AF32C0" w:rsidRPr="00AF32C0">
      <w:rPr>
        <w:bCs/>
        <w:sz w:val="20"/>
        <w:szCs w:val="20"/>
        <w:lang w:val="en-GB"/>
      </w:rPr>
      <w:t>Public call for collecting applications of interested citizens – private house owners or co-owners in order to assess their energy poverty risk and/or energy poverty stage</w:t>
    </w:r>
  </w:p>
  <w:p w14:paraId="4F6D3CE5" w14:textId="77777777" w:rsidR="00292FA6" w:rsidRPr="00292FA6" w:rsidRDefault="00292FA6" w:rsidP="00292FA6">
    <w:pPr>
      <w:pStyle w:val="Zaglavlje"/>
      <w:jc w:val="center"/>
      <w:rPr>
        <w:bCs/>
        <w:sz w:val="14"/>
        <w:szCs w:val="14"/>
        <w:lang w:val="en-GB"/>
      </w:rPr>
    </w:pPr>
  </w:p>
  <w:p w14:paraId="37F9300A" w14:textId="77777777" w:rsidR="00FF7C3F" w:rsidRPr="006C7E70" w:rsidRDefault="00FF7C3F" w:rsidP="00B1183E">
    <w:pPr>
      <w:pStyle w:val="Zaglavlje"/>
      <w:jc w:val="left"/>
      <w:rPr>
        <w:bCs/>
        <w:sz w:val="14"/>
        <w:szCs w:val="1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2C7A"/>
    <w:multiLevelType w:val="hybridMultilevel"/>
    <w:tmpl w:val="125A7ECE"/>
    <w:lvl w:ilvl="0" w:tplc="E2E03B9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EF292E"/>
    <w:multiLevelType w:val="hybridMultilevel"/>
    <w:tmpl w:val="0504E27A"/>
    <w:lvl w:ilvl="0" w:tplc="FC501EDA">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73C4801"/>
    <w:multiLevelType w:val="hybridMultilevel"/>
    <w:tmpl w:val="20BE9F7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07EA43EF"/>
    <w:multiLevelType w:val="hybridMultilevel"/>
    <w:tmpl w:val="5C78BCD4"/>
    <w:lvl w:ilvl="0" w:tplc="E924A6F4">
      <w:numFmt w:val="bullet"/>
      <w:lvlText w:val="•"/>
      <w:lvlJc w:val="left"/>
      <w:pPr>
        <w:ind w:left="717" w:hanging="360"/>
      </w:pPr>
      <w:rPr>
        <w:rFonts w:ascii="Arial" w:eastAsia="Adelle-Regular" w:hAnsi="Arial" w:cs="Arial" w:hint="default"/>
      </w:rPr>
    </w:lvl>
    <w:lvl w:ilvl="1" w:tplc="041A0003" w:tentative="1">
      <w:start w:val="1"/>
      <w:numFmt w:val="bullet"/>
      <w:lvlText w:val="o"/>
      <w:lvlJc w:val="left"/>
      <w:pPr>
        <w:ind w:left="1437" w:hanging="360"/>
      </w:pPr>
      <w:rPr>
        <w:rFonts w:ascii="Courier New" w:hAnsi="Courier New" w:cs="Courier New" w:hint="default"/>
      </w:rPr>
    </w:lvl>
    <w:lvl w:ilvl="2" w:tplc="041A0005" w:tentative="1">
      <w:start w:val="1"/>
      <w:numFmt w:val="bullet"/>
      <w:lvlText w:val=""/>
      <w:lvlJc w:val="left"/>
      <w:pPr>
        <w:ind w:left="2157" w:hanging="360"/>
      </w:pPr>
      <w:rPr>
        <w:rFonts w:ascii="Wingdings" w:hAnsi="Wingdings" w:hint="default"/>
      </w:rPr>
    </w:lvl>
    <w:lvl w:ilvl="3" w:tplc="041A0001" w:tentative="1">
      <w:start w:val="1"/>
      <w:numFmt w:val="bullet"/>
      <w:lvlText w:val=""/>
      <w:lvlJc w:val="left"/>
      <w:pPr>
        <w:ind w:left="2877" w:hanging="360"/>
      </w:pPr>
      <w:rPr>
        <w:rFonts w:ascii="Symbol" w:hAnsi="Symbol" w:hint="default"/>
      </w:rPr>
    </w:lvl>
    <w:lvl w:ilvl="4" w:tplc="041A0003" w:tentative="1">
      <w:start w:val="1"/>
      <w:numFmt w:val="bullet"/>
      <w:lvlText w:val="o"/>
      <w:lvlJc w:val="left"/>
      <w:pPr>
        <w:ind w:left="3597" w:hanging="360"/>
      </w:pPr>
      <w:rPr>
        <w:rFonts w:ascii="Courier New" w:hAnsi="Courier New" w:cs="Courier New" w:hint="default"/>
      </w:rPr>
    </w:lvl>
    <w:lvl w:ilvl="5" w:tplc="041A0005" w:tentative="1">
      <w:start w:val="1"/>
      <w:numFmt w:val="bullet"/>
      <w:lvlText w:val=""/>
      <w:lvlJc w:val="left"/>
      <w:pPr>
        <w:ind w:left="4317" w:hanging="360"/>
      </w:pPr>
      <w:rPr>
        <w:rFonts w:ascii="Wingdings" w:hAnsi="Wingdings" w:hint="default"/>
      </w:rPr>
    </w:lvl>
    <w:lvl w:ilvl="6" w:tplc="041A0001" w:tentative="1">
      <w:start w:val="1"/>
      <w:numFmt w:val="bullet"/>
      <w:lvlText w:val=""/>
      <w:lvlJc w:val="left"/>
      <w:pPr>
        <w:ind w:left="5037" w:hanging="360"/>
      </w:pPr>
      <w:rPr>
        <w:rFonts w:ascii="Symbol" w:hAnsi="Symbol" w:hint="default"/>
      </w:rPr>
    </w:lvl>
    <w:lvl w:ilvl="7" w:tplc="041A0003" w:tentative="1">
      <w:start w:val="1"/>
      <w:numFmt w:val="bullet"/>
      <w:lvlText w:val="o"/>
      <w:lvlJc w:val="left"/>
      <w:pPr>
        <w:ind w:left="5757" w:hanging="360"/>
      </w:pPr>
      <w:rPr>
        <w:rFonts w:ascii="Courier New" w:hAnsi="Courier New" w:cs="Courier New" w:hint="default"/>
      </w:rPr>
    </w:lvl>
    <w:lvl w:ilvl="8" w:tplc="041A0005" w:tentative="1">
      <w:start w:val="1"/>
      <w:numFmt w:val="bullet"/>
      <w:lvlText w:val=""/>
      <w:lvlJc w:val="left"/>
      <w:pPr>
        <w:ind w:left="6477" w:hanging="360"/>
      </w:pPr>
      <w:rPr>
        <w:rFonts w:ascii="Wingdings" w:hAnsi="Wingdings" w:hint="default"/>
      </w:rPr>
    </w:lvl>
  </w:abstractNum>
  <w:abstractNum w:abstractNumId="4" w15:restartNumberingAfterBreak="0">
    <w:nsid w:val="0BAC65D4"/>
    <w:multiLevelType w:val="hybridMultilevel"/>
    <w:tmpl w:val="3F4CB4AA"/>
    <w:lvl w:ilvl="0" w:tplc="0434933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6817EA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35173B"/>
    <w:multiLevelType w:val="hybridMultilevel"/>
    <w:tmpl w:val="D95C5B66"/>
    <w:lvl w:ilvl="0" w:tplc="CBCA7C9A">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C162F42"/>
    <w:multiLevelType w:val="hybridMultilevel"/>
    <w:tmpl w:val="5DB668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CA775D5"/>
    <w:multiLevelType w:val="hybridMultilevel"/>
    <w:tmpl w:val="878CB11A"/>
    <w:lvl w:ilvl="0" w:tplc="52A8499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1FFD5AFB"/>
    <w:multiLevelType w:val="hybridMultilevel"/>
    <w:tmpl w:val="3E92E96A"/>
    <w:lvl w:ilvl="0" w:tplc="B44671B8">
      <w:numFmt w:val="decimal"/>
      <w:lvlText w:val="%1."/>
      <w:lvlJc w:val="left"/>
      <w:pPr>
        <w:ind w:left="717" w:hanging="360"/>
      </w:pPr>
      <w:rPr>
        <w:rFonts w:hint="default"/>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10" w15:restartNumberingAfterBreak="0">
    <w:nsid w:val="213C38B1"/>
    <w:multiLevelType w:val="hybridMultilevel"/>
    <w:tmpl w:val="20D4DCBC"/>
    <w:lvl w:ilvl="0" w:tplc="E2E03B9A">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1" w15:restartNumberingAfterBreak="0">
    <w:nsid w:val="263F6FE4"/>
    <w:multiLevelType w:val="hybridMultilevel"/>
    <w:tmpl w:val="43F8F13A"/>
    <w:lvl w:ilvl="0" w:tplc="A7CE0B78">
      <w:start w:val="4"/>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2A67761D"/>
    <w:multiLevelType w:val="hybridMultilevel"/>
    <w:tmpl w:val="DF8C892E"/>
    <w:lvl w:ilvl="0" w:tplc="52A8499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B1E46F2"/>
    <w:multiLevelType w:val="hybridMultilevel"/>
    <w:tmpl w:val="F5267E14"/>
    <w:lvl w:ilvl="0" w:tplc="CBCA7C9A">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F0B6AD3"/>
    <w:multiLevelType w:val="hybridMultilevel"/>
    <w:tmpl w:val="0B06466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7E872BA"/>
    <w:multiLevelType w:val="hybridMultilevel"/>
    <w:tmpl w:val="404027D0"/>
    <w:lvl w:ilvl="0" w:tplc="E2E03B9A">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 w15:restartNumberingAfterBreak="0">
    <w:nsid w:val="380712CE"/>
    <w:multiLevelType w:val="hybridMultilevel"/>
    <w:tmpl w:val="449C6B52"/>
    <w:lvl w:ilvl="0" w:tplc="041A000F">
      <w:start w:val="1"/>
      <w:numFmt w:val="decimal"/>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7" w15:restartNumberingAfterBreak="0">
    <w:nsid w:val="3AD4135B"/>
    <w:multiLevelType w:val="hybridMultilevel"/>
    <w:tmpl w:val="59C416E0"/>
    <w:lvl w:ilvl="0" w:tplc="041A000F">
      <w:start w:val="1"/>
      <w:numFmt w:val="decimal"/>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8" w15:restartNumberingAfterBreak="0">
    <w:nsid w:val="3F3E5CB5"/>
    <w:multiLevelType w:val="hybridMultilevel"/>
    <w:tmpl w:val="4CC813D2"/>
    <w:lvl w:ilvl="0" w:tplc="52A84996">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9" w15:restartNumberingAfterBreak="0">
    <w:nsid w:val="418B25A1"/>
    <w:multiLevelType w:val="hybridMultilevel"/>
    <w:tmpl w:val="84D67FEE"/>
    <w:lvl w:ilvl="0" w:tplc="7278BF1C">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20" w15:restartNumberingAfterBreak="0">
    <w:nsid w:val="42A73E91"/>
    <w:multiLevelType w:val="hybridMultilevel"/>
    <w:tmpl w:val="C34E078E"/>
    <w:lvl w:ilvl="0" w:tplc="7E143EA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5BC006A"/>
    <w:multiLevelType w:val="hybridMultilevel"/>
    <w:tmpl w:val="7A92C0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5C02521"/>
    <w:multiLevelType w:val="hybridMultilevel"/>
    <w:tmpl w:val="261A09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98E19E0"/>
    <w:multiLevelType w:val="hybridMultilevel"/>
    <w:tmpl w:val="97729100"/>
    <w:lvl w:ilvl="0" w:tplc="E2E03B9A">
      <w:start w:val="1"/>
      <w:numFmt w:val="bullet"/>
      <w:lvlText w:val=""/>
      <w:lvlJc w:val="left"/>
      <w:pPr>
        <w:ind w:left="1077" w:hanging="360"/>
      </w:pPr>
      <w:rPr>
        <w:rFonts w:ascii="Symbol" w:hAnsi="Symbol" w:hint="default"/>
      </w:rPr>
    </w:lvl>
    <w:lvl w:ilvl="1" w:tplc="12A83812">
      <w:numFmt w:val="bullet"/>
      <w:lvlText w:val="-"/>
      <w:lvlJc w:val="left"/>
      <w:pPr>
        <w:ind w:left="1797" w:hanging="360"/>
      </w:pPr>
      <w:rPr>
        <w:rFonts w:ascii="Arial" w:eastAsiaTheme="minorHAnsi" w:hAnsi="Arial" w:cs="Arial"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24" w15:restartNumberingAfterBreak="0">
    <w:nsid w:val="49DB27E1"/>
    <w:multiLevelType w:val="hybridMultilevel"/>
    <w:tmpl w:val="35288DC4"/>
    <w:lvl w:ilvl="0" w:tplc="E2E03B9A">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25" w15:restartNumberingAfterBreak="0">
    <w:nsid w:val="4B20438C"/>
    <w:multiLevelType w:val="hybridMultilevel"/>
    <w:tmpl w:val="4B44C28A"/>
    <w:lvl w:ilvl="0" w:tplc="E2E03B9A">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6" w15:restartNumberingAfterBreak="0">
    <w:nsid w:val="4D31180F"/>
    <w:multiLevelType w:val="hybridMultilevel"/>
    <w:tmpl w:val="6DE69D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FB802FA"/>
    <w:multiLevelType w:val="hybridMultilevel"/>
    <w:tmpl w:val="EAA094A4"/>
    <w:lvl w:ilvl="0" w:tplc="3E6E75D4">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0213FCA"/>
    <w:multiLevelType w:val="hybridMultilevel"/>
    <w:tmpl w:val="5874C9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0C14963"/>
    <w:multiLevelType w:val="hybridMultilevel"/>
    <w:tmpl w:val="091A718C"/>
    <w:lvl w:ilvl="0" w:tplc="4834730C">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20C6B6E"/>
    <w:multiLevelType w:val="hybridMultilevel"/>
    <w:tmpl w:val="A01028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2717B68"/>
    <w:multiLevelType w:val="multilevel"/>
    <w:tmpl w:val="590EF0E2"/>
    <w:lvl w:ilvl="0">
      <w:start w:val="1"/>
      <w:numFmt w:val="decimal"/>
      <w:pStyle w:val="Naslov1"/>
      <w:lvlText w:val="%1."/>
      <w:lvlJc w:val="left"/>
      <w:pPr>
        <w:ind w:left="720" w:hanging="360"/>
      </w:pPr>
      <w:rPr>
        <w:b/>
        <w:bCs/>
        <w:i w:val="0"/>
        <w:iCs w:val="0"/>
        <w:caps w:val="0"/>
        <w:smallCaps w:val="0"/>
        <w:strike w:val="0"/>
        <w:dstrike w:val="0"/>
        <w:noProof w:val="0"/>
        <w:vanish w:val="0"/>
        <w:color w:val="538135" w:themeColor="accent6" w:themeShade="BF"/>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53B91894"/>
    <w:multiLevelType w:val="hybridMultilevel"/>
    <w:tmpl w:val="13283A2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5B907A0B"/>
    <w:multiLevelType w:val="hybridMultilevel"/>
    <w:tmpl w:val="A41A1AB4"/>
    <w:lvl w:ilvl="0" w:tplc="E2E03B9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DF676FE"/>
    <w:multiLevelType w:val="hybridMultilevel"/>
    <w:tmpl w:val="9A4E36B8"/>
    <w:lvl w:ilvl="0" w:tplc="CBCA7C9A">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0AE4459"/>
    <w:multiLevelType w:val="hybridMultilevel"/>
    <w:tmpl w:val="957AF9A2"/>
    <w:lvl w:ilvl="0" w:tplc="E2E03B9A">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6" w15:restartNumberingAfterBreak="0">
    <w:nsid w:val="6123557D"/>
    <w:multiLevelType w:val="hybridMultilevel"/>
    <w:tmpl w:val="C42C6EF0"/>
    <w:lvl w:ilvl="0" w:tplc="E1D2BAEE">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58A36DD"/>
    <w:multiLevelType w:val="hybridMultilevel"/>
    <w:tmpl w:val="E2B03C8A"/>
    <w:lvl w:ilvl="0" w:tplc="E2E03B9A">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8" w15:restartNumberingAfterBreak="0">
    <w:nsid w:val="65E42838"/>
    <w:multiLevelType w:val="hybridMultilevel"/>
    <w:tmpl w:val="7D0CA450"/>
    <w:lvl w:ilvl="0" w:tplc="655E375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AED5E25"/>
    <w:multiLevelType w:val="hybridMultilevel"/>
    <w:tmpl w:val="297030DA"/>
    <w:lvl w:ilvl="0" w:tplc="7278BF1C">
      <w:start w:val="1"/>
      <w:numFmt w:val="decimal"/>
      <w:lvlText w:val="[%1]"/>
      <w:lvlJc w:val="left"/>
      <w:pPr>
        <w:ind w:left="1429" w:hanging="360"/>
      </w:pPr>
      <w:rPr>
        <w:rFonts w:hint="default"/>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40" w15:restartNumberingAfterBreak="0">
    <w:nsid w:val="6D505AA7"/>
    <w:multiLevelType w:val="hybridMultilevel"/>
    <w:tmpl w:val="FCCCCDB8"/>
    <w:lvl w:ilvl="0" w:tplc="E2E03B9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005452F"/>
    <w:multiLevelType w:val="hybridMultilevel"/>
    <w:tmpl w:val="D2848920"/>
    <w:lvl w:ilvl="0" w:tplc="E2E03B9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1A4002A"/>
    <w:multiLevelType w:val="hybridMultilevel"/>
    <w:tmpl w:val="E1E25B0C"/>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43" w15:restartNumberingAfterBreak="0">
    <w:nsid w:val="725F7DA5"/>
    <w:multiLevelType w:val="hybridMultilevel"/>
    <w:tmpl w:val="123603CA"/>
    <w:lvl w:ilvl="0" w:tplc="E2E03B9A">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70A08D7"/>
    <w:multiLevelType w:val="multilevel"/>
    <w:tmpl w:val="8CE6EEA6"/>
    <w:lvl w:ilvl="0">
      <w:start w:val="1"/>
      <w:numFmt w:val="decimal"/>
      <w:lvlText w:val="%1."/>
      <w:lvlJc w:val="left"/>
      <w:pPr>
        <w:ind w:left="720" w:hanging="360"/>
      </w:pPr>
      <w:rPr>
        <w:rFonts w:hint="default"/>
      </w:rPr>
    </w:lvl>
    <w:lvl w:ilvl="1">
      <w:start w:val="1"/>
      <w:numFmt w:val="decimal"/>
      <w:isLgl/>
      <w:lvlText w:val="%1.%2."/>
      <w:lvlJc w:val="left"/>
      <w:pPr>
        <w:ind w:left="1944" w:hanging="720"/>
      </w:pPr>
      <w:rPr>
        <w:rFonts w:hint="default"/>
        <w:b w:val="0"/>
        <w:bCs w:val="0"/>
      </w:rPr>
    </w:lvl>
    <w:lvl w:ilvl="2">
      <w:start w:val="1"/>
      <w:numFmt w:val="decimal"/>
      <w:isLgl/>
      <w:lvlText w:val="%1.%2.%3."/>
      <w:lvlJc w:val="left"/>
      <w:pPr>
        <w:ind w:left="2808" w:hanging="720"/>
      </w:pPr>
      <w:rPr>
        <w:rFonts w:hint="default"/>
      </w:rPr>
    </w:lvl>
    <w:lvl w:ilvl="3">
      <w:start w:val="1"/>
      <w:numFmt w:val="decimal"/>
      <w:isLgl/>
      <w:lvlText w:val="%1.%2.%3.%4."/>
      <w:lvlJc w:val="left"/>
      <w:pPr>
        <w:ind w:left="4032" w:hanging="108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6120" w:hanging="144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8208" w:hanging="1800"/>
      </w:pPr>
      <w:rPr>
        <w:rFonts w:hint="default"/>
      </w:rPr>
    </w:lvl>
    <w:lvl w:ilvl="8">
      <w:start w:val="1"/>
      <w:numFmt w:val="decimal"/>
      <w:isLgl/>
      <w:lvlText w:val="%1.%2.%3.%4.%5.%6.%7.%8.%9."/>
      <w:lvlJc w:val="left"/>
      <w:pPr>
        <w:ind w:left="9432" w:hanging="2160"/>
      </w:pPr>
      <w:rPr>
        <w:rFonts w:hint="default"/>
      </w:rPr>
    </w:lvl>
  </w:abstractNum>
  <w:abstractNum w:abstractNumId="45" w15:restartNumberingAfterBreak="0">
    <w:nsid w:val="78757B5B"/>
    <w:multiLevelType w:val="hybridMultilevel"/>
    <w:tmpl w:val="443C3832"/>
    <w:lvl w:ilvl="0" w:tplc="E2E03B9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A794C47"/>
    <w:multiLevelType w:val="hybridMultilevel"/>
    <w:tmpl w:val="0AC201C8"/>
    <w:lvl w:ilvl="0" w:tplc="E2E03B9A">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47" w15:restartNumberingAfterBreak="0">
    <w:nsid w:val="7B1476C9"/>
    <w:multiLevelType w:val="hybridMultilevel"/>
    <w:tmpl w:val="954AE13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7D43382C"/>
    <w:multiLevelType w:val="hybridMultilevel"/>
    <w:tmpl w:val="6AF848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7FEB3EAE"/>
    <w:multiLevelType w:val="hybridMultilevel"/>
    <w:tmpl w:val="AAF04010"/>
    <w:lvl w:ilvl="0" w:tplc="E2E03B9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34"/>
  </w:num>
  <w:num w:numId="4">
    <w:abstractNumId w:val="6"/>
  </w:num>
  <w:num w:numId="5">
    <w:abstractNumId w:val="13"/>
  </w:num>
  <w:num w:numId="6">
    <w:abstractNumId w:val="32"/>
  </w:num>
  <w:num w:numId="7">
    <w:abstractNumId w:val="47"/>
  </w:num>
  <w:num w:numId="8">
    <w:abstractNumId w:val="9"/>
  </w:num>
  <w:num w:numId="9">
    <w:abstractNumId w:val="7"/>
  </w:num>
  <w:num w:numId="10">
    <w:abstractNumId w:val="28"/>
  </w:num>
  <w:num w:numId="11">
    <w:abstractNumId w:val="12"/>
  </w:num>
  <w:num w:numId="12">
    <w:abstractNumId w:val="16"/>
  </w:num>
  <w:num w:numId="13">
    <w:abstractNumId w:val="17"/>
  </w:num>
  <w:num w:numId="14">
    <w:abstractNumId w:val="25"/>
  </w:num>
  <w:num w:numId="15">
    <w:abstractNumId w:val="26"/>
  </w:num>
  <w:num w:numId="16">
    <w:abstractNumId w:val="43"/>
  </w:num>
  <w:num w:numId="17">
    <w:abstractNumId w:val="19"/>
  </w:num>
  <w:num w:numId="18">
    <w:abstractNumId w:val="46"/>
  </w:num>
  <w:num w:numId="19">
    <w:abstractNumId w:val="3"/>
  </w:num>
  <w:num w:numId="20">
    <w:abstractNumId w:val="18"/>
  </w:num>
  <w:num w:numId="21">
    <w:abstractNumId w:val="35"/>
  </w:num>
  <w:num w:numId="22">
    <w:abstractNumId w:val="8"/>
  </w:num>
  <w:num w:numId="23">
    <w:abstractNumId w:val="2"/>
  </w:num>
  <w:num w:numId="24">
    <w:abstractNumId w:val="10"/>
  </w:num>
  <w:num w:numId="25">
    <w:abstractNumId w:val="24"/>
  </w:num>
  <w:num w:numId="26">
    <w:abstractNumId w:val="37"/>
  </w:num>
  <w:num w:numId="27">
    <w:abstractNumId w:val="0"/>
  </w:num>
  <w:num w:numId="28">
    <w:abstractNumId w:val="20"/>
  </w:num>
  <w:num w:numId="29">
    <w:abstractNumId w:val="33"/>
  </w:num>
  <w:num w:numId="30">
    <w:abstractNumId w:val="23"/>
  </w:num>
  <w:num w:numId="31">
    <w:abstractNumId w:val="40"/>
  </w:num>
  <w:num w:numId="32">
    <w:abstractNumId w:val="38"/>
  </w:num>
  <w:num w:numId="33">
    <w:abstractNumId w:val="41"/>
  </w:num>
  <w:num w:numId="34">
    <w:abstractNumId w:val="29"/>
  </w:num>
  <w:num w:numId="35">
    <w:abstractNumId w:val="45"/>
  </w:num>
  <w:num w:numId="36">
    <w:abstractNumId w:val="42"/>
  </w:num>
  <w:num w:numId="37">
    <w:abstractNumId w:val="39"/>
  </w:num>
  <w:num w:numId="38">
    <w:abstractNumId w:val="14"/>
  </w:num>
  <w:num w:numId="39">
    <w:abstractNumId w:val="36"/>
  </w:num>
  <w:num w:numId="40">
    <w:abstractNumId w:val="15"/>
  </w:num>
  <w:num w:numId="41">
    <w:abstractNumId w:val="30"/>
  </w:num>
  <w:num w:numId="42">
    <w:abstractNumId w:val="11"/>
  </w:num>
  <w:num w:numId="43">
    <w:abstractNumId w:val="21"/>
  </w:num>
  <w:num w:numId="44">
    <w:abstractNumId w:val="44"/>
  </w:num>
  <w:num w:numId="45">
    <w:abstractNumId w:val="49"/>
  </w:num>
  <w:num w:numId="46">
    <w:abstractNumId w:val="22"/>
  </w:num>
  <w:num w:numId="47">
    <w:abstractNumId w:val="1"/>
  </w:num>
  <w:num w:numId="48">
    <w:abstractNumId w:val="5"/>
  </w:num>
  <w:num w:numId="49">
    <w:abstractNumId w:val="48"/>
  </w:num>
  <w:num w:numId="5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nijela Vrtarić">
    <w15:presenceInfo w15:providerId="Windows Live" w15:userId="d8d5a6e94c7e5a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A45"/>
    <w:rsid w:val="00000E6A"/>
    <w:rsid w:val="00001809"/>
    <w:rsid w:val="00006529"/>
    <w:rsid w:val="00014070"/>
    <w:rsid w:val="00025DF8"/>
    <w:rsid w:val="00030F9C"/>
    <w:rsid w:val="00035E85"/>
    <w:rsid w:val="00036052"/>
    <w:rsid w:val="00036137"/>
    <w:rsid w:val="00036DA9"/>
    <w:rsid w:val="00041B07"/>
    <w:rsid w:val="00043EA4"/>
    <w:rsid w:val="000526AA"/>
    <w:rsid w:val="000527A2"/>
    <w:rsid w:val="00056872"/>
    <w:rsid w:val="0006051A"/>
    <w:rsid w:val="00060B28"/>
    <w:rsid w:val="0006512D"/>
    <w:rsid w:val="00066601"/>
    <w:rsid w:val="00070818"/>
    <w:rsid w:val="00071BBE"/>
    <w:rsid w:val="000734BB"/>
    <w:rsid w:val="00074CCD"/>
    <w:rsid w:val="0007664D"/>
    <w:rsid w:val="00082DEF"/>
    <w:rsid w:val="00084BEF"/>
    <w:rsid w:val="00084EE0"/>
    <w:rsid w:val="00086388"/>
    <w:rsid w:val="00086E34"/>
    <w:rsid w:val="00094BE4"/>
    <w:rsid w:val="00096677"/>
    <w:rsid w:val="000971F8"/>
    <w:rsid w:val="000978B9"/>
    <w:rsid w:val="000A0A8C"/>
    <w:rsid w:val="000A3EAA"/>
    <w:rsid w:val="000B4E7E"/>
    <w:rsid w:val="000B699A"/>
    <w:rsid w:val="000C1EAC"/>
    <w:rsid w:val="000C253D"/>
    <w:rsid w:val="000C3019"/>
    <w:rsid w:val="000C4C2D"/>
    <w:rsid w:val="000C5307"/>
    <w:rsid w:val="000C5BD2"/>
    <w:rsid w:val="000D1C45"/>
    <w:rsid w:val="000D3E08"/>
    <w:rsid w:val="000D51A0"/>
    <w:rsid w:val="000E0ABC"/>
    <w:rsid w:val="000E1398"/>
    <w:rsid w:val="000E26E7"/>
    <w:rsid w:val="000E6D0D"/>
    <w:rsid w:val="000E7825"/>
    <w:rsid w:val="000F28DB"/>
    <w:rsid w:val="000F466A"/>
    <w:rsid w:val="000F59F4"/>
    <w:rsid w:val="001009FA"/>
    <w:rsid w:val="00101372"/>
    <w:rsid w:val="00106552"/>
    <w:rsid w:val="00110555"/>
    <w:rsid w:val="00112BA7"/>
    <w:rsid w:val="00115833"/>
    <w:rsid w:val="00115A62"/>
    <w:rsid w:val="00115FF6"/>
    <w:rsid w:val="00125B2A"/>
    <w:rsid w:val="00127E1A"/>
    <w:rsid w:val="00131962"/>
    <w:rsid w:val="00133930"/>
    <w:rsid w:val="0014180E"/>
    <w:rsid w:val="00144BE3"/>
    <w:rsid w:val="00151281"/>
    <w:rsid w:val="00152254"/>
    <w:rsid w:val="00155F1F"/>
    <w:rsid w:val="0015752E"/>
    <w:rsid w:val="00157B75"/>
    <w:rsid w:val="00161509"/>
    <w:rsid w:val="00161798"/>
    <w:rsid w:val="001618E8"/>
    <w:rsid w:val="0016396A"/>
    <w:rsid w:val="001650B5"/>
    <w:rsid w:val="00171736"/>
    <w:rsid w:val="001721D4"/>
    <w:rsid w:val="00172E95"/>
    <w:rsid w:val="00174E6E"/>
    <w:rsid w:val="001777BB"/>
    <w:rsid w:val="0018729C"/>
    <w:rsid w:val="0019099F"/>
    <w:rsid w:val="001941BF"/>
    <w:rsid w:val="00194845"/>
    <w:rsid w:val="0019538B"/>
    <w:rsid w:val="001A1A4B"/>
    <w:rsid w:val="001A4826"/>
    <w:rsid w:val="001B773E"/>
    <w:rsid w:val="001C2527"/>
    <w:rsid w:val="001C4270"/>
    <w:rsid w:val="001C43A3"/>
    <w:rsid w:val="001D0E61"/>
    <w:rsid w:val="001D1708"/>
    <w:rsid w:val="001D1715"/>
    <w:rsid w:val="001D3C4A"/>
    <w:rsid w:val="001E0327"/>
    <w:rsid w:val="001E0FFD"/>
    <w:rsid w:val="001E6ED6"/>
    <w:rsid w:val="001F0739"/>
    <w:rsid w:val="001F11E8"/>
    <w:rsid w:val="001F1E00"/>
    <w:rsid w:val="001F50C6"/>
    <w:rsid w:val="0020407C"/>
    <w:rsid w:val="002058F1"/>
    <w:rsid w:val="00207E38"/>
    <w:rsid w:val="00210221"/>
    <w:rsid w:val="002109AE"/>
    <w:rsid w:val="00213D4C"/>
    <w:rsid w:val="0022280A"/>
    <w:rsid w:val="00224D68"/>
    <w:rsid w:val="0023216A"/>
    <w:rsid w:val="002338B3"/>
    <w:rsid w:val="00233F03"/>
    <w:rsid w:val="00235067"/>
    <w:rsid w:val="00235328"/>
    <w:rsid w:val="002366B3"/>
    <w:rsid w:val="00237F17"/>
    <w:rsid w:val="00245BDA"/>
    <w:rsid w:val="00250444"/>
    <w:rsid w:val="00252E42"/>
    <w:rsid w:val="00253AAD"/>
    <w:rsid w:val="00257ABC"/>
    <w:rsid w:val="00257C3A"/>
    <w:rsid w:val="00267AF2"/>
    <w:rsid w:val="002759DF"/>
    <w:rsid w:val="002772C0"/>
    <w:rsid w:val="00284EBE"/>
    <w:rsid w:val="002850A5"/>
    <w:rsid w:val="0029021C"/>
    <w:rsid w:val="002917D6"/>
    <w:rsid w:val="00292FA6"/>
    <w:rsid w:val="00293B4B"/>
    <w:rsid w:val="00294883"/>
    <w:rsid w:val="00295E1B"/>
    <w:rsid w:val="00296CB6"/>
    <w:rsid w:val="002976C1"/>
    <w:rsid w:val="002A2F2D"/>
    <w:rsid w:val="002A7CD8"/>
    <w:rsid w:val="002B05D2"/>
    <w:rsid w:val="002B419D"/>
    <w:rsid w:val="002B7C0C"/>
    <w:rsid w:val="002C0B8E"/>
    <w:rsid w:val="002C17F5"/>
    <w:rsid w:val="002C53A1"/>
    <w:rsid w:val="002C75D0"/>
    <w:rsid w:val="002D02D0"/>
    <w:rsid w:val="002D2AFD"/>
    <w:rsid w:val="002D79E5"/>
    <w:rsid w:val="002E2588"/>
    <w:rsid w:val="002E5ADB"/>
    <w:rsid w:val="002F09DD"/>
    <w:rsid w:val="002F387C"/>
    <w:rsid w:val="00300379"/>
    <w:rsid w:val="00301C2D"/>
    <w:rsid w:val="0030328F"/>
    <w:rsid w:val="00304746"/>
    <w:rsid w:val="00305613"/>
    <w:rsid w:val="0031194D"/>
    <w:rsid w:val="00312BEC"/>
    <w:rsid w:val="00321E25"/>
    <w:rsid w:val="00322322"/>
    <w:rsid w:val="00323090"/>
    <w:rsid w:val="00323424"/>
    <w:rsid w:val="0032524C"/>
    <w:rsid w:val="00326822"/>
    <w:rsid w:val="0033259E"/>
    <w:rsid w:val="0034065D"/>
    <w:rsid w:val="00340ABD"/>
    <w:rsid w:val="00341C29"/>
    <w:rsid w:val="0035318D"/>
    <w:rsid w:val="0035581D"/>
    <w:rsid w:val="003567AD"/>
    <w:rsid w:val="0036045E"/>
    <w:rsid w:val="00363096"/>
    <w:rsid w:val="00363D68"/>
    <w:rsid w:val="003649C8"/>
    <w:rsid w:val="00364B7C"/>
    <w:rsid w:val="0036508B"/>
    <w:rsid w:val="00366D22"/>
    <w:rsid w:val="003702D0"/>
    <w:rsid w:val="00371C8A"/>
    <w:rsid w:val="00374CE9"/>
    <w:rsid w:val="00385B2A"/>
    <w:rsid w:val="00386225"/>
    <w:rsid w:val="00390826"/>
    <w:rsid w:val="003930B6"/>
    <w:rsid w:val="0039677F"/>
    <w:rsid w:val="00397245"/>
    <w:rsid w:val="003A157F"/>
    <w:rsid w:val="003A31A9"/>
    <w:rsid w:val="003A461A"/>
    <w:rsid w:val="003A65D3"/>
    <w:rsid w:val="003A6A6B"/>
    <w:rsid w:val="003B300D"/>
    <w:rsid w:val="003C032D"/>
    <w:rsid w:val="003C05AF"/>
    <w:rsid w:val="003C5BE9"/>
    <w:rsid w:val="003C6045"/>
    <w:rsid w:val="003C713B"/>
    <w:rsid w:val="003D0F38"/>
    <w:rsid w:val="003D4B53"/>
    <w:rsid w:val="003E00AC"/>
    <w:rsid w:val="003E3887"/>
    <w:rsid w:val="003E3D2A"/>
    <w:rsid w:val="003E54FC"/>
    <w:rsid w:val="003F0326"/>
    <w:rsid w:val="003F27A6"/>
    <w:rsid w:val="003F336F"/>
    <w:rsid w:val="003F3E65"/>
    <w:rsid w:val="003F475D"/>
    <w:rsid w:val="003F5CFF"/>
    <w:rsid w:val="003F6B3C"/>
    <w:rsid w:val="00404B07"/>
    <w:rsid w:val="00404D0C"/>
    <w:rsid w:val="00405599"/>
    <w:rsid w:val="00405A3F"/>
    <w:rsid w:val="00405E8C"/>
    <w:rsid w:val="0041097F"/>
    <w:rsid w:val="0041238C"/>
    <w:rsid w:val="00423856"/>
    <w:rsid w:val="004246F0"/>
    <w:rsid w:val="00425C07"/>
    <w:rsid w:val="004342FE"/>
    <w:rsid w:val="0043491C"/>
    <w:rsid w:val="0043640D"/>
    <w:rsid w:val="00437342"/>
    <w:rsid w:val="00437A0E"/>
    <w:rsid w:val="00441256"/>
    <w:rsid w:val="00441B02"/>
    <w:rsid w:val="0044217C"/>
    <w:rsid w:val="004433C1"/>
    <w:rsid w:val="00447E48"/>
    <w:rsid w:val="00453444"/>
    <w:rsid w:val="00453C95"/>
    <w:rsid w:val="00460205"/>
    <w:rsid w:val="004616D7"/>
    <w:rsid w:val="00462C7D"/>
    <w:rsid w:val="00471AED"/>
    <w:rsid w:val="00471DF4"/>
    <w:rsid w:val="00472EE1"/>
    <w:rsid w:val="00473191"/>
    <w:rsid w:val="004768BE"/>
    <w:rsid w:val="0048472F"/>
    <w:rsid w:val="004867E5"/>
    <w:rsid w:val="0049247C"/>
    <w:rsid w:val="0049279F"/>
    <w:rsid w:val="00495C42"/>
    <w:rsid w:val="004A1407"/>
    <w:rsid w:val="004A36C1"/>
    <w:rsid w:val="004A76D8"/>
    <w:rsid w:val="004A7AAF"/>
    <w:rsid w:val="004B1DA9"/>
    <w:rsid w:val="004B2DFD"/>
    <w:rsid w:val="004B42EF"/>
    <w:rsid w:val="004B5DDD"/>
    <w:rsid w:val="004B72CE"/>
    <w:rsid w:val="004B7AF3"/>
    <w:rsid w:val="004C38A2"/>
    <w:rsid w:val="004C67C8"/>
    <w:rsid w:val="004C797B"/>
    <w:rsid w:val="004C7B99"/>
    <w:rsid w:val="004D23E6"/>
    <w:rsid w:val="004D465F"/>
    <w:rsid w:val="004D7A5D"/>
    <w:rsid w:val="004E13B3"/>
    <w:rsid w:val="004E22B5"/>
    <w:rsid w:val="004E3C2E"/>
    <w:rsid w:val="004E64FF"/>
    <w:rsid w:val="004E7F3C"/>
    <w:rsid w:val="004F115F"/>
    <w:rsid w:val="004F1170"/>
    <w:rsid w:val="004F32E3"/>
    <w:rsid w:val="004F33D1"/>
    <w:rsid w:val="004F4774"/>
    <w:rsid w:val="004F7AF5"/>
    <w:rsid w:val="00504B8D"/>
    <w:rsid w:val="00511995"/>
    <w:rsid w:val="00511C17"/>
    <w:rsid w:val="005159AE"/>
    <w:rsid w:val="00517475"/>
    <w:rsid w:val="00520F6D"/>
    <w:rsid w:val="00530D30"/>
    <w:rsid w:val="005317BE"/>
    <w:rsid w:val="00532BE9"/>
    <w:rsid w:val="00537692"/>
    <w:rsid w:val="00537FEF"/>
    <w:rsid w:val="0054067C"/>
    <w:rsid w:val="0054125A"/>
    <w:rsid w:val="005425CC"/>
    <w:rsid w:val="00543AAD"/>
    <w:rsid w:val="00543E97"/>
    <w:rsid w:val="00546853"/>
    <w:rsid w:val="005527C0"/>
    <w:rsid w:val="00552B51"/>
    <w:rsid w:val="00553820"/>
    <w:rsid w:val="005545D2"/>
    <w:rsid w:val="00554EB7"/>
    <w:rsid w:val="00556052"/>
    <w:rsid w:val="005565C2"/>
    <w:rsid w:val="00556AC7"/>
    <w:rsid w:val="005666C3"/>
    <w:rsid w:val="00567A96"/>
    <w:rsid w:val="00570FC3"/>
    <w:rsid w:val="00572DB2"/>
    <w:rsid w:val="00577C32"/>
    <w:rsid w:val="0058248E"/>
    <w:rsid w:val="00585776"/>
    <w:rsid w:val="00590D4C"/>
    <w:rsid w:val="005933A1"/>
    <w:rsid w:val="005936CB"/>
    <w:rsid w:val="005956CD"/>
    <w:rsid w:val="00596C63"/>
    <w:rsid w:val="00597863"/>
    <w:rsid w:val="005A2A18"/>
    <w:rsid w:val="005A3C6B"/>
    <w:rsid w:val="005A750A"/>
    <w:rsid w:val="005B3550"/>
    <w:rsid w:val="005B56ED"/>
    <w:rsid w:val="005B72EA"/>
    <w:rsid w:val="005C536B"/>
    <w:rsid w:val="005C7691"/>
    <w:rsid w:val="005D32D7"/>
    <w:rsid w:val="005D51B2"/>
    <w:rsid w:val="005D5B5A"/>
    <w:rsid w:val="005D7C10"/>
    <w:rsid w:val="005E16C7"/>
    <w:rsid w:val="005E72E0"/>
    <w:rsid w:val="005F0B95"/>
    <w:rsid w:val="005F3E80"/>
    <w:rsid w:val="005F7315"/>
    <w:rsid w:val="0060092B"/>
    <w:rsid w:val="00601867"/>
    <w:rsid w:val="00603BFE"/>
    <w:rsid w:val="00612F82"/>
    <w:rsid w:val="00620997"/>
    <w:rsid w:val="00621078"/>
    <w:rsid w:val="00622BFE"/>
    <w:rsid w:val="00626FBC"/>
    <w:rsid w:val="006276DB"/>
    <w:rsid w:val="0063418A"/>
    <w:rsid w:val="00643117"/>
    <w:rsid w:val="00644935"/>
    <w:rsid w:val="00646109"/>
    <w:rsid w:val="00646D27"/>
    <w:rsid w:val="00647E18"/>
    <w:rsid w:val="00650665"/>
    <w:rsid w:val="00652CC7"/>
    <w:rsid w:val="00655120"/>
    <w:rsid w:val="0065564E"/>
    <w:rsid w:val="006574A6"/>
    <w:rsid w:val="0065770A"/>
    <w:rsid w:val="00662E03"/>
    <w:rsid w:val="00666797"/>
    <w:rsid w:val="006778CE"/>
    <w:rsid w:val="006834F5"/>
    <w:rsid w:val="00684D0D"/>
    <w:rsid w:val="0069114B"/>
    <w:rsid w:val="006A0AF4"/>
    <w:rsid w:val="006A2CF2"/>
    <w:rsid w:val="006A2FFC"/>
    <w:rsid w:val="006A427D"/>
    <w:rsid w:val="006A509E"/>
    <w:rsid w:val="006A66DB"/>
    <w:rsid w:val="006A6946"/>
    <w:rsid w:val="006A6F75"/>
    <w:rsid w:val="006B0432"/>
    <w:rsid w:val="006B4625"/>
    <w:rsid w:val="006C7A18"/>
    <w:rsid w:val="006C7E70"/>
    <w:rsid w:val="006D60D3"/>
    <w:rsid w:val="006D6C0A"/>
    <w:rsid w:val="006E0865"/>
    <w:rsid w:val="006E1222"/>
    <w:rsid w:val="006E785F"/>
    <w:rsid w:val="006F07E9"/>
    <w:rsid w:val="006F6C4B"/>
    <w:rsid w:val="006F7A6E"/>
    <w:rsid w:val="00706083"/>
    <w:rsid w:val="00706125"/>
    <w:rsid w:val="0071395D"/>
    <w:rsid w:val="00717AEA"/>
    <w:rsid w:val="007213CF"/>
    <w:rsid w:val="00723314"/>
    <w:rsid w:val="007263D6"/>
    <w:rsid w:val="00732AD9"/>
    <w:rsid w:val="007337F1"/>
    <w:rsid w:val="00735149"/>
    <w:rsid w:val="007354F7"/>
    <w:rsid w:val="007377C6"/>
    <w:rsid w:val="00741131"/>
    <w:rsid w:val="00744483"/>
    <w:rsid w:val="00745EBD"/>
    <w:rsid w:val="00746C7F"/>
    <w:rsid w:val="00750010"/>
    <w:rsid w:val="00750F85"/>
    <w:rsid w:val="00751C88"/>
    <w:rsid w:val="00755311"/>
    <w:rsid w:val="0075579C"/>
    <w:rsid w:val="007572BA"/>
    <w:rsid w:val="00760EC4"/>
    <w:rsid w:val="00765B33"/>
    <w:rsid w:val="00767C2A"/>
    <w:rsid w:val="00777324"/>
    <w:rsid w:val="0078008F"/>
    <w:rsid w:val="007861E3"/>
    <w:rsid w:val="007869CB"/>
    <w:rsid w:val="00790705"/>
    <w:rsid w:val="007944CF"/>
    <w:rsid w:val="007A04C1"/>
    <w:rsid w:val="007A7AB3"/>
    <w:rsid w:val="007B3240"/>
    <w:rsid w:val="007B6541"/>
    <w:rsid w:val="007B7064"/>
    <w:rsid w:val="007B75BD"/>
    <w:rsid w:val="007C107E"/>
    <w:rsid w:val="007C2486"/>
    <w:rsid w:val="007C385B"/>
    <w:rsid w:val="007C4007"/>
    <w:rsid w:val="007C5923"/>
    <w:rsid w:val="007D21BD"/>
    <w:rsid w:val="007D238C"/>
    <w:rsid w:val="007D3986"/>
    <w:rsid w:val="007D72AE"/>
    <w:rsid w:val="007D77B7"/>
    <w:rsid w:val="007E0075"/>
    <w:rsid w:val="007E210E"/>
    <w:rsid w:val="007E494B"/>
    <w:rsid w:val="007E4A45"/>
    <w:rsid w:val="007E736B"/>
    <w:rsid w:val="007F19E2"/>
    <w:rsid w:val="007F504B"/>
    <w:rsid w:val="007F5425"/>
    <w:rsid w:val="008068FE"/>
    <w:rsid w:val="008123B0"/>
    <w:rsid w:val="008129CC"/>
    <w:rsid w:val="00814769"/>
    <w:rsid w:val="00815B2F"/>
    <w:rsid w:val="00815DB9"/>
    <w:rsid w:val="00821CDF"/>
    <w:rsid w:val="00821D0A"/>
    <w:rsid w:val="00821FA1"/>
    <w:rsid w:val="008253C8"/>
    <w:rsid w:val="00826582"/>
    <w:rsid w:val="00826DA1"/>
    <w:rsid w:val="00831040"/>
    <w:rsid w:val="00833155"/>
    <w:rsid w:val="00836A61"/>
    <w:rsid w:val="008373B9"/>
    <w:rsid w:val="00837BEE"/>
    <w:rsid w:val="008404E0"/>
    <w:rsid w:val="0084303A"/>
    <w:rsid w:val="00843D21"/>
    <w:rsid w:val="008464EB"/>
    <w:rsid w:val="00846970"/>
    <w:rsid w:val="00846E91"/>
    <w:rsid w:val="008470C3"/>
    <w:rsid w:val="00850EA9"/>
    <w:rsid w:val="00851D63"/>
    <w:rsid w:val="008553DA"/>
    <w:rsid w:val="008651E6"/>
    <w:rsid w:val="008657BF"/>
    <w:rsid w:val="008660E6"/>
    <w:rsid w:val="00872C59"/>
    <w:rsid w:val="00876097"/>
    <w:rsid w:val="00877133"/>
    <w:rsid w:val="00877383"/>
    <w:rsid w:val="008775EF"/>
    <w:rsid w:val="00881F77"/>
    <w:rsid w:val="00883FF3"/>
    <w:rsid w:val="0088601B"/>
    <w:rsid w:val="0089129F"/>
    <w:rsid w:val="008A61C2"/>
    <w:rsid w:val="008B66F0"/>
    <w:rsid w:val="008C0DE8"/>
    <w:rsid w:val="008C34D4"/>
    <w:rsid w:val="008C3961"/>
    <w:rsid w:val="008C4DA9"/>
    <w:rsid w:val="008C74E7"/>
    <w:rsid w:val="008D1340"/>
    <w:rsid w:val="008D3254"/>
    <w:rsid w:val="008D346C"/>
    <w:rsid w:val="008E179F"/>
    <w:rsid w:val="008E7265"/>
    <w:rsid w:val="008F0676"/>
    <w:rsid w:val="00903AD4"/>
    <w:rsid w:val="00906BB9"/>
    <w:rsid w:val="0090747A"/>
    <w:rsid w:val="0090790C"/>
    <w:rsid w:val="00911542"/>
    <w:rsid w:val="00911BBE"/>
    <w:rsid w:val="0091254D"/>
    <w:rsid w:val="0091755E"/>
    <w:rsid w:val="009309C1"/>
    <w:rsid w:val="00940AA2"/>
    <w:rsid w:val="00941DAC"/>
    <w:rsid w:val="009420E9"/>
    <w:rsid w:val="00942F77"/>
    <w:rsid w:val="00943999"/>
    <w:rsid w:val="00950BB3"/>
    <w:rsid w:val="00953E89"/>
    <w:rsid w:val="00960063"/>
    <w:rsid w:val="00961148"/>
    <w:rsid w:val="009666FF"/>
    <w:rsid w:val="00971A9B"/>
    <w:rsid w:val="00971FED"/>
    <w:rsid w:val="00972AEE"/>
    <w:rsid w:val="0097394A"/>
    <w:rsid w:val="009748F2"/>
    <w:rsid w:val="00976C7D"/>
    <w:rsid w:val="00982979"/>
    <w:rsid w:val="00982D1A"/>
    <w:rsid w:val="0098301A"/>
    <w:rsid w:val="00985C1C"/>
    <w:rsid w:val="00987360"/>
    <w:rsid w:val="00987C96"/>
    <w:rsid w:val="00994B31"/>
    <w:rsid w:val="00997454"/>
    <w:rsid w:val="009A264D"/>
    <w:rsid w:val="009A3F03"/>
    <w:rsid w:val="009A4629"/>
    <w:rsid w:val="009A6500"/>
    <w:rsid w:val="009B0BCC"/>
    <w:rsid w:val="009B35A8"/>
    <w:rsid w:val="009B5379"/>
    <w:rsid w:val="009B62CB"/>
    <w:rsid w:val="009B6583"/>
    <w:rsid w:val="009B7B56"/>
    <w:rsid w:val="009C11FA"/>
    <w:rsid w:val="009C3727"/>
    <w:rsid w:val="009C39D2"/>
    <w:rsid w:val="009C50CF"/>
    <w:rsid w:val="009D0936"/>
    <w:rsid w:val="009D12D1"/>
    <w:rsid w:val="009E05F3"/>
    <w:rsid w:val="009E3B58"/>
    <w:rsid w:val="009E42BA"/>
    <w:rsid w:val="009E694C"/>
    <w:rsid w:val="009F2441"/>
    <w:rsid w:val="009F45CE"/>
    <w:rsid w:val="00A01518"/>
    <w:rsid w:val="00A04FCB"/>
    <w:rsid w:val="00A06306"/>
    <w:rsid w:val="00A1617F"/>
    <w:rsid w:val="00A21823"/>
    <w:rsid w:val="00A27812"/>
    <w:rsid w:val="00A30420"/>
    <w:rsid w:val="00A30B9E"/>
    <w:rsid w:val="00A31BCA"/>
    <w:rsid w:val="00A35BB6"/>
    <w:rsid w:val="00A41460"/>
    <w:rsid w:val="00A432A7"/>
    <w:rsid w:val="00A50C65"/>
    <w:rsid w:val="00A52D22"/>
    <w:rsid w:val="00A54DF1"/>
    <w:rsid w:val="00A60298"/>
    <w:rsid w:val="00A6254C"/>
    <w:rsid w:val="00A64DD0"/>
    <w:rsid w:val="00A66F39"/>
    <w:rsid w:val="00A70CC9"/>
    <w:rsid w:val="00A7616F"/>
    <w:rsid w:val="00A9519B"/>
    <w:rsid w:val="00AA0E81"/>
    <w:rsid w:val="00AB428A"/>
    <w:rsid w:val="00AB79A1"/>
    <w:rsid w:val="00AC1463"/>
    <w:rsid w:val="00AC782A"/>
    <w:rsid w:val="00AD3678"/>
    <w:rsid w:val="00AD397A"/>
    <w:rsid w:val="00AD5D2E"/>
    <w:rsid w:val="00AE1819"/>
    <w:rsid w:val="00AE3DD1"/>
    <w:rsid w:val="00AE47BF"/>
    <w:rsid w:val="00AE56A2"/>
    <w:rsid w:val="00AF32C0"/>
    <w:rsid w:val="00AF35A5"/>
    <w:rsid w:val="00AF398C"/>
    <w:rsid w:val="00AF4E86"/>
    <w:rsid w:val="00AF7612"/>
    <w:rsid w:val="00B00EDA"/>
    <w:rsid w:val="00B03D8E"/>
    <w:rsid w:val="00B05369"/>
    <w:rsid w:val="00B05E57"/>
    <w:rsid w:val="00B06F27"/>
    <w:rsid w:val="00B10A58"/>
    <w:rsid w:val="00B1183E"/>
    <w:rsid w:val="00B1195C"/>
    <w:rsid w:val="00B11962"/>
    <w:rsid w:val="00B1211E"/>
    <w:rsid w:val="00B1296B"/>
    <w:rsid w:val="00B14027"/>
    <w:rsid w:val="00B14FC0"/>
    <w:rsid w:val="00B15072"/>
    <w:rsid w:val="00B15460"/>
    <w:rsid w:val="00B31848"/>
    <w:rsid w:val="00B34457"/>
    <w:rsid w:val="00B41BF4"/>
    <w:rsid w:val="00B45034"/>
    <w:rsid w:val="00B4580E"/>
    <w:rsid w:val="00B45E82"/>
    <w:rsid w:val="00B51C03"/>
    <w:rsid w:val="00B545AA"/>
    <w:rsid w:val="00B550CB"/>
    <w:rsid w:val="00B5637D"/>
    <w:rsid w:val="00B61B0B"/>
    <w:rsid w:val="00B67C4F"/>
    <w:rsid w:val="00B7028D"/>
    <w:rsid w:val="00B72373"/>
    <w:rsid w:val="00B7311E"/>
    <w:rsid w:val="00B74CC9"/>
    <w:rsid w:val="00B74EDD"/>
    <w:rsid w:val="00B77AAF"/>
    <w:rsid w:val="00B77CD3"/>
    <w:rsid w:val="00B77DDE"/>
    <w:rsid w:val="00B84545"/>
    <w:rsid w:val="00B9096A"/>
    <w:rsid w:val="00B9516A"/>
    <w:rsid w:val="00B9669F"/>
    <w:rsid w:val="00B97BB5"/>
    <w:rsid w:val="00BA5573"/>
    <w:rsid w:val="00BA667D"/>
    <w:rsid w:val="00BA6B02"/>
    <w:rsid w:val="00BA6D6E"/>
    <w:rsid w:val="00BB0417"/>
    <w:rsid w:val="00BB0666"/>
    <w:rsid w:val="00BB1A26"/>
    <w:rsid w:val="00BB3A93"/>
    <w:rsid w:val="00BB6AD2"/>
    <w:rsid w:val="00BB721C"/>
    <w:rsid w:val="00BC585D"/>
    <w:rsid w:val="00BC593E"/>
    <w:rsid w:val="00BD546A"/>
    <w:rsid w:val="00BD61F3"/>
    <w:rsid w:val="00BD6284"/>
    <w:rsid w:val="00BD7DCE"/>
    <w:rsid w:val="00BE055A"/>
    <w:rsid w:val="00BE12B1"/>
    <w:rsid w:val="00BE32B0"/>
    <w:rsid w:val="00BF2F74"/>
    <w:rsid w:val="00BF478C"/>
    <w:rsid w:val="00BF5012"/>
    <w:rsid w:val="00BF67CA"/>
    <w:rsid w:val="00BF6FCE"/>
    <w:rsid w:val="00C04885"/>
    <w:rsid w:val="00C1239E"/>
    <w:rsid w:val="00C14059"/>
    <w:rsid w:val="00C178C8"/>
    <w:rsid w:val="00C21460"/>
    <w:rsid w:val="00C216A9"/>
    <w:rsid w:val="00C21ECE"/>
    <w:rsid w:val="00C2446A"/>
    <w:rsid w:val="00C259F2"/>
    <w:rsid w:val="00C33886"/>
    <w:rsid w:val="00C33A07"/>
    <w:rsid w:val="00C34722"/>
    <w:rsid w:val="00C379ED"/>
    <w:rsid w:val="00C422C3"/>
    <w:rsid w:val="00C431E6"/>
    <w:rsid w:val="00C4525F"/>
    <w:rsid w:val="00C4558D"/>
    <w:rsid w:val="00C474E6"/>
    <w:rsid w:val="00C51002"/>
    <w:rsid w:val="00C52287"/>
    <w:rsid w:val="00C53FB8"/>
    <w:rsid w:val="00C55047"/>
    <w:rsid w:val="00C55AF8"/>
    <w:rsid w:val="00C57640"/>
    <w:rsid w:val="00C57F5F"/>
    <w:rsid w:val="00C60B43"/>
    <w:rsid w:val="00C62B96"/>
    <w:rsid w:val="00C674A4"/>
    <w:rsid w:val="00C676F2"/>
    <w:rsid w:val="00C72916"/>
    <w:rsid w:val="00C73730"/>
    <w:rsid w:val="00C743C3"/>
    <w:rsid w:val="00C757A1"/>
    <w:rsid w:val="00C76B92"/>
    <w:rsid w:val="00C77C03"/>
    <w:rsid w:val="00C816DD"/>
    <w:rsid w:val="00C87BCC"/>
    <w:rsid w:val="00C91032"/>
    <w:rsid w:val="00C91784"/>
    <w:rsid w:val="00C94EA6"/>
    <w:rsid w:val="00C95817"/>
    <w:rsid w:val="00C95FC0"/>
    <w:rsid w:val="00C9663E"/>
    <w:rsid w:val="00C971ED"/>
    <w:rsid w:val="00CA2CEC"/>
    <w:rsid w:val="00CA2FAB"/>
    <w:rsid w:val="00CA5AFD"/>
    <w:rsid w:val="00CA6D20"/>
    <w:rsid w:val="00CB19C6"/>
    <w:rsid w:val="00CB1D9B"/>
    <w:rsid w:val="00CB55A6"/>
    <w:rsid w:val="00CB6170"/>
    <w:rsid w:val="00CB76DA"/>
    <w:rsid w:val="00CB77AC"/>
    <w:rsid w:val="00CC3AC5"/>
    <w:rsid w:val="00CC58E9"/>
    <w:rsid w:val="00CC69BB"/>
    <w:rsid w:val="00CC7343"/>
    <w:rsid w:val="00CD7E01"/>
    <w:rsid w:val="00CE01D4"/>
    <w:rsid w:val="00CE0619"/>
    <w:rsid w:val="00CE1FAF"/>
    <w:rsid w:val="00CE34B2"/>
    <w:rsid w:val="00CE4733"/>
    <w:rsid w:val="00CE58C4"/>
    <w:rsid w:val="00CE6760"/>
    <w:rsid w:val="00CE67EC"/>
    <w:rsid w:val="00CE7AB8"/>
    <w:rsid w:val="00CF0BDB"/>
    <w:rsid w:val="00CF1186"/>
    <w:rsid w:val="00CF1A32"/>
    <w:rsid w:val="00CF4B63"/>
    <w:rsid w:val="00CF4E67"/>
    <w:rsid w:val="00D03D64"/>
    <w:rsid w:val="00D05A3F"/>
    <w:rsid w:val="00D10391"/>
    <w:rsid w:val="00D10F5B"/>
    <w:rsid w:val="00D115C1"/>
    <w:rsid w:val="00D167B2"/>
    <w:rsid w:val="00D202EF"/>
    <w:rsid w:val="00D23884"/>
    <w:rsid w:val="00D34C1B"/>
    <w:rsid w:val="00D4038B"/>
    <w:rsid w:val="00D427DE"/>
    <w:rsid w:val="00D45BA5"/>
    <w:rsid w:val="00D46DF7"/>
    <w:rsid w:val="00D478D4"/>
    <w:rsid w:val="00D511B7"/>
    <w:rsid w:val="00D52870"/>
    <w:rsid w:val="00D56A8D"/>
    <w:rsid w:val="00D57011"/>
    <w:rsid w:val="00D60D33"/>
    <w:rsid w:val="00D7047B"/>
    <w:rsid w:val="00D70C09"/>
    <w:rsid w:val="00D71F69"/>
    <w:rsid w:val="00D836DD"/>
    <w:rsid w:val="00D83990"/>
    <w:rsid w:val="00D84D4D"/>
    <w:rsid w:val="00D9199D"/>
    <w:rsid w:val="00D933E5"/>
    <w:rsid w:val="00D95490"/>
    <w:rsid w:val="00D95964"/>
    <w:rsid w:val="00D96275"/>
    <w:rsid w:val="00D96C7E"/>
    <w:rsid w:val="00D97772"/>
    <w:rsid w:val="00D97F9F"/>
    <w:rsid w:val="00DA030A"/>
    <w:rsid w:val="00DA149F"/>
    <w:rsid w:val="00DA3FEF"/>
    <w:rsid w:val="00DA5F4B"/>
    <w:rsid w:val="00DB296D"/>
    <w:rsid w:val="00DB3832"/>
    <w:rsid w:val="00DB3F45"/>
    <w:rsid w:val="00DC2D7B"/>
    <w:rsid w:val="00DC7484"/>
    <w:rsid w:val="00DD03A1"/>
    <w:rsid w:val="00DD7053"/>
    <w:rsid w:val="00DE3C28"/>
    <w:rsid w:val="00DE46E6"/>
    <w:rsid w:val="00DE678C"/>
    <w:rsid w:val="00DE75DD"/>
    <w:rsid w:val="00DF19BC"/>
    <w:rsid w:val="00DF4CC0"/>
    <w:rsid w:val="00E04A20"/>
    <w:rsid w:val="00E10AA8"/>
    <w:rsid w:val="00E1167D"/>
    <w:rsid w:val="00E11FD9"/>
    <w:rsid w:val="00E1432B"/>
    <w:rsid w:val="00E24CB1"/>
    <w:rsid w:val="00E25178"/>
    <w:rsid w:val="00E26D19"/>
    <w:rsid w:val="00E26EEC"/>
    <w:rsid w:val="00E2770C"/>
    <w:rsid w:val="00E32866"/>
    <w:rsid w:val="00E32FD8"/>
    <w:rsid w:val="00E339FB"/>
    <w:rsid w:val="00E347B7"/>
    <w:rsid w:val="00E42871"/>
    <w:rsid w:val="00E536C7"/>
    <w:rsid w:val="00E55F41"/>
    <w:rsid w:val="00E67FB7"/>
    <w:rsid w:val="00E72176"/>
    <w:rsid w:val="00E76792"/>
    <w:rsid w:val="00E80E84"/>
    <w:rsid w:val="00E84B03"/>
    <w:rsid w:val="00E85557"/>
    <w:rsid w:val="00E907B3"/>
    <w:rsid w:val="00E90AB8"/>
    <w:rsid w:val="00E95C96"/>
    <w:rsid w:val="00E95FE0"/>
    <w:rsid w:val="00EA00C4"/>
    <w:rsid w:val="00EA125B"/>
    <w:rsid w:val="00EA13A7"/>
    <w:rsid w:val="00EA5362"/>
    <w:rsid w:val="00EA7519"/>
    <w:rsid w:val="00EB2436"/>
    <w:rsid w:val="00EB4170"/>
    <w:rsid w:val="00EB48F3"/>
    <w:rsid w:val="00EC42CB"/>
    <w:rsid w:val="00EC42DA"/>
    <w:rsid w:val="00EC6C48"/>
    <w:rsid w:val="00EC71CE"/>
    <w:rsid w:val="00EE01E3"/>
    <w:rsid w:val="00EE110A"/>
    <w:rsid w:val="00EE7B61"/>
    <w:rsid w:val="00F01F43"/>
    <w:rsid w:val="00F02DF8"/>
    <w:rsid w:val="00F0537A"/>
    <w:rsid w:val="00F0674F"/>
    <w:rsid w:val="00F06E9C"/>
    <w:rsid w:val="00F12FC8"/>
    <w:rsid w:val="00F26B93"/>
    <w:rsid w:val="00F34C04"/>
    <w:rsid w:val="00F34F69"/>
    <w:rsid w:val="00F37D99"/>
    <w:rsid w:val="00F44A2C"/>
    <w:rsid w:val="00F46E3F"/>
    <w:rsid w:val="00F4789E"/>
    <w:rsid w:val="00F514ED"/>
    <w:rsid w:val="00F52600"/>
    <w:rsid w:val="00F531F6"/>
    <w:rsid w:val="00F61857"/>
    <w:rsid w:val="00F61A40"/>
    <w:rsid w:val="00F76B98"/>
    <w:rsid w:val="00F77359"/>
    <w:rsid w:val="00F7754C"/>
    <w:rsid w:val="00F81E2C"/>
    <w:rsid w:val="00F853B1"/>
    <w:rsid w:val="00F8684F"/>
    <w:rsid w:val="00F909B5"/>
    <w:rsid w:val="00F92D6C"/>
    <w:rsid w:val="00F956CA"/>
    <w:rsid w:val="00F97041"/>
    <w:rsid w:val="00FA0363"/>
    <w:rsid w:val="00FA0525"/>
    <w:rsid w:val="00FA05EE"/>
    <w:rsid w:val="00FA2142"/>
    <w:rsid w:val="00FA66D6"/>
    <w:rsid w:val="00FA7A0F"/>
    <w:rsid w:val="00FB1DF4"/>
    <w:rsid w:val="00FB2C14"/>
    <w:rsid w:val="00FB4747"/>
    <w:rsid w:val="00FB4DAC"/>
    <w:rsid w:val="00FB7853"/>
    <w:rsid w:val="00FC5140"/>
    <w:rsid w:val="00FC638B"/>
    <w:rsid w:val="00FD03BC"/>
    <w:rsid w:val="00FD2105"/>
    <w:rsid w:val="00FD288E"/>
    <w:rsid w:val="00FD43AC"/>
    <w:rsid w:val="00FD5F11"/>
    <w:rsid w:val="00FE52B8"/>
    <w:rsid w:val="00FF1E04"/>
    <w:rsid w:val="00FF25EF"/>
    <w:rsid w:val="00FF2B45"/>
    <w:rsid w:val="00FF5077"/>
    <w:rsid w:val="00FF7C3F"/>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0B7F15"/>
  <w15:docId w15:val="{5F36A6E6-C986-4F3A-B9AE-AEBFB4576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D2A"/>
    <w:pPr>
      <w:jc w:val="both"/>
    </w:pPr>
    <w:rPr>
      <w:rFonts w:ascii="Arial" w:hAnsi="Arial"/>
    </w:rPr>
  </w:style>
  <w:style w:type="paragraph" w:styleId="Naslov1">
    <w:name w:val="heading 1"/>
    <w:basedOn w:val="Normal"/>
    <w:next w:val="Normal"/>
    <w:link w:val="Naslov1Char"/>
    <w:uiPriority w:val="9"/>
    <w:qFormat/>
    <w:rsid w:val="00364B7C"/>
    <w:pPr>
      <w:keepNext/>
      <w:keepLines/>
      <w:pageBreakBefore/>
      <w:numPr>
        <w:numId w:val="1"/>
      </w:numPr>
      <w:spacing w:before="240" w:after="0"/>
      <w:ind w:left="714" w:hanging="357"/>
      <w:outlineLvl w:val="0"/>
    </w:pPr>
    <w:rPr>
      <w:rFonts w:eastAsiaTheme="majorEastAsia" w:cstheme="majorBidi"/>
      <w:b/>
      <w:color w:val="538135" w:themeColor="accent6" w:themeShade="BF"/>
      <w:sz w:val="32"/>
      <w:szCs w:val="32"/>
    </w:rPr>
  </w:style>
  <w:style w:type="paragraph" w:styleId="Naslov2">
    <w:name w:val="heading 2"/>
    <w:basedOn w:val="Normal"/>
    <w:next w:val="Normal"/>
    <w:link w:val="Naslov2Char"/>
    <w:uiPriority w:val="9"/>
    <w:unhideWhenUsed/>
    <w:qFormat/>
    <w:rsid w:val="00590D4C"/>
    <w:pPr>
      <w:keepNext/>
      <w:keepLines/>
      <w:spacing w:before="40" w:after="0"/>
      <w:outlineLvl w:val="1"/>
    </w:pPr>
    <w:rPr>
      <w:rFonts w:eastAsiaTheme="majorEastAsia" w:cstheme="majorBidi"/>
      <w:b/>
      <w:color w:val="538135" w:themeColor="accent6" w:themeShade="BF"/>
      <w:sz w:val="32"/>
      <w:szCs w:val="26"/>
    </w:rPr>
  </w:style>
  <w:style w:type="paragraph" w:styleId="Naslov3">
    <w:name w:val="heading 3"/>
    <w:basedOn w:val="Normal"/>
    <w:next w:val="Normal"/>
    <w:link w:val="Naslov3Char"/>
    <w:uiPriority w:val="9"/>
    <w:unhideWhenUsed/>
    <w:qFormat/>
    <w:rsid w:val="00074CCD"/>
    <w:pPr>
      <w:keepNext/>
      <w:keepLines/>
      <w:spacing w:before="40" w:after="0"/>
      <w:outlineLvl w:val="2"/>
    </w:pPr>
    <w:rPr>
      <w:rFonts w:eastAsiaTheme="majorEastAsia" w:cstheme="majorBidi"/>
      <w:color w:val="538135" w:themeColor="accent6" w:themeShade="B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7E4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uiPriority w:val="9"/>
    <w:rsid w:val="00364B7C"/>
    <w:rPr>
      <w:rFonts w:ascii="Arial" w:eastAsiaTheme="majorEastAsia" w:hAnsi="Arial" w:cstheme="majorBidi"/>
      <w:b/>
      <w:color w:val="538135" w:themeColor="accent6" w:themeShade="BF"/>
      <w:sz w:val="32"/>
      <w:szCs w:val="32"/>
    </w:rPr>
  </w:style>
  <w:style w:type="character" w:customStyle="1" w:styleId="Naslov2Char">
    <w:name w:val="Naslov 2 Char"/>
    <w:basedOn w:val="Zadanifontodlomka"/>
    <w:link w:val="Naslov2"/>
    <w:uiPriority w:val="9"/>
    <w:rsid w:val="00590D4C"/>
    <w:rPr>
      <w:rFonts w:ascii="Arial" w:eastAsiaTheme="majorEastAsia" w:hAnsi="Arial" w:cstheme="majorBidi"/>
      <w:b/>
      <w:color w:val="538135" w:themeColor="accent6" w:themeShade="BF"/>
      <w:sz w:val="32"/>
      <w:szCs w:val="26"/>
    </w:rPr>
  </w:style>
  <w:style w:type="character" w:customStyle="1" w:styleId="Naslov3Char">
    <w:name w:val="Naslov 3 Char"/>
    <w:basedOn w:val="Zadanifontodlomka"/>
    <w:link w:val="Naslov3"/>
    <w:uiPriority w:val="9"/>
    <w:rsid w:val="00074CCD"/>
    <w:rPr>
      <w:rFonts w:ascii="Arial" w:eastAsiaTheme="majorEastAsia" w:hAnsi="Arial" w:cstheme="majorBidi"/>
      <w:color w:val="538135" w:themeColor="accent6" w:themeShade="BF"/>
      <w:sz w:val="24"/>
      <w:szCs w:val="24"/>
    </w:rPr>
  </w:style>
  <w:style w:type="paragraph" w:styleId="Odlomakpopisa">
    <w:name w:val="List Paragraph"/>
    <w:basedOn w:val="Normal"/>
    <w:uiPriority w:val="34"/>
    <w:qFormat/>
    <w:rsid w:val="00FD43AC"/>
    <w:pPr>
      <w:ind w:left="720"/>
      <w:contextualSpacing/>
    </w:pPr>
  </w:style>
  <w:style w:type="paragraph" w:styleId="Opisslike">
    <w:name w:val="caption"/>
    <w:basedOn w:val="Normal"/>
    <w:next w:val="Normal"/>
    <w:uiPriority w:val="35"/>
    <w:unhideWhenUsed/>
    <w:qFormat/>
    <w:rsid w:val="008651E6"/>
    <w:pPr>
      <w:spacing w:after="200" w:line="240" w:lineRule="auto"/>
      <w:jc w:val="left"/>
    </w:pPr>
    <w:rPr>
      <w:i/>
      <w:iCs/>
      <w:color w:val="44546A" w:themeColor="text2"/>
      <w:sz w:val="18"/>
      <w:szCs w:val="18"/>
    </w:rPr>
  </w:style>
  <w:style w:type="paragraph" w:styleId="Zaglavlje">
    <w:name w:val="header"/>
    <w:basedOn w:val="Normal"/>
    <w:link w:val="ZaglavljeChar"/>
    <w:uiPriority w:val="99"/>
    <w:unhideWhenUsed/>
    <w:rsid w:val="001777B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777BB"/>
    <w:rPr>
      <w:rFonts w:ascii="Arial" w:hAnsi="Arial"/>
    </w:rPr>
  </w:style>
  <w:style w:type="paragraph" w:styleId="Podnoje">
    <w:name w:val="footer"/>
    <w:basedOn w:val="Normal"/>
    <w:link w:val="PodnojeChar"/>
    <w:uiPriority w:val="99"/>
    <w:unhideWhenUsed/>
    <w:rsid w:val="001777B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777BB"/>
    <w:rPr>
      <w:rFonts w:ascii="Arial" w:hAnsi="Arial"/>
    </w:rPr>
  </w:style>
  <w:style w:type="paragraph" w:styleId="Tekstfusnote">
    <w:name w:val="footnote text"/>
    <w:basedOn w:val="Normal"/>
    <w:link w:val="TekstfusnoteChar"/>
    <w:uiPriority w:val="99"/>
    <w:semiHidden/>
    <w:unhideWhenUsed/>
    <w:rsid w:val="00CF1186"/>
    <w:pPr>
      <w:spacing w:after="0" w:line="240" w:lineRule="auto"/>
    </w:pPr>
    <w:rPr>
      <w:sz w:val="20"/>
      <w:szCs w:val="20"/>
    </w:rPr>
  </w:style>
  <w:style w:type="character" w:customStyle="1" w:styleId="TekstfusnoteChar">
    <w:name w:val="Tekst fusnote Char"/>
    <w:basedOn w:val="Zadanifontodlomka"/>
    <w:link w:val="Tekstfusnote"/>
    <w:uiPriority w:val="99"/>
    <w:semiHidden/>
    <w:rsid w:val="00CF1186"/>
    <w:rPr>
      <w:rFonts w:ascii="Arial" w:hAnsi="Arial"/>
      <w:sz w:val="20"/>
      <w:szCs w:val="20"/>
    </w:rPr>
  </w:style>
  <w:style w:type="character" w:styleId="Referencafusnote">
    <w:name w:val="footnote reference"/>
    <w:basedOn w:val="Zadanifontodlomka"/>
    <w:uiPriority w:val="99"/>
    <w:semiHidden/>
    <w:unhideWhenUsed/>
    <w:rsid w:val="00CF1186"/>
    <w:rPr>
      <w:vertAlign w:val="superscript"/>
    </w:rPr>
  </w:style>
  <w:style w:type="character" w:styleId="Hiperveza">
    <w:name w:val="Hyperlink"/>
    <w:basedOn w:val="Zadanifontodlomka"/>
    <w:uiPriority w:val="99"/>
    <w:unhideWhenUsed/>
    <w:rsid w:val="002D02D0"/>
    <w:rPr>
      <w:color w:val="0000FF"/>
      <w:u w:val="single"/>
    </w:rPr>
  </w:style>
  <w:style w:type="character" w:styleId="Naglaeno">
    <w:name w:val="Strong"/>
    <w:basedOn w:val="Zadanifontodlomka"/>
    <w:uiPriority w:val="22"/>
    <w:qFormat/>
    <w:rsid w:val="002D02D0"/>
    <w:rPr>
      <w:b/>
      <w:bCs/>
    </w:rPr>
  </w:style>
  <w:style w:type="character" w:styleId="Referencakomentara">
    <w:name w:val="annotation reference"/>
    <w:basedOn w:val="Zadanifontodlomka"/>
    <w:uiPriority w:val="99"/>
    <w:semiHidden/>
    <w:unhideWhenUsed/>
    <w:rsid w:val="002D02D0"/>
    <w:rPr>
      <w:sz w:val="16"/>
      <w:szCs w:val="16"/>
    </w:rPr>
  </w:style>
  <w:style w:type="paragraph" w:styleId="Tekstkomentara">
    <w:name w:val="annotation text"/>
    <w:basedOn w:val="Normal"/>
    <w:link w:val="TekstkomentaraChar"/>
    <w:uiPriority w:val="99"/>
    <w:semiHidden/>
    <w:unhideWhenUsed/>
    <w:rsid w:val="002D02D0"/>
    <w:pPr>
      <w:spacing w:line="240" w:lineRule="auto"/>
      <w:jc w:val="left"/>
    </w:pPr>
    <w:rPr>
      <w:rFonts w:asciiTheme="minorHAnsi" w:hAnsiTheme="minorHAnsi"/>
      <w:sz w:val="20"/>
      <w:szCs w:val="20"/>
      <w:lang w:val="en-US"/>
    </w:rPr>
  </w:style>
  <w:style w:type="character" w:customStyle="1" w:styleId="TekstkomentaraChar">
    <w:name w:val="Tekst komentara Char"/>
    <w:basedOn w:val="Zadanifontodlomka"/>
    <w:link w:val="Tekstkomentara"/>
    <w:uiPriority w:val="99"/>
    <w:semiHidden/>
    <w:rsid w:val="002D02D0"/>
    <w:rPr>
      <w:sz w:val="20"/>
      <w:szCs w:val="20"/>
      <w:lang w:val="en-US"/>
    </w:rPr>
  </w:style>
  <w:style w:type="paragraph" w:styleId="Tekstbalonia">
    <w:name w:val="Balloon Text"/>
    <w:basedOn w:val="Normal"/>
    <w:link w:val="TekstbaloniaChar"/>
    <w:uiPriority w:val="99"/>
    <w:semiHidden/>
    <w:unhideWhenUsed/>
    <w:rsid w:val="0032524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2524C"/>
    <w:rPr>
      <w:rFonts w:ascii="Tahoma" w:hAnsi="Tahoma" w:cs="Tahoma"/>
      <w:sz w:val="16"/>
      <w:szCs w:val="16"/>
    </w:rPr>
  </w:style>
  <w:style w:type="paragraph" w:styleId="TOCNaslov">
    <w:name w:val="TOC Heading"/>
    <w:basedOn w:val="Naslov1"/>
    <w:next w:val="Normal"/>
    <w:uiPriority w:val="39"/>
    <w:unhideWhenUsed/>
    <w:qFormat/>
    <w:rsid w:val="00D933E5"/>
    <w:pPr>
      <w:pageBreakBefore w:val="0"/>
      <w:numPr>
        <w:numId w:val="0"/>
      </w:numPr>
      <w:jc w:val="left"/>
      <w:outlineLvl w:val="9"/>
    </w:pPr>
    <w:rPr>
      <w:rFonts w:asciiTheme="majorHAnsi" w:hAnsiTheme="majorHAnsi"/>
      <w:b w:val="0"/>
      <w:color w:val="2F5496" w:themeColor="accent1" w:themeShade="BF"/>
      <w:lang w:val="en-US"/>
    </w:rPr>
  </w:style>
  <w:style w:type="paragraph" w:styleId="Sadraj1">
    <w:name w:val="toc 1"/>
    <w:basedOn w:val="Normal"/>
    <w:next w:val="Normal"/>
    <w:autoRedefine/>
    <w:uiPriority w:val="39"/>
    <w:unhideWhenUsed/>
    <w:rsid w:val="00301C2D"/>
    <w:pPr>
      <w:tabs>
        <w:tab w:val="left" w:pos="440"/>
        <w:tab w:val="right" w:leader="dot" w:pos="9062"/>
      </w:tabs>
      <w:spacing w:after="100" w:line="240" w:lineRule="auto"/>
    </w:pPr>
  </w:style>
  <w:style w:type="paragraph" w:styleId="Sadraj2">
    <w:name w:val="toc 2"/>
    <w:basedOn w:val="Normal"/>
    <w:next w:val="Normal"/>
    <w:autoRedefine/>
    <w:uiPriority w:val="39"/>
    <w:unhideWhenUsed/>
    <w:rsid w:val="00D933E5"/>
    <w:pPr>
      <w:spacing w:after="100"/>
      <w:ind w:left="220"/>
    </w:pPr>
  </w:style>
  <w:style w:type="paragraph" w:styleId="Sadraj3">
    <w:name w:val="toc 3"/>
    <w:basedOn w:val="Normal"/>
    <w:next w:val="Normal"/>
    <w:autoRedefine/>
    <w:uiPriority w:val="39"/>
    <w:unhideWhenUsed/>
    <w:rsid w:val="00D933E5"/>
    <w:pPr>
      <w:spacing w:after="100"/>
      <w:ind w:left="440"/>
    </w:pPr>
  </w:style>
  <w:style w:type="paragraph" w:customStyle="1" w:styleId="Pa1">
    <w:name w:val="Pa1"/>
    <w:basedOn w:val="Normal"/>
    <w:next w:val="Normal"/>
    <w:uiPriority w:val="99"/>
    <w:rsid w:val="009F45CE"/>
    <w:pPr>
      <w:autoSpaceDE w:val="0"/>
      <w:autoSpaceDN w:val="0"/>
      <w:adjustRightInd w:val="0"/>
      <w:spacing w:after="0" w:line="201" w:lineRule="atLeast"/>
      <w:jc w:val="left"/>
    </w:pPr>
    <w:rPr>
      <w:rFonts w:ascii="Myriad Pro" w:hAnsi="Myriad Pro"/>
      <w:sz w:val="24"/>
      <w:szCs w:val="24"/>
      <w:lang w:val="hr-HR"/>
    </w:rPr>
  </w:style>
  <w:style w:type="character" w:customStyle="1" w:styleId="A11">
    <w:name w:val="A11"/>
    <w:uiPriority w:val="99"/>
    <w:rsid w:val="009F45CE"/>
    <w:rPr>
      <w:rFonts w:cs="Myriad Pro"/>
      <w:color w:val="000000"/>
      <w:sz w:val="11"/>
      <w:szCs w:val="11"/>
    </w:rPr>
  </w:style>
  <w:style w:type="character" w:customStyle="1" w:styleId="Nerijeenospominjanje1">
    <w:name w:val="Neriješeno spominjanje1"/>
    <w:basedOn w:val="Zadanifontodlomka"/>
    <w:uiPriority w:val="99"/>
    <w:semiHidden/>
    <w:unhideWhenUsed/>
    <w:rsid w:val="003E54FC"/>
    <w:rPr>
      <w:color w:val="605E5C"/>
      <w:shd w:val="clear" w:color="auto" w:fill="E1DFDD"/>
    </w:rPr>
  </w:style>
  <w:style w:type="character" w:customStyle="1" w:styleId="viiyi">
    <w:name w:val="viiyi"/>
    <w:basedOn w:val="Zadanifontodlomka"/>
    <w:rsid w:val="00A70CC9"/>
  </w:style>
  <w:style w:type="character" w:customStyle="1" w:styleId="jlqj4b">
    <w:name w:val="jlqj4b"/>
    <w:basedOn w:val="Zadanifontodlomka"/>
    <w:rsid w:val="00A70CC9"/>
  </w:style>
  <w:style w:type="paragraph" w:styleId="Tablicaslika">
    <w:name w:val="table of figures"/>
    <w:basedOn w:val="Normal"/>
    <w:next w:val="Normal"/>
    <w:uiPriority w:val="99"/>
    <w:unhideWhenUsed/>
    <w:rsid w:val="004E64FF"/>
    <w:pPr>
      <w:spacing w:after="0"/>
    </w:pPr>
  </w:style>
  <w:style w:type="table" w:customStyle="1" w:styleId="Obinatablica11">
    <w:name w:val="Obična tablica 11"/>
    <w:basedOn w:val="Obinatablica"/>
    <w:uiPriority w:val="41"/>
    <w:rsid w:val="003930B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vijetlatablicareetke11">
    <w:name w:val="Svijetla tablica rešetke 11"/>
    <w:basedOn w:val="Obinatablica"/>
    <w:uiPriority w:val="46"/>
    <w:rsid w:val="003930B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tandardWeb">
    <w:name w:val="Normal (Web)"/>
    <w:basedOn w:val="Normal"/>
    <w:uiPriority w:val="99"/>
    <w:unhideWhenUsed/>
    <w:rsid w:val="002338B3"/>
    <w:pPr>
      <w:spacing w:before="100" w:beforeAutospacing="1" w:after="100" w:afterAutospacing="1" w:line="240" w:lineRule="auto"/>
      <w:jc w:val="left"/>
    </w:pPr>
    <w:rPr>
      <w:rFonts w:ascii="Times New Roman" w:eastAsia="Times New Roman" w:hAnsi="Times New Roman" w:cs="Times New Roman"/>
      <w:sz w:val="24"/>
      <w:szCs w:val="24"/>
      <w:lang w:val="hr-HR" w:eastAsia="hr-HR"/>
    </w:rPr>
  </w:style>
  <w:style w:type="character" w:customStyle="1" w:styleId="ref-lnk">
    <w:name w:val="ref-lnk"/>
    <w:basedOn w:val="Zadanifontodlomka"/>
    <w:rsid w:val="002338B3"/>
  </w:style>
  <w:style w:type="table" w:customStyle="1" w:styleId="Tamnatablicareetke5-isticanje61">
    <w:name w:val="Tamna tablica rešetke 5 - isticanje 61"/>
    <w:basedOn w:val="Obinatablica"/>
    <w:uiPriority w:val="50"/>
    <w:rsid w:val="00F92D6C"/>
    <w:pPr>
      <w:spacing w:after="0" w:line="240" w:lineRule="auto"/>
    </w:p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SlijeenaHiperveza">
    <w:name w:val="FollowedHyperlink"/>
    <w:basedOn w:val="Zadanifontodlomka"/>
    <w:uiPriority w:val="99"/>
    <w:semiHidden/>
    <w:unhideWhenUsed/>
    <w:rsid w:val="004C797B"/>
    <w:rPr>
      <w:color w:val="954F72" w:themeColor="followedHyperlink"/>
      <w:u w:val="single"/>
    </w:rPr>
  </w:style>
  <w:style w:type="paragraph" w:styleId="Predmetkomentara">
    <w:name w:val="annotation subject"/>
    <w:basedOn w:val="Tekstkomentara"/>
    <w:next w:val="Tekstkomentara"/>
    <w:link w:val="PredmetkomentaraChar"/>
    <w:uiPriority w:val="99"/>
    <w:semiHidden/>
    <w:unhideWhenUsed/>
    <w:rsid w:val="00D97772"/>
    <w:pPr>
      <w:jc w:val="both"/>
    </w:pPr>
    <w:rPr>
      <w:rFonts w:ascii="Arial" w:hAnsi="Arial"/>
      <w:b/>
      <w:bCs/>
      <w:lang w:val="hu-HU"/>
    </w:rPr>
  </w:style>
  <w:style w:type="character" w:customStyle="1" w:styleId="PredmetkomentaraChar">
    <w:name w:val="Predmet komentara Char"/>
    <w:basedOn w:val="TekstkomentaraChar"/>
    <w:link w:val="Predmetkomentara"/>
    <w:uiPriority w:val="99"/>
    <w:semiHidden/>
    <w:rsid w:val="00D97772"/>
    <w:rPr>
      <w:rFonts w:ascii="Arial" w:hAnsi="Arial"/>
      <w:b/>
      <w:bCs/>
      <w:sz w:val="20"/>
      <w:szCs w:val="20"/>
      <w:lang w:val="en-US"/>
    </w:rPr>
  </w:style>
  <w:style w:type="character" w:styleId="Tekstrezerviranogmjesta">
    <w:name w:val="Placeholder Text"/>
    <w:basedOn w:val="Zadanifontodlomka"/>
    <w:uiPriority w:val="99"/>
    <w:semiHidden/>
    <w:rsid w:val="000C4C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95602">
      <w:bodyDiv w:val="1"/>
      <w:marLeft w:val="0"/>
      <w:marRight w:val="0"/>
      <w:marTop w:val="0"/>
      <w:marBottom w:val="0"/>
      <w:divBdr>
        <w:top w:val="none" w:sz="0" w:space="0" w:color="auto"/>
        <w:left w:val="none" w:sz="0" w:space="0" w:color="auto"/>
        <w:bottom w:val="none" w:sz="0" w:space="0" w:color="auto"/>
        <w:right w:val="none" w:sz="0" w:space="0" w:color="auto"/>
      </w:divBdr>
    </w:div>
    <w:div w:id="183717218">
      <w:bodyDiv w:val="1"/>
      <w:marLeft w:val="0"/>
      <w:marRight w:val="0"/>
      <w:marTop w:val="0"/>
      <w:marBottom w:val="0"/>
      <w:divBdr>
        <w:top w:val="none" w:sz="0" w:space="0" w:color="auto"/>
        <w:left w:val="none" w:sz="0" w:space="0" w:color="auto"/>
        <w:bottom w:val="none" w:sz="0" w:space="0" w:color="auto"/>
        <w:right w:val="none" w:sz="0" w:space="0" w:color="auto"/>
      </w:divBdr>
    </w:div>
    <w:div w:id="186721036">
      <w:bodyDiv w:val="1"/>
      <w:marLeft w:val="0"/>
      <w:marRight w:val="0"/>
      <w:marTop w:val="0"/>
      <w:marBottom w:val="0"/>
      <w:divBdr>
        <w:top w:val="none" w:sz="0" w:space="0" w:color="auto"/>
        <w:left w:val="none" w:sz="0" w:space="0" w:color="auto"/>
        <w:bottom w:val="none" w:sz="0" w:space="0" w:color="auto"/>
        <w:right w:val="none" w:sz="0" w:space="0" w:color="auto"/>
      </w:divBdr>
    </w:div>
    <w:div w:id="382172234">
      <w:bodyDiv w:val="1"/>
      <w:marLeft w:val="0"/>
      <w:marRight w:val="0"/>
      <w:marTop w:val="0"/>
      <w:marBottom w:val="0"/>
      <w:divBdr>
        <w:top w:val="none" w:sz="0" w:space="0" w:color="auto"/>
        <w:left w:val="none" w:sz="0" w:space="0" w:color="auto"/>
        <w:bottom w:val="none" w:sz="0" w:space="0" w:color="auto"/>
        <w:right w:val="none" w:sz="0" w:space="0" w:color="auto"/>
      </w:divBdr>
    </w:div>
    <w:div w:id="415564596">
      <w:bodyDiv w:val="1"/>
      <w:marLeft w:val="0"/>
      <w:marRight w:val="0"/>
      <w:marTop w:val="0"/>
      <w:marBottom w:val="0"/>
      <w:divBdr>
        <w:top w:val="none" w:sz="0" w:space="0" w:color="auto"/>
        <w:left w:val="none" w:sz="0" w:space="0" w:color="auto"/>
        <w:bottom w:val="none" w:sz="0" w:space="0" w:color="auto"/>
        <w:right w:val="none" w:sz="0" w:space="0" w:color="auto"/>
      </w:divBdr>
    </w:div>
    <w:div w:id="505479542">
      <w:bodyDiv w:val="1"/>
      <w:marLeft w:val="0"/>
      <w:marRight w:val="0"/>
      <w:marTop w:val="0"/>
      <w:marBottom w:val="0"/>
      <w:divBdr>
        <w:top w:val="none" w:sz="0" w:space="0" w:color="auto"/>
        <w:left w:val="none" w:sz="0" w:space="0" w:color="auto"/>
        <w:bottom w:val="none" w:sz="0" w:space="0" w:color="auto"/>
        <w:right w:val="none" w:sz="0" w:space="0" w:color="auto"/>
      </w:divBdr>
    </w:div>
    <w:div w:id="688993245">
      <w:bodyDiv w:val="1"/>
      <w:marLeft w:val="0"/>
      <w:marRight w:val="0"/>
      <w:marTop w:val="0"/>
      <w:marBottom w:val="0"/>
      <w:divBdr>
        <w:top w:val="none" w:sz="0" w:space="0" w:color="auto"/>
        <w:left w:val="none" w:sz="0" w:space="0" w:color="auto"/>
        <w:bottom w:val="none" w:sz="0" w:space="0" w:color="auto"/>
        <w:right w:val="none" w:sz="0" w:space="0" w:color="auto"/>
      </w:divBdr>
    </w:div>
    <w:div w:id="744379121">
      <w:bodyDiv w:val="1"/>
      <w:marLeft w:val="0"/>
      <w:marRight w:val="0"/>
      <w:marTop w:val="0"/>
      <w:marBottom w:val="0"/>
      <w:divBdr>
        <w:top w:val="none" w:sz="0" w:space="0" w:color="auto"/>
        <w:left w:val="none" w:sz="0" w:space="0" w:color="auto"/>
        <w:bottom w:val="none" w:sz="0" w:space="0" w:color="auto"/>
        <w:right w:val="none" w:sz="0" w:space="0" w:color="auto"/>
      </w:divBdr>
    </w:div>
    <w:div w:id="862091149">
      <w:bodyDiv w:val="1"/>
      <w:marLeft w:val="0"/>
      <w:marRight w:val="0"/>
      <w:marTop w:val="0"/>
      <w:marBottom w:val="0"/>
      <w:divBdr>
        <w:top w:val="none" w:sz="0" w:space="0" w:color="auto"/>
        <w:left w:val="none" w:sz="0" w:space="0" w:color="auto"/>
        <w:bottom w:val="none" w:sz="0" w:space="0" w:color="auto"/>
        <w:right w:val="none" w:sz="0" w:space="0" w:color="auto"/>
      </w:divBdr>
    </w:div>
    <w:div w:id="870457186">
      <w:bodyDiv w:val="1"/>
      <w:marLeft w:val="0"/>
      <w:marRight w:val="0"/>
      <w:marTop w:val="0"/>
      <w:marBottom w:val="0"/>
      <w:divBdr>
        <w:top w:val="none" w:sz="0" w:space="0" w:color="auto"/>
        <w:left w:val="none" w:sz="0" w:space="0" w:color="auto"/>
        <w:bottom w:val="none" w:sz="0" w:space="0" w:color="auto"/>
        <w:right w:val="none" w:sz="0" w:space="0" w:color="auto"/>
      </w:divBdr>
    </w:div>
    <w:div w:id="930621693">
      <w:bodyDiv w:val="1"/>
      <w:marLeft w:val="0"/>
      <w:marRight w:val="0"/>
      <w:marTop w:val="0"/>
      <w:marBottom w:val="0"/>
      <w:divBdr>
        <w:top w:val="none" w:sz="0" w:space="0" w:color="auto"/>
        <w:left w:val="none" w:sz="0" w:space="0" w:color="auto"/>
        <w:bottom w:val="none" w:sz="0" w:space="0" w:color="auto"/>
        <w:right w:val="none" w:sz="0" w:space="0" w:color="auto"/>
      </w:divBdr>
    </w:div>
    <w:div w:id="934899311">
      <w:bodyDiv w:val="1"/>
      <w:marLeft w:val="0"/>
      <w:marRight w:val="0"/>
      <w:marTop w:val="0"/>
      <w:marBottom w:val="0"/>
      <w:divBdr>
        <w:top w:val="none" w:sz="0" w:space="0" w:color="auto"/>
        <w:left w:val="none" w:sz="0" w:space="0" w:color="auto"/>
        <w:bottom w:val="none" w:sz="0" w:space="0" w:color="auto"/>
        <w:right w:val="none" w:sz="0" w:space="0" w:color="auto"/>
      </w:divBdr>
    </w:div>
    <w:div w:id="1167281984">
      <w:bodyDiv w:val="1"/>
      <w:marLeft w:val="0"/>
      <w:marRight w:val="0"/>
      <w:marTop w:val="0"/>
      <w:marBottom w:val="0"/>
      <w:divBdr>
        <w:top w:val="none" w:sz="0" w:space="0" w:color="auto"/>
        <w:left w:val="none" w:sz="0" w:space="0" w:color="auto"/>
        <w:bottom w:val="none" w:sz="0" w:space="0" w:color="auto"/>
        <w:right w:val="none" w:sz="0" w:space="0" w:color="auto"/>
      </w:divBdr>
    </w:div>
    <w:div w:id="1684475848">
      <w:bodyDiv w:val="1"/>
      <w:marLeft w:val="0"/>
      <w:marRight w:val="0"/>
      <w:marTop w:val="0"/>
      <w:marBottom w:val="0"/>
      <w:divBdr>
        <w:top w:val="none" w:sz="0" w:space="0" w:color="auto"/>
        <w:left w:val="none" w:sz="0" w:space="0" w:color="auto"/>
        <w:bottom w:val="none" w:sz="0" w:space="0" w:color="auto"/>
        <w:right w:val="none" w:sz="0" w:space="0" w:color="auto"/>
      </w:divBdr>
    </w:div>
    <w:div w:id="1712997759">
      <w:bodyDiv w:val="1"/>
      <w:marLeft w:val="0"/>
      <w:marRight w:val="0"/>
      <w:marTop w:val="0"/>
      <w:marBottom w:val="0"/>
      <w:divBdr>
        <w:top w:val="none" w:sz="0" w:space="0" w:color="auto"/>
        <w:left w:val="none" w:sz="0" w:space="0" w:color="auto"/>
        <w:bottom w:val="none" w:sz="0" w:space="0" w:color="auto"/>
        <w:right w:val="none" w:sz="0" w:space="0" w:color="auto"/>
      </w:divBdr>
    </w:div>
    <w:div w:id="1898004687">
      <w:bodyDiv w:val="1"/>
      <w:marLeft w:val="0"/>
      <w:marRight w:val="0"/>
      <w:marTop w:val="0"/>
      <w:marBottom w:val="0"/>
      <w:divBdr>
        <w:top w:val="none" w:sz="0" w:space="0" w:color="auto"/>
        <w:left w:val="none" w:sz="0" w:space="0" w:color="auto"/>
        <w:bottom w:val="none" w:sz="0" w:space="0" w:color="auto"/>
        <w:right w:val="none" w:sz="0" w:space="0" w:color="auto"/>
      </w:divBdr>
    </w:div>
    <w:div w:id="1998218381">
      <w:bodyDiv w:val="1"/>
      <w:marLeft w:val="0"/>
      <w:marRight w:val="0"/>
      <w:marTop w:val="0"/>
      <w:marBottom w:val="0"/>
      <w:divBdr>
        <w:top w:val="none" w:sz="0" w:space="0" w:color="auto"/>
        <w:left w:val="none" w:sz="0" w:space="0" w:color="auto"/>
        <w:bottom w:val="none" w:sz="0" w:space="0" w:color="auto"/>
        <w:right w:val="none" w:sz="0" w:space="0" w:color="auto"/>
      </w:divBdr>
    </w:div>
    <w:div w:id="202705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image" Target="media/image3.jpe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microsoft.com/office/2016/09/relationships/commentsIds" Target="commentsId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22506-55D3-4C5C-AE88-F154E40AB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6</Pages>
  <Words>1993</Words>
  <Characters>11363</Characters>
  <Application>Microsoft Office Word</Application>
  <DocSecurity>0</DocSecurity>
  <Lines>94</Lines>
  <Paragraphs>26</Paragraphs>
  <ScaleCrop>false</ScaleCrop>
  <HeadingPairs>
    <vt:vector size="6" baseType="variant">
      <vt:variant>
        <vt:lpstr>Naslov</vt:lpstr>
      </vt:variant>
      <vt:variant>
        <vt:i4>1</vt:i4>
      </vt:variant>
      <vt:variant>
        <vt:lpstr>Title</vt:lpstr>
      </vt:variant>
      <vt:variant>
        <vt:i4>1</vt:i4>
      </vt:variant>
      <vt:variant>
        <vt:lpstr>Cím</vt:lpstr>
      </vt:variant>
      <vt:variant>
        <vt:i4>1</vt:i4>
      </vt:variant>
    </vt:vector>
  </HeadingPairs>
  <TitlesOfParts>
    <vt:vector size="3" baseType="lpstr">
      <vt:lpstr/>
      <vt:lpstr/>
      <vt:lpstr/>
    </vt:vector>
  </TitlesOfParts>
  <Company/>
  <LinksUpToDate>false</LinksUpToDate>
  <CharactersWithSpaces>13330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Pámer Zoltán</dc:creator>
  <cp:lastModifiedBy>Danijela Vrtarić</cp:lastModifiedBy>
  <cp:revision>18</cp:revision>
  <cp:lastPrinted>2021-01-08T11:05:00Z</cp:lastPrinted>
  <dcterms:created xsi:type="dcterms:W3CDTF">2021-03-31T12:54:00Z</dcterms:created>
  <dcterms:modified xsi:type="dcterms:W3CDTF">2021-04-12T08:08:00Z</dcterms:modified>
</cp:coreProperties>
</file>