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BA535" w14:textId="77777777" w:rsidR="00ED24A8" w:rsidRDefault="005073BD" w:rsidP="008129E7">
      <w:pPr>
        <w:pStyle w:val="Naslov1-"/>
      </w:pPr>
      <w:bookmarkStart w:id="0" w:name="_Toc330545427"/>
      <w:bookmarkStart w:id="1" w:name="_Toc420488804"/>
      <w:bookmarkStart w:id="2" w:name="_Toc424736338"/>
      <w:bookmarkStart w:id="3" w:name="_Toc435172714"/>
      <w:bookmarkStart w:id="4" w:name="_GoBack"/>
      <w:bookmarkEnd w:id="4"/>
      <w:r>
        <w:t>N</w:t>
      </w:r>
      <w:r w:rsidR="00ED24A8">
        <w:t>acrt dugoročne strategije obnove nacionalnog fonda  zgrad</w:t>
      </w:r>
      <w:r w:rsidR="00EC0954">
        <w:t>a</w:t>
      </w:r>
      <w:r w:rsidR="00ED24A8">
        <w:t xml:space="preserve"> do 2050. godine</w:t>
      </w:r>
    </w:p>
    <w:p w14:paraId="2C6DAAF0" w14:textId="77777777" w:rsidR="00C83CD6" w:rsidRDefault="00C83CD6" w:rsidP="00C83CD6">
      <w:pPr>
        <w:rPr>
          <w:lang w:eastAsia="hr-HR"/>
        </w:rPr>
      </w:pPr>
    </w:p>
    <w:p w14:paraId="06437403" w14:textId="77777777" w:rsidR="008274C9" w:rsidRDefault="008274C9" w:rsidP="00C83CD6">
      <w:pPr>
        <w:ind w:left="6096"/>
        <w:rPr>
          <w:sz w:val="28"/>
          <w:szCs w:val="28"/>
          <w:lang w:eastAsia="hr-HR"/>
        </w:rPr>
      </w:pPr>
    </w:p>
    <w:p w14:paraId="64C63AC1" w14:textId="77777777" w:rsidR="008274C9" w:rsidRDefault="008274C9" w:rsidP="00C83CD6">
      <w:pPr>
        <w:ind w:left="6096"/>
        <w:rPr>
          <w:sz w:val="28"/>
          <w:szCs w:val="28"/>
          <w:lang w:eastAsia="hr-HR"/>
        </w:rPr>
      </w:pPr>
    </w:p>
    <w:p w14:paraId="23C8E9A3" w14:textId="77777777" w:rsidR="008274C9" w:rsidRDefault="008274C9" w:rsidP="00C83CD6">
      <w:pPr>
        <w:ind w:left="6096"/>
        <w:rPr>
          <w:sz w:val="28"/>
          <w:szCs w:val="28"/>
          <w:lang w:eastAsia="hr-HR"/>
        </w:rPr>
      </w:pPr>
    </w:p>
    <w:p w14:paraId="6DB7DECA" w14:textId="77777777" w:rsidR="008274C9" w:rsidRDefault="008274C9" w:rsidP="00C83CD6">
      <w:pPr>
        <w:ind w:left="6096"/>
        <w:rPr>
          <w:sz w:val="28"/>
          <w:szCs w:val="28"/>
          <w:lang w:eastAsia="hr-HR"/>
        </w:rPr>
      </w:pPr>
    </w:p>
    <w:p w14:paraId="41EADDA6" w14:textId="77777777" w:rsidR="008274C9" w:rsidRDefault="008274C9" w:rsidP="00C83CD6">
      <w:pPr>
        <w:ind w:left="6096"/>
        <w:rPr>
          <w:sz w:val="28"/>
          <w:szCs w:val="28"/>
          <w:lang w:eastAsia="hr-HR"/>
        </w:rPr>
      </w:pPr>
    </w:p>
    <w:p w14:paraId="6A46034B" w14:textId="77777777" w:rsidR="008274C9" w:rsidRDefault="008274C9" w:rsidP="00C83CD6">
      <w:pPr>
        <w:ind w:left="6096"/>
        <w:rPr>
          <w:sz w:val="28"/>
          <w:szCs w:val="28"/>
          <w:lang w:eastAsia="hr-HR"/>
        </w:rPr>
      </w:pPr>
    </w:p>
    <w:p w14:paraId="1AF933DB" w14:textId="77777777" w:rsidR="008274C9" w:rsidRDefault="008274C9" w:rsidP="00C83CD6">
      <w:pPr>
        <w:ind w:left="6096"/>
        <w:rPr>
          <w:sz w:val="28"/>
          <w:szCs w:val="28"/>
          <w:lang w:eastAsia="hr-HR"/>
        </w:rPr>
      </w:pPr>
    </w:p>
    <w:p w14:paraId="654729B4" w14:textId="192BCD95" w:rsidR="00C83CD6" w:rsidRPr="00C83CD6" w:rsidRDefault="00983F18" w:rsidP="00C83CD6">
      <w:pPr>
        <w:ind w:left="6096"/>
        <w:rPr>
          <w:sz w:val="28"/>
          <w:szCs w:val="28"/>
          <w:lang w:eastAsia="hr-HR"/>
        </w:rPr>
      </w:pPr>
      <w:r>
        <w:rPr>
          <w:sz w:val="28"/>
          <w:szCs w:val="28"/>
          <w:lang w:eastAsia="hr-HR"/>
        </w:rPr>
        <w:t>Srpanj</w:t>
      </w:r>
      <w:r w:rsidR="004B7E9E">
        <w:rPr>
          <w:sz w:val="28"/>
          <w:szCs w:val="28"/>
          <w:lang w:eastAsia="hr-HR"/>
        </w:rPr>
        <w:t xml:space="preserve"> </w:t>
      </w:r>
      <w:r w:rsidR="00C83CD6">
        <w:rPr>
          <w:sz w:val="28"/>
          <w:szCs w:val="28"/>
          <w:lang w:eastAsia="hr-HR"/>
        </w:rPr>
        <w:t>2020.</w:t>
      </w:r>
    </w:p>
    <w:p w14:paraId="7617D3BA" w14:textId="77777777" w:rsidR="00ED24A8" w:rsidRDefault="00ED24A8" w:rsidP="00ED24A8">
      <w:pPr>
        <w:rPr>
          <w:lang w:eastAsia="hr-HR"/>
        </w:rPr>
      </w:pPr>
    </w:p>
    <w:p w14:paraId="0B2271A5" w14:textId="77777777" w:rsidR="00ED24A8" w:rsidRDefault="00ED24A8" w:rsidP="00ED24A8">
      <w:pPr>
        <w:rPr>
          <w:lang w:eastAsia="hr-HR"/>
        </w:rPr>
      </w:pPr>
    </w:p>
    <w:p w14:paraId="308C9E2E" w14:textId="77777777" w:rsidR="001F7AF9" w:rsidRDefault="001F7AF9" w:rsidP="008129E7">
      <w:pPr>
        <w:pStyle w:val="Naslov1-"/>
        <w:sectPr w:rsidR="001F7AF9" w:rsidSect="001F7AF9">
          <w:headerReference w:type="default" r:id="rId12"/>
          <w:pgSz w:w="11906" w:h="16838" w:code="9"/>
          <w:pgMar w:top="7605" w:right="1134" w:bottom="1247" w:left="1418" w:header="567" w:footer="567" w:gutter="0"/>
          <w:cols w:space="708"/>
          <w:rtlGutter/>
          <w:docGrid w:linePitch="360"/>
        </w:sectPr>
      </w:pPr>
    </w:p>
    <w:p w14:paraId="1D9D127F" w14:textId="77777777" w:rsidR="00916D2B" w:rsidRPr="008274C9" w:rsidRDefault="00916D2B" w:rsidP="008129E7">
      <w:pPr>
        <w:pStyle w:val="Naslov1-"/>
      </w:pPr>
      <w:r w:rsidRPr="008274C9">
        <w:lastRenderedPageBreak/>
        <w:t>S</w:t>
      </w:r>
      <w:bookmarkEnd w:id="0"/>
      <w:r w:rsidRPr="008274C9">
        <w:t>adržaj</w:t>
      </w:r>
      <w:bookmarkEnd w:id="1"/>
      <w:bookmarkEnd w:id="2"/>
      <w:bookmarkEnd w:id="3"/>
    </w:p>
    <w:p w14:paraId="334CD2CD" w14:textId="7DF16A22" w:rsidR="0009449E" w:rsidRDefault="001143DA">
      <w:pPr>
        <w:pStyle w:val="Sadraj1"/>
        <w:rPr>
          <w:rFonts w:asciiTheme="minorHAnsi" w:eastAsiaTheme="minorEastAsia" w:hAnsiTheme="minorHAnsi" w:cstheme="minorBidi"/>
          <w:b w:val="0"/>
          <w:i w:val="0"/>
          <w:caps w:val="0"/>
          <w:noProof/>
          <w:color w:val="auto"/>
          <w:sz w:val="22"/>
          <w:szCs w:val="22"/>
          <w:lang w:eastAsia="hr-HR"/>
        </w:rPr>
      </w:pPr>
      <w:r>
        <w:fldChar w:fldCharType="begin"/>
      </w:r>
      <w:r>
        <w:instrText xml:space="preserve"> TOC \o "1-3" \h \z \u </w:instrText>
      </w:r>
      <w:r>
        <w:fldChar w:fldCharType="separate"/>
      </w:r>
      <w:hyperlink w:anchor="_Toc46163796" w:history="1">
        <w:r w:rsidR="0009449E" w:rsidRPr="00E227C1">
          <w:rPr>
            <w:rStyle w:val="Hiperveza"/>
            <w:noProof/>
          </w:rPr>
          <w:t>1</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Uvod</w:t>
        </w:r>
        <w:r w:rsidR="0009449E">
          <w:rPr>
            <w:noProof/>
            <w:webHidden/>
          </w:rPr>
          <w:tab/>
        </w:r>
        <w:r w:rsidR="0009449E">
          <w:rPr>
            <w:noProof/>
            <w:webHidden/>
          </w:rPr>
          <w:fldChar w:fldCharType="begin"/>
        </w:r>
        <w:r w:rsidR="0009449E">
          <w:rPr>
            <w:noProof/>
            <w:webHidden/>
          </w:rPr>
          <w:instrText xml:space="preserve"> PAGEREF _Toc46163796 \h </w:instrText>
        </w:r>
        <w:r w:rsidR="0009449E">
          <w:rPr>
            <w:noProof/>
            <w:webHidden/>
          </w:rPr>
        </w:r>
        <w:r w:rsidR="0009449E">
          <w:rPr>
            <w:noProof/>
            <w:webHidden/>
          </w:rPr>
          <w:fldChar w:fldCharType="separate"/>
        </w:r>
        <w:r w:rsidR="00CE61F3">
          <w:rPr>
            <w:noProof/>
            <w:webHidden/>
          </w:rPr>
          <w:t>11</w:t>
        </w:r>
        <w:r w:rsidR="0009449E">
          <w:rPr>
            <w:noProof/>
            <w:webHidden/>
          </w:rPr>
          <w:fldChar w:fldCharType="end"/>
        </w:r>
      </w:hyperlink>
    </w:p>
    <w:p w14:paraId="253FDD83" w14:textId="7434CCD3"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797" w:history="1">
        <w:r w:rsidR="0009449E" w:rsidRPr="00E227C1">
          <w:rPr>
            <w:rStyle w:val="Hiperveza"/>
            <w:noProof/>
          </w:rPr>
          <w:t>2</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Pregled nacionalnog fonda zgrada</w:t>
        </w:r>
        <w:r w:rsidR="0009449E">
          <w:rPr>
            <w:noProof/>
            <w:webHidden/>
          </w:rPr>
          <w:tab/>
        </w:r>
        <w:r w:rsidR="0009449E">
          <w:rPr>
            <w:noProof/>
            <w:webHidden/>
          </w:rPr>
          <w:fldChar w:fldCharType="begin"/>
        </w:r>
        <w:r w:rsidR="0009449E">
          <w:rPr>
            <w:noProof/>
            <w:webHidden/>
          </w:rPr>
          <w:instrText xml:space="preserve"> PAGEREF _Toc46163797 \h </w:instrText>
        </w:r>
        <w:r w:rsidR="0009449E">
          <w:rPr>
            <w:noProof/>
            <w:webHidden/>
          </w:rPr>
        </w:r>
        <w:r w:rsidR="0009449E">
          <w:rPr>
            <w:noProof/>
            <w:webHidden/>
          </w:rPr>
          <w:fldChar w:fldCharType="separate"/>
        </w:r>
        <w:r w:rsidR="00CE61F3">
          <w:rPr>
            <w:noProof/>
            <w:webHidden/>
          </w:rPr>
          <w:t>13</w:t>
        </w:r>
        <w:r w:rsidR="0009449E">
          <w:rPr>
            <w:noProof/>
            <w:webHidden/>
          </w:rPr>
          <w:fldChar w:fldCharType="end"/>
        </w:r>
      </w:hyperlink>
    </w:p>
    <w:p w14:paraId="1E21B8AB" w14:textId="0662CFD3" w:rsidR="0009449E" w:rsidRDefault="00A50909">
      <w:pPr>
        <w:pStyle w:val="Sadraj2"/>
        <w:rPr>
          <w:rFonts w:asciiTheme="minorHAnsi" w:eastAsiaTheme="minorEastAsia" w:hAnsiTheme="minorHAnsi" w:cstheme="minorBidi"/>
          <w:b w:val="0"/>
          <w:smallCaps w:val="0"/>
          <w:noProof/>
          <w:lang w:eastAsia="hr-HR"/>
        </w:rPr>
      </w:pPr>
      <w:hyperlink w:anchor="_Toc46163798" w:history="1">
        <w:r w:rsidR="0009449E" w:rsidRPr="00E227C1">
          <w:rPr>
            <w:rStyle w:val="Hiperveza"/>
            <w:noProof/>
          </w:rPr>
          <w:t>2.1</w:t>
        </w:r>
        <w:r w:rsidR="0009449E">
          <w:rPr>
            <w:rFonts w:asciiTheme="minorHAnsi" w:eastAsiaTheme="minorEastAsia" w:hAnsiTheme="minorHAnsi" w:cstheme="minorBidi"/>
            <w:b w:val="0"/>
            <w:smallCaps w:val="0"/>
            <w:noProof/>
            <w:lang w:eastAsia="hr-HR"/>
          </w:rPr>
          <w:tab/>
        </w:r>
        <w:r w:rsidR="0009449E" w:rsidRPr="00E227C1">
          <w:rPr>
            <w:rStyle w:val="Hiperveza"/>
            <w:noProof/>
          </w:rPr>
          <w:t>Kategorije nacionalnog fonda zgrada prema namjeni</w:t>
        </w:r>
        <w:r w:rsidR="0009449E">
          <w:rPr>
            <w:noProof/>
            <w:webHidden/>
          </w:rPr>
          <w:tab/>
        </w:r>
        <w:r w:rsidR="0009449E">
          <w:rPr>
            <w:noProof/>
            <w:webHidden/>
          </w:rPr>
          <w:fldChar w:fldCharType="begin"/>
        </w:r>
        <w:r w:rsidR="0009449E">
          <w:rPr>
            <w:noProof/>
            <w:webHidden/>
          </w:rPr>
          <w:instrText xml:space="preserve"> PAGEREF _Toc46163798 \h </w:instrText>
        </w:r>
        <w:r w:rsidR="0009449E">
          <w:rPr>
            <w:noProof/>
            <w:webHidden/>
          </w:rPr>
        </w:r>
        <w:r w:rsidR="0009449E">
          <w:rPr>
            <w:noProof/>
            <w:webHidden/>
          </w:rPr>
          <w:fldChar w:fldCharType="separate"/>
        </w:r>
        <w:r w:rsidR="00CE61F3">
          <w:rPr>
            <w:noProof/>
            <w:webHidden/>
          </w:rPr>
          <w:t>14</w:t>
        </w:r>
        <w:r w:rsidR="0009449E">
          <w:rPr>
            <w:noProof/>
            <w:webHidden/>
          </w:rPr>
          <w:fldChar w:fldCharType="end"/>
        </w:r>
      </w:hyperlink>
    </w:p>
    <w:p w14:paraId="0EB635F1" w14:textId="74354660" w:rsidR="0009449E" w:rsidRDefault="00A50909">
      <w:pPr>
        <w:pStyle w:val="Sadraj2"/>
        <w:rPr>
          <w:rFonts w:asciiTheme="minorHAnsi" w:eastAsiaTheme="minorEastAsia" w:hAnsiTheme="minorHAnsi" w:cstheme="minorBidi"/>
          <w:b w:val="0"/>
          <w:smallCaps w:val="0"/>
          <w:noProof/>
          <w:lang w:eastAsia="hr-HR"/>
        </w:rPr>
      </w:pPr>
      <w:hyperlink w:anchor="_Toc46163799" w:history="1">
        <w:r w:rsidR="0009449E" w:rsidRPr="00E227C1">
          <w:rPr>
            <w:rStyle w:val="Hiperveza"/>
            <w:noProof/>
          </w:rPr>
          <w:t>2.2</w:t>
        </w:r>
        <w:r w:rsidR="0009449E">
          <w:rPr>
            <w:rFonts w:asciiTheme="minorHAnsi" w:eastAsiaTheme="minorEastAsia" w:hAnsiTheme="minorHAnsi" w:cstheme="minorBidi"/>
            <w:b w:val="0"/>
            <w:smallCaps w:val="0"/>
            <w:noProof/>
            <w:lang w:eastAsia="hr-HR"/>
          </w:rPr>
          <w:tab/>
        </w:r>
        <w:r w:rsidR="0009449E" w:rsidRPr="00E227C1">
          <w:rPr>
            <w:rStyle w:val="Hiperveza"/>
            <w:noProof/>
          </w:rPr>
          <w:t>Projekcija kretanja fonda zgrada do 2050. godine</w:t>
        </w:r>
        <w:r w:rsidR="0009449E">
          <w:rPr>
            <w:noProof/>
            <w:webHidden/>
          </w:rPr>
          <w:tab/>
        </w:r>
        <w:r w:rsidR="0009449E">
          <w:rPr>
            <w:noProof/>
            <w:webHidden/>
          </w:rPr>
          <w:fldChar w:fldCharType="begin"/>
        </w:r>
        <w:r w:rsidR="0009449E">
          <w:rPr>
            <w:noProof/>
            <w:webHidden/>
          </w:rPr>
          <w:instrText xml:space="preserve"> PAGEREF _Toc46163799 \h </w:instrText>
        </w:r>
        <w:r w:rsidR="0009449E">
          <w:rPr>
            <w:noProof/>
            <w:webHidden/>
          </w:rPr>
        </w:r>
        <w:r w:rsidR="0009449E">
          <w:rPr>
            <w:noProof/>
            <w:webHidden/>
          </w:rPr>
          <w:fldChar w:fldCharType="separate"/>
        </w:r>
        <w:r w:rsidR="00CE61F3">
          <w:rPr>
            <w:noProof/>
            <w:webHidden/>
          </w:rPr>
          <w:t>14</w:t>
        </w:r>
        <w:r w:rsidR="0009449E">
          <w:rPr>
            <w:noProof/>
            <w:webHidden/>
          </w:rPr>
          <w:fldChar w:fldCharType="end"/>
        </w:r>
      </w:hyperlink>
    </w:p>
    <w:p w14:paraId="7F400C67" w14:textId="4F84B177" w:rsidR="0009449E" w:rsidRDefault="00A50909">
      <w:pPr>
        <w:pStyle w:val="Sadraj2"/>
        <w:rPr>
          <w:rFonts w:asciiTheme="minorHAnsi" w:eastAsiaTheme="minorEastAsia" w:hAnsiTheme="minorHAnsi" w:cstheme="minorBidi"/>
          <w:b w:val="0"/>
          <w:smallCaps w:val="0"/>
          <w:noProof/>
          <w:lang w:eastAsia="hr-HR"/>
        </w:rPr>
      </w:pPr>
      <w:hyperlink w:anchor="_Toc46163800" w:history="1">
        <w:r w:rsidR="0009449E" w:rsidRPr="00E227C1">
          <w:rPr>
            <w:rStyle w:val="Hiperveza"/>
            <w:noProof/>
          </w:rPr>
          <w:t>2.3</w:t>
        </w:r>
        <w:r w:rsidR="0009449E">
          <w:rPr>
            <w:rFonts w:asciiTheme="minorHAnsi" w:eastAsiaTheme="minorEastAsia" w:hAnsiTheme="minorHAnsi" w:cstheme="minorBidi"/>
            <w:b w:val="0"/>
            <w:smallCaps w:val="0"/>
            <w:noProof/>
            <w:lang w:eastAsia="hr-HR"/>
          </w:rPr>
          <w:tab/>
        </w:r>
        <w:r w:rsidR="0009449E" w:rsidRPr="00E227C1">
          <w:rPr>
            <w:rStyle w:val="Hiperveza"/>
            <w:noProof/>
          </w:rPr>
          <w:t>Pregled nacionalnog fonda zgrada prema razdoblju gradnje</w:t>
        </w:r>
        <w:r w:rsidR="0009449E">
          <w:rPr>
            <w:noProof/>
            <w:webHidden/>
          </w:rPr>
          <w:tab/>
        </w:r>
        <w:r w:rsidR="0009449E">
          <w:rPr>
            <w:noProof/>
            <w:webHidden/>
          </w:rPr>
          <w:fldChar w:fldCharType="begin"/>
        </w:r>
        <w:r w:rsidR="0009449E">
          <w:rPr>
            <w:noProof/>
            <w:webHidden/>
          </w:rPr>
          <w:instrText xml:space="preserve"> PAGEREF _Toc46163800 \h </w:instrText>
        </w:r>
        <w:r w:rsidR="0009449E">
          <w:rPr>
            <w:noProof/>
            <w:webHidden/>
          </w:rPr>
        </w:r>
        <w:r w:rsidR="0009449E">
          <w:rPr>
            <w:noProof/>
            <w:webHidden/>
          </w:rPr>
          <w:fldChar w:fldCharType="separate"/>
        </w:r>
        <w:r w:rsidR="00CE61F3">
          <w:rPr>
            <w:noProof/>
            <w:webHidden/>
          </w:rPr>
          <w:t>20</w:t>
        </w:r>
        <w:r w:rsidR="0009449E">
          <w:rPr>
            <w:noProof/>
            <w:webHidden/>
          </w:rPr>
          <w:fldChar w:fldCharType="end"/>
        </w:r>
      </w:hyperlink>
    </w:p>
    <w:p w14:paraId="5728D1EA" w14:textId="793EA25F" w:rsidR="0009449E" w:rsidRDefault="00A50909">
      <w:pPr>
        <w:pStyle w:val="Sadraj2"/>
        <w:rPr>
          <w:rFonts w:asciiTheme="minorHAnsi" w:eastAsiaTheme="minorEastAsia" w:hAnsiTheme="minorHAnsi" w:cstheme="minorBidi"/>
          <w:b w:val="0"/>
          <w:smallCaps w:val="0"/>
          <w:noProof/>
          <w:lang w:eastAsia="hr-HR"/>
        </w:rPr>
      </w:pPr>
      <w:hyperlink w:anchor="_Toc46163801" w:history="1">
        <w:r w:rsidR="0009449E" w:rsidRPr="00E227C1">
          <w:rPr>
            <w:rStyle w:val="Hiperveza"/>
            <w:noProof/>
          </w:rPr>
          <w:t>2.4</w:t>
        </w:r>
        <w:r w:rsidR="0009449E">
          <w:rPr>
            <w:rFonts w:asciiTheme="minorHAnsi" w:eastAsiaTheme="minorEastAsia" w:hAnsiTheme="minorHAnsi" w:cstheme="minorBidi"/>
            <w:b w:val="0"/>
            <w:smallCaps w:val="0"/>
            <w:noProof/>
            <w:lang w:eastAsia="hr-HR"/>
          </w:rPr>
          <w:tab/>
        </w:r>
        <w:r w:rsidR="0009449E" w:rsidRPr="00E227C1">
          <w:rPr>
            <w:rStyle w:val="Hiperveza"/>
            <w:noProof/>
          </w:rPr>
          <w:t>Pregled nacionalnog fonda zgrada prema klimatskim zonama</w:t>
        </w:r>
        <w:r w:rsidR="0009449E">
          <w:rPr>
            <w:noProof/>
            <w:webHidden/>
          </w:rPr>
          <w:tab/>
        </w:r>
        <w:r w:rsidR="0009449E">
          <w:rPr>
            <w:noProof/>
            <w:webHidden/>
          </w:rPr>
          <w:fldChar w:fldCharType="begin"/>
        </w:r>
        <w:r w:rsidR="0009449E">
          <w:rPr>
            <w:noProof/>
            <w:webHidden/>
          </w:rPr>
          <w:instrText xml:space="preserve"> PAGEREF _Toc46163801 \h </w:instrText>
        </w:r>
        <w:r w:rsidR="0009449E">
          <w:rPr>
            <w:noProof/>
            <w:webHidden/>
          </w:rPr>
        </w:r>
        <w:r w:rsidR="0009449E">
          <w:rPr>
            <w:noProof/>
            <w:webHidden/>
          </w:rPr>
          <w:fldChar w:fldCharType="separate"/>
        </w:r>
        <w:r w:rsidR="00CE61F3">
          <w:rPr>
            <w:noProof/>
            <w:webHidden/>
          </w:rPr>
          <w:t>22</w:t>
        </w:r>
        <w:r w:rsidR="0009449E">
          <w:rPr>
            <w:noProof/>
            <w:webHidden/>
          </w:rPr>
          <w:fldChar w:fldCharType="end"/>
        </w:r>
      </w:hyperlink>
    </w:p>
    <w:p w14:paraId="5409D9A5" w14:textId="49D3BDA6" w:rsidR="0009449E" w:rsidRDefault="00A50909">
      <w:pPr>
        <w:pStyle w:val="Sadraj2"/>
        <w:rPr>
          <w:rFonts w:asciiTheme="minorHAnsi" w:eastAsiaTheme="minorEastAsia" w:hAnsiTheme="minorHAnsi" w:cstheme="minorBidi"/>
          <w:b w:val="0"/>
          <w:smallCaps w:val="0"/>
          <w:noProof/>
          <w:lang w:eastAsia="hr-HR"/>
        </w:rPr>
      </w:pPr>
      <w:hyperlink w:anchor="_Toc46163802" w:history="1">
        <w:r w:rsidR="0009449E" w:rsidRPr="00E227C1">
          <w:rPr>
            <w:rStyle w:val="Hiperveza"/>
            <w:noProof/>
          </w:rPr>
          <w:t>2.5</w:t>
        </w:r>
        <w:r w:rsidR="0009449E">
          <w:rPr>
            <w:rFonts w:asciiTheme="minorHAnsi" w:eastAsiaTheme="minorEastAsia" w:hAnsiTheme="minorHAnsi" w:cstheme="minorBidi"/>
            <w:b w:val="0"/>
            <w:smallCaps w:val="0"/>
            <w:noProof/>
            <w:lang w:eastAsia="hr-HR"/>
          </w:rPr>
          <w:tab/>
        </w:r>
        <w:r w:rsidR="0009449E" w:rsidRPr="00E227C1">
          <w:rPr>
            <w:rStyle w:val="Hiperveza"/>
            <w:noProof/>
          </w:rPr>
          <w:t>Pregled nacionalnog fonda zgrada prema vlasništvu</w:t>
        </w:r>
        <w:r w:rsidR="0009449E">
          <w:rPr>
            <w:noProof/>
            <w:webHidden/>
          </w:rPr>
          <w:tab/>
        </w:r>
        <w:r w:rsidR="0009449E">
          <w:rPr>
            <w:noProof/>
            <w:webHidden/>
          </w:rPr>
          <w:fldChar w:fldCharType="begin"/>
        </w:r>
        <w:r w:rsidR="0009449E">
          <w:rPr>
            <w:noProof/>
            <w:webHidden/>
          </w:rPr>
          <w:instrText xml:space="preserve"> PAGEREF _Toc46163802 \h </w:instrText>
        </w:r>
        <w:r w:rsidR="0009449E">
          <w:rPr>
            <w:noProof/>
            <w:webHidden/>
          </w:rPr>
        </w:r>
        <w:r w:rsidR="0009449E">
          <w:rPr>
            <w:noProof/>
            <w:webHidden/>
          </w:rPr>
          <w:fldChar w:fldCharType="separate"/>
        </w:r>
        <w:r w:rsidR="00CE61F3">
          <w:rPr>
            <w:noProof/>
            <w:webHidden/>
          </w:rPr>
          <w:t>23</w:t>
        </w:r>
        <w:r w:rsidR="0009449E">
          <w:rPr>
            <w:noProof/>
            <w:webHidden/>
          </w:rPr>
          <w:fldChar w:fldCharType="end"/>
        </w:r>
      </w:hyperlink>
    </w:p>
    <w:p w14:paraId="18EF6E67" w14:textId="5D176087" w:rsidR="0009449E" w:rsidRDefault="00A50909">
      <w:pPr>
        <w:pStyle w:val="Sadraj2"/>
        <w:rPr>
          <w:rFonts w:asciiTheme="minorHAnsi" w:eastAsiaTheme="minorEastAsia" w:hAnsiTheme="minorHAnsi" w:cstheme="minorBidi"/>
          <w:b w:val="0"/>
          <w:smallCaps w:val="0"/>
          <w:noProof/>
          <w:lang w:eastAsia="hr-HR"/>
        </w:rPr>
      </w:pPr>
      <w:hyperlink w:anchor="_Toc46163803" w:history="1">
        <w:r w:rsidR="0009449E" w:rsidRPr="00E227C1">
          <w:rPr>
            <w:rStyle w:val="Hiperveza"/>
            <w:noProof/>
          </w:rPr>
          <w:t>2.6</w:t>
        </w:r>
        <w:r w:rsidR="0009449E">
          <w:rPr>
            <w:rFonts w:asciiTheme="minorHAnsi" w:eastAsiaTheme="minorEastAsia" w:hAnsiTheme="minorHAnsi" w:cstheme="minorBidi"/>
            <w:b w:val="0"/>
            <w:smallCaps w:val="0"/>
            <w:noProof/>
            <w:lang w:eastAsia="hr-HR"/>
          </w:rPr>
          <w:tab/>
        </w:r>
        <w:r w:rsidR="0009449E" w:rsidRPr="00E227C1">
          <w:rPr>
            <w:rStyle w:val="Hiperveza"/>
            <w:noProof/>
          </w:rPr>
          <w:t>Pregled nacionalnog fonda zgrada prema području (urbano/ruralno, županija/grad/općina)</w:t>
        </w:r>
        <w:r w:rsidR="0009449E">
          <w:rPr>
            <w:noProof/>
            <w:webHidden/>
          </w:rPr>
          <w:tab/>
        </w:r>
        <w:r w:rsidR="0009449E">
          <w:rPr>
            <w:noProof/>
            <w:webHidden/>
          </w:rPr>
          <w:fldChar w:fldCharType="begin"/>
        </w:r>
        <w:r w:rsidR="0009449E">
          <w:rPr>
            <w:noProof/>
            <w:webHidden/>
          </w:rPr>
          <w:instrText xml:space="preserve"> PAGEREF _Toc46163803 \h </w:instrText>
        </w:r>
        <w:r w:rsidR="0009449E">
          <w:rPr>
            <w:noProof/>
            <w:webHidden/>
          </w:rPr>
        </w:r>
        <w:r w:rsidR="0009449E">
          <w:rPr>
            <w:noProof/>
            <w:webHidden/>
          </w:rPr>
          <w:fldChar w:fldCharType="separate"/>
        </w:r>
        <w:r w:rsidR="00CE61F3">
          <w:rPr>
            <w:noProof/>
            <w:webHidden/>
          </w:rPr>
          <w:t>25</w:t>
        </w:r>
        <w:r w:rsidR="0009449E">
          <w:rPr>
            <w:noProof/>
            <w:webHidden/>
          </w:rPr>
          <w:fldChar w:fldCharType="end"/>
        </w:r>
      </w:hyperlink>
    </w:p>
    <w:p w14:paraId="346B28A1" w14:textId="5A1FFFDB" w:rsidR="0009449E" w:rsidRDefault="00A50909">
      <w:pPr>
        <w:pStyle w:val="Sadraj2"/>
        <w:rPr>
          <w:rFonts w:asciiTheme="minorHAnsi" w:eastAsiaTheme="minorEastAsia" w:hAnsiTheme="minorHAnsi" w:cstheme="minorBidi"/>
          <w:b w:val="0"/>
          <w:smallCaps w:val="0"/>
          <w:noProof/>
          <w:lang w:eastAsia="hr-HR"/>
        </w:rPr>
      </w:pPr>
      <w:hyperlink w:anchor="_Toc46163804" w:history="1">
        <w:r w:rsidR="0009449E" w:rsidRPr="00E227C1">
          <w:rPr>
            <w:rStyle w:val="Hiperveza"/>
            <w:noProof/>
          </w:rPr>
          <w:t>2.7</w:t>
        </w:r>
        <w:r w:rsidR="0009449E">
          <w:rPr>
            <w:rFonts w:asciiTheme="minorHAnsi" w:eastAsiaTheme="minorEastAsia" w:hAnsiTheme="minorHAnsi" w:cstheme="minorBidi"/>
            <w:b w:val="0"/>
            <w:smallCaps w:val="0"/>
            <w:noProof/>
            <w:lang w:eastAsia="hr-HR"/>
          </w:rPr>
          <w:tab/>
        </w:r>
        <w:r w:rsidR="0009449E" w:rsidRPr="00E227C1">
          <w:rPr>
            <w:rStyle w:val="Hiperveza"/>
            <w:noProof/>
          </w:rPr>
          <w:t>Energetska svojstva i karakteristike zgrada</w:t>
        </w:r>
        <w:r w:rsidR="0009449E">
          <w:rPr>
            <w:noProof/>
            <w:webHidden/>
          </w:rPr>
          <w:tab/>
        </w:r>
        <w:r w:rsidR="0009449E">
          <w:rPr>
            <w:noProof/>
            <w:webHidden/>
          </w:rPr>
          <w:fldChar w:fldCharType="begin"/>
        </w:r>
        <w:r w:rsidR="0009449E">
          <w:rPr>
            <w:noProof/>
            <w:webHidden/>
          </w:rPr>
          <w:instrText xml:space="preserve"> PAGEREF _Toc46163804 \h </w:instrText>
        </w:r>
        <w:r w:rsidR="0009449E">
          <w:rPr>
            <w:noProof/>
            <w:webHidden/>
          </w:rPr>
        </w:r>
        <w:r w:rsidR="0009449E">
          <w:rPr>
            <w:noProof/>
            <w:webHidden/>
          </w:rPr>
          <w:fldChar w:fldCharType="separate"/>
        </w:r>
        <w:r w:rsidR="00CE61F3">
          <w:rPr>
            <w:noProof/>
            <w:webHidden/>
          </w:rPr>
          <w:t>26</w:t>
        </w:r>
        <w:r w:rsidR="0009449E">
          <w:rPr>
            <w:noProof/>
            <w:webHidden/>
          </w:rPr>
          <w:fldChar w:fldCharType="end"/>
        </w:r>
      </w:hyperlink>
    </w:p>
    <w:p w14:paraId="0E027FB5" w14:textId="6806D33D" w:rsidR="0009449E" w:rsidRDefault="00A50909">
      <w:pPr>
        <w:pStyle w:val="Sadraj3"/>
        <w:rPr>
          <w:rFonts w:asciiTheme="minorHAnsi" w:eastAsiaTheme="minorEastAsia" w:hAnsiTheme="minorHAnsi" w:cstheme="minorBidi"/>
          <w:noProof/>
          <w:sz w:val="22"/>
          <w:szCs w:val="22"/>
          <w:lang w:eastAsia="hr-HR"/>
        </w:rPr>
      </w:pPr>
      <w:hyperlink w:anchor="_Toc46163805" w:history="1">
        <w:r w:rsidR="0009449E" w:rsidRPr="00E227C1">
          <w:rPr>
            <w:rStyle w:val="Hiperveza"/>
            <w:noProof/>
          </w:rPr>
          <w:t>2.7.1</w:t>
        </w:r>
        <w:r w:rsidR="0009449E">
          <w:rPr>
            <w:rFonts w:asciiTheme="minorHAnsi" w:eastAsiaTheme="minorEastAsia" w:hAnsiTheme="minorHAnsi" w:cstheme="minorBidi"/>
            <w:noProof/>
            <w:sz w:val="22"/>
            <w:szCs w:val="22"/>
            <w:lang w:eastAsia="hr-HR"/>
          </w:rPr>
          <w:tab/>
        </w:r>
        <w:r w:rsidR="0009449E" w:rsidRPr="00E227C1">
          <w:rPr>
            <w:rStyle w:val="Hiperveza"/>
            <w:noProof/>
          </w:rPr>
          <w:t>Energetski razredi zgrada</w:t>
        </w:r>
        <w:r w:rsidR="0009449E">
          <w:rPr>
            <w:noProof/>
            <w:webHidden/>
          </w:rPr>
          <w:tab/>
        </w:r>
        <w:r w:rsidR="0009449E">
          <w:rPr>
            <w:noProof/>
            <w:webHidden/>
          </w:rPr>
          <w:fldChar w:fldCharType="begin"/>
        </w:r>
        <w:r w:rsidR="0009449E">
          <w:rPr>
            <w:noProof/>
            <w:webHidden/>
          </w:rPr>
          <w:instrText xml:space="preserve"> PAGEREF _Toc46163805 \h </w:instrText>
        </w:r>
        <w:r w:rsidR="0009449E">
          <w:rPr>
            <w:noProof/>
            <w:webHidden/>
          </w:rPr>
        </w:r>
        <w:r w:rsidR="0009449E">
          <w:rPr>
            <w:noProof/>
            <w:webHidden/>
          </w:rPr>
          <w:fldChar w:fldCharType="separate"/>
        </w:r>
        <w:r w:rsidR="00CE61F3">
          <w:rPr>
            <w:noProof/>
            <w:webHidden/>
          </w:rPr>
          <w:t>26</w:t>
        </w:r>
        <w:r w:rsidR="0009449E">
          <w:rPr>
            <w:noProof/>
            <w:webHidden/>
          </w:rPr>
          <w:fldChar w:fldCharType="end"/>
        </w:r>
      </w:hyperlink>
    </w:p>
    <w:p w14:paraId="10EA06B8" w14:textId="5CBAE1D2" w:rsidR="0009449E" w:rsidRDefault="00A50909">
      <w:pPr>
        <w:pStyle w:val="Sadraj3"/>
        <w:rPr>
          <w:rFonts w:asciiTheme="minorHAnsi" w:eastAsiaTheme="minorEastAsia" w:hAnsiTheme="minorHAnsi" w:cstheme="minorBidi"/>
          <w:noProof/>
          <w:sz w:val="22"/>
          <w:szCs w:val="22"/>
          <w:lang w:eastAsia="hr-HR"/>
        </w:rPr>
      </w:pPr>
      <w:hyperlink w:anchor="_Toc46163806" w:history="1">
        <w:r w:rsidR="0009449E" w:rsidRPr="00E227C1">
          <w:rPr>
            <w:rStyle w:val="Hiperveza"/>
            <w:noProof/>
          </w:rPr>
          <w:t>2.7.2</w:t>
        </w:r>
        <w:r w:rsidR="0009449E">
          <w:rPr>
            <w:rFonts w:asciiTheme="minorHAnsi" w:eastAsiaTheme="minorEastAsia" w:hAnsiTheme="minorHAnsi" w:cstheme="minorBidi"/>
            <w:noProof/>
            <w:sz w:val="22"/>
            <w:szCs w:val="22"/>
            <w:lang w:eastAsia="hr-HR"/>
          </w:rPr>
          <w:tab/>
        </w:r>
        <w:r w:rsidR="0009449E" w:rsidRPr="00E227C1">
          <w:rPr>
            <w:rStyle w:val="Hiperveza"/>
            <w:noProof/>
          </w:rPr>
          <w:t>Koeficijenti prolaska topline građevinskih dijelova i elemenata</w:t>
        </w:r>
        <w:r w:rsidR="0009449E">
          <w:rPr>
            <w:noProof/>
            <w:webHidden/>
          </w:rPr>
          <w:tab/>
        </w:r>
        <w:r w:rsidR="0009449E">
          <w:rPr>
            <w:noProof/>
            <w:webHidden/>
          </w:rPr>
          <w:fldChar w:fldCharType="begin"/>
        </w:r>
        <w:r w:rsidR="0009449E">
          <w:rPr>
            <w:noProof/>
            <w:webHidden/>
          </w:rPr>
          <w:instrText xml:space="preserve"> PAGEREF _Toc46163806 \h </w:instrText>
        </w:r>
        <w:r w:rsidR="0009449E">
          <w:rPr>
            <w:noProof/>
            <w:webHidden/>
          </w:rPr>
        </w:r>
        <w:r w:rsidR="0009449E">
          <w:rPr>
            <w:noProof/>
            <w:webHidden/>
          </w:rPr>
          <w:fldChar w:fldCharType="separate"/>
        </w:r>
        <w:r w:rsidR="00CE61F3">
          <w:rPr>
            <w:noProof/>
            <w:webHidden/>
          </w:rPr>
          <w:t>27</w:t>
        </w:r>
        <w:r w:rsidR="0009449E">
          <w:rPr>
            <w:noProof/>
            <w:webHidden/>
          </w:rPr>
          <w:fldChar w:fldCharType="end"/>
        </w:r>
      </w:hyperlink>
    </w:p>
    <w:p w14:paraId="7D106AA6" w14:textId="383A081B" w:rsidR="0009449E" w:rsidRDefault="00A50909">
      <w:pPr>
        <w:pStyle w:val="Sadraj3"/>
        <w:rPr>
          <w:rFonts w:asciiTheme="minorHAnsi" w:eastAsiaTheme="minorEastAsia" w:hAnsiTheme="minorHAnsi" w:cstheme="minorBidi"/>
          <w:noProof/>
          <w:sz w:val="22"/>
          <w:szCs w:val="22"/>
          <w:lang w:eastAsia="hr-HR"/>
        </w:rPr>
      </w:pPr>
      <w:hyperlink w:anchor="_Toc46163807" w:history="1">
        <w:r w:rsidR="0009449E" w:rsidRPr="00E227C1">
          <w:rPr>
            <w:rStyle w:val="Hiperveza"/>
            <w:noProof/>
          </w:rPr>
          <w:t>2.7.3</w:t>
        </w:r>
        <w:r w:rsidR="0009449E">
          <w:rPr>
            <w:rFonts w:asciiTheme="minorHAnsi" w:eastAsiaTheme="minorEastAsia" w:hAnsiTheme="minorHAnsi" w:cstheme="minorBidi"/>
            <w:noProof/>
            <w:sz w:val="22"/>
            <w:szCs w:val="22"/>
            <w:lang w:eastAsia="hr-HR"/>
          </w:rPr>
          <w:tab/>
        </w:r>
        <w:r w:rsidR="0009449E" w:rsidRPr="00E227C1">
          <w:rPr>
            <w:rStyle w:val="Hiperveza"/>
            <w:noProof/>
          </w:rPr>
          <w:t>Sustavi grijanja</w:t>
        </w:r>
        <w:r w:rsidR="0009449E">
          <w:rPr>
            <w:noProof/>
            <w:webHidden/>
          </w:rPr>
          <w:tab/>
        </w:r>
        <w:r w:rsidR="0009449E">
          <w:rPr>
            <w:noProof/>
            <w:webHidden/>
          </w:rPr>
          <w:fldChar w:fldCharType="begin"/>
        </w:r>
        <w:r w:rsidR="0009449E">
          <w:rPr>
            <w:noProof/>
            <w:webHidden/>
          </w:rPr>
          <w:instrText xml:space="preserve"> PAGEREF _Toc46163807 \h </w:instrText>
        </w:r>
        <w:r w:rsidR="0009449E">
          <w:rPr>
            <w:noProof/>
            <w:webHidden/>
          </w:rPr>
        </w:r>
        <w:r w:rsidR="0009449E">
          <w:rPr>
            <w:noProof/>
            <w:webHidden/>
          </w:rPr>
          <w:fldChar w:fldCharType="separate"/>
        </w:r>
        <w:r w:rsidR="00CE61F3">
          <w:rPr>
            <w:noProof/>
            <w:webHidden/>
          </w:rPr>
          <w:t>28</w:t>
        </w:r>
        <w:r w:rsidR="0009449E">
          <w:rPr>
            <w:noProof/>
            <w:webHidden/>
          </w:rPr>
          <w:fldChar w:fldCharType="end"/>
        </w:r>
      </w:hyperlink>
    </w:p>
    <w:p w14:paraId="79D87024" w14:textId="63D1183D" w:rsidR="0009449E" w:rsidRDefault="00A50909">
      <w:pPr>
        <w:pStyle w:val="Sadraj2"/>
        <w:rPr>
          <w:rFonts w:asciiTheme="minorHAnsi" w:eastAsiaTheme="minorEastAsia" w:hAnsiTheme="minorHAnsi" w:cstheme="minorBidi"/>
          <w:b w:val="0"/>
          <w:smallCaps w:val="0"/>
          <w:noProof/>
          <w:lang w:eastAsia="hr-HR"/>
        </w:rPr>
      </w:pPr>
      <w:hyperlink w:anchor="_Toc46163808" w:history="1">
        <w:r w:rsidR="0009449E" w:rsidRPr="00E227C1">
          <w:rPr>
            <w:rStyle w:val="Hiperveza"/>
            <w:noProof/>
          </w:rPr>
          <w:t>2.8</w:t>
        </w:r>
        <w:r w:rsidR="0009449E">
          <w:rPr>
            <w:rFonts w:asciiTheme="minorHAnsi" w:eastAsiaTheme="minorEastAsia" w:hAnsiTheme="minorHAnsi" w:cstheme="minorBidi"/>
            <w:b w:val="0"/>
            <w:smallCaps w:val="0"/>
            <w:noProof/>
            <w:lang w:eastAsia="hr-HR"/>
          </w:rPr>
          <w:tab/>
        </w:r>
        <w:r w:rsidR="0009449E" w:rsidRPr="00E227C1">
          <w:rPr>
            <w:rStyle w:val="Hiperveza"/>
            <w:noProof/>
          </w:rPr>
          <w:t>Očekivani udjel obnovljenih zgrada u 2020.godini</w:t>
        </w:r>
        <w:r w:rsidR="0009449E">
          <w:rPr>
            <w:noProof/>
            <w:webHidden/>
          </w:rPr>
          <w:tab/>
        </w:r>
        <w:r w:rsidR="0009449E">
          <w:rPr>
            <w:noProof/>
            <w:webHidden/>
          </w:rPr>
          <w:fldChar w:fldCharType="begin"/>
        </w:r>
        <w:r w:rsidR="0009449E">
          <w:rPr>
            <w:noProof/>
            <w:webHidden/>
          </w:rPr>
          <w:instrText xml:space="preserve"> PAGEREF _Toc46163808 \h </w:instrText>
        </w:r>
        <w:r w:rsidR="0009449E">
          <w:rPr>
            <w:noProof/>
            <w:webHidden/>
          </w:rPr>
        </w:r>
        <w:r w:rsidR="0009449E">
          <w:rPr>
            <w:noProof/>
            <w:webHidden/>
          </w:rPr>
          <w:fldChar w:fldCharType="separate"/>
        </w:r>
        <w:r w:rsidR="00CE61F3">
          <w:rPr>
            <w:noProof/>
            <w:webHidden/>
          </w:rPr>
          <w:t>29</w:t>
        </w:r>
        <w:r w:rsidR="0009449E">
          <w:rPr>
            <w:noProof/>
            <w:webHidden/>
          </w:rPr>
          <w:fldChar w:fldCharType="end"/>
        </w:r>
      </w:hyperlink>
    </w:p>
    <w:p w14:paraId="7F530F6F" w14:textId="5F0048DF" w:rsidR="0009449E" w:rsidRDefault="00A50909">
      <w:pPr>
        <w:pStyle w:val="Sadraj2"/>
        <w:rPr>
          <w:rFonts w:asciiTheme="minorHAnsi" w:eastAsiaTheme="minorEastAsia" w:hAnsiTheme="minorHAnsi" w:cstheme="minorBidi"/>
          <w:b w:val="0"/>
          <w:smallCaps w:val="0"/>
          <w:noProof/>
          <w:lang w:eastAsia="hr-HR"/>
        </w:rPr>
      </w:pPr>
      <w:hyperlink w:anchor="_Toc46163809" w:history="1">
        <w:r w:rsidR="0009449E" w:rsidRPr="00E227C1">
          <w:rPr>
            <w:rStyle w:val="Hiperveza"/>
            <w:noProof/>
          </w:rPr>
          <w:t>2.9</w:t>
        </w:r>
        <w:r w:rsidR="0009449E">
          <w:rPr>
            <w:rFonts w:asciiTheme="minorHAnsi" w:eastAsiaTheme="minorEastAsia" w:hAnsiTheme="minorHAnsi" w:cstheme="minorBidi"/>
            <w:b w:val="0"/>
            <w:smallCaps w:val="0"/>
            <w:noProof/>
            <w:lang w:eastAsia="hr-HR"/>
          </w:rPr>
          <w:tab/>
        </w:r>
        <w:r w:rsidR="0009449E" w:rsidRPr="00E227C1">
          <w:rPr>
            <w:rStyle w:val="Hiperveza"/>
            <w:noProof/>
          </w:rPr>
          <w:t>Udjel/broj nZEB zgrada</w:t>
        </w:r>
        <w:r w:rsidR="0009449E">
          <w:rPr>
            <w:noProof/>
            <w:webHidden/>
          </w:rPr>
          <w:tab/>
        </w:r>
        <w:r w:rsidR="0009449E">
          <w:rPr>
            <w:noProof/>
            <w:webHidden/>
          </w:rPr>
          <w:fldChar w:fldCharType="begin"/>
        </w:r>
        <w:r w:rsidR="0009449E">
          <w:rPr>
            <w:noProof/>
            <w:webHidden/>
          </w:rPr>
          <w:instrText xml:space="preserve"> PAGEREF _Toc46163809 \h </w:instrText>
        </w:r>
        <w:r w:rsidR="0009449E">
          <w:rPr>
            <w:noProof/>
            <w:webHidden/>
          </w:rPr>
        </w:r>
        <w:r w:rsidR="0009449E">
          <w:rPr>
            <w:noProof/>
            <w:webHidden/>
          </w:rPr>
          <w:fldChar w:fldCharType="separate"/>
        </w:r>
        <w:r w:rsidR="00CE61F3">
          <w:rPr>
            <w:noProof/>
            <w:webHidden/>
          </w:rPr>
          <w:t>31</w:t>
        </w:r>
        <w:r w:rsidR="0009449E">
          <w:rPr>
            <w:noProof/>
            <w:webHidden/>
          </w:rPr>
          <w:fldChar w:fldCharType="end"/>
        </w:r>
      </w:hyperlink>
    </w:p>
    <w:p w14:paraId="308406FE" w14:textId="61D5C66E" w:rsidR="0009449E" w:rsidRDefault="00A50909">
      <w:pPr>
        <w:pStyle w:val="Sadraj2"/>
        <w:rPr>
          <w:rFonts w:asciiTheme="minorHAnsi" w:eastAsiaTheme="minorEastAsia" w:hAnsiTheme="minorHAnsi" w:cstheme="minorBidi"/>
          <w:b w:val="0"/>
          <w:smallCaps w:val="0"/>
          <w:noProof/>
          <w:lang w:eastAsia="hr-HR"/>
        </w:rPr>
      </w:pPr>
      <w:hyperlink w:anchor="_Toc46163810" w:history="1">
        <w:r w:rsidR="0009449E" w:rsidRPr="00E227C1">
          <w:rPr>
            <w:rStyle w:val="Hiperveza"/>
            <w:noProof/>
          </w:rPr>
          <w:t>2.10</w:t>
        </w:r>
        <w:r w:rsidR="0009449E">
          <w:rPr>
            <w:rFonts w:asciiTheme="minorHAnsi" w:eastAsiaTheme="minorEastAsia" w:hAnsiTheme="minorHAnsi" w:cstheme="minorBidi"/>
            <w:b w:val="0"/>
            <w:smallCaps w:val="0"/>
            <w:noProof/>
            <w:lang w:eastAsia="hr-HR"/>
          </w:rPr>
          <w:tab/>
        </w:r>
        <w:r w:rsidR="0009449E" w:rsidRPr="00E227C1">
          <w:rPr>
            <w:rStyle w:val="Hiperveza"/>
            <w:noProof/>
          </w:rPr>
          <w:t>Zgrade sa statusom nepokretnog kulturnog dobra</w:t>
        </w:r>
        <w:r w:rsidR="0009449E">
          <w:rPr>
            <w:noProof/>
            <w:webHidden/>
          </w:rPr>
          <w:tab/>
        </w:r>
        <w:r w:rsidR="0009449E">
          <w:rPr>
            <w:noProof/>
            <w:webHidden/>
          </w:rPr>
          <w:fldChar w:fldCharType="begin"/>
        </w:r>
        <w:r w:rsidR="0009449E">
          <w:rPr>
            <w:noProof/>
            <w:webHidden/>
          </w:rPr>
          <w:instrText xml:space="preserve"> PAGEREF _Toc46163810 \h </w:instrText>
        </w:r>
        <w:r w:rsidR="0009449E">
          <w:rPr>
            <w:noProof/>
            <w:webHidden/>
          </w:rPr>
        </w:r>
        <w:r w:rsidR="0009449E">
          <w:rPr>
            <w:noProof/>
            <w:webHidden/>
          </w:rPr>
          <w:fldChar w:fldCharType="separate"/>
        </w:r>
        <w:r w:rsidR="00CE61F3">
          <w:rPr>
            <w:noProof/>
            <w:webHidden/>
          </w:rPr>
          <w:t>32</w:t>
        </w:r>
        <w:r w:rsidR="0009449E">
          <w:rPr>
            <w:noProof/>
            <w:webHidden/>
          </w:rPr>
          <w:fldChar w:fldCharType="end"/>
        </w:r>
      </w:hyperlink>
    </w:p>
    <w:p w14:paraId="540D06E1" w14:textId="2E01DAF0" w:rsidR="0009449E" w:rsidRDefault="00A50909">
      <w:pPr>
        <w:pStyle w:val="Sadraj2"/>
        <w:rPr>
          <w:rFonts w:asciiTheme="minorHAnsi" w:eastAsiaTheme="minorEastAsia" w:hAnsiTheme="minorHAnsi" w:cstheme="minorBidi"/>
          <w:b w:val="0"/>
          <w:smallCaps w:val="0"/>
          <w:noProof/>
          <w:lang w:eastAsia="hr-HR"/>
        </w:rPr>
      </w:pPr>
      <w:hyperlink w:anchor="_Toc46163811" w:history="1">
        <w:r w:rsidR="0009449E" w:rsidRPr="00E227C1">
          <w:rPr>
            <w:rStyle w:val="Hiperveza"/>
            <w:noProof/>
          </w:rPr>
          <w:t>2.11</w:t>
        </w:r>
        <w:r w:rsidR="0009449E">
          <w:rPr>
            <w:rFonts w:asciiTheme="minorHAnsi" w:eastAsiaTheme="minorEastAsia" w:hAnsiTheme="minorHAnsi" w:cstheme="minorBidi"/>
            <w:b w:val="0"/>
            <w:smallCaps w:val="0"/>
            <w:noProof/>
            <w:lang w:eastAsia="hr-HR"/>
          </w:rPr>
          <w:tab/>
        </w:r>
        <w:r w:rsidR="0009449E" w:rsidRPr="00E227C1">
          <w:rPr>
            <w:rStyle w:val="Hiperveza"/>
            <w:noProof/>
          </w:rPr>
          <w:t>Zgrade u vlasništvu i korištenju oružanih snaga RH</w:t>
        </w:r>
        <w:r w:rsidR="0009449E">
          <w:rPr>
            <w:noProof/>
            <w:webHidden/>
          </w:rPr>
          <w:tab/>
        </w:r>
        <w:r w:rsidR="0009449E">
          <w:rPr>
            <w:noProof/>
            <w:webHidden/>
          </w:rPr>
          <w:fldChar w:fldCharType="begin"/>
        </w:r>
        <w:r w:rsidR="0009449E">
          <w:rPr>
            <w:noProof/>
            <w:webHidden/>
          </w:rPr>
          <w:instrText xml:space="preserve"> PAGEREF _Toc46163811 \h </w:instrText>
        </w:r>
        <w:r w:rsidR="0009449E">
          <w:rPr>
            <w:noProof/>
            <w:webHidden/>
          </w:rPr>
        </w:r>
        <w:r w:rsidR="0009449E">
          <w:rPr>
            <w:noProof/>
            <w:webHidden/>
          </w:rPr>
          <w:fldChar w:fldCharType="separate"/>
        </w:r>
        <w:r w:rsidR="00CE61F3">
          <w:rPr>
            <w:noProof/>
            <w:webHidden/>
          </w:rPr>
          <w:t>33</w:t>
        </w:r>
        <w:r w:rsidR="0009449E">
          <w:rPr>
            <w:noProof/>
            <w:webHidden/>
          </w:rPr>
          <w:fldChar w:fldCharType="end"/>
        </w:r>
      </w:hyperlink>
    </w:p>
    <w:p w14:paraId="12CDBFF4" w14:textId="5D3EC056"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12" w:history="1">
        <w:r w:rsidR="0009449E" w:rsidRPr="00E227C1">
          <w:rPr>
            <w:rStyle w:val="Hiperveza"/>
            <w:noProof/>
          </w:rPr>
          <w:t>3</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Analiza ključnih elemenata programa obnove zgrada</w:t>
        </w:r>
        <w:r w:rsidR="0009449E">
          <w:rPr>
            <w:noProof/>
            <w:webHidden/>
          </w:rPr>
          <w:tab/>
        </w:r>
        <w:r w:rsidR="0009449E">
          <w:rPr>
            <w:noProof/>
            <w:webHidden/>
          </w:rPr>
          <w:fldChar w:fldCharType="begin"/>
        </w:r>
        <w:r w:rsidR="0009449E">
          <w:rPr>
            <w:noProof/>
            <w:webHidden/>
          </w:rPr>
          <w:instrText xml:space="preserve"> PAGEREF _Toc46163812 \h </w:instrText>
        </w:r>
        <w:r w:rsidR="0009449E">
          <w:rPr>
            <w:noProof/>
            <w:webHidden/>
          </w:rPr>
        </w:r>
        <w:r w:rsidR="0009449E">
          <w:rPr>
            <w:noProof/>
            <w:webHidden/>
          </w:rPr>
          <w:fldChar w:fldCharType="separate"/>
        </w:r>
        <w:r w:rsidR="00CE61F3">
          <w:rPr>
            <w:noProof/>
            <w:webHidden/>
          </w:rPr>
          <w:t>34</w:t>
        </w:r>
        <w:r w:rsidR="0009449E">
          <w:rPr>
            <w:noProof/>
            <w:webHidden/>
          </w:rPr>
          <w:fldChar w:fldCharType="end"/>
        </w:r>
      </w:hyperlink>
    </w:p>
    <w:p w14:paraId="7A49C1CA" w14:textId="10C9D14D" w:rsidR="0009449E" w:rsidRDefault="00A50909">
      <w:pPr>
        <w:pStyle w:val="Sadraj2"/>
        <w:rPr>
          <w:rFonts w:asciiTheme="minorHAnsi" w:eastAsiaTheme="minorEastAsia" w:hAnsiTheme="minorHAnsi" w:cstheme="minorBidi"/>
          <w:b w:val="0"/>
          <w:smallCaps w:val="0"/>
          <w:noProof/>
          <w:lang w:eastAsia="hr-HR"/>
        </w:rPr>
      </w:pPr>
      <w:hyperlink w:anchor="_Toc46163813" w:history="1">
        <w:r w:rsidR="0009449E" w:rsidRPr="00E227C1">
          <w:rPr>
            <w:rStyle w:val="Hiperveza"/>
            <w:noProof/>
          </w:rPr>
          <w:t>3.1</w:t>
        </w:r>
        <w:r w:rsidR="0009449E">
          <w:rPr>
            <w:rFonts w:asciiTheme="minorHAnsi" w:eastAsiaTheme="minorEastAsia" w:hAnsiTheme="minorHAnsi" w:cstheme="minorBidi"/>
            <w:b w:val="0"/>
            <w:smallCaps w:val="0"/>
            <w:noProof/>
            <w:lang w:eastAsia="hr-HR"/>
          </w:rPr>
          <w:tab/>
        </w:r>
        <w:r w:rsidR="0009449E" w:rsidRPr="00E227C1">
          <w:rPr>
            <w:rStyle w:val="Hiperveza"/>
            <w:noProof/>
          </w:rPr>
          <w:t>Tehničke mogućnosti za energetsku obnovu („retrofit“) primjenom mjera energetske učinkovitosti i uvođenja OIE za svaku kategoriju odnosno tipologiju zgrada</w:t>
        </w:r>
        <w:r w:rsidR="0009449E">
          <w:rPr>
            <w:noProof/>
            <w:webHidden/>
          </w:rPr>
          <w:tab/>
        </w:r>
        <w:r w:rsidR="0009449E">
          <w:rPr>
            <w:noProof/>
            <w:webHidden/>
          </w:rPr>
          <w:fldChar w:fldCharType="begin"/>
        </w:r>
        <w:r w:rsidR="0009449E">
          <w:rPr>
            <w:noProof/>
            <w:webHidden/>
          </w:rPr>
          <w:instrText xml:space="preserve"> PAGEREF _Toc46163813 \h </w:instrText>
        </w:r>
        <w:r w:rsidR="0009449E">
          <w:rPr>
            <w:noProof/>
            <w:webHidden/>
          </w:rPr>
        </w:r>
        <w:r w:rsidR="0009449E">
          <w:rPr>
            <w:noProof/>
            <w:webHidden/>
          </w:rPr>
          <w:fldChar w:fldCharType="separate"/>
        </w:r>
        <w:r w:rsidR="00CE61F3">
          <w:rPr>
            <w:noProof/>
            <w:webHidden/>
          </w:rPr>
          <w:t>34</w:t>
        </w:r>
        <w:r w:rsidR="0009449E">
          <w:rPr>
            <w:noProof/>
            <w:webHidden/>
          </w:rPr>
          <w:fldChar w:fldCharType="end"/>
        </w:r>
      </w:hyperlink>
    </w:p>
    <w:p w14:paraId="7A9C4D87" w14:textId="2BC46C88" w:rsidR="0009449E" w:rsidRDefault="00A50909">
      <w:pPr>
        <w:pStyle w:val="Sadraj3"/>
        <w:rPr>
          <w:rFonts w:asciiTheme="minorHAnsi" w:eastAsiaTheme="minorEastAsia" w:hAnsiTheme="minorHAnsi" w:cstheme="minorBidi"/>
          <w:noProof/>
          <w:sz w:val="22"/>
          <w:szCs w:val="22"/>
          <w:lang w:eastAsia="hr-HR"/>
        </w:rPr>
      </w:pPr>
      <w:hyperlink w:anchor="_Toc46163814" w:history="1">
        <w:r w:rsidR="0009449E" w:rsidRPr="00E227C1">
          <w:rPr>
            <w:rStyle w:val="Hiperveza"/>
            <w:noProof/>
          </w:rPr>
          <w:t>3.1.1</w:t>
        </w:r>
        <w:r w:rsidR="0009449E">
          <w:rPr>
            <w:rFonts w:asciiTheme="minorHAnsi" w:eastAsiaTheme="minorEastAsia" w:hAnsiTheme="minorHAnsi" w:cstheme="minorBidi"/>
            <w:noProof/>
            <w:sz w:val="22"/>
            <w:szCs w:val="22"/>
            <w:lang w:eastAsia="hr-HR"/>
          </w:rPr>
          <w:tab/>
        </w:r>
        <w:r w:rsidR="0009449E" w:rsidRPr="00E227C1">
          <w:rPr>
            <w:rStyle w:val="Hiperveza"/>
            <w:noProof/>
          </w:rPr>
          <w:t>Mjera centralizacije i modernizacije sustava grijanja, hlađenja i ventilacije te pripreme PTV uz primjenu obnovljivih izvora energije</w:t>
        </w:r>
        <w:r w:rsidR="0009449E">
          <w:rPr>
            <w:noProof/>
            <w:webHidden/>
          </w:rPr>
          <w:tab/>
        </w:r>
        <w:r w:rsidR="0009449E">
          <w:rPr>
            <w:noProof/>
            <w:webHidden/>
          </w:rPr>
          <w:fldChar w:fldCharType="begin"/>
        </w:r>
        <w:r w:rsidR="0009449E">
          <w:rPr>
            <w:noProof/>
            <w:webHidden/>
          </w:rPr>
          <w:instrText xml:space="preserve"> PAGEREF _Toc46163814 \h </w:instrText>
        </w:r>
        <w:r w:rsidR="0009449E">
          <w:rPr>
            <w:noProof/>
            <w:webHidden/>
          </w:rPr>
        </w:r>
        <w:r w:rsidR="0009449E">
          <w:rPr>
            <w:noProof/>
            <w:webHidden/>
          </w:rPr>
          <w:fldChar w:fldCharType="separate"/>
        </w:r>
        <w:r w:rsidR="00CE61F3">
          <w:rPr>
            <w:noProof/>
            <w:webHidden/>
          </w:rPr>
          <w:t>35</w:t>
        </w:r>
        <w:r w:rsidR="0009449E">
          <w:rPr>
            <w:noProof/>
            <w:webHidden/>
          </w:rPr>
          <w:fldChar w:fldCharType="end"/>
        </w:r>
      </w:hyperlink>
    </w:p>
    <w:p w14:paraId="59572AA7" w14:textId="59C87E98" w:rsidR="0009449E" w:rsidRDefault="00A50909">
      <w:pPr>
        <w:pStyle w:val="Sadraj3"/>
        <w:rPr>
          <w:rFonts w:asciiTheme="minorHAnsi" w:eastAsiaTheme="minorEastAsia" w:hAnsiTheme="minorHAnsi" w:cstheme="minorBidi"/>
          <w:noProof/>
          <w:sz w:val="22"/>
          <w:szCs w:val="22"/>
          <w:lang w:eastAsia="hr-HR"/>
        </w:rPr>
      </w:pPr>
      <w:hyperlink w:anchor="_Toc46163815" w:history="1">
        <w:r w:rsidR="0009449E" w:rsidRPr="00E227C1">
          <w:rPr>
            <w:rStyle w:val="Hiperveza"/>
            <w:noProof/>
          </w:rPr>
          <w:t>3.1.2</w:t>
        </w:r>
        <w:r w:rsidR="0009449E">
          <w:rPr>
            <w:rFonts w:asciiTheme="minorHAnsi" w:eastAsiaTheme="minorEastAsia" w:hAnsiTheme="minorHAnsi" w:cstheme="minorBidi"/>
            <w:noProof/>
            <w:sz w:val="22"/>
            <w:szCs w:val="22"/>
            <w:lang w:eastAsia="hr-HR"/>
          </w:rPr>
          <w:tab/>
        </w:r>
        <w:r w:rsidR="0009449E" w:rsidRPr="00E227C1">
          <w:rPr>
            <w:rStyle w:val="Hiperveza"/>
            <w:noProof/>
          </w:rPr>
          <w:t>Tehničke mogućnosti centraliziranog toplinskog sustava (CTS) grijanja</w:t>
        </w:r>
        <w:r w:rsidR="0009449E">
          <w:rPr>
            <w:noProof/>
            <w:webHidden/>
          </w:rPr>
          <w:tab/>
        </w:r>
        <w:r w:rsidR="0009449E">
          <w:rPr>
            <w:noProof/>
            <w:webHidden/>
          </w:rPr>
          <w:fldChar w:fldCharType="begin"/>
        </w:r>
        <w:r w:rsidR="0009449E">
          <w:rPr>
            <w:noProof/>
            <w:webHidden/>
          </w:rPr>
          <w:instrText xml:space="preserve"> PAGEREF _Toc46163815 \h </w:instrText>
        </w:r>
        <w:r w:rsidR="0009449E">
          <w:rPr>
            <w:noProof/>
            <w:webHidden/>
          </w:rPr>
        </w:r>
        <w:r w:rsidR="0009449E">
          <w:rPr>
            <w:noProof/>
            <w:webHidden/>
          </w:rPr>
          <w:fldChar w:fldCharType="separate"/>
        </w:r>
        <w:r w:rsidR="00CE61F3">
          <w:rPr>
            <w:noProof/>
            <w:webHidden/>
          </w:rPr>
          <w:t>36</w:t>
        </w:r>
        <w:r w:rsidR="0009449E">
          <w:rPr>
            <w:noProof/>
            <w:webHidden/>
          </w:rPr>
          <w:fldChar w:fldCharType="end"/>
        </w:r>
      </w:hyperlink>
    </w:p>
    <w:p w14:paraId="000C3731" w14:textId="45774635" w:rsidR="0009449E" w:rsidRDefault="00A50909">
      <w:pPr>
        <w:pStyle w:val="Sadraj2"/>
        <w:rPr>
          <w:rFonts w:asciiTheme="minorHAnsi" w:eastAsiaTheme="minorEastAsia" w:hAnsiTheme="minorHAnsi" w:cstheme="minorBidi"/>
          <w:b w:val="0"/>
          <w:smallCaps w:val="0"/>
          <w:noProof/>
          <w:lang w:eastAsia="hr-HR"/>
        </w:rPr>
      </w:pPr>
      <w:hyperlink w:anchor="_Toc46163816" w:history="1">
        <w:r w:rsidR="0009449E" w:rsidRPr="00E227C1">
          <w:rPr>
            <w:rStyle w:val="Hiperveza"/>
            <w:noProof/>
          </w:rPr>
          <w:t>3.2</w:t>
        </w:r>
        <w:r w:rsidR="0009449E">
          <w:rPr>
            <w:rFonts w:asciiTheme="minorHAnsi" w:eastAsiaTheme="minorEastAsia" w:hAnsiTheme="minorHAnsi" w:cstheme="minorBidi"/>
            <w:b w:val="0"/>
            <w:smallCaps w:val="0"/>
            <w:noProof/>
            <w:lang w:eastAsia="hr-HR"/>
          </w:rPr>
          <w:tab/>
        </w:r>
        <w:r w:rsidR="0009449E" w:rsidRPr="00E227C1">
          <w:rPr>
            <w:rStyle w:val="Hiperveza"/>
            <w:noProof/>
          </w:rPr>
          <w:t>Mogući modeli održive obnove zgrada</w:t>
        </w:r>
        <w:r w:rsidR="0009449E">
          <w:rPr>
            <w:noProof/>
            <w:webHidden/>
          </w:rPr>
          <w:tab/>
        </w:r>
        <w:r w:rsidR="0009449E">
          <w:rPr>
            <w:noProof/>
            <w:webHidden/>
          </w:rPr>
          <w:fldChar w:fldCharType="begin"/>
        </w:r>
        <w:r w:rsidR="0009449E">
          <w:rPr>
            <w:noProof/>
            <w:webHidden/>
          </w:rPr>
          <w:instrText xml:space="preserve"> PAGEREF _Toc46163816 \h </w:instrText>
        </w:r>
        <w:r w:rsidR="0009449E">
          <w:rPr>
            <w:noProof/>
            <w:webHidden/>
          </w:rPr>
        </w:r>
        <w:r w:rsidR="0009449E">
          <w:rPr>
            <w:noProof/>
            <w:webHidden/>
          </w:rPr>
          <w:fldChar w:fldCharType="separate"/>
        </w:r>
        <w:r w:rsidR="00CE61F3">
          <w:rPr>
            <w:noProof/>
            <w:webHidden/>
          </w:rPr>
          <w:t>36</w:t>
        </w:r>
        <w:r w:rsidR="0009449E">
          <w:rPr>
            <w:noProof/>
            <w:webHidden/>
          </w:rPr>
          <w:fldChar w:fldCharType="end"/>
        </w:r>
      </w:hyperlink>
    </w:p>
    <w:p w14:paraId="6FAE0334" w14:textId="5D308713" w:rsidR="0009449E" w:rsidRDefault="00A50909">
      <w:pPr>
        <w:pStyle w:val="Sadraj2"/>
        <w:rPr>
          <w:rFonts w:asciiTheme="minorHAnsi" w:eastAsiaTheme="minorEastAsia" w:hAnsiTheme="minorHAnsi" w:cstheme="minorBidi"/>
          <w:b w:val="0"/>
          <w:smallCaps w:val="0"/>
          <w:noProof/>
          <w:lang w:eastAsia="hr-HR"/>
        </w:rPr>
      </w:pPr>
      <w:hyperlink w:anchor="_Toc46163817" w:history="1">
        <w:r w:rsidR="0009449E" w:rsidRPr="00E227C1">
          <w:rPr>
            <w:rStyle w:val="Hiperveza"/>
            <w:noProof/>
          </w:rPr>
          <w:t>3.3</w:t>
        </w:r>
        <w:r w:rsidR="0009449E">
          <w:rPr>
            <w:rFonts w:asciiTheme="minorHAnsi" w:eastAsiaTheme="minorEastAsia" w:hAnsiTheme="minorHAnsi" w:cstheme="minorBidi"/>
            <w:b w:val="0"/>
            <w:smallCaps w:val="0"/>
            <w:noProof/>
            <w:lang w:eastAsia="hr-HR"/>
          </w:rPr>
          <w:tab/>
        </w:r>
        <w:r w:rsidR="0009449E" w:rsidRPr="00E227C1">
          <w:rPr>
            <w:rStyle w:val="Hiperveza"/>
            <w:noProof/>
          </w:rPr>
          <w:t>Energetska učinkovitost većih prostornih cjelina – gradskih četvrti , susjedstava ili naselja</w:t>
        </w:r>
        <w:r w:rsidR="0009449E">
          <w:rPr>
            <w:noProof/>
            <w:webHidden/>
          </w:rPr>
          <w:tab/>
        </w:r>
        <w:r w:rsidR="0009449E">
          <w:rPr>
            <w:noProof/>
            <w:webHidden/>
          </w:rPr>
          <w:fldChar w:fldCharType="begin"/>
        </w:r>
        <w:r w:rsidR="0009449E">
          <w:rPr>
            <w:noProof/>
            <w:webHidden/>
          </w:rPr>
          <w:instrText xml:space="preserve"> PAGEREF _Toc46163817 \h </w:instrText>
        </w:r>
        <w:r w:rsidR="0009449E">
          <w:rPr>
            <w:noProof/>
            <w:webHidden/>
          </w:rPr>
        </w:r>
        <w:r w:rsidR="0009449E">
          <w:rPr>
            <w:noProof/>
            <w:webHidden/>
          </w:rPr>
          <w:fldChar w:fldCharType="separate"/>
        </w:r>
        <w:r w:rsidR="00CE61F3">
          <w:rPr>
            <w:noProof/>
            <w:webHidden/>
          </w:rPr>
          <w:t>37</w:t>
        </w:r>
        <w:r w:rsidR="0009449E">
          <w:rPr>
            <w:noProof/>
            <w:webHidden/>
          </w:rPr>
          <w:fldChar w:fldCharType="end"/>
        </w:r>
      </w:hyperlink>
    </w:p>
    <w:p w14:paraId="01BDC8C6" w14:textId="009CFF31" w:rsidR="0009449E" w:rsidRDefault="00A50909">
      <w:pPr>
        <w:pStyle w:val="Sadraj2"/>
        <w:rPr>
          <w:rFonts w:asciiTheme="minorHAnsi" w:eastAsiaTheme="minorEastAsia" w:hAnsiTheme="minorHAnsi" w:cstheme="minorBidi"/>
          <w:b w:val="0"/>
          <w:smallCaps w:val="0"/>
          <w:noProof/>
          <w:lang w:eastAsia="hr-HR"/>
        </w:rPr>
      </w:pPr>
      <w:hyperlink w:anchor="_Toc46163818" w:history="1">
        <w:r w:rsidR="0009449E" w:rsidRPr="00E227C1">
          <w:rPr>
            <w:rStyle w:val="Hiperveza"/>
            <w:noProof/>
          </w:rPr>
          <w:t>3.4</w:t>
        </w:r>
        <w:r w:rsidR="0009449E">
          <w:rPr>
            <w:rFonts w:asciiTheme="minorHAnsi" w:eastAsiaTheme="minorEastAsia" w:hAnsiTheme="minorHAnsi" w:cstheme="minorBidi"/>
            <w:b w:val="0"/>
            <w:smallCaps w:val="0"/>
            <w:noProof/>
            <w:lang w:eastAsia="hr-HR"/>
          </w:rPr>
          <w:tab/>
        </w:r>
        <w:r w:rsidR="0009449E" w:rsidRPr="00E227C1">
          <w:rPr>
            <w:rStyle w:val="Hiperveza"/>
            <w:noProof/>
          </w:rPr>
          <w:t>Agregiranje projekata</w:t>
        </w:r>
        <w:r w:rsidR="0009449E">
          <w:rPr>
            <w:noProof/>
            <w:webHidden/>
          </w:rPr>
          <w:tab/>
        </w:r>
        <w:r w:rsidR="0009449E">
          <w:rPr>
            <w:noProof/>
            <w:webHidden/>
          </w:rPr>
          <w:fldChar w:fldCharType="begin"/>
        </w:r>
        <w:r w:rsidR="0009449E">
          <w:rPr>
            <w:noProof/>
            <w:webHidden/>
          </w:rPr>
          <w:instrText xml:space="preserve"> PAGEREF _Toc46163818 \h </w:instrText>
        </w:r>
        <w:r w:rsidR="0009449E">
          <w:rPr>
            <w:noProof/>
            <w:webHidden/>
          </w:rPr>
        </w:r>
        <w:r w:rsidR="0009449E">
          <w:rPr>
            <w:noProof/>
            <w:webHidden/>
          </w:rPr>
          <w:fldChar w:fldCharType="separate"/>
        </w:r>
        <w:r w:rsidR="00CE61F3">
          <w:rPr>
            <w:noProof/>
            <w:webHidden/>
          </w:rPr>
          <w:t>37</w:t>
        </w:r>
        <w:r w:rsidR="0009449E">
          <w:rPr>
            <w:noProof/>
            <w:webHidden/>
          </w:rPr>
          <w:fldChar w:fldCharType="end"/>
        </w:r>
      </w:hyperlink>
    </w:p>
    <w:p w14:paraId="68CBFDD0" w14:textId="11B092A3" w:rsidR="0009449E" w:rsidRDefault="00A50909">
      <w:pPr>
        <w:pStyle w:val="Sadraj2"/>
        <w:rPr>
          <w:rFonts w:asciiTheme="minorHAnsi" w:eastAsiaTheme="minorEastAsia" w:hAnsiTheme="minorHAnsi" w:cstheme="minorBidi"/>
          <w:b w:val="0"/>
          <w:smallCaps w:val="0"/>
          <w:noProof/>
          <w:lang w:eastAsia="hr-HR"/>
        </w:rPr>
      </w:pPr>
      <w:hyperlink w:anchor="_Toc46163819" w:history="1">
        <w:r w:rsidR="0009449E" w:rsidRPr="00E227C1">
          <w:rPr>
            <w:rStyle w:val="Hiperveza"/>
            <w:noProof/>
          </w:rPr>
          <w:t>3.5</w:t>
        </w:r>
        <w:r w:rsidR="0009449E">
          <w:rPr>
            <w:rFonts w:asciiTheme="minorHAnsi" w:eastAsiaTheme="minorEastAsia" w:hAnsiTheme="minorHAnsi" w:cstheme="minorBidi"/>
            <w:b w:val="0"/>
            <w:smallCaps w:val="0"/>
            <w:noProof/>
            <w:lang w:eastAsia="hr-HR"/>
          </w:rPr>
          <w:tab/>
        </w:r>
        <w:r w:rsidR="0009449E" w:rsidRPr="00E227C1">
          <w:rPr>
            <w:rStyle w:val="Hiperveza"/>
            <w:noProof/>
          </w:rPr>
          <w:t>One-stop-shop</w:t>
        </w:r>
        <w:r w:rsidR="0009449E">
          <w:rPr>
            <w:noProof/>
            <w:webHidden/>
          </w:rPr>
          <w:tab/>
        </w:r>
        <w:r w:rsidR="0009449E">
          <w:rPr>
            <w:noProof/>
            <w:webHidden/>
          </w:rPr>
          <w:fldChar w:fldCharType="begin"/>
        </w:r>
        <w:r w:rsidR="0009449E">
          <w:rPr>
            <w:noProof/>
            <w:webHidden/>
          </w:rPr>
          <w:instrText xml:space="preserve"> PAGEREF _Toc46163819 \h </w:instrText>
        </w:r>
        <w:r w:rsidR="0009449E">
          <w:rPr>
            <w:noProof/>
            <w:webHidden/>
          </w:rPr>
        </w:r>
        <w:r w:rsidR="0009449E">
          <w:rPr>
            <w:noProof/>
            <w:webHidden/>
          </w:rPr>
          <w:fldChar w:fldCharType="separate"/>
        </w:r>
        <w:r w:rsidR="00CE61F3">
          <w:rPr>
            <w:noProof/>
            <w:webHidden/>
          </w:rPr>
          <w:t>39</w:t>
        </w:r>
        <w:r w:rsidR="0009449E">
          <w:rPr>
            <w:noProof/>
            <w:webHidden/>
          </w:rPr>
          <w:fldChar w:fldCharType="end"/>
        </w:r>
      </w:hyperlink>
    </w:p>
    <w:p w14:paraId="74D50302" w14:textId="2BA07E11" w:rsidR="0009449E" w:rsidRDefault="00A50909">
      <w:pPr>
        <w:pStyle w:val="Sadraj2"/>
        <w:rPr>
          <w:rFonts w:asciiTheme="minorHAnsi" w:eastAsiaTheme="minorEastAsia" w:hAnsiTheme="minorHAnsi" w:cstheme="minorBidi"/>
          <w:b w:val="0"/>
          <w:smallCaps w:val="0"/>
          <w:noProof/>
          <w:lang w:eastAsia="hr-HR"/>
        </w:rPr>
      </w:pPr>
      <w:hyperlink w:anchor="_Toc46163820" w:history="1">
        <w:r w:rsidR="0009449E" w:rsidRPr="00E227C1">
          <w:rPr>
            <w:rStyle w:val="Hiperveza"/>
            <w:noProof/>
          </w:rPr>
          <w:t>3.6</w:t>
        </w:r>
        <w:r w:rsidR="0009449E">
          <w:rPr>
            <w:rFonts w:asciiTheme="minorHAnsi" w:eastAsiaTheme="minorEastAsia" w:hAnsiTheme="minorHAnsi" w:cstheme="minorBidi"/>
            <w:b w:val="0"/>
            <w:smallCaps w:val="0"/>
            <w:noProof/>
            <w:lang w:eastAsia="hr-HR"/>
          </w:rPr>
          <w:tab/>
        </w:r>
        <w:r w:rsidR="0009449E" w:rsidRPr="00E227C1">
          <w:rPr>
            <w:rStyle w:val="Hiperveza"/>
            <w:noProof/>
          </w:rPr>
          <w:t>Utvrđivanje troškovno učinkovitog pristupa obnovi ovisno o kategoriji zgrade i klimatskoj zoni</w:t>
        </w:r>
        <w:r w:rsidR="0009449E">
          <w:rPr>
            <w:noProof/>
            <w:webHidden/>
          </w:rPr>
          <w:tab/>
        </w:r>
        <w:r w:rsidR="0009449E">
          <w:rPr>
            <w:noProof/>
            <w:webHidden/>
          </w:rPr>
          <w:fldChar w:fldCharType="begin"/>
        </w:r>
        <w:r w:rsidR="0009449E">
          <w:rPr>
            <w:noProof/>
            <w:webHidden/>
          </w:rPr>
          <w:instrText xml:space="preserve"> PAGEREF _Toc46163820 \h </w:instrText>
        </w:r>
        <w:r w:rsidR="0009449E">
          <w:rPr>
            <w:noProof/>
            <w:webHidden/>
          </w:rPr>
        </w:r>
        <w:r w:rsidR="0009449E">
          <w:rPr>
            <w:noProof/>
            <w:webHidden/>
          </w:rPr>
          <w:fldChar w:fldCharType="separate"/>
        </w:r>
        <w:r w:rsidR="00CE61F3">
          <w:rPr>
            <w:noProof/>
            <w:webHidden/>
          </w:rPr>
          <w:t>41</w:t>
        </w:r>
        <w:r w:rsidR="0009449E">
          <w:rPr>
            <w:noProof/>
            <w:webHidden/>
          </w:rPr>
          <w:fldChar w:fldCharType="end"/>
        </w:r>
      </w:hyperlink>
    </w:p>
    <w:p w14:paraId="2AE14A88" w14:textId="78EC45F5" w:rsidR="0009449E" w:rsidRDefault="00A50909">
      <w:pPr>
        <w:pStyle w:val="Sadraj2"/>
        <w:rPr>
          <w:rFonts w:asciiTheme="minorHAnsi" w:eastAsiaTheme="minorEastAsia" w:hAnsiTheme="minorHAnsi" w:cstheme="minorBidi"/>
          <w:b w:val="0"/>
          <w:smallCaps w:val="0"/>
          <w:noProof/>
          <w:lang w:eastAsia="hr-HR"/>
        </w:rPr>
      </w:pPr>
      <w:hyperlink w:anchor="_Toc46163821" w:history="1">
        <w:r w:rsidR="0009449E" w:rsidRPr="00E227C1">
          <w:rPr>
            <w:rStyle w:val="Hiperveza"/>
            <w:noProof/>
          </w:rPr>
          <w:t>3.7</w:t>
        </w:r>
        <w:r w:rsidR="0009449E">
          <w:rPr>
            <w:rFonts w:asciiTheme="minorHAnsi" w:eastAsiaTheme="minorEastAsia" w:hAnsiTheme="minorHAnsi" w:cstheme="minorBidi"/>
            <w:b w:val="0"/>
            <w:smallCaps w:val="0"/>
            <w:noProof/>
            <w:lang w:eastAsia="hr-HR"/>
          </w:rPr>
          <w:tab/>
        </w:r>
        <w:r w:rsidR="0009449E" w:rsidRPr="00E227C1">
          <w:rPr>
            <w:rStyle w:val="Hiperveza"/>
            <w:noProof/>
          </w:rPr>
          <w:t>„Pokretačke točke“ energetske obnove</w:t>
        </w:r>
        <w:r w:rsidR="0009449E">
          <w:rPr>
            <w:noProof/>
            <w:webHidden/>
          </w:rPr>
          <w:tab/>
        </w:r>
        <w:r w:rsidR="0009449E">
          <w:rPr>
            <w:noProof/>
            <w:webHidden/>
          </w:rPr>
          <w:fldChar w:fldCharType="begin"/>
        </w:r>
        <w:r w:rsidR="0009449E">
          <w:rPr>
            <w:noProof/>
            <w:webHidden/>
          </w:rPr>
          <w:instrText xml:space="preserve"> PAGEREF _Toc46163821 \h </w:instrText>
        </w:r>
        <w:r w:rsidR="0009449E">
          <w:rPr>
            <w:noProof/>
            <w:webHidden/>
          </w:rPr>
        </w:r>
        <w:r w:rsidR="0009449E">
          <w:rPr>
            <w:noProof/>
            <w:webHidden/>
          </w:rPr>
          <w:fldChar w:fldCharType="separate"/>
        </w:r>
        <w:r w:rsidR="00CE61F3">
          <w:rPr>
            <w:noProof/>
            <w:webHidden/>
          </w:rPr>
          <w:t>41</w:t>
        </w:r>
        <w:r w:rsidR="0009449E">
          <w:rPr>
            <w:noProof/>
            <w:webHidden/>
          </w:rPr>
          <w:fldChar w:fldCharType="end"/>
        </w:r>
      </w:hyperlink>
    </w:p>
    <w:p w14:paraId="1FF4FEFA" w14:textId="38E109A7" w:rsidR="0009449E" w:rsidRDefault="00A50909">
      <w:pPr>
        <w:pStyle w:val="Sadraj2"/>
        <w:rPr>
          <w:rFonts w:asciiTheme="minorHAnsi" w:eastAsiaTheme="minorEastAsia" w:hAnsiTheme="minorHAnsi" w:cstheme="minorBidi"/>
          <w:b w:val="0"/>
          <w:smallCaps w:val="0"/>
          <w:noProof/>
          <w:lang w:eastAsia="hr-HR"/>
        </w:rPr>
      </w:pPr>
      <w:hyperlink w:anchor="_Toc46163822" w:history="1">
        <w:r w:rsidR="0009449E" w:rsidRPr="00E227C1">
          <w:rPr>
            <w:rStyle w:val="Hiperveza"/>
            <w:noProof/>
          </w:rPr>
          <w:t>3.8</w:t>
        </w:r>
        <w:r w:rsidR="0009449E">
          <w:rPr>
            <w:rFonts w:asciiTheme="minorHAnsi" w:eastAsiaTheme="minorEastAsia" w:hAnsiTheme="minorHAnsi" w:cstheme="minorBidi"/>
            <w:b w:val="0"/>
            <w:smallCaps w:val="0"/>
            <w:noProof/>
            <w:lang w:eastAsia="hr-HR"/>
          </w:rPr>
          <w:tab/>
        </w:r>
        <w:r w:rsidR="0009449E" w:rsidRPr="00E227C1">
          <w:rPr>
            <w:rStyle w:val="Hiperveza"/>
            <w:noProof/>
          </w:rPr>
          <w:t>Opis metode korištene za troškovno učinkovitu analizu</w:t>
        </w:r>
        <w:r w:rsidR="0009449E">
          <w:rPr>
            <w:noProof/>
            <w:webHidden/>
          </w:rPr>
          <w:tab/>
        </w:r>
        <w:r w:rsidR="0009449E">
          <w:rPr>
            <w:noProof/>
            <w:webHidden/>
          </w:rPr>
          <w:fldChar w:fldCharType="begin"/>
        </w:r>
        <w:r w:rsidR="0009449E">
          <w:rPr>
            <w:noProof/>
            <w:webHidden/>
          </w:rPr>
          <w:instrText xml:space="preserve"> PAGEREF _Toc46163822 \h </w:instrText>
        </w:r>
        <w:r w:rsidR="0009449E">
          <w:rPr>
            <w:noProof/>
            <w:webHidden/>
          </w:rPr>
        </w:r>
        <w:r w:rsidR="0009449E">
          <w:rPr>
            <w:noProof/>
            <w:webHidden/>
          </w:rPr>
          <w:fldChar w:fldCharType="separate"/>
        </w:r>
        <w:r w:rsidR="00CE61F3">
          <w:rPr>
            <w:noProof/>
            <w:webHidden/>
          </w:rPr>
          <w:t>42</w:t>
        </w:r>
        <w:r w:rsidR="0009449E">
          <w:rPr>
            <w:noProof/>
            <w:webHidden/>
          </w:rPr>
          <w:fldChar w:fldCharType="end"/>
        </w:r>
      </w:hyperlink>
    </w:p>
    <w:p w14:paraId="14E67FCF" w14:textId="1B71D2A6"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23" w:history="1">
        <w:r w:rsidR="0009449E" w:rsidRPr="00E227C1">
          <w:rPr>
            <w:rStyle w:val="Hiperveza"/>
            <w:noProof/>
          </w:rPr>
          <w:t>4</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Politike i mjere za poticanje troškovno učinkovite integralne obnove zgrada</w:t>
        </w:r>
        <w:r w:rsidR="0009449E">
          <w:rPr>
            <w:noProof/>
            <w:webHidden/>
          </w:rPr>
          <w:tab/>
        </w:r>
        <w:r w:rsidR="0009449E">
          <w:rPr>
            <w:noProof/>
            <w:webHidden/>
          </w:rPr>
          <w:fldChar w:fldCharType="begin"/>
        </w:r>
        <w:r w:rsidR="0009449E">
          <w:rPr>
            <w:noProof/>
            <w:webHidden/>
          </w:rPr>
          <w:instrText xml:space="preserve"> PAGEREF _Toc46163823 \h </w:instrText>
        </w:r>
        <w:r w:rsidR="0009449E">
          <w:rPr>
            <w:noProof/>
            <w:webHidden/>
          </w:rPr>
        </w:r>
        <w:r w:rsidR="0009449E">
          <w:rPr>
            <w:noProof/>
            <w:webHidden/>
          </w:rPr>
          <w:fldChar w:fldCharType="separate"/>
        </w:r>
        <w:r w:rsidR="00CE61F3">
          <w:rPr>
            <w:noProof/>
            <w:webHidden/>
          </w:rPr>
          <w:t>45</w:t>
        </w:r>
        <w:r w:rsidR="0009449E">
          <w:rPr>
            <w:noProof/>
            <w:webHidden/>
          </w:rPr>
          <w:fldChar w:fldCharType="end"/>
        </w:r>
      </w:hyperlink>
    </w:p>
    <w:p w14:paraId="69C1EA82" w14:textId="51BCC8C7" w:rsidR="0009449E" w:rsidRDefault="00A50909">
      <w:pPr>
        <w:pStyle w:val="Sadraj2"/>
        <w:rPr>
          <w:rFonts w:asciiTheme="minorHAnsi" w:eastAsiaTheme="minorEastAsia" w:hAnsiTheme="minorHAnsi" w:cstheme="minorBidi"/>
          <w:b w:val="0"/>
          <w:smallCaps w:val="0"/>
          <w:noProof/>
          <w:lang w:eastAsia="hr-HR"/>
        </w:rPr>
      </w:pPr>
      <w:hyperlink w:anchor="_Toc46163824" w:history="1">
        <w:r w:rsidR="0009449E" w:rsidRPr="00E227C1">
          <w:rPr>
            <w:rStyle w:val="Hiperveza"/>
            <w:noProof/>
          </w:rPr>
          <w:t>4.1</w:t>
        </w:r>
        <w:r w:rsidR="0009449E">
          <w:rPr>
            <w:rFonts w:asciiTheme="minorHAnsi" w:eastAsiaTheme="minorEastAsia" w:hAnsiTheme="minorHAnsi" w:cstheme="minorBidi"/>
            <w:b w:val="0"/>
            <w:smallCaps w:val="0"/>
            <w:noProof/>
            <w:lang w:eastAsia="hr-HR"/>
          </w:rPr>
          <w:tab/>
        </w:r>
        <w:r w:rsidR="0009449E" w:rsidRPr="00E227C1">
          <w:rPr>
            <w:rStyle w:val="Hiperveza"/>
            <w:noProof/>
          </w:rPr>
          <w:t>Pregled postojećih mjera za poticanje obnove zgrada u Republici Hrvatskoj</w:t>
        </w:r>
        <w:r w:rsidR="0009449E">
          <w:rPr>
            <w:noProof/>
            <w:webHidden/>
          </w:rPr>
          <w:tab/>
        </w:r>
        <w:r w:rsidR="0009449E">
          <w:rPr>
            <w:noProof/>
            <w:webHidden/>
          </w:rPr>
          <w:fldChar w:fldCharType="begin"/>
        </w:r>
        <w:r w:rsidR="0009449E">
          <w:rPr>
            <w:noProof/>
            <w:webHidden/>
          </w:rPr>
          <w:instrText xml:space="preserve"> PAGEREF _Toc46163824 \h </w:instrText>
        </w:r>
        <w:r w:rsidR="0009449E">
          <w:rPr>
            <w:noProof/>
            <w:webHidden/>
          </w:rPr>
        </w:r>
        <w:r w:rsidR="0009449E">
          <w:rPr>
            <w:noProof/>
            <w:webHidden/>
          </w:rPr>
          <w:fldChar w:fldCharType="separate"/>
        </w:r>
        <w:r w:rsidR="00CE61F3">
          <w:rPr>
            <w:noProof/>
            <w:webHidden/>
          </w:rPr>
          <w:t>45</w:t>
        </w:r>
        <w:r w:rsidR="0009449E">
          <w:rPr>
            <w:noProof/>
            <w:webHidden/>
          </w:rPr>
          <w:fldChar w:fldCharType="end"/>
        </w:r>
      </w:hyperlink>
    </w:p>
    <w:p w14:paraId="4F4E73EA" w14:textId="17B5C317" w:rsidR="0009449E" w:rsidRDefault="00A50909">
      <w:pPr>
        <w:pStyle w:val="Sadraj3"/>
        <w:rPr>
          <w:rFonts w:asciiTheme="minorHAnsi" w:eastAsiaTheme="minorEastAsia" w:hAnsiTheme="minorHAnsi" w:cstheme="minorBidi"/>
          <w:noProof/>
          <w:sz w:val="22"/>
          <w:szCs w:val="22"/>
          <w:lang w:eastAsia="hr-HR"/>
        </w:rPr>
      </w:pPr>
      <w:hyperlink w:anchor="_Toc46163825" w:history="1">
        <w:r w:rsidR="0009449E" w:rsidRPr="00E227C1">
          <w:rPr>
            <w:rStyle w:val="Hiperveza"/>
            <w:noProof/>
          </w:rPr>
          <w:t>4.1.1</w:t>
        </w:r>
        <w:r w:rsidR="0009449E">
          <w:rPr>
            <w:rFonts w:asciiTheme="minorHAnsi" w:eastAsiaTheme="minorEastAsia" w:hAnsiTheme="minorHAnsi" w:cstheme="minorBidi"/>
            <w:noProof/>
            <w:sz w:val="22"/>
            <w:szCs w:val="22"/>
            <w:lang w:eastAsia="hr-HR"/>
          </w:rPr>
          <w:tab/>
        </w:r>
        <w:r w:rsidR="0009449E" w:rsidRPr="00E227C1">
          <w:rPr>
            <w:rStyle w:val="Hiperveza"/>
            <w:noProof/>
          </w:rPr>
          <w:t>Pregled nacionalnih i međunarodnih projekata i programa za obnovu zgrada</w:t>
        </w:r>
        <w:r w:rsidR="0009449E">
          <w:rPr>
            <w:noProof/>
            <w:webHidden/>
          </w:rPr>
          <w:tab/>
        </w:r>
        <w:r w:rsidR="0009449E">
          <w:rPr>
            <w:noProof/>
            <w:webHidden/>
          </w:rPr>
          <w:fldChar w:fldCharType="begin"/>
        </w:r>
        <w:r w:rsidR="0009449E">
          <w:rPr>
            <w:noProof/>
            <w:webHidden/>
          </w:rPr>
          <w:instrText xml:space="preserve"> PAGEREF _Toc46163825 \h </w:instrText>
        </w:r>
        <w:r w:rsidR="0009449E">
          <w:rPr>
            <w:noProof/>
            <w:webHidden/>
          </w:rPr>
        </w:r>
        <w:r w:rsidR="0009449E">
          <w:rPr>
            <w:noProof/>
            <w:webHidden/>
          </w:rPr>
          <w:fldChar w:fldCharType="separate"/>
        </w:r>
        <w:r w:rsidR="00CE61F3">
          <w:rPr>
            <w:noProof/>
            <w:webHidden/>
          </w:rPr>
          <w:t>45</w:t>
        </w:r>
        <w:r w:rsidR="0009449E">
          <w:rPr>
            <w:noProof/>
            <w:webHidden/>
          </w:rPr>
          <w:fldChar w:fldCharType="end"/>
        </w:r>
      </w:hyperlink>
    </w:p>
    <w:p w14:paraId="0FC1A70F" w14:textId="23127396" w:rsidR="0009449E" w:rsidRDefault="00A50909">
      <w:pPr>
        <w:pStyle w:val="Sadraj3"/>
        <w:rPr>
          <w:rFonts w:asciiTheme="minorHAnsi" w:eastAsiaTheme="minorEastAsia" w:hAnsiTheme="minorHAnsi" w:cstheme="minorBidi"/>
          <w:noProof/>
          <w:sz w:val="22"/>
          <w:szCs w:val="22"/>
          <w:lang w:eastAsia="hr-HR"/>
        </w:rPr>
      </w:pPr>
      <w:hyperlink w:anchor="_Toc46163826" w:history="1">
        <w:r w:rsidR="0009449E" w:rsidRPr="00E227C1">
          <w:rPr>
            <w:rStyle w:val="Hiperveza"/>
            <w:noProof/>
          </w:rPr>
          <w:t>4.1.2</w:t>
        </w:r>
        <w:r w:rsidR="0009449E">
          <w:rPr>
            <w:rFonts w:asciiTheme="minorHAnsi" w:eastAsiaTheme="minorEastAsia" w:hAnsiTheme="minorHAnsi" w:cstheme="minorBidi"/>
            <w:noProof/>
            <w:sz w:val="22"/>
            <w:szCs w:val="22"/>
            <w:lang w:eastAsia="hr-HR"/>
          </w:rPr>
          <w:tab/>
        </w:r>
        <w:r w:rsidR="0009449E" w:rsidRPr="00E227C1">
          <w:rPr>
            <w:rStyle w:val="Hiperveza"/>
            <w:noProof/>
          </w:rPr>
          <w:t>Provedba operativnih programa Republike Hrvatske za različite tipologije zgrada</w:t>
        </w:r>
        <w:r w:rsidR="0009449E">
          <w:rPr>
            <w:noProof/>
            <w:webHidden/>
          </w:rPr>
          <w:tab/>
        </w:r>
        <w:r w:rsidR="0009449E">
          <w:rPr>
            <w:noProof/>
            <w:webHidden/>
          </w:rPr>
          <w:fldChar w:fldCharType="begin"/>
        </w:r>
        <w:r w:rsidR="0009449E">
          <w:rPr>
            <w:noProof/>
            <w:webHidden/>
          </w:rPr>
          <w:instrText xml:space="preserve"> PAGEREF _Toc46163826 \h </w:instrText>
        </w:r>
        <w:r w:rsidR="0009449E">
          <w:rPr>
            <w:noProof/>
            <w:webHidden/>
          </w:rPr>
        </w:r>
        <w:r w:rsidR="0009449E">
          <w:rPr>
            <w:noProof/>
            <w:webHidden/>
          </w:rPr>
          <w:fldChar w:fldCharType="separate"/>
        </w:r>
        <w:r w:rsidR="00CE61F3">
          <w:rPr>
            <w:noProof/>
            <w:webHidden/>
          </w:rPr>
          <w:t>46</w:t>
        </w:r>
        <w:r w:rsidR="0009449E">
          <w:rPr>
            <w:noProof/>
            <w:webHidden/>
          </w:rPr>
          <w:fldChar w:fldCharType="end"/>
        </w:r>
      </w:hyperlink>
    </w:p>
    <w:p w14:paraId="1332B621" w14:textId="25F0956C" w:rsidR="0009449E" w:rsidRDefault="00A50909">
      <w:pPr>
        <w:pStyle w:val="Sadraj2"/>
        <w:rPr>
          <w:rFonts w:asciiTheme="minorHAnsi" w:eastAsiaTheme="minorEastAsia" w:hAnsiTheme="minorHAnsi" w:cstheme="minorBidi"/>
          <w:b w:val="0"/>
          <w:smallCaps w:val="0"/>
          <w:noProof/>
          <w:lang w:eastAsia="hr-HR"/>
        </w:rPr>
      </w:pPr>
      <w:hyperlink w:anchor="_Toc46163827" w:history="1">
        <w:r w:rsidR="0009449E" w:rsidRPr="00E227C1">
          <w:rPr>
            <w:rStyle w:val="Hiperveza"/>
            <w:noProof/>
          </w:rPr>
          <w:t>4.2</w:t>
        </w:r>
        <w:r w:rsidR="0009449E">
          <w:rPr>
            <w:rFonts w:asciiTheme="minorHAnsi" w:eastAsiaTheme="minorEastAsia" w:hAnsiTheme="minorHAnsi" w:cstheme="minorBidi"/>
            <w:b w:val="0"/>
            <w:smallCaps w:val="0"/>
            <w:noProof/>
            <w:lang w:eastAsia="hr-HR"/>
          </w:rPr>
          <w:tab/>
        </w:r>
        <w:r w:rsidR="0009449E" w:rsidRPr="00E227C1">
          <w:rPr>
            <w:rStyle w:val="Hiperveza"/>
            <w:noProof/>
          </w:rPr>
          <w:t>Analiza mjera za poticanje integralne obnove zgrada država članica Europske unije</w:t>
        </w:r>
        <w:r w:rsidR="0009449E">
          <w:rPr>
            <w:noProof/>
            <w:webHidden/>
          </w:rPr>
          <w:tab/>
        </w:r>
        <w:r w:rsidR="0009449E">
          <w:rPr>
            <w:noProof/>
            <w:webHidden/>
          </w:rPr>
          <w:fldChar w:fldCharType="begin"/>
        </w:r>
        <w:r w:rsidR="0009449E">
          <w:rPr>
            <w:noProof/>
            <w:webHidden/>
          </w:rPr>
          <w:instrText xml:space="preserve"> PAGEREF _Toc46163827 \h </w:instrText>
        </w:r>
        <w:r w:rsidR="0009449E">
          <w:rPr>
            <w:noProof/>
            <w:webHidden/>
          </w:rPr>
        </w:r>
        <w:r w:rsidR="0009449E">
          <w:rPr>
            <w:noProof/>
            <w:webHidden/>
          </w:rPr>
          <w:fldChar w:fldCharType="separate"/>
        </w:r>
        <w:r w:rsidR="00CE61F3">
          <w:rPr>
            <w:noProof/>
            <w:webHidden/>
          </w:rPr>
          <w:t>48</w:t>
        </w:r>
        <w:r w:rsidR="0009449E">
          <w:rPr>
            <w:noProof/>
            <w:webHidden/>
          </w:rPr>
          <w:fldChar w:fldCharType="end"/>
        </w:r>
      </w:hyperlink>
    </w:p>
    <w:p w14:paraId="1B81D500" w14:textId="535CD4AA" w:rsidR="0009449E" w:rsidRDefault="00A50909">
      <w:pPr>
        <w:pStyle w:val="Sadraj2"/>
        <w:rPr>
          <w:rFonts w:asciiTheme="minorHAnsi" w:eastAsiaTheme="minorEastAsia" w:hAnsiTheme="minorHAnsi" w:cstheme="minorBidi"/>
          <w:b w:val="0"/>
          <w:smallCaps w:val="0"/>
          <w:noProof/>
          <w:lang w:eastAsia="hr-HR"/>
        </w:rPr>
      </w:pPr>
      <w:hyperlink w:anchor="_Toc46163828" w:history="1">
        <w:r w:rsidR="0009449E" w:rsidRPr="00E227C1">
          <w:rPr>
            <w:rStyle w:val="Hiperveza"/>
            <w:noProof/>
          </w:rPr>
          <w:t>4.3</w:t>
        </w:r>
        <w:r w:rsidR="0009449E">
          <w:rPr>
            <w:rFonts w:asciiTheme="minorHAnsi" w:eastAsiaTheme="minorEastAsia" w:hAnsiTheme="minorHAnsi" w:cstheme="minorBidi"/>
            <w:b w:val="0"/>
            <w:smallCaps w:val="0"/>
            <w:noProof/>
            <w:lang w:eastAsia="hr-HR"/>
          </w:rPr>
          <w:tab/>
        </w:r>
        <w:r w:rsidR="0009449E" w:rsidRPr="00E227C1">
          <w:rPr>
            <w:rStyle w:val="Hiperveza"/>
            <w:noProof/>
          </w:rPr>
          <w:t>Analiza postojećih prepreka za integralnu energetsku obnovu zgrada</w:t>
        </w:r>
        <w:r w:rsidR="0009449E">
          <w:rPr>
            <w:noProof/>
            <w:webHidden/>
          </w:rPr>
          <w:tab/>
        </w:r>
        <w:r w:rsidR="0009449E">
          <w:rPr>
            <w:noProof/>
            <w:webHidden/>
          </w:rPr>
          <w:fldChar w:fldCharType="begin"/>
        </w:r>
        <w:r w:rsidR="0009449E">
          <w:rPr>
            <w:noProof/>
            <w:webHidden/>
          </w:rPr>
          <w:instrText xml:space="preserve"> PAGEREF _Toc46163828 \h </w:instrText>
        </w:r>
        <w:r w:rsidR="0009449E">
          <w:rPr>
            <w:noProof/>
            <w:webHidden/>
          </w:rPr>
        </w:r>
        <w:r w:rsidR="0009449E">
          <w:rPr>
            <w:noProof/>
            <w:webHidden/>
          </w:rPr>
          <w:fldChar w:fldCharType="separate"/>
        </w:r>
        <w:r w:rsidR="00CE61F3">
          <w:rPr>
            <w:noProof/>
            <w:webHidden/>
          </w:rPr>
          <w:t>51</w:t>
        </w:r>
        <w:r w:rsidR="0009449E">
          <w:rPr>
            <w:noProof/>
            <w:webHidden/>
          </w:rPr>
          <w:fldChar w:fldCharType="end"/>
        </w:r>
      </w:hyperlink>
    </w:p>
    <w:p w14:paraId="5ED51FA3" w14:textId="5271C71D" w:rsidR="0009449E" w:rsidRDefault="00A50909">
      <w:pPr>
        <w:pStyle w:val="Sadraj2"/>
        <w:rPr>
          <w:rFonts w:asciiTheme="minorHAnsi" w:eastAsiaTheme="minorEastAsia" w:hAnsiTheme="minorHAnsi" w:cstheme="minorBidi"/>
          <w:b w:val="0"/>
          <w:smallCaps w:val="0"/>
          <w:noProof/>
          <w:lang w:eastAsia="hr-HR"/>
        </w:rPr>
      </w:pPr>
      <w:hyperlink w:anchor="_Toc46163829" w:history="1">
        <w:r w:rsidR="0009449E" w:rsidRPr="00E227C1">
          <w:rPr>
            <w:rStyle w:val="Hiperveza"/>
            <w:noProof/>
          </w:rPr>
          <w:t>4.4</w:t>
        </w:r>
        <w:r w:rsidR="0009449E">
          <w:rPr>
            <w:rFonts w:asciiTheme="minorHAnsi" w:eastAsiaTheme="minorEastAsia" w:hAnsiTheme="minorHAnsi" w:cstheme="minorBidi"/>
            <w:b w:val="0"/>
            <w:smallCaps w:val="0"/>
            <w:noProof/>
            <w:lang w:eastAsia="hr-HR"/>
          </w:rPr>
          <w:tab/>
        </w:r>
        <w:r w:rsidR="0009449E" w:rsidRPr="00E227C1">
          <w:rPr>
            <w:rStyle w:val="Hiperveza"/>
            <w:noProof/>
          </w:rPr>
          <w:t>Prijedlozi rješenja i novih mjera za svladavanje postojećih prepreka</w:t>
        </w:r>
        <w:r w:rsidR="0009449E">
          <w:rPr>
            <w:noProof/>
            <w:webHidden/>
          </w:rPr>
          <w:tab/>
        </w:r>
        <w:r w:rsidR="0009449E">
          <w:rPr>
            <w:noProof/>
            <w:webHidden/>
          </w:rPr>
          <w:fldChar w:fldCharType="begin"/>
        </w:r>
        <w:r w:rsidR="0009449E">
          <w:rPr>
            <w:noProof/>
            <w:webHidden/>
          </w:rPr>
          <w:instrText xml:space="preserve"> PAGEREF _Toc46163829 \h </w:instrText>
        </w:r>
        <w:r w:rsidR="0009449E">
          <w:rPr>
            <w:noProof/>
            <w:webHidden/>
          </w:rPr>
        </w:r>
        <w:r w:rsidR="0009449E">
          <w:rPr>
            <w:noProof/>
            <w:webHidden/>
          </w:rPr>
          <w:fldChar w:fldCharType="separate"/>
        </w:r>
        <w:r w:rsidR="00CE61F3">
          <w:rPr>
            <w:noProof/>
            <w:webHidden/>
          </w:rPr>
          <w:t>55</w:t>
        </w:r>
        <w:r w:rsidR="0009449E">
          <w:rPr>
            <w:noProof/>
            <w:webHidden/>
          </w:rPr>
          <w:fldChar w:fldCharType="end"/>
        </w:r>
      </w:hyperlink>
    </w:p>
    <w:p w14:paraId="312BAAB9" w14:textId="328AD799"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30" w:history="1">
        <w:r w:rsidR="0009449E" w:rsidRPr="00E227C1">
          <w:rPr>
            <w:rStyle w:val="Hiperveza"/>
            <w:noProof/>
          </w:rPr>
          <w:t>5</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Pregled politika i mjera usmjerenih na specifična problemska područja</w:t>
        </w:r>
        <w:r w:rsidR="0009449E">
          <w:rPr>
            <w:noProof/>
            <w:webHidden/>
          </w:rPr>
          <w:tab/>
        </w:r>
        <w:r w:rsidR="0009449E">
          <w:rPr>
            <w:noProof/>
            <w:webHidden/>
          </w:rPr>
          <w:fldChar w:fldCharType="begin"/>
        </w:r>
        <w:r w:rsidR="0009449E">
          <w:rPr>
            <w:noProof/>
            <w:webHidden/>
          </w:rPr>
          <w:instrText xml:space="preserve"> PAGEREF _Toc46163830 \h </w:instrText>
        </w:r>
        <w:r w:rsidR="0009449E">
          <w:rPr>
            <w:noProof/>
            <w:webHidden/>
          </w:rPr>
        </w:r>
        <w:r w:rsidR="0009449E">
          <w:rPr>
            <w:noProof/>
            <w:webHidden/>
          </w:rPr>
          <w:fldChar w:fldCharType="separate"/>
        </w:r>
        <w:r w:rsidR="00CE61F3">
          <w:rPr>
            <w:noProof/>
            <w:webHidden/>
          </w:rPr>
          <w:t>60</w:t>
        </w:r>
        <w:r w:rsidR="0009449E">
          <w:rPr>
            <w:noProof/>
            <w:webHidden/>
          </w:rPr>
          <w:fldChar w:fldCharType="end"/>
        </w:r>
      </w:hyperlink>
    </w:p>
    <w:p w14:paraId="7341545E" w14:textId="5FA917CD" w:rsidR="0009449E" w:rsidRDefault="00A50909">
      <w:pPr>
        <w:pStyle w:val="Sadraj2"/>
        <w:rPr>
          <w:rFonts w:asciiTheme="minorHAnsi" w:eastAsiaTheme="minorEastAsia" w:hAnsiTheme="minorHAnsi" w:cstheme="minorBidi"/>
          <w:b w:val="0"/>
          <w:smallCaps w:val="0"/>
          <w:noProof/>
          <w:lang w:eastAsia="hr-HR"/>
        </w:rPr>
      </w:pPr>
      <w:hyperlink w:anchor="_Toc46163831" w:history="1">
        <w:r w:rsidR="0009449E" w:rsidRPr="00E227C1">
          <w:rPr>
            <w:rStyle w:val="Hiperveza"/>
            <w:noProof/>
          </w:rPr>
          <w:t>5.1</w:t>
        </w:r>
        <w:r w:rsidR="0009449E">
          <w:rPr>
            <w:rFonts w:asciiTheme="minorHAnsi" w:eastAsiaTheme="minorEastAsia" w:hAnsiTheme="minorHAnsi" w:cstheme="minorBidi"/>
            <w:b w:val="0"/>
            <w:smallCaps w:val="0"/>
            <w:noProof/>
            <w:lang w:eastAsia="hr-HR"/>
          </w:rPr>
          <w:tab/>
        </w:r>
        <w:r w:rsidR="0009449E" w:rsidRPr="00E227C1">
          <w:rPr>
            <w:rStyle w:val="Hiperveza"/>
            <w:noProof/>
          </w:rPr>
          <w:t>Nacionalni fond zgrada s najgorim svojstvima</w:t>
        </w:r>
        <w:r w:rsidR="0009449E">
          <w:rPr>
            <w:noProof/>
            <w:webHidden/>
          </w:rPr>
          <w:tab/>
        </w:r>
        <w:r w:rsidR="0009449E">
          <w:rPr>
            <w:noProof/>
            <w:webHidden/>
          </w:rPr>
          <w:fldChar w:fldCharType="begin"/>
        </w:r>
        <w:r w:rsidR="0009449E">
          <w:rPr>
            <w:noProof/>
            <w:webHidden/>
          </w:rPr>
          <w:instrText xml:space="preserve"> PAGEREF _Toc46163831 \h </w:instrText>
        </w:r>
        <w:r w:rsidR="0009449E">
          <w:rPr>
            <w:noProof/>
            <w:webHidden/>
          </w:rPr>
        </w:r>
        <w:r w:rsidR="0009449E">
          <w:rPr>
            <w:noProof/>
            <w:webHidden/>
          </w:rPr>
          <w:fldChar w:fldCharType="separate"/>
        </w:r>
        <w:r w:rsidR="00CE61F3">
          <w:rPr>
            <w:noProof/>
            <w:webHidden/>
          </w:rPr>
          <w:t>60</w:t>
        </w:r>
        <w:r w:rsidR="0009449E">
          <w:rPr>
            <w:noProof/>
            <w:webHidden/>
          </w:rPr>
          <w:fldChar w:fldCharType="end"/>
        </w:r>
      </w:hyperlink>
    </w:p>
    <w:p w14:paraId="2C4EA032" w14:textId="0EB28C94" w:rsidR="0009449E" w:rsidRDefault="00A50909">
      <w:pPr>
        <w:pStyle w:val="Sadraj2"/>
        <w:rPr>
          <w:rFonts w:asciiTheme="minorHAnsi" w:eastAsiaTheme="minorEastAsia" w:hAnsiTheme="minorHAnsi" w:cstheme="minorBidi"/>
          <w:b w:val="0"/>
          <w:smallCaps w:val="0"/>
          <w:noProof/>
          <w:lang w:eastAsia="hr-HR"/>
        </w:rPr>
      </w:pPr>
      <w:hyperlink w:anchor="_Toc46163832" w:history="1">
        <w:r w:rsidR="0009449E" w:rsidRPr="00E227C1">
          <w:rPr>
            <w:rStyle w:val="Hiperveza"/>
            <w:noProof/>
          </w:rPr>
          <w:t>5.2</w:t>
        </w:r>
        <w:r w:rsidR="0009449E">
          <w:rPr>
            <w:rFonts w:asciiTheme="minorHAnsi" w:eastAsiaTheme="minorEastAsia" w:hAnsiTheme="minorHAnsi" w:cstheme="minorBidi"/>
            <w:b w:val="0"/>
            <w:smallCaps w:val="0"/>
            <w:noProof/>
            <w:lang w:eastAsia="hr-HR"/>
          </w:rPr>
          <w:tab/>
        </w:r>
        <w:r w:rsidR="0009449E" w:rsidRPr="00E227C1">
          <w:rPr>
            <w:rStyle w:val="Hiperveza"/>
            <w:noProof/>
          </w:rPr>
          <w:t>Politike i mjere za nacionalni fond zgrada s najgorim svojstvima</w:t>
        </w:r>
        <w:r w:rsidR="0009449E">
          <w:rPr>
            <w:noProof/>
            <w:webHidden/>
          </w:rPr>
          <w:tab/>
        </w:r>
        <w:r w:rsidR="0009449E">
          <w:rPr>
            <w:noProof/>
            <w:webHidden/>
          </w:rPr>
          <w:fldChar w:fldCharType="begin"/>
        </w:r>
        <w:r w:rsidR="0009449E">
          <w:rPr>
            <w:noProof/>
            <w:webHidden/>
          </w:rPr>
          <w:instrText xml:space="preserve"> PAGEREF _Toc46163832 \h </w:instrText>
        </w:r>
        <w:r w:rsidR="0009449E">
          <w:rPr>
            <w:noProof/>
            <w:webHidden/>
          </w:rPr>
        </w:r>
        <w:r w:rsidR="0009449E">
          <w:rPr>
            <w:noProof/>
            <w:webHidden/>
          </w:rPr>
          <w:fldChar w:fldCharType="separate"/>
        </w:r>
        <w:r w:rsidR="00CE61F3">
          <w:rPr>
            <w:noProof/>
            <w:webHidden/>
          </w:rPr>
          <w:t>61</w:t>
        </w:r>
        <w:r w:rsidR="0009449E">
          <w:rPr>
            <w:noProof/>
            <w:webHidden/>
          </w:rPr>
          <w:fldChar w:fldCharType="end"/>
        </w:r>
      </w:hyperlink>
    </w:p>
    <w:p w14:paraId="5F64765A" w14:textId="762C28BE" w:rsidR="0009449E" w:rsidRDefault="00A50909">
      <w:pPr>
        <w:pStyle w:val="Sadraj2"/>
        <w:rPr>
          <w:rFonts w:asciiTheme="minorHAnsi" w:eastAsiaTheme="minorEastAsia" w:hAnsiTheme="minorHAnsi" w:cstheme="minorBidi"/>
          <w:b w:val="0"/>
          <w:smallCaps w:val="0"/>
          <w:noProof/>
          <w:lang w:eastAsia="hr-HR"/>
        </w:rPr>
      </w:pPr>
      <w:hyperlink w:anchor="_Toc46163833" w:history="1">
        <w:r w:rsidR="0009449E" w:rsidRPr="00E227C1">
          <w:rPr>
            <w:rStyle w:val="Hiperveza"/>
            <w:noProof/>
          </w:rPr>
          <w:t>5.3</w:t>
        </w:r>
        <w:r w:rsidR="0009449E">
          <w:rPr>
            <w:rFonts w:asciiTheme="minorHAnsi" w:eastAsiaTheme="minorEastAsia" w:hAnsiTheme="minorHAnsi" w:cstheme="minorBidi"/>
            <w:b w:val="0"/>
            <w:smallCaps w:val="0"/>
            <w:noProof/>
            <w:lang w:eastAsia="hr-HR"/>
          </w:rPr>
          <w:tab/>
        </w:r>
        <w:r w:rsidR="0009449E" w:rsidRPr="00E227C1">
          <w:rPr>
            <w:rStyle w:val="Hiperveza"/>
            <w:noProof/>
          </w:rPr>
          <w:t>Dileme suprotstavljenih interesa najmodavaca i najmoprimaca</w:t>
        </w:r>
        <w:r w:rsidR="0009449E">
          <w:rPr>
            <w:noProof/>
            <w:webHidden/>
          </w:rPr>
          <w:tab/>
        </w:r>
        <w:r w:rsidR="0009449E">
          <w:rPr>
            <w:noProof/>
            <w:webHidden/>
          </w:rPr>
          <w:fldChar w:fldCharType="begin"/>
        </w:r>
        <w:r w:rsidR="0009449E">
          <w:rPr>
            <w:noProof/>
            <w:webHidden/>
          </w:rPr>
          <w:instrText xml:space="preserve"> PAGEREF _Toc46163833 \h </w:instrText>
        </w:r>
        <w:r w:rsidR="0009449E">
          <w:rPr>
            <w:noProof/>
            <w:webHidden/>
          </w:rPr>
        </w:r>
        <w:r w:rsidR="0009449E">
          <w:rPr>
            <w:noProof/>
            <w:webHidden/>
          </w:rPr>
          <w:fldChar w:fldCharType="separate"/>
        </w:r>
        <w:r w:rsidR="00CE61F3">
          <w:rPr>
            <w:noProof/>
            <w:webHidden/>
          </w:rPr>
          <w:t>66</w:t>
        </w:r>
        <w:r w:rsidR="0009449E">
          <w:rPr>
            <w:noProof/>
            <w:webHidden/>
          </w:rPr>
          <w:fldChar w:fldCharType="end"/>
        </w:r>
      </w:hyperlink>
    </w:p>
    <w:p w14:paraId="2C1D52E2" w14:textId="57A10A3C" w:rsidR="0009449E" w:rsidRDefault="00A50909">
      <w:pPr>
        <w:pStyle w:val="Sadraj2"/>
        <w:rPr>
          <w:rFonts w:asciiTheme="minorHAnsi" w:eastAsiaTheme="minorEastAsia" w:hAnsiTheme="minorHAnsi" w:cstheme="minorBidi"/>
          <w:b w:val="0"/>
          <w:smallCaps w:val="0"/>
          <w:noProof/>
          <w:lang w:eastAsia="hr-HR"/>
        </w:rPr>
      </w:pPr>
      <w:hyperlink w:anchor="_Toc46163834" w:history="1">
        <w:r w:rsidR="0009449E" w:rsidRPr="00E227C1">
          <w:rPr>
            <w:rStyle w:val="Hiperveza"/>
            <w:noProof/>
          </w:rPr>
          <w:t>5.4</w:t>
        </w:r>
        <w:r w:rsidR="0009449E">
          <w:rPr>
            <w:rFonts w:asciiTheme="minorHAnsi" w:eastAsiaTheme="minorEastAsia" w:hAnsiTheme="minorHAnsi" w:cstheme="minorBidi"/>
            <w:b w:val="0"/>
            <w:smallCaps w:val="0"/>
            <w:noProof/>
            <w:lang w:eastAsia="hr-HR"/>
          </w:rPr>
          <w:tab/>
        </w:r>
        <w:r w:rsidR="0009449E" w:rsidRPr="00E227C1">
          <w:rPr>
            <w:rStyle w:val="Hiperveza"/>
            <w:noProof/>
          </w:rPr>
          <w:t>Nedostatci tržišta</w:t>
        </w:r>
        <w:r w:rsidR="0009449E">
          <w:rPr>
            <w:noProof/>
            <w:webHidden/>
          </w:rPr>
          <w:tab/>
        </w:r>
        <w:r w:rsidR="0009449E">
          <w:rPr>
            <w:noProof/>
            <w:webHidden/>
          </w:rPr>
          <w:fldChar w:fldCharType="begin"/>
        </w:r>
        <w:r w:rsidR="0009449E">
          <w:rPr>
            <w:noProof/>
            <w:webHidden/>
          </w:rPr>
          <w:instrText xml:space="preserve"> PAGEREF _Toc46163834 \h </w:instrText>
        </w:r>
        <w:r w:rsidR="0009449E">
          <w:rPr>
            <w:noProof/>
            <w:webHidden/>
          </w:rPr>
        </w:r>
        <w:r w:rsidR="0009449E">
          <w:rPr>
            <w:noProof/>
            <w:webHidden/>
          </w:rPr>
          <w:fldChar w:fldCharType="separate"/>
        </w:r>
        <w:r w:rsidR="00CE61F3">
          <w:rPr>
            <w:noProof/>
            <w:webHidden/>
          </w:rPr>
          <w:t>66</w:t>
        </w:r>
        <w:r w:rsidR="0009449E">
          <w:rPr>
            <w:noProof/>
            <w:webHidden/>
          </w:rPr>
          <w:fldChar w:fldCharType="end"/>
        </w:r>
      </w:hyperlink>
    </w:p>
    <w:p w14:paraId="7C016910" w14:textId="5A24391D" w:rsidR="0009449E" w:rsidRDefault="00A50909">
      <w:pPr>
        <w:pStyle w:val="Sadraj2"/>
        <w:rPr>
          <w:rFonts w:asciiTheme="minorHAnsi" w:eastAsiaTheme="minorEastAsia" w:hAnsiTheme="minorHAnsi" w:cstheme="minorBidi"/>
          <w:b w:val="0"/>
          <w:smallCaps w:val="0"/>
          <w:noProof/>
          <w:lang w:eastAsia="hr-HR"/>
        </w:rPr>
      </w:pPr>
      <w:hyperlink w:anchor="_Toc46163835" w:history="1">
        <w:r w:rsidR="0009449E" w:rsidRPr="00E227C1">
          <w:rPr>
            <w:rStyle w:val="Hiperveza"/>
            <w:noProof/>
          </w:rPr>
          <w:t>5.5</w:t>
        </w:r>
        <w:r w:rsidR="0009449E">
          <w:rPr>
            <w:rFonts w:asciiTheme="minorHAnsi" w:eastAsiaTheme="minorEastAsia" w:hAnsiTheme="minorHAnsi" w:cstheme="minorBidi"/>
            <w:b w:val="0"/>
            <w:smallCaps w:val="0"/>
            <w:noProof/>
            <w:lang w:eastAsia="hr-HR"/>
          </w:rPr>
          <w:tab/>
        </w:r>
        <w:r w:rsidR="0009449E" w:rsidRPr="00E227C1">
          <w:rPr>
            <w:rStyle w:val="Hiperveza"/>
            <w:noProof/>
          </w:rPr>
          <w:t>Energetsko siromaštvo</w:t>
        </w:r>
        <w:r w:rsidR="0009449E">
          <w:rPr>
            <w:noProof/>
            <w:webHidden/>
          </w:rPr>
          <w:tab/>
        </w:r>
        <w:r w:rsidR="0009449E">
          <w:rPr>
            <w:noProof/>
            <w:webHidden/>
          </w:rPr>
          <w:fldChar w:fldCharType="begin"/>
        </w:r>
        <w:r w:rsidR="0009449E">
          <w:rPr>
            <w:noProof/>
            <w:webHidden/>
          </w:rPr>
          <w:instrText xml:space="preserve"> PAGEREF _Toc46163835 \h </w:instrText>
        </w:r>
        <w:r w:rsidR="0009449E">
          <w:rPr>
            <w:noProof/>
            <w:webHidden/>
          </w:rPr>
        </w:r>
        <w:r w:rsidR="0009449E">
          <w:rPr>
            <w:noProof/>
            <w:webHidden/>
          </w:rPr>
          <w:fldChar w:fldCharType="separate"/>
        </w:r>
        <w:r w:rsidR="00CE61F3">
          <w:rPr>
            <w:noProof/>
            <w:webHidden/>
          </w:rPr>
          <w:t>67</w:t>
        </w:r>
        <w:r w:rsidR="0009449E">
          <w:rPr>
            <w:noProof/>
            <w:webHidden/>
          </w:rPr>
          <w:fldChar w:fldCharType="end"/>
        </w:r>
      </w:hyperlink>
    </w:p>
    <w:p w14:paraId="5D287728" w14:textId="0D9ECDC3" w:rsidR="0009449E" w:rsidRDefault="00A50909">
      <w:pPr>
        <w:pStyle w:val="Sadraj2"/>
        <w:rPr>
          <w:rFonts w:asciiTheme="minorHAnsi" w:eastAsiaTheme="minorEastAsia" w:hAnsiTheme="minorHAnsi" w:cstheme="minorBidi"/>
          <w:b w:val="0"/>
          <w:smallCaps w:val="0"/>
          <w:noProof/>
          <w:lang w:eastAsia="hr-HR"/>
        </w:rPr>
      </w:pPr>
      <w:hyperlink w:anchor="_Toc46163836" w:history="1">
        <w:r w:rsidR="0009449E" w:rsidRPr="00E227C1">
          <w:rPr>
            <w:rStyle w:val="Hiperveza"/>
            <w:noProof/>
          </w:rPr>
          <w:t>5.6</w:t>
        </w:r>
        <w:r w:rsidR="0009449E">
          <w:rPr>
            <w:rFonts w:asciiTheme="minorHAnsi" w:eastAsiaTheme="minorEastAsia" w:hAnsiTheme="minorHAnsi" w:cstheme="minorBidi"/>
            <w:b w:val="0"/>
            <w:smallCaps w:val="0"/>
            <w:noProof/>
            <w:lang w:eastAsia="hr-HR"/>
          </w:rPr>
          <w:tab/>
        </w:r>
        <w:r w:rsidR="0009449E" w:rsidRPr="00E227C1">
          <w:rPr>
            <w:rStyle w:val="Hiperveza"/>
            <w:noProof/>
          </w:rPr>
          <w:t>Promicanje vještina, novih tehnika i tehnologija u području zgrada gotovo nulte energije i energetske obnove</w:t>
        </w:r>
        <w:r w:rsidR="0009449E">
          <w:rPr>
            <w:noProof/>
            <w:webHidden/>
          </w:rPr>
          <w:tab/>
        </w:r>
        <w:r w:rsidR="0009449E">
          <w:rPr>
            <w:noProof/>
            <w:webHidden/>
          </w:rPr>
          <w:fldChar w:fldCharType="begin"/>
        </w:r>
        <w:r w:rsidR="0009449E">
          <w:rPr>
            <w:noProof/>
            <w:webHidden/>
          </w:rPr>
          <w:instrText xml:space="preserve"> PAGEREF _Toc46163836 \h </w:instrText>
        </w:r>
        <w:r w:rsidR="0009449E">
          <w:rPr>
            <w:noProof/>
            <w:webHidden/>
          </w:rPr>
        </w:r>
        <w:r w:rsidR="0009449E">
          <w:rPr>
            <w:noProof/>
            <w:webHidden/>
          </w:rPr>
          <w:fldChar w:fldCharType="separate"/>
        </w:r>
        <w:r w:rsidR="00CE61F3">
          <w:rPr>
            <w:noProof/>
            <w:webHidden/>
          </w:rPr>
          <w:t>69</w:t>
        </w:r>
        <w:r w:rsidR="0009449E">
          <w:rPr>
            <w:noProof/>
            <w:webHidden/>
          </w:rPr>
          <w:fldChar w:fldCharType="end"/>
        </w:r>
      </w:hyperlink>
    </w:p>
    <w:p w14:paraId="74702C8B" w14:textId="12445E8B" w:rsidR="0009449E" w:rsidRDefault="00A50909">
      <w:pPr>
        <w:pStyle w:val="Sadraj2"/>
        <w:rPr>
          <w:rFonts w:asciiTheme="minorHAnsi" w:eastAsiaTheme="minorEastAsia" w:hAnsiTheme="minorHAnsi" w:cstheme="minorBidi"/>
          <w:b w:val="0"/>
          <w:smallCaps w:val="0"/>
          <w:noProof/>
          <w:lang w:eastAsia="hr-HR"/>
        </w:rPr>
      </w:pPr>
      <w:hyperlink w:anchor="_Toc46163837" w:history="1">
        <w:r w:rsidR="0009449E" w:rsidRPr="00E227C1">
          <w:rPr>
            <w:rStyle w:val="Hiperveza"/>
            <w:noProof/>
          </w:rPr>
          <w:t>5.7</w:t>
        </w:r>
        <w:r w:rsidR="0009449E">
          <w:rPr>
            <w:rFonts w:asciiTheme="minorHAnsi" w:eastAsiaTheme="minorEastAsia" w:hAnsiTheme="minorHAnsi" w:cstheme="minorBidi"/>
            <w:b w:val="0"/>
            <w:smallCaps w:val="0"/>
            <w:noProof/>
            <w:lang w:eastAsia="hr-HR"/>
          </w:rPr>
          <w:tab/>
        </w:r>
        <w:r w:rsidR="0009449E" w:rsidRPr="00E227C1">
          <w:rPr>
            <w:rStyle w:val="Hiperveza"/>
            <w:noProof/>
          </w:rPr>
          <w:t>Elektromobilnost</w:t>
        </w:r>
        <w:r w:rsidR="0009449E">
          <w:rPr>
            <w:noProof/>
            <w:webHidden/>
          </w:rPr>
          <w:tab/>
        </w:r>
        <w:r w:rsidR="0009449E">
          <w:rPr>
            <w:noProof/>
            <w:webHidden/>
          </w:rPr>
          <w:fldChar w:fldCharType="begin"/>
        </w:r>
        <w:r w:rsidR="0009449E">
          <w:rPr>
            <w:noProof/>
            <w:webHidden/>
          </w:rPr>
          <w:instrText xml:space="preserve"> PAGEREF _Toc46163837 \h </w:instrText>
        </w:r>
        <w:r w:rsidR="0009449E">
          <w:rPr>
            <w:noProof/>
            <w:webHidden/>
          </w:rPr>
        </w:r>
        <w:r w:rsidR="0009449E">
          <w:rPr>
            <w:noProof/>
            <w:webHidden/>
          </w:rPr>
          <w:fldChar w:fldCharType="separate"/>
        </w:r>
        <w:r w:rsidR="00CE61F3">
          <w:rPr>
            <w:noProof/>
            <w:webHidden/>
          </w:rPr>
          <w:t>70</w:t>
        </w:r>
        <w:r w:rsidR="0009449E">
          <w:rPr>
            <w:noProof/>
            <w:webHidden/>
          </w:rPr>
          <w:fldChar w:fldCharType="end"/>
        </w:r>
      </w:hyperlink>
    </w:p>
    <w:p w14:paraId="0E69C9BC" w14:textId="652A47DB"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38" w:history="1">
        <w:r w:rsidR="0009449E" w:rsidRPr="00E227C1">
          <w:rPr>
            <w:rStyle w:val="Hiperveza"/>
            <w:noProof/>
          </w:rPr>
          <w:t>6</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Politike i mjere usmjerene na sve zgrade javnog sektora</w:t>
        </w:r>
        <w:r w:rsidR="0009449E">
          <w:rPr>
            <w:noProof/>
            <w:webHidden/>
          </w:rPr>
          <w:tab/>
        </w:r>
        <w:r w:rsidR="0009449E">
          <w:rPr>
            <w:noProof/>
            <w:webHidden/>
          </w:rPr>
          <w:fldChar w:fldCharType="begin"/>
        </w:r>
        <w:r w:rsidR="0009449E">
          <w:rPr>
            <w:noProof/>
            <w:webHidden/>
          </w:rPr>
          <w:instrText xml:space="preserve"> PAGEREF _Toc46163838 \h </w:instrText>
        </w:r>
        <w:r w:rsidR="0009449E">
          <w:rPr>
            <w:noProof/>
            <w:webHidden/>
          </w:rPr>
        </w:r>
        <w:r w:rsidR="0009449E">
          <w:rPr>
            <w:noProof/>
            <w:webHidden/>
          </w:rPr>
          <w:fldChar w:fldCharType="separate"/>
        </w:r>
        <w:r w:rsidR="00CE61F3">
          <w:rPr>
            <w:noProof/>
            <w:webHidden/>
          </w:rPr>
          <w:t>72</w:t>
        </w:r>
        <w:r w:rsidR="0009449E">
          <w:rPr>
            <w:noProof/>
            <w:webHidden/>
          </w:rPr>
          <w:fldChar w:fldCharType="end"/>
        </w:r>
      </w:hyperlink>
    </w:p>
    <w:p w14:paraId="0B6CE0E1" w14:textId="6557D7AC" w:rsidR="0009449E" w:rsidRDefault="00A50909">
      <w:pPr>
        <w:pStyle w:val="Sadraj2"/>
        <w:rPr>
          <w:rFonts w:asciiTheme="minorHAnsi" w:eastAsiaTheme="minorEastAsia" w:hAnsiTheme="minorHAnsi" w:cstheme="minorBidi"/>
          <w:b w:val="0"/>
          <w:smallCaps w:val="0"/>
          <w:noProof/>
          <w:lang w:eastAsia="hr-HR"/>
        </w:rPr>
      </w:pPr>
      <w:hyperlink w:anchor="_Toc46163839" w:history="1">
        <w:r w:rsidR="0009449E" w:rsidRPr="00E227C1">
          <w:rPr>
            <w:rStyle w:val="Hiperveza"/>
            <w:noProof/>
          </w:rPr>
          <w:t>6.1</w:t>
        </w:r>
        <w:r w:rsidR="0009449E">
          <w:rPr>
            <w:rFonts w:asciiTheme="minorHAnsi" w:eastAsiaTheme="minorEastAsia" w:hAnsiTheme="minorHAnsi" w:cstheme="minorBidi"/>
            <w:b w:val="0"/>
            <w:smallCaps w:val="0"/>
            <w:noProof/>
            <w:lang w:eastAsia="hr-HR"/>
          </w:rPr>
          <w:tab/>
        </w:r>
        <w:r w:rsidR="0009449E" w:rsidRPr="00E227C1">
          <w:rPr>
            <w:rStyle w:val="Hiperveza"/>
            <w:noProof/>
          </w:rPr>
          <w:t>Pregled politika i mjera za zgrade javnog sektora</w:t>
        </w:r>
        <w:r w:rsidR="0009449E">
          <w:rPr>
            <w:noProof/>
            <w:webHidden/>
          </w:rPr>
          <w:tab/>
        </w:r>
        <w:r w:rsidR="0009449E">
          <w:rPr>
            <w:noProof/>
            <w:webHidden/>
          </w:rPr>
          <w:fldChar w:fldCharType="begin"/>
        </w:r>
        <w:r w:rsidR="0009449E">
          <w:rPr>
            <w:noProof/>
            <w:webHidden/>
          </w:rPr>
          <w:instrText xml:space="preserve"> PAGEREF _Toc46163839 \h </w:instrText>
        </w:r>
        <w:r w:rsidR="0009449E">
          <w:rPr>
            <w:noProof/>
            <w:webHidden/>
          </w:rPr>
        </w:r>
        <w:r w:rsidR="0009449E">
          <w:rPr>
            <w:noProof/>
            <w:webHidden/>
          </w:rPr>
          <w:fldChar w:fldCharType="separate"/>
        </w:r>
        <w:r w:rsidR="00CE61F3">
          <w:rPr>
            <w:noProof/>
            <w:webHidden/>
          </w:rPr>
          <w:t>72</w:t>
        </w:r>
        <w:r w:rsidR="0009449E">
          <w:rPr>
            <w:noProof/>
            <w:webHidden/>
          </w:rPr>
          <w:fldChar w:fldCharType="end"/>
        </w:r>
      </w:hyperlink>
    </w:p>
    <w:p w14:paraId="6AFBD853" w14:textId="0E11D196" w:rsidR="0009449E" w:rsidRDefault="00A50909">
      <w:pPr>
        <w:pStyle w:val="Sadraj2"/>
        <w:rPr>
          <w:rFonts w:asciiTheme="minorHAnsi" w:eastAsiaTheme="minorEastAsia" w:hAnsiTheme="minorHAnsi" w:cstheme="minorBidi"/>
          <w:b w:val="0"/>
          <w:smallCaps w:val="0"/>
          <w:noProof/>
          <w:lang w:eastAsia="hr-HR"/>
        </w:rPr>
      </w:pPr>
      <w:hyperlink w:anchor="_Toc46163840" w:history="1">
        <w:r w:rsidR="0009449E" w:rsidRPr="00E227C1">
          <w:rPr>
            <w:rStyle w:val="Hiperveza"/>
            <w:noProof/>
          </w:rPr>
          <w:t>6.2</w:t>
        </w:r>
        <w:r w:rsidR="0009449E">
          <w:rPr>
            <w:rFonts w:asciiTheme="minorHAnsi" w:eastAsiaTheme="minorEastAsia" w:hAnsiTheme="minorHAnsi" w:cstheme="minorBidi"/>
            <w:b w:val="0"/>
            <w:smallCaps w:val="0"/>
            <w:noProof/>
            <w:lang w:eastAsia="hr-HR"/>
          </w:rPr>
          <w:tab/>
        </w:r>
        <w:r w:rsidR="0009449E" w:rsidRPr="00E227C1">
          <w:rPr>
            <w:rStyle w:val="Hiperveza"/>
            <w:noProof/>
          </w:rPr>
          <w:t>Politike i mjere za obnovu zgrada kulturne baštine te zgrada u vlasništvu i korištenju oružanih snaga RH</w:t>
        </w:r>
        <w:r w:rsidR="0009449E">
          <w:rPr>
            <w:noProof/>
            <w:webHidden/>
          </w:rPr>
          <w:tab/>
        </w:r>
        <w:r w:rsidR="0009449E">
          <w:rPr>
            <w:noProof/>
            <w:webHidden/>
          </w:rPr>
          <w:fldChar w:fldCharType="begin"/>
        </w:r>
        <w:r w:rsidR="0009449E">
          <w:rPr>
            <w:noProof/>
            <w:webHidden/>
          </w:rPr>
          <w:instrText xml:space="preserve"> PAGEREF _Toc46163840 \h </w:instrText>
        </w:r>
        <w:r w:rsidR="0009449E">
          <w:rPr>
            <w:noProof/>
            <w:webHidden/>
          </w:rPr>
        </w:r>
        <w:r w:rsidR="0009449E">
          <w:rPr>
            <w:noProof/>
            <w:webHidden/>
          </w:rPr>
          <w:fldChar w:fldCharType="separate"/>
        </w:r>
        <w:r w:rsidR="00CE61F3">
          <w:rPr>
            <w:noProof/>
            <w:webHidden/>
          </w:rPr>
          <w:t>74</w:t>
        </w:r>
        <w:r w:rsidR="0009449E">
          <w:rPr>
            <w:noProof/>
            <w:webHidden/>
          </w:rPr>
          <w:fldChar w:fldCharType="end"/>
        </w:r>
      </w:hyperlink>
    </w:p>
    <w:p w14:paraId="5AA6D805" w14:textId="5497CF3E"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41" w:history="1">
        <w:r w:rsidR="0009449E" w:rsidRPr="00E227C1">
          <w:rPr>
            <w:rStyle w:val="Hiperveza"/>
            <w:noProof/>
          </w:rPr>
          <w:t>7</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Nacionalne inicijative za promicanje pametnih tehnologija i dobro povezanih zgrada i zajednica kao i vještina i obrazovanja u građevinskom sektoru i sektoru energetske učinkovitosti</w:t>
        </w:r>
        <w:r w:rsidR="0009449E">
          <w:rPr>
            <w:noProof/>
            <w:webHidden/>
          </w:rPr>
          <w:tab/>
        </w:r>
        <w:r w:rsidR="0009449E">
          <w:rPr>
            <w:noProof/>
            <w:webHidden/>
          </w:rPr>
          <w:fldChar w:fldCharType="begin"/>
        </w:r>
        <w:r w:rsidR="0009449E">
          <w:rPr>
            <w:noProof/>
            <w:webHidden/>
          </w:rPr>
          <w:instrText xml:space="preserve"> PAGEREF _Toc46163841 \h </w:instrText>
        </w:r>
        <w:r w:rsidR="0009449E">
          <w:rPr>
            <w:noProof/>
            <w:webHidden/>
          </w:rPr>
        </w:r>
        <w:r w:rsidR="0009449E">
          <w:rPr>
            <w:noProof/>
            <w:webHidden/>
          </w:rPr>
          <w:fldChar w:fldCharType="separate"/>
        </w:r>
        <w:r w:rsidR="00CE61F3">
          <w:rPr>
            <w:noProof/>
            <w:webHidden/>
          </w:rPr>
          <w:t>75</w:t>
        </w:r>
        <w:r w:rsidR="0009449E">
          <w:rPr>
            <w:noProof/>
            <w:webHidden/>
          </w:rPr>
          <w:fldChar w:fldCharType="end"/>
        </w:r>
      </w:hyperlink>
    </w:p>
    <w:p w14:paraId="4DBA18FF" w14:textId="2F2B724C" w:rsidR="0009449E" w:rsidRDefault="00A50909">
      <w:pPr>
        <w:pStyle w:val="Sadraj2"/>
        <w:rPr>
          <w:rFonts w:asciiTheme="minorHAnsi" w:eastAsiaTheme="minorEastAsia" w:hAnsiTheme="minorHAnsi" w:cstheme="minorBidi"/>
          <w:b w:val="0"/>
          <w:smallCaps w:val="0"/>
          <w:noProof/>
          <w:lang w:eastAsia="hr-HR"/>
        </w:rPr>
      </w:pPr>
      <w:hyperlink w:anchor="_Toc46163842" w:history="1">
        <w:r w:rsidR="0009449E" w:rsidRPr="00E227C1">
          <w:rPr>
            <w:rStyle w:val="Hiperveza"/>
            <w:noProof/>
          </w:rPr>
          <w:t>7.1</w:t>
        </w:r>
        <w:r w:rsidR="0009449E">
          <w:rPr>
            <w:rFonts w:asciiTheme="minorHAnsi" w:eastAsiaTheme="minorEastAsia" w:hAnsiTheme="minorHAnsi" w:cstheme="minorBidi"/>
            <w:b w:val="0"/>
            <w:smallCaps w:val="0"/>
            <w:noProof/>
            <w:lang w:eastAsia="hr-HR"/>
          </w:rPr>
          <w:tab/>
        </w:r>
        <w:r w:rsidR="0009449E" w:rsidRPr="00E227C1">
          <w:rPr>
            <w:rStyle w:val="Hiperveza"/>
            <w:noProof/>
          </w:rPr>
          <w:t>Politike i mjere za promicanje pametnih tehnologija i dobro povezanih zgrada i zajednica</w:t>
        </w:r>
        <w:r w:rsidR="0009449E">
          <w:rPr>
            <w:noProof/>
            <w:webHidden/>
          </w:rPr>
          <w:tab/>
        </w:r>
        <w:r w:rsidR="0009449E">
          <w:rPr>
            <w:noProof/>
            <w:webHidden/>
          </w:rPr>
          <w:fldChar w:fldCharType="begin"/>
        </w:r>
        <w:r w:rsidR="0009449E">
          <w:rPr>
            <w:noProof/>
            <w:webHidden/>
          </w:rPr>
          <w:instrText xml:space="preserve"> PAGEREF _Toc46163842 \h </w:instrText>
        </w:r>
        <w:r w:rsidR="0009449E">
          <w:rPr>
            <w:noProof/>
            <w:webHidden/>
          </w:rPr>
        </w:r>
        <w:r w:rsidR="0009449E">
          <w:rPr>
            <w:noProof/>
            <w:webHidden/>
          </w:rPr>
          <w:fldChar w:fldCharType="separate"/>
        </w:r>
        <w:r w:rsidR="00CE61F3">
          <w:rPr>
            <w:noProof/>
            <w:webHidden/>
          </w:rPr>
          <w:t>75</w:t>
        </w:r>
        <w:r w:rsidR="0009449E">
          <w:rPr>
            <w:noProof/>
            <w:webHidden/>
          </w:rPr>
          <w:fldChar w:fldCharType="end"/>
        </w:r>
      </w:hyperlink>
    </w:p>
    <w:p w14:paraId="775DDF07" w14:textId="3612BA85" w:rsidR="0009449E" w:rsidRDefault="00A50909">
      <w:pPr>
        <w:pStyle w:val="Sadraj2"/>
        <w:rPr>
          <w:rFonts w:asciiTheme="minorHAnsi" w:eastAsiaTheme="minorEastAsia" w:hAnsiTheme="minorHAnsi" w:cstheme="minorBidi"/>
          <w:b w:val="0"/>
          <w:smallCaps w:val="0"/>
          <w:noProof/>
          <w:lang w:eastAsia="hr-HR"/>
        </w:rPr>
      </w:pPr>
      <w:hyperlink w:anchor="_Toc46163843" w:history="1">
        <w:r w:rsidR="0009449E" w:rsidRPr="00E227C1">
          <w:rPr>
            <w:rStyle w:val="Hiperveza"/>
            <w:noProof/>
          </w:rPr>
          <w:t>7.2</w:t>
        </w:r>
        <w:r w:rsidR="0009449E">
          <w:rPr>
            <w:rFonts w:asciiTheme="minorHAnsi" w:eastAsiaTheme="minorEastAsia" w:hAnsiTheme="minorHAnsi" w:cstheme="minorBidi"/>
            <w:b w:val="0"/>
            <w:smallCaps w:val="0"/>
            <w:noProof/>
            <w:lang w:eastAsia="hr-HR"/>
          </w:rPr>
          <w:tab/>
        </w:r>
        <w:r w:rsidR="0009449E" w:rsidRPr="00E227C1">
          <w:rPr>
            <w:rStyle w:val="Hiperveza"/>
            <w:noProof/>
          </w:rPr>
          <w:t>Politike i mjere za promicanje vještina i obrazovanje u građevinskom sektoru i sektoru energetske učinkovitosti</w:t>
        </w:r>
        <w:r w:rsidR="0009449E">
          <w:rPr>
            <w:noProof/>
            <w:webHidden/>
          </w:rPr>
          <w:tab/>
        </w:r>
        <w:r w:rsidR="0009449E">
          <w:rPr>
            <w:noProof/>
            <w:webHidden/>
          </w:rPr>
          <w:fldChar w:fldCharType="begin"/>
        </w:r>
        <w:r w:rsidR="0009449E">
          <w:rPr>
            <w:noProof/>
            <w:webHidden/>
          </w:rPr>
          <w:instrText xml:space="preserve"> PAGEREF _Toc46163843 \h </w:instrText>
        </w:r>
        <w:r w:rsidR="0009449E">
          <w:rPr>
            <w:noProof/>
            <w:webHidden/>
          </w:rPr>
        </w:r>
        <w:r w:rsidR="0009449E">
          <w:rPr>
            <w:noProof/>
            <w:webHidden/>
          </w:rPr>
          <w:fldChar w:fldCharType="separate"/>
        </w:r>
        <w:r w:rsidR="00CE61F3">
          <w:rPr>
            <w:noProof/>
            <w:webHidden/>
          </w:rPr>
          <w:t>76</w:t>
        </w:r>
        <w:r w:rsidR="0009449E">
          <w:rPr>
            <w:noProof/>
            <w:webHidden/>
          </w:rPr>
          <w:fldChar w:fldCharType="end"/>
        </w:r>
      </w:hyperlink>
    </w:p>
    <w:p w14:paraId="6741FB10" w14:textId="6002559A" w:rsidR="0009449E" w:rsidRDefault="00A50909">
      <w:pPr>
        <w:pStyle w:val="Sadraj3"/>
        <w:rPr>
          <w:rFonts w:asciiTheme="minorHAnsi" w:eastAsiaTheme="minorEastAsia" w:hAnsiTheme="minorHAnsi" w:cstheme="minorBidi"/>
          <w:noProof/>
          <w:sz w:val="22"/>
          <w:szCs w:val="22"/>
          <w:lang w:eastAsia="hr-HR"/>
        </w:rPr>
      </w:pPr>
      <w:hyperlink w:anchor="_Toc46163844" w:history="1">
        <w:r w:rsidR="0009449E" w:rsidRPr="00E227C1">
          <w:rPr>
            <w:rStyle w:val="Hiperveza"/>
            <w:rFonts w:ascii="Symbol" w:hAnsi="Symbol"/>
            <w:noProof/>
          </w:rPr>
          <w:t></w:t>
        </w:r>
        <w:r w:rsidR="0009449E">
          <w:rPr>
            <w:rFonts w:asciiTheme="minorHAnsi" w:eastAsiaTheme="minorEastAsia" w:hAnsiTheme="minorHAnsi" w:cstheme="minorBidi"/>
            <w:noProof/>
            <w:sz w:val="22"/>
            <w:szCs w:val="22"/>
            <w:lang w:eastAsia="hr-HR"/>
          </w:rPr>
          <w:tab/>
        </w:r>
        <w:r w:rsidR="0009449E" w:rsidRPr="00E227C1">
          <w:rPr>
            <w:rStyle w:val="Hiperveza"/>
            <w:noProof/>
          </w:rPr>
          <w:t>Croskills</w:t>
        </w:r>
        <w:r w:rsidR="0009449E">
          <w:rPr>
            <w:noProof/>
            <w:webHidden/>
          </w:rPr>
          <w:tab/>
        </w:r>
        <w:r w:rsidR="0009449E">
          <w:rPr>
            <w:noProof/>
            <w:webHidden/>
          </w:rPr>
          <w:fldChar w:fldCharType="begin"/>
        </w:r>
        <w:r w:rsidR="0009449E">
          <w:rPr>
            <w:noProof/>
            <w:webHidden/>
          </w:rPr>
          <w:instrText xml:space="preserve"> PAGEREF _Toc46163844 \h </w:instrText>
        </w:r>
        <w:r w:rsidR="0009449E">
          <w:rPr>
            <w:noProof/>
            <w:webHidden/>
          </w:rPr>
        </w:r>
        <w:r w:rsidR="0009449E">
          <w:rPr>
            <w:noProof/>
            <w:webHidden/>
          </w:rPr>
          <w:fldChar w:fldCharType="separate"/>
        </w:r>
        <w:r w:rsidR="00CE61F3">
          <w:rPr>
            <w:noProof/>
            <w:webHidden/>
          </w:rPr>
          <w:t>76</w:t>
        </w:r>
        <w:r w:rsidR="0009449E">
          <w:rPr>
            <w:noProof/>
            <w:webHidden/>
          </w:rPr>
          <w:fldChar w:fldCharType="end"/>
        </w:r>
      </w:hyperlink>
    </w:p>
    <w:p w14:paraId="694987D3" w14:textId="52913FF7" w:rsidR="0009449E" w:rsidRDefault="00A50909">
      <w:pPr>
        <w:pStyle w:val="Sadraj3"/>
        <w:rPr>
          <w:rFonts w:asciiTheme="minorHAnsi" w:eastAsiaTheme="minorEastAsia" w:hAnsiTheme="minorHAnsi" w:cstheme="minorBidi"/>
          <w:noProof/>
          <w:sz w:val="22"/>
          <w:szCs w:val="22"/>
          <w:lang w:eastAsia="hr-HR"/>
        </w:rPr>
      </w:pPr>
      <w:hyperlink w:anchor="_Toc46163845" w:history="1">
        <w:r w:rsidR="0009449E" w:rsidRPr="00E227C1">
          <w:rPr>
            <w:rStyle w:val="Hiperveza"/>
            <w:rFonts w:ascii="Symbol" w:hAnsi="Symbol"/>
            <w:noProof/>
          </w:rPr>
          <w:t></w:t>
        </w:r>
        <w:r w:rsidR="0009449E">
          <w:rPr>
            <w:rFonts w:asciiTheme="minorHAnsi" w:eastAsiaTheme="minorEastAsia" w:hAnsiTheme="minorHAnsi" w:cstheme="minorBidi"/>
            <w:noProof/>
            <w:sz w:val="22"/>
            <w:szCs w:val="22"/>
            <w:lang w:eastAsia="hr-HR"/>
          </w:rPr>
          <w:tab/>
        </w:r>
        <w:r w:rsidR="0009449E" w:rsidRPr="00E227C1">
          <w:rPr>
            <w:rStyle w:val="Hiperveza"/>
            <w:noProof/>
          </w:rPr>
          <w:t>Green Building Pro</w:t>
        </w:r>
        <w:r w:rsidR="0009449E">
          <w:rPr>
            <w:noProof/>
            <w:webHidden/>
          </w:rPr>
          <w:tab/>
        </w:r>
        <w:r w:rsidR="0009449E">
          <w:rPr>
            <w:noProof/>
            <w:webHidden/>
          </w:rPr>
          <w:fldChar w:fldCharType="begin"/>
        </w:r>
        <w:r w:rsidR="0009449E">
          <w:rPr>
            <w:noProof/>
            <w:webHidden/>
          </w:rPr>
          <w:instrText xml:space="preserve"> PAGEREF _Toc46163845 \h </w:instrText>
        </w:r>
        <w:r w:rsidR="0009449E">
          <w:rPr>
            <w:noProof/>
            <w:webHidden/>
          </w:rPr>
        </w:r>
        <w:r w:rsidR="0009449E">
          <w:rPr>
            <w:noProof/>
            <w:webHidden/>
          </w:rPr>
          <w:fldChar w:fldCharType="separate"/>
        </w:r>
        <w:r w:rsidR="00CE61F3">
          <w:rPr>
            <w:noProof/>
            <w:webHidden/>
          </w:rPr>
          <w:t>77</w:t>
        </w:r>
        <w:r w:rsidR="0009449E">
          <w:rPr>
            <w:noProof/>
            <w:webHidden/>
          </w:rPr>
          <w:fldChar w:fldCharType="end"/>
        </w:r>
      </w:hyperlink>
    </w:p>
    <w:p w14:paraId="44ECA2E3" w14:textId="75EB9811" w:rsidR="0009449E" w:rsidRDefault="00A50909">
      <w:pPr>
        <w:pStyle w:val="Sadraj3"/>
        <w:rPr>
          <w:rFonts w:asciiTheme="minorHAnsi" w:eastAsiaTheme="minorEastAsia" w:hAnsiTheme="minorHAnsi" w:cstheme="minorBidi"/>
          <w:noProof/>
          <w:sz w:val="22"/>
          <w:szCs w:val="22"/>
          <w:lang w:eastAsia="hr-HR"/>
        </w:rPr>
      </w:pPr>
      <w:hyperlink w:anchor="_Toc46163846" w:history="1">
        <w:r w:rsidR="0009449E" w:rsidRPr="00E227C1">
          <w:rPr>
            <w:rStyle w:val="Hiperveza"/>
            <w:rFonts w:ascii="Symbol" w:hAnsi="Symbol"/>
            <w:noProof/>
          </w:rPr>
          <w:t></w:t>
        </w:r>
        <w:r w:rsidR="0009449E">
          <w:rPr>
            <w:rFonts w:asciiTheme="minorHAnsi" w:eastAsiaTheme="minorEastAsia" w:hAnsiTheme="minorHAnsi" w:cstheme="minorBidi"/>
            <w:noProof/>
            <w:sz w:val="22"/>
            <w:szCs w:val="22"/>
            <w:lang w:eastAsia="hr-HR"/>
          </w:rPr>
          <w:tab/>
        </w:r>
        <w:r w:rsidR="0009449E" w:rsidRPr="00E227C1">
          <w:rPr>
            <w:rStyle w:val="Hiperveza"/>
            <w:noProof/>
          </w:rPr>
          <w:t>BuildUp</w:t>
        </w:r>
        <w:r w:rsidR="0009449E">
          <w:rPr>
            <w:noProof/>
            <w:webHidden/>
          </w:rPr>
          <w:tab/>
        </w:r>
        <w:r w:rsidR="0009449E">
          <w:rPr>
            <w:noProof/>
            <w:webHidden/>
          </w:rPr>
          <w:fldChar w:fldCharType="begin"/>
        </w:r>
        <w:r w:rsidR="0009449E">
          <w:rPr>
            <w:noProof/>
            <w:webHidden/>
          </w:rPr>
          <w:instrText xml:space="preserve"> PAGEREF _Toc46163846 \h </w:instrText>
        </w:r>
        <w:r w:rsidR="0009449E">
          <w:rPr>
            <w:noProof/>
            <w:webHidden/>
          </w:rPr>
        </w:r>
        <w:r w:rsidR="0009449E">
          <w:rPr>
            <w:noProof/>
            <w:webHidden/>
          </w:rPr>
          <w:fldChar w:fldCharType="separate"/>
        </w:r>
        <w:r w:rsidR="00CE61F3">
          <w:rPr>
            <w:noProof/>
            <w:webHidden/>
          </w:rPr>
          <w:t>77</w:t>
        </w:r>
        <w:r w:rsidR="0009449E">
          <w:rPr>
            <w:noProof/>
            <w:webHidden/>
          </w:rPr>
          <w:fldChar w:fldCharType="end"/>
        </w:r>
      </w:hyperlink>
    </w:p>
    <w:p w14:paraId="4531B442" w14:textId="2AEC984C"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47" w:history="1">
        <w:r w:rsidR="0009449E" w:rsidRPr="00E227C1">
          <w:rPr>
            <w:rStyle w:val="Hiperveza"/>
            <w:noProof/>
          </w:rPr>
          <w:t>8</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Plan s mjerama, mjerljivim pokazateljima napretka i pokazateljima za ključne točke 2030, 2040 i 2050</w:t>
        </w:r>
        <w:r w:rsidR="0009449E">
          <w:rPr>
            <w:noProof/>
            <w:webHidden/>
          </w:rPr>
          <w:tab/>
        </w:r>
        <w:r w:rsidR="0009449E">
          <w:rPr>
            <w:noProof/>
            <w:webHidden/>
          </w:rPr>
          <w:fldChar w:fldCharType="begin"/>
        </w:r>
        <w:r w:rsidR="0009449E">
          <w:rPr>
            <w:noProof/>
            <w:webHidden/>
          </w:rPr>
          <w:instrText xml:space="preserve"> PAGEREF _Toc46163847 \h </w:instrText>
        </w:r>
        <w:r w:rsidR="0009449E">
          <w:rPr>
            <w:noProof/>
            <w:webHidden/>
          </w:rPr>
        </w:r>
        <w:r w:rsidR="0009449E">
          <w:rPr>
            <w:noProof/>
            <w:webHidden/>
          </w:rPr>
          <w:fldChar w:fldCharType="separate"/>
        </w:r>
        <w:r w:rsidR="00CE61F3">
          <w:rPr>
            <w:noProof/>
            <w:webHidden/>
          </w:rPr>
          <w:t>79</w:t>
        </w:r>
        <w:r w:rsidR="0009449E">
          <w:rPr>
            <w:noProof/>
            <w:webHidden/>
          </w:rPr>
          <w:fldChar w:fldCharType="end"/>
        </w:r>
      </w:hyperlink>
    </w:p>
    <w:p w14:paraId="1EDD20FE" w14:textId="5368B4C9" w:rsidR="0009449E" w:rsidRDefault="00A50909">
      <w:pPr>
        <w:pStyle w:val="Sadraj2"/>
        <w:rPr>
          <w:rFonts w:asciiTheme="minorHAnsi" w:eastAsiaTheme="minorEastAsia" w:hAnsiTheme="minorHAnsi" w:cstheme="minorBidi"/>
          <w:b w:val="0"/>
          <w:smallCaps w:val="0"/>
          <w:noProof/>
          <w:lang w:eastAsia="hr-HR"/>
        </w:rPr>
      </w:pPr>
      <w:hyperlink w:anchor="_Toc46163848" w:history="1">
        <w:r w:rsidR="0009449E" w:rsidRPr="00E227C1">
          <w:rPr>
            <w:rStyle w:val="Hiperveza"/>
            <w:noProof/>
          </w:rPr>
          <w:t>8.1</w:t>
        </w:r>
        <w:r w:rsidR="0009449E">
          <w:rPr>
            <w:rFonts w:asciiTheme="minorHAnsi" w:eastAsiaTheme="minorEastAsia" w:hAnsiTheme="minorHAnsi" w:cstheme="minorBidi"/>
            <w:b w:val="0"/>
            <w:smallCaps w:val="0"/>
            <w:noProof/>
            <w:lang w:eastAsia="hr-HR"/>
          </w:rPr>
          <w:tab/>
        </w:r>
        <w:r w:rsidR="0009449E" w:rsidRPr="00E227C1">
          <w:rPr>
            <w:rStyle w:val="Hiperveza"/>
            <w:noProof/>
          </w:rPr>
          <w:t>Dugoročni plan s mjerama za dekarbonizaciju nacionalnog fonda zgrada do 2050.</w:t>
        </w:r>
        <w:r w:rsidR="0009449E">
          <w:rPr>
            <w:noProof/>
            <w:webHidden/>
          </w:rPr>
          <w:tab/>
        </w:r>
        <w:r w:rsidR="0009449E">
          <w:rPr>
            <w:noProof/>
            <w:webHidden/>
          </w:rPr>
          <w:fldChar w:fldCharType="begin"/>
        </w:r>
        <w:r w:rsidR="0009449E">
          <w:rPr>
            <w:noProof/>
            <w:webHidden/>
          </w:rPr>
          <w:instrText xml:space="preserve"> PAGEREF _Toc46163848 \h </w:instrText>
        </w:r>
        <w:r w:rsidR="0009449E">
          <w:rPr>
            <w:noProof/>
            <w:webHidden/>
          </w:rPr>
        </w:r>
        <w:r w:rsidR="0009449E">
          <w:rPr>
            <w:noProof/>
            <w:webHidden/>
          </w:rPr>
          <w:fldChar w:fldCharType="separate"/>
        </w:r>
        <w:r w:rsidR="00CE61F3">
          <w:rPr>
            <w:noProof/>
            <w:webHidden/>
          </w:rPr>
          <w:t>79</w:t>
        </w:r>
        <w:r w:rsidR="0009449E">
          <w:rPr>
            <w:noProof/>
            <w:webHidden/>
          </w:rPr>
          <w:fldChar w:fldCharType="end"/>
        </w:r>
      </w:hyperlink>
    </w:p>
    <w:p w14:paraId="24478206" w14:textId="722604E8" w:rsidR="0009449E" w:rsidRDefault="00A50909">
      <w:pPr>
        <w:pStyle w:val="Sadraj2"/>
        <w:rPr>
          <w:rFonts w:asciiTheme="minorHAnsi" w:eastAsiaTheme="minorEastAsia" w:hAnsiTheme="minorHAnsi" w:cstheme="minorBidi"/>
          <w:b w:val="0"/>
          <w:smallCaps w:val="0"/>
          <w:noProof/>
          <w:lang w:eastAsia="hr-HR"/>
        </w:rPr>
      </w:pPr>
      <w:hyperlink w:anchor="_Toc46163849" w:history="1">
        <w:r w:rsidR="0009449E" w:rsidRPr="00E227C1">
          <w:rPr>
            <w:rStyle w:val="Hiperveza"/>
            <w:noProof/>
          </w:rPr>
          <w:t>8.2</w:t>
        </w:r>
        <w:r w:rsidR="0009449E">
          <w:rPr>
            <w:rFonts w:asciiTheme="minorHAnsi" w:eastAsiaTheme="minorEastAsia" w:hAnsiTheme="minorHAnsi" w:cstheme="minorBidi"/>
            <w:b w:val="0"/>
            <w:smallCaps w:val="0"/>
            <w:noProof/>
            <w:lang w:eastAsia="hr-HR"/>
          </w:rPr>
          <w:tab/>
        </w:r>
        <w:r w:rsidR="0009449E" w:rsidRPr="00E227C1">
          <w:rPr>
            <w:rStyle w:val="Hiperveza"/>
            <w:noProof/>
          </w:rPr>
          <w:t>Mjerljivi pokazatelji napretka</w:t>
        </w:r>
        <w:r w:rsidR="0009449E">
          <w:rPr>
            <w:noProof/>
            <w:webHidden/>
          </w:rPr>
          <w:tab/>
        </w:r>
        <w:r w:rsidR="0009449E">
          <w:rPr>
            <w:noProof/>
            <w:webHidden/>
          </w:rPr>
          <w:fldChar w:fldCharType="begin"/>
        </w:r>
        <w:r w:rsidR="0009449E">
          <w:rPr>
            <w:noProof/>
            <w:webHidden/>
          </w:rPr>
          <w:instrText xml:space="preserve"> PAGEREF _Toc46163849 \h </w:instrText>
        </w:r>
        <w:r w:rsidR="0009449E">
          <w:rPr>
            <w:noProof/>
            <w:webHidden/>
          </w:rPr>
        </w:r>
        <w:r w:rsidR="0009449E">
          <w:rPr>
            <w:noProof/>
            <w:webHidden/>
          </w:rPr>
          <w:fldChar w:fldCharType="separate"/>
        </w:r>
        <w:r w:rsidR="00CE61F3">
          <w:rPr>
            <w:noProof/>
            <w:webHidden/>
          </w:rPr>
          <w:t>80</w:t>
        </w:r>
        <w:r w:rsidR="0009449E">
          <w:rPr>
            <w:noProof/>
            <w:webHidden/>
          </w:rPr>
          <w:fldChar w:fldCharType="end"/>
        </w:r>
      </w:hyperlink>
    </w:p>
    <w:p w14:paraId="6653DA2C" w14:textId="40223600" w:rsidR="0009449E" w:rsidRDefault="00A50909">
      <w:pPr>
        <w:pStyle w:val="Sadraj3"/>
        <w:rPr>
          <w:rFonts w:asciiTheme="minorHAnsi" w:eastAsiaTheme="minorEastAsia" w:hAnsiTheme="minorHAnsi" w:cstheme="minorBidi"/>
          <w:noProof/>
          <w:sz w:val="22"/>
          <w:szCs w:val="22"/>
          <w:lang w:eastAsia="hr-HR"/>
        </w:rPr>
      </w:pPr>
      <w:hyperlink w:anchor="_Toc46163850" w:history="1">
        <w:r w:rsidR="0009449E" w:rsidRPr="00E227C1">
          <w:rPr>
            <w:rStyle w:val="Hiperveza"/>
            <w:rFonts w:ascii="Symbol" w:hAnsi="Symbol"/>
            <w:noProof/>
          </w:rPr>
          <w:t></w:t>
        </w:r>
        <w:r w:rsidR="0009449E">
          <w:rPr>
            <w:rFonts w:asciiTheme="minorHAnsi" w:eastAsiaTheme="minorEastAsia" w:hAnsiTheme="minorHAnsi" w:cstheme="minorBidi"/>
            <w:noProof/>
            <w:sz w:val="22"/>
            <w:szCs w:val="22"/>
            <w:lang w:eastAsia="hr-HR"/>
          </w:rPr>
          <w:tab/>
        </w:r>
        <w:r w:rsidR="0009449E" w:rsidRPr="00E227C1">
          <w:rPr>
            <w:rStyle w:val="Hiperveza"/>
            <w:noProof/>
          </w:rPr>
          <w:t>Broj i površina obnovljenih zgrada</w:t>
        </w:r>
        <w:r w:rsidR="0009449E">
          <w:rPr>
            <w:noProof/>
            <w:webHidden/>
          </w:rPr>
          <w:tab/>
        </w:r>
        <w:r w:rsidR="0009449E">
          <w:rPr>
            <w:noProof/>
            <w:webHidden/>
          </w:rPr>
          <w:fldChar w:fldCharType="begin"/>
        </w:r>
        <w:r w:rsidR="0009449E">
          <w:rPr>
            <w:noProof/>
            <w:webHidden/>
          </w:rPr>
          <w:instrText xml:space="preserve"> PAGEREF _Toc46163850 \h </w:instrText>
        </w:r>
        <w:r w:rsidR="0009449E">
          <w:rPr>
            <w:noProof/>
            <w:webHidden/>
          </w:rPr>
        </w:r>
        <w:r w:rsidR="0009449E">
          <w:rPr>
            <w:noProof/>
            <w:webHidden/>
          </w:rPr>
          <w:fldChar w:fldCharType="separate"/>
        </w:r>
        <w:r w:rsidR="00CE61F3">
          <w:rPr>
            <w:noProof/>
            <w:webHidden/>
          </w:rPr>
          <w:t>80</w:t>
        </w:r>
        <w:r w:rsidR="0009449E">
          <w:rPr>
            <w:noProof/>
            <w:webHidden/>
          </w:rPr>
          <w:fldChar w:fldCharType="end"/>
        </w:r>
      </w:hyperlink>
    </w:p>
    <w:p w14:paraId="39E5BA74" w14:textId="3D01EDB4" w:rsidR="0009449E" w:rsidRDefault="00A50909">
      <w:pPr>
        <w:pStyle w:val="Sadraj3"/>
        <w:rPr>
          <w:rFonts w:asciiTheme="minorHAnsi" w:eastAsiaTheme="minorEastAsia" w:hAnsiTheme="minorHAnsi" w:cstheme="minorBidi"/>
          <w:noProof/>
          <w:sz w:val="22"/>
          <w:szCs w:val="22"/>
          <w:lang w:eastAsia="hr-HR"/>
        </w:rPr>
      </w:pPr>
      <w:hyperlink w:anchor="_Toc46163851" w:history="1">
        <w:r w:rsidR="0009449E" w:rsidRPr="00E227C1">
          <w:rPr>
            <w:rStyle w:val="Hiperveza"/>
            <w:rFonts w:ascii="Symbol" w:hAnsi="Symbol"/>
            <w:noProof/>
          </w:rPr>
          <w:t></w:t>
        </w:r>
        <w:r w:rsidR="0009449E">
          <w:rPr>
            <w:rFonts w:asciiTheme="minorHAnsi" w:eastAsiaTheme="minorEastAsia" w:hAnsiTheme="minorHAnsi" w:cstheme="minorBidi"/>
            <w:noProof/>
            <w:sz w:val="22"/>
            <w:szCs w:val="22"/>
            <w:lang w:eastAsia="hr-HR"/>
          </w:rPr>
          <w:tab/>
        </w:r>
        <w:r w:rsidR="0009449E" w:rsidRPr="00E227C1">
          <w:rPr>
            <w:rStyle w:val="Hiperveza"/>
            <w:noProof/>
          </w:rPr>
          <w:t>Povećanje kvalitete vanjske ovojnice</w:t>
        </w:r>
        <w:r w:rsidR="0009449E">
          <w:rPr>
            <w:noProof/>
            <w:webHidden/>
          </w:rPr>
          <w:tab/>
        </w:r>
        <w:r w:rsidR="0009449E">
          <w:rPr>
            <w:noProof/>
            <w:webHidden/>
          </w:rPr>
          <w:fldChar w:fldCharType="begin"/>
        </w:r>
        <w:r w:rsidR="0009449E">
          <w:rPr>
            <w:noProof/>
            <w:webHidden/>
          </w:rPr>
          <w:instrText xml:space="preserve"> PAGEREF _Toc46163851 \h </w:instrText>
        </w:r>
        <w:r w:rsidR="0009449E">
          <w:rPr>
            <w:noProof/>
            <w:webHidden/>
          </w:rPr>
        </w:r>
        <w:r w:rsidR="0009449E">
          <w:rPr>
            <w:noProof/>
            <w:webHidden/>
          </w:rPr>
          <w:fldChar w:fldCharType="separate"/>
        </w:r>
        <w:r w:rsidR="00CE61F3">
          <w:rPr>
            <w:noProof/>
            <w:webHidden/>
          </w:rPr>
          <w:t>81</w:t>
        </w:r>
        <w:r w:rsidR="0009449E">
          <w:rPr>
            <w:noProof/>
            <w:webHidden/>
          </w:rPr>
          <w:fldChar w:fldCharType="end"/>
        </w:r>
      </w:hyperlink>
    </w:p>
    <w:p w14:paraId="3D2EC045" w14:textId="03EBCCAF" w:rsidR="0009449E" w:rsidRDefault="00A50909">
      <w:pPr>
        <w:pStyle w:val="Sadraj3"/>
        <w:rPr>
          <w:rFonts w:asciiTheme="minorHAnsi" w:eastAsiaTheme="minorEastAsia" w:hAnsiTheme="minorHAnsi" w:cstheme="minorBidi"/>
          <w:noProof/>
          <w:sz w:val="22"/>
          <w:szCs w:val="22"/>
          <w:lang w:eastAsia="hr-HR"/>
        </w:rPr>
      </w:pPr>
      <w:hyperlink w:anchor="_Toc46163852" w:history="1">
        <w:r w:rsidR="0009449E" w:rsidRPr="00E227C1">
          <w:rPr>
            <w:rStyle w:val="Hiperveza"/>
            <w:rFonts w:ascii="Symbol" w:hAnsi="Symbol"/>
            <w:noProof/>
          </w:rPr>
          <w:t></w:t>
        </w:r>
        <w:r w:rsidR="0009449E">
          <w:rPr>
            <w:rFonts w:asciiTheme="minorHAnsi" w:eastAsiaTheme="minorEastAsia" w:hAnsiTheme="minorHAnsi" w:cstheme="minorBidi"/>
            <w:noProof/>
            <w:sz w:val="22"/>
            <w:szCs w:val="22"/>
            <w:lang w:eastAsia="hr-HR"/>
          </w:rPr>
          <w:tab/>
        </w:r>
        <w:r w:rsidR="0009449E" w:rsidRPr="00E227C1">
          <w:rPr>
            <w:rStyle w:val="Hiperveza"/>
            <w:noProof/>
          </w:rPr>
          <w:t>Broj nZEB zgrada</w:t>
        </w:r>
        <w:r w:rsidR="0009449E">
          <w:rPr>
            <w:noProof/>
            <w:webHidden/>
          </w:rPr>
          <w:tab/>
        </w:r>
        <w:r w:rsidR="0009449E">
          <w:rPr>
            <w:noProof/>
            <w:webHidden/>
          </w:rPr>
          <w:fldChar w:fldCharType="begin"/>
        </w:r>
        <w:r w:rsidR="0009449E">
          <w:rPr>
            <w:noProof/>
            <w:webHidden/>
          </w:rPr>
          <w:instrText xml:space="preserve"> PAGEREF _Toc46163852 \h </w:instrText>
        </w:r>
        <w:r w:rsidR="0009449E">
          <w:rPr>
            <w:noProof/>
            <w:webHidden/>
          </w:rPr>
        </w:r>
        <w:r w:rsidR="0009449E">
          <w:rPr>
            <w:noProof/>
            <w:webHidden/>
          </w:rPr>
          <w:fldChar w:fldCharType="separate"/>
        </w:r>
        <w:r w:rsidR="00CE61F3">
          <w:rPr>
            <w:noProof/>
            <w:webHidden/>
          </w:rPr>
          <w:t>81</w:t>
        </w:r>
        <w:r w:rsidR="0009449E">
          <w:rPr>
            <w:noProof/>
            <w:webHidden/>
          </w:rPr>
          <w:fldChar w:fldCharType="end"/>
        </w:r>
      </w:hyperlink>
    </w:p>
    <w:p w14:paraId="4592DF86" w14:textId="1C5112B5" w:rsidR="0009449E" w:rsidRDefault="00A50909">
      <w:pPr>
        <w:pStyle w:val="Sadraj3"/>
        <w:rPr>
          <w:rFonts w:asciiTheme="minorHAnsi" w:eastAsiaTheme="minorEastAsia" w:hAnsiTheme="minorHAnsi" w:cstheme="minorBidi"/>
          <w:noProof/>
          <w:sz w:val="22"/>
          <w:szCs w:val="22"/>
          <w:lang w:eastAsia="hr-HR"/>
        </w:rPr>
      </w:pPr>
      <w:hyperlink w:anchor="_Toc46163853" w:history="1">
        <w:r w:rsidR="0009449E" w:rsidRPr="00E227C1">
          <w:rPr>
            <w:rStyle w:val="Hiperveza"/>
            <w:rFonts w:ascii="Symbol" w:hAnsi="Symbol"/>
            <w:noProof/>
          </w:rPr>
          <w:t></w:t>
        </w:r>
        <w:r w:rsidR="0009449E">
          <w:rPr>
            <w:rFonts w:asciiTheme="minorHAnsi" w:eastAsiaTheme="minorEastAsia" w:hAnsiTheme="minorHAnsi" w:cstheme="minorBidi"/>
            <w:noProof/>
            <w:sz w:val="22"/>
            <w:szCs w:val="22"/>
            <w:lang w:eastAsia="hr-HR"/>
          </w:rPr>
          <w:tab/>
        </w:r>
        <w:r w:rsidR="0009449E" w:rsidRPr="00E227C1">
          <w:rPr>
            <w:rStyle w:val="Hiperveza"/>
            <w:noProof/>
          </w:rPr>
          <w:t>Ostali specifični pokazatelji</w:t>
        </w:r>
        <w:r w:rsidR="0009449E">
          <w:rPr>
            <w:noProof/>
            <w:webHidden/>
          </w:rPr>
          <w:tab/>
        </w:r>
        <w:r w:rsidR="0009449E">
          <w:rPr>
            <w:noProof/>
            <w:webHidden/>
          </w:rPr>
          <w:fldChar w:fldCharType="begin"/>
        </w:r>
        <w:r w:rsidR="0009449E">
          <w:rPr>
            <w:noProof/>
            <w:webHidden/>
          </w:rPr>
          <w:instrText xml:space="preserve"> PAGEREF _Toc46163853 \h </w:instrText>
        </w:r>
        <w:r w:rsidR="0009449E">
          <w:rPr>
            <w:noProof/>
            <w:webHidden/>
          </w:rPr>
        </w:r>
        <w:r w:rsidR="0009449E">
          <w:rPr>
            <w:noProof/>
            <w:webHidden/>
          </w:rPr>
          <w:fldChar w:fldCharType="separate"/>
        </w:r>
        <w:r w:rsidR="00CE61F3">
          <w:rPr>
            <w:noProof/>
            <w:webHidden/>
          </w:rPr>
          <w:t>81</w:t>
        </w:r>
        <w:r w:rsidR="0009449E">
          <w:rPr>
            <w:noProof/>
            <w:webHidden/>
          </w:rPr>
          <w:fldChar w:fldCharType="end"/>
        </w:r>
      </w:hyperlink>
    </w:p>
    <w:p w14:paraId="2E95E3F5" w14:textId="69F80241" w:rsidR="0009449E" w:rsidRDefault="00A50909">
      <w:pPr>
        <w:pStyle w:val="Sadraj2"/>
        <w:rPr>
          <w:rFonts w:asciiTheme="minorHAnsi" w:eastAsiaTheme="minorEastAsia" w:hAnsiTheme="minorHAnsi" w:cstheme="minorBidi"/>
          <w:b w:val="0"/>
          <w:smallCaps w:val="0"/>
          <w:noProof/>
          <w:lang w:eastAsia="hr-HR"/>
        </w:rPr>
      </w:pPr>
      <w:hyperlink w:anchor="_Toc46163854" w:history="1">
        <w:r w:rsidR="0009449E" w:rsidRPr="00E227C1">
          <w:rPr>
            <w:rStyle w:val="Hiperveza"/>
            <w:noProof/>
          </w:rPr>
          <w:t>8.3</w:t>
        </w:r>
        <w:r w:rsidR="0009449E">
          <w:rPr>
            <w:rFonts w:asciiTheme="minorHAnsi" w:eastAsiaTheme="minorEastAsia" w:hAnsiTheme="minorHAnsi" w:cstheme="minorBidi"/>
            <w:b w:val="0"/>
            <w:smallCaps w:val="0"/>
            <w:noProof/>
            <w:lang w:eastAsia="hr-HR"/>
          </w:rPr>
          <w:tab/>
        </w:r>
        <w:r w:rsidR="0009449E" w:rsidRPr="00E227C1">
          <w:rPr>
            <w:rStyle w:val="Hiperveza"/>
            <w:noProof/>
          </w:rPr>
          <w:t>Okvirne relevantne ključne točke za 2030., 2040. i 2050. godinu</w:t>
        </w:r>
        <w:r w:rsidR="0009449E">
          <w:rPr>
            <w:noProof/>
            <w:webHidden/>
          </w:rPr>
          <w:tab/>
        </w:r>
        <w:r w:rsidR="0009449E">
          <w:rPr>
            <w:noProof/>
            <w:webHidden/>
          </w:rPr>
          <w:fldChar w:fldCharType="begin"/>
        </w:r>
        <w:r w:rsidR="0009449E">
          <w:rPr>
            <w:noProof/>
            <w:webHidden/>
          </w:rPr>
          <w:instrText xml:space="preserve"> PAGEREF _Toc46163854 \h </w:instrText>
        </w:r>
        <w:r w:rsidR="0009449E">
          <w:rPr>
            <w:noProof/>
            <w:webHidden/>
          </w:rPr>
        </w:r>
        <w:r w:rsidR="0009449E">
          <w:rPr>
            <w:noProof/>
            <w:webHidden/>
          </w:rPr>
          <w:fldChar w:fldCharType="separate"/>
        </w:r>
        <w:r w:rsidR="00CE61F3">
          <w:rPr>
            <w:noProof/>
            <w:webHidden/>
          </w:rPr>
          <w:t>82</w:t>
        </w:r>
        <w:r w:rsidR="0009449E">
          <w:rPr>
            <w:noProof/>
            <w:webHidden/>
          </w:rPr>
          <w:fldChar w:fldCharType="end"/>
        </w:r>
      </w:hyperlink>
    </w:p>
    <w:p w14:paraId="47570465" w14:textId="195510C7" w:rsidR="0009449E" w:rsidRDefault="00A50909">
      <w:pPr>
        <w:pStyle w:val="Sadraj2"/>
        <w:rPr>
          <w:rFonts w:asciiTheme="minorHAnsi" w:eastAsiaTheme="minorEastAsia" w:hAnsiTheme="minorHAnsi" w:cstheme="minorBidi"/>
          <w:b w:val="0"/>
          <w:smallCaps w:val="0"/>
          <w:noProof/>
          <w:lang w:eastAsia="hr-HR"/>
        </w:rPr>
      </w:pPr>
      <w:hyperlink w:anchor="_Toc46163855" w:history="1">
        <w:r w:rsidR="0009449E" w:rsidRPr="00E227C1">
          <w:rPr>
            <w:rStyle w:val="Hiperveza"/>
            <w:noProof/>
          </w:rPr>
          <w:t>8.4</w:t>
        </w:r>
        <w:r w:rsidR="0009449E">
          <w:rPr>
            <w:rFonts w:asciiTheme="minorHAnsi" w:eastAsiaTheme="minorEastAsia" w:hAnsiTheme="minorHAnsi" w:cstheme="minorBidi"/>
            <w:b w:val="0"/>
            <w:smallCaps w:val="0"/>
            <w:noProof/>
            <w:lang w:eastAsia="hr-HR"/>
          </w:rPr>
          <w:tab/>
        </w:r>
        <w:r w:rsidR="0009449E" w:rsidRPr="00E227C1">
          <w:rPr>
            <w:rStyle w:val="Hiperveza"/>
            <w:noProof/>
          </w:rPr>
          <w:t>Doprinos okvirnom nacionalnom cilju poboljšanja energetske učinkovitosti</w:t>
        </w:r>
        <w:r w:rsidR="0009449E">
          <w:rPr>
            <w:noProof/>
            <w:webHidden/>
          </w:rPr>
          <w:tab/>
        </w:r>
        <w:r w:rsidR="0009449E">
          <w:rPr>
            <w:noProof/>
            <w:webHidden/>
          </w:rPr>
          <w:fldChar w:fldCharType="begin"/>
        </w:r>
        <w:r w:rsidR="0009449E">
          <w:rPr>
            <w:noProof/>
            <w:webHidden/>
          </w:rPr>
          <w:instrText xml:space="preserve"> PAGEREF _Toc46163855 \h </w:instrText>
        </w:r>
        <w:r w:rsidR="0009449E">
          <w:rPr>
            <w:noProof/>
            <w:webHidden/>
          </w:rPr>
        </w:r>
        <w:r w:rsidR="0009449E">
          <w:rPr>
            <w:noProof/>
            <w:webHidden/>
          </w:rPr>
          <w:fldChar w:fldCharType="separate"/>
        </w:r>
        <w:r w:rsidR="00CE61F3">
          <w:rPr>
            <w:noProof/>
            <w:webHidden/>
          </w:rPr>
          <w:t>82</w:t>
        </w:r>
        <w:r w:rsidR="0009449E">
          <w:rPr>
            <w:noProof/>
            <w:webHidden/>
          </w:rPr>
          <w:fldChar w:fldCharType="end"/>
        </w:r>
      </w:hyperlink>
    </w:p>
    <w:p w14:paraId="70508116" w14:textId="6DCB4C02"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56" w:history="1">
        <w:r w:rsidR="0009449E" w:rsidRPr="00E227C1">
          <w:rPr>
            <w:rStyle w:val="Hiperveza"/>
            <w:noProof/>
          </w:rPr>
          <w:t>9</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Procjena očekivanih ušteda energije i širih koristi</w:t>
        </w:r>
        <w:r w:rsidR="0009449E">
          <w:rPr>
            <w:noProof/>
            <w:webHidden/>
          </w:rPr>
          <w:tab/>
        </w:r>
        <w:r w:rsidR="0009449E">
          <w:rPr>
            <w:noProof/>
            <w:webHidden/>
          </w:rPr>
          <w:fldChar w:fldCharType="begin"/>
        </w:r>
        <w:r w:rsidR="0009449E">
          <w:rPr>
            <w:noProof/>
            <w:webHidden/>
          </w:rPr>
          <w:instrText xml:space="preserve"> PAGEREF _Toc46163856 \h </w:instrText>
        </w:r>
        <w:r w:rsidR="0009449E">
          <w:rPr>
            <w:noProof/>
            <w:webHidden/>
          </w:rPr>
        </w:r>
        <w:r w:rsidR="0009449E">
          <w:rPr>
            <w:noProof/>
            <w:webHidden/>
          </w:rPr>
          <w:fldChar w:fldCharType="separate"/>
        </w:r>
        <w:r w:rsidR="00CE61F3">
          <w:rPr>
            <w:noProof/>
            <w:webHidden/>
          </w:rPr>
          <w:t>84</w:t>
        </w:r>
        <w:r w:rsidR="0009449E">
          <w:rPr>
            <w:noProof/>
            <w:webHidden/>
          </w:rPr>
          <w:fldChar w:fldCharType="end"/>
        </w:r>
      </w:hyperlink>
    </w:p>
    <w:p w14:paraId="5B75267F" w14:textId="63B7F5DE" w:rsidR="0009449E" w:rsidRDefault="00A50909">
      <w:pPr>
        <w:pStyle w:val="Sadraj2"/>
        <w:rPr>
          <w:rFonts w:asciiTheme="minorHAnsi" w:eastAsiaTheme="minorEastAsia" w:hAnsiTheme="minorHAnsi" w:cstheme="minorBidi"/>
          <w:b w:val="0"/>
          <w:smallCaps w:val="0"/>
          <w:noProof/>
          <w:lang w:eastAsia="hr-HR"/>
        </w:rPr>
      </w:pPr>
      <w:hyperlink w:anchor="_Toc46163857" w:history="1">
        <w:r w:rsidR="0009449E" w:rsidRPr="00E227C1">
          <w:rPr>
            <w:rStyle w:val="Hiperveza"/>
            <w:noProof/>
          </w:rPr>
          <w:t>9.1</w:t>
        </w:r>
        <w:r w:rsidR="0009449E">
          <w:rPr>
            <w:rFonts w:asciiTheme="minorHAnsi" w:eastAsiaTheme="minorEastAsia" w:hAnsiTheme="minorHAnsi" w:cstheme="minorBidi"/>
            <w:b w:val="0"/>
            <w:smallCaps w:val="0"/>
            <w:noProof/>
            <w:lang w:eastAsia="hr-HR"/>
          </w:rPr>
          <w:tab/>
        </w:r>
        <w:r w:rsidR="0009449E" w:rsidRPr="00E227C1">
          <w:rPr>
            <w:rStyle w:val="Hiperveza"/>
            <w:noProof/>
          </w:rPr>
          <w:t>Procjena očekivanih ušteda energije i smanjenja emisija CO2</w:t>
        </w:r>
        <w:r w:rsidR="0009449E">
          <w:rPr>
            <w:noProof/>
            <w:webHidden/>
          </w:rPr>
          <w:tab/>
        </w:r>
        <w:r w:rsidR="0009449E">
          <w:rPr>
            <w:noProof/>
            <w:webHidden/>
          </w:rPr>
          <w:fldChar w:fldCharType="begin"/>
        </w:r>
        <w:r w:rsidR="0009449E">
          <w:rPr>
            <w:noProof/>
            <w:webHidden/>
          </w:rPr>
          <w:instrText xml:space="preserve"> PAGEREF _Toc46163857 \h </w:instrText>
        </w:r>
        <w:r w:rsidR="0009449E">
          <w:rPr>
            <w:noProof/>
            <w:webHidden/>
          </w:rPr>
        </w:r>
        <w:r w:rsidR="0009449E">
          <w:rPr>
            <w:noProof/>
            <w:webHidden/>
          </w:rPr>
          <w:fldChar w:fldCharType="separate"/>
        </w:r>
        <w:r w:rsidR="00CE61F3">
          <w:rPr>
            <w:noProof/>
            <w:webHidden/>
          </w:rPr>
          <w:t>84</w:t>
        </w:r>
        <w:r w:rsidR="0009449E">
          <w:rPr>
            <w:noProof/>
            <w:webHidden/>
          </w:rPr>
          <w:fldChar w:fldCharType="end"/>
        </w:r>
      </w:hyperlink>
    </w:p>
    <w:p w14:paraId="3852B991" w14:textId="3C0ED447" w:rsidR="0009449E" w:rsidRDefault="00A50909">
      <w:pPr>
        <w:pStyle w:val="Sadraj2"/>
        <w:rPr>
          <w:rFonts w:asciiTheme="minorHAnsi" w:eastAsiaTheme="minorEastAsia" w:hAnsiTheme="minorHAnsi" w:cstheme="minorBidi"/>
          <w:b w:val="0"/>
          <w:smallCaps w:val="0"/>
          <w:noProof/>
          <w:lang w:eastAsia="hr-HR"/>
        </w:rPr>
      </w:pPr>
      <w:hyperlink w:anchor="_Toc46163858" w:history="1">
        <w:r w:rsidR="0009449E" w:rsidRPr="00E227C1">
          <w:rPr>
            <w:rStyle w:val="Hiperveza"/>
            <w:noProof/>
          </w:rPr>
          <w:t>9.2</w:t>
        </w:r>
        <w:r w:rsidR="0009449E">
          <w:rPr>
            <w:rFonts w:asciiTheme="minorHAnsi" w:eastAsiaTheme="minorEastAsia" w:hAnsiTheme="minorHAnsi" w:cstheme="minorBidi"/>
            <w:b w:val="0"/>
            <w:smallCaps w:val="0"/>
            <w:noProof/>
            <w:lang w:eastAsia="hr-HR"/>
          </w:rPr>
          <w:tab/>
        </w:r>
        <w:r w:rsidR="0009449E" w:rsidRPr="00E227C1">
          <w:rPr>
            <w:rStyle w:val="Hiperveza"/>
            <w:noProof/>
          </w:rPr>
          <w:t>Doprinos postizanju ciljeva energetske učinkovitosti EU</w:t>
        </w:r>
        <w:r w:rsidR="0009449E">
          <w:rPr>
            <w:noProof/>
            <w:webHidden/>
          </w:rPr>
          <w:tab/>
        </w:r>
        <w:r w:rsidR="0009449E">
          <w:rPr>
            <w:noProof/>
            <w:webHidden/>
          </w:rPr>
          <w:fldChar w:fldCharType="begin"/>
        </w:r>
        <w:r w:rsidR="0009449E">
          <w:rPr>
            <w:noProof/>
            <w:webHidden/>
          </w:rPr>
          <w:instrText xml:space="preserve"> PAGEREF _Toc46163858 \h </w:instrText>
        </w:r>
        <w:r w:rsidR="0009449E">
          <w:rPr>
            <w:noProof/>
            <w:webHidden/>
          </w:rPr>
        </w:r>
        <w:r w:rsidR="0009449E">
          <w:rPr>
            <w:noProof/>
            <w:webHidden/>
          </w:rPr>
          <w:fldChar w:fldCharType="separate"/>
        </w:r>
        <w:r w:rsidR="00CE61F3">
          <w:rPr>
            <w:noProof/>
            <w:webHidden/>
          </w:rPr>
          <w:t>85</w:t>
        </w:r>
        <w:r w:rsidR="0009449E">
          <w:rPr>
            <w:noProof/>
            <w:webHidden/>
          </w:rPr>
          <w:fldChar w:fldCharType="end"/>
        </w:r>
      </w:hyperlink>
    </w:p>
    <w:p w14:paraId="58A5CAF0" w14:textId="34C5DCA3" w:rsidR="0009449E" w:rsidRDefault="00A50909">
      <w:pPr>
        <w:pStyle w:val="Sadraj2"/>
        <w:rPr>
          <w:rFonts w:asciiTheme="minorHAnsi" w:eastAsiaTheme="minorEastAsia" w:hAnsiTheme="minorHAnsi" w:cstheme="minorBidi"/>
          <w:b w:val="0"/>
          <w:smallCaps w:val="0"/>
          <w:noProof/>
          <w:lang w:eastAsia="hr-HR"/>
        </w:rPr>
      </w:pPr>
      <w:hyperlink w:anchor="_Toc46163859" w:history="1">
        <w:r w:rsidR="0009449E" w:rsidRPr="00E227C1">
          <w:rPr>
            <w:rStyle w:val="Hiperveza"/>
            <w:noProof/>
          </w:rPr>
          <w:t>9.3</w:t>
        </w:r>
        <w:r w:rsidR="0009449E">
          <w:rPr>
            <w:rFonts w:asciiTheme="minorHAnsi" w:eastAsiaTheme="minorEastAsia" w:hAnsiTheme="minorHAnsi" w:cstheme="minorBidi"/>
            <w:b w:val="0"/>
            <w:smallCaps w:val="0"/>
            <w:noProof/>
            <w:lang w:eastAsia="hr-HR"/>
          </w:rPr>
          <w:tab/>
        </w:r>
        <w:r w:rsidR="0009449E" w:rsidRPr="00E227C1">
          <w:rPr>
            <w:rStyle w:val="Hiperveza"/>
            <w:noProof/>
          </w:rPr>
          <w:t>Makroekonomski učinci na BDP, zaposlenost i državni proračun</w:t>
        </w:r>
        <w:r w:rsidR="0009449E">
          <w:rPr>
            <w:noProof/>
            <w:webHidden/>
          </w:rPr>
          <w:tab/>
        </w:r>
        <w:r w:rsidR="0009449E">
          <w:rPr>
            <w:noProof/>
            <w:webHidden/>
          </w:rPr>
          <w:fldChar w:fldCharType="begin"/>
        </w:r>
        <w:r w:rsidR="0009449E">
          <w:rPr>
            <w:noProof/>
            <w:webHidden/>
          </w:rPr>
          <w:instrText xml:space="preserve"> PAGEREF _Toc46163859 \h </w:instrText>
        </w:r>
        <w:r w:rsidR="0009449E">
          <w:rPr>
            <w:noProof/>
            <w:webHidden/>
          </w:rPr>
        </w:r>
        <w:r w:rsidR="0009449E">
          <w:rPr>
            <w:noProof/>
            <w:webHidden/>
          </w:rPr>
          <w:fldChar w:fldCharType="separate"/>
        </w:r>
        <w:r w:rsidR="00CE61F3">
          <w:rPr>
            <w:noProof/>
            <w:webHidden/>
          </w:rPr>
          <w:t>86</w:t>
        </w:r>
        <w:r w:rsidR="0009449E">
          <w:rPr>
            <w:noProof/>
            <w:webHidden/>
          </w:rPr>
          <w:fldChar w:fldCharType="end"/>
        </w:r>
      </w:hyperlink>
    </w:p>
    <w:p w14:paraId="6B673C2A" w14:textId="2651189D" w:rsidR="0009449E" w:rsidRDefault="00A50909">
      <w:pPr>
        <w:pStyle w:val="Sadraj2"/>
        <w:rPr>
          <w:rFonts w:asciiTheme="minorHAnsi" w:eastAsiaTheme="minorEastAsia" w:hAnsiTheme="minorHAnsi" w:cstheme="minorBidi"/>
          <w:b w:val="0"/>
          <w:smallCaps w:val="0"/>
          <w:noProof/>
          <w:lang w:eastAsia="hr-HR"/>
        </w:rPr>
      </w:pPr>
      <w:hyperlink w:anchor="_Toc46163860" w:history="1">
        <w:r w:rsidR="0009449E" w:rsidRPr="00E227C1">
          <w:rPr>
            <w:rStyle w:val="Hiperveza"/>
            <w:noProof/>
          </w:rPr>
          <w:t>9.4</w:t>
        </w:r>
        <w:r w:rsidR="0009449E">
          <w:rPr>
            <w:rFonts w:asciiTheme="minorHAnsi" w:eastAsiaTheme="minorEastAsia" w:hAnsiTheme="minorHAnsi" w:cstheme="minorBidi"/>
            <w:b w:val="0"/>
            <w:smallCaps w:val="0"/>
            <w:noProof/>
            <w:lang w:eastAsia="hr-HR"/>
          </w:rPr>
          <w:tab/>
        </w:r>
        <w:r w:rsidR="0009449E" w:rsidRPr="00E227C1">
          <w:rPr>
            <w:rStyle w:val="Hiperveza"/>
            <w:noProof/>
          </w:rPr>
          <w:t>Procjena širih koristi energetske obnove nacionalnog fonda zgrada</w:t>
        </w:r>
        <w:r w:rsidR="0009449E">
          <w:rPr>
            <w:noProof/>
            <w:webHidden/>
          </w:rPr>
          <w:tab/>
        </w:r>
        <w:r w:rsidR="0009449E">
          <w:rPr>
            <w:noProof/>
            <w:webHidden/>
          </w:rPr>
          <w:fldChar w:fldCharType="begin"/>
        </w:r>
        <w:r w:rsidR="0009449E">
          <w:rPr>
            <w:noProof/>
            <w:webHidden/>
          </w:rPr>
          <w:instrText xml:space="preserve"> PAGEREF _Toc46163860 \h </w:instrText>
        </w:r>
        <w:r w:rsidR="0009449E">
          <w:rPr>
            <w:noProof/>
            <w:webHidden/>
          </w:rPr>
        </w:r>
        <w:r w:rsidR="0009449E">
          <w:rPr>
            <w:noProof/>
            <w:webHidden/>
          </w:rPr>
          <w:fldChar w:fldCharType="separate"/>
        </w:r>
        <w:r w:rsidR="00CE61F3">
          <w:rPr>
            <w:noProof/>
            <w:webHidden/>
          </w:rPr>
          <w:t>89</w:t>
        </w:r>
        <w:r w:rsidR="0009449E">
          <w:rPr>
            <w:noProof/>
            <w:webHidden/>
          </w:rPr>
          <w:fldChar w:fldCharType="end"/>
        </w:r>
      </w:hyperlink>
    </w:p>
    <w:p w14:paraId="727C156F" w14:textId="38349021"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61" w:history="1">
        <w:r w:rsidR="0009449E" w:rsidRPr="00E227C1">
          <w:rPr>
            <w:rStyle w:val="Hiperveza"/>
            <w:noProof/>
          </w:rPr>
          <w:t>10</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Zaštita od požara i rizika povezanih s pojačanom seizmičkom aktivnošću</w:t>
        </w:r>
        <w:r w:rsidR="0009449E">
          <w:rPr>
            <w:noProof/>
            <w:webHidden/>
          </w:rPr>
          <w:tab/>
        </w:r>
        <w:r w:rsidR="0009449E">
          <w:rPr>
            <w:noProof/>
            <w:webHidden/>
          </w:rPr>
          <w:fldChar w:fldCharType="begin"/>
        </w:r>
        <w:r w:rsidR="0009449E">
          <w:rPr>
            <w:noProof/>
            <w:webHidden/>
          </w:rPr>
          <w:instrText xml:space="preserve"> PAGEREF _Toc46163861 \h </w:instrText>
        </w:r>
        <w:r w:rsidR="0009449E">
          <w:rPr>
            <w:noProof/>
            <w:webHidden/>
          </w:rPr>
        </w:r>
        <w:r w:rsidR="0009449E">
          <w:rPr>
            <w:noProof/>
            <w:webHidden/>
          </w:rPr>
          <w:fldChar w:fldCharType="separate"/>
        </w:r>
        <w:r w:rsidR="00CE61F3">
          <w:rPr>
            <w:noProof/>
            <w:webHidden/>
          </w:rPr>
          <w:t>91</w:t>
        </w:r>
        <w:r w:rsidR="0009449E">
          <w:rPr>
            <w:noProof/>
            <w:webHidden/>
          </w:rPr>
          <w:fldChar w:fldCharType="end"/>
        </w:r>
      </w:hyperlink>
    </w:p>
    <w:p w14:paraId="1D4F3F09" w14:textId="7177A6EC"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62" w:history="1">
        <w:r w:rsidR="0009449E" w:rsidRPr="00E227C1">
          <w:rPr>
            <w:rStyle w:val="Hiperveza"/>
            <w:noProof/>
          </w:rPr>
          <w:t>11</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Procjena potrebnih ulaganja i potpore mobilizaciji ulaganja u obnovu</w:t>
        </w:r>
        <w:r w:rsidR="0009449E">
          <w:rPr>
            <w:noProof/>
            <w:webHidden/>
          </w:rPr>
          <w:tab/>
        </w:r>
        <w:r w:rsidR="0009449E">
          <w:rPr>
            <w:noProof/>
            <w:webHidden/>
          </w:rPr>
          <w:fldChar w:fldCharType="begin"/>
        </w:r>
        <w:r w:rsidR="0009449E">
          <w:rPr>
            <w:noProof/>
            <w:webHidden/>
          </w:rPr>
          <w:instrText xml:space="preserve"> PAGEREF _Toc46163862 \h </w:instrText>
        </w:r>
        <w:r w:rsidR="0009449E">
          <w:rPr>
            <w:noProof/>
            <w:webHidden/>
          </w:rPr>
        </w:r>
        <w:r w:rsidR="0009449E">
          <w:rPr>
            <w:noProof/>
            <w:webHidden/>
          </w:rPr>
          <w:fldChar w:fldCharType="separate"/>
        </w:r>
        <w:r w:rsidR="00CE61F3">
          <w:rPr>
            <w:noProof/>
            <w:webHidden/>
          </w:rPr>
          <w:t>96</w:t>
        </w:r>
        <w:r w:rsidR="0009449E">
          <w:rPr>
            <w:noProof/>
            <w:webHidden/>
          </w:rPr>
          <w:fldChar w:fldCharType="end"/>
        </w:r>
      </w:hyperlink>
    </w:p>
    <w:p w14:paraId="0431EB8E" w14:textId="6DBCE2A1" w:rsidR="0009449E" w:rsidRDefault="00A50909">
      <w:pPr>
        <w:pStyle w:val="Sadraj2"/>
        <w:rPr>
          <w:rFonts w:asciiTheme="minorHAnsi" w:eastAsiaTheme="minorEastAsia" w:hAnsiTheme="minorHAnsi" w:cstheme="minorBidi"/>
          <w:b w:val="0"/>
          <w:smallCaps w:val="0"/>
          <w:noProof/>
          <w:lang w:eastAsia="hr-HR"/>
        </w:rPr>
      </w:pPr>
      <w:hyperlink w:anchor="_Toc46163863" w:history="1">
        <w:r w:rsidR="0009449E" w:rsidRPr="00E227C1">
          <w:rPr>
            <w:rStyle w:val="Hiperveza"/>
            <w:noProof/>
          </w:rPr>
          <w:t>11.1</w:t>
        </w:r>
        <w:r w:rsidR="0009449E">
          <w:rPr>
            <w:rFonts w:asciiTheme="minorHAnsi" w:eastAsiaTheme="minorEastAsia" w:hAnsiTheme="minorHAnsi" w:cstheme="minorBidi"/>
            <w:b w:val="0"/>
            <w:smallCaps w:val="0"/>
            <w:noProof/>
            <w:lang w:eastAsia="hr-HR"/>
          </w:rPr>
          <w:tab/>
        </w:r>
        <w:r w:rsidR="0009449E" w:rsidRPr="00E227C1">
          <w:rPr>
            <w:rStyle w:val="Hiperveza"/>
            <w:noProof/>
          </w:rPr>
          <w:t>Procjena potrebnih ulaganja</w:t>
        </w:r>
        <w:r w:rsidR="0009449E">
          <w:rPr>
            <w:noProof/>
            <w:webHidden/>
          </w:rPr>
          <w:tab/>
        </w:r>
        <w:r w:rsidR="0009449E">
          <w:rPr>
            <w:noProof/>
            <w:webHidden/>
          </w:rPr>
          <w:fldChar w:fldCharType="begin"/>
        </w:r>
        <w:r w:rsidR="0009449E">
          <w:rPr>
            <w:noProof/>
            <w:webHidden/>
          </w:rPr>
          <w:instrText xml:space="preserve"> PAGEREF _Toc46163863 \h </w:instrText>
        </w:r>
        <w:r w:rsidR="0009449E">
          <w:rPr>
            <w:noProof/>
            <w:webHidden/>
          </w:rPr>
        </w:r>
        <w:r w:rsidR="0009449E">
          <w:rPr>
            <w:noProof/>
            <w:webHidden/>
          </w:rPr>
          <w:fldChar w:fldCharType="separate"/>
        </w:r>
        <w:r w:rsidR="00CE61F3">
          <w:rPr>
            <w:noProof/>
            <w:webHidden/>
          </w:rPr>
          <w:t>96</w:t>
        </w:r>
        <w:r w:rsidR="0009449E">
          <w:rPr>
            <w:noProof/>
            <w:webHidden/>
          </w:rPr>
          <w:fldChar w:fldCharType="end"/>
        </w:r>
      </w:hyperlink>
    </w:p>
    <w:p w14:paraId="0A264B4E" w14:textId="30163D77" w:rsidR="0009449E" w:rsidRDefault="00A50909">
      <w:pPr>
        <w:pStyle w:val="Sadraj2"/>
        <w:rPr>
          <w:rFonts w:asciiTheme="minorHAnsi" w:eastAsiaTheme="minorEastAsia" w:hAnsiTheme="minorHAnsi" w:cstheme="minorBidi"/>
          <w:b w:val="0"/>
          <w:smallCaps w:val="0"/>
          <w:noProof/>
          <w:lang w:eastAsia="hr-HR"/>
        </w:rPr>
      </w:pPr>
      <w:hyperlink w:anchor="_Toc46163864" w:history="1">
        <w:r w:rsidR="0009449E" w:rsidRPr="00E227C1">
          <w:rPr>
            <w:rStyle w:val="Hiperveza"/>
            <w:noProof/>
          </w:rPr>
          <w:t>11.2</w:t>
        </w:r>
        <w:r w:rsidR="0009449E">
          <w:rPr>
            <w:rFonts w:asciiTheme="minorHAnsi" w:eastAsiaTheme="minorEastAsia" w:hAnsiTheme="minorHAnsi" w:cstheme="minorBidi"/>
            <w:b w:val="0"/>
            <w:smallCaps w:val="0"/>
            <w:noProof/>
            <w:lang w:eastAsia="hr-HR"/>
          </w:rPr>
          <w:tab/>
        </w:r>
        <w:r w:rsidR="0009449E" w:rsidRPr="00E227C1">
          <w:rPr>
            <w:rStyle w:val="Hiperveza"/>
            <w:noProof/>
          </w:rPr>
          <w:t>Identifikacija izvora financiranja</w:t>
        </w:r>
        <w:r w:rsidR="0009449E">
          <w:rPr>
            <w:noProof/>
            <w:webHidden/>
          </w:rPr>
          <w:tab/>
        </w:r>
        <w:r w:rsidR="0009449E">
          <w:rPr>
            <w:noProof/>
            <w:webHidden/>
          </w:rPr>
          <w:fldChar w:fldCharType="begin"/>
        </w:r>
        <w:r w:rsidR="0009449E">
          <w:rPr>
            <w:noProof/>
            <w:webHidden/>
          </w:rPr>
          <w:instrText xml:space="preserve"> PAGEREF _Toc46163864 \h </w:instrText>
        </w:r>
        <w:r w:rsidR="0009449E">
          <w:rPr>
            <w:noProof/>
            <w:webHidden/>
          </w:rPr>
        </w:r>
        <w:r w:rsidR="0009449E">
          <w:rPr>
            <w:noProof/>
            <w:webHidden/>
          </w:rPr>
          <w:fldChar w:fldCharType="separate"/>
        </w:r>
        <w:r w:rsidR="00CE61F3">
          <w:rPr>
            <w:noProof/>
            <w:webHidden/>
          </w:rPr>
          <w:t>97</w:t>
        </w:r>
        <w:r w:rsidR="0009449E">
          <w:rPr>
            <w:noProof/>
            <w:webHidden/>
          </w:rPr>
          <w:fldChar w:fldCharType="end"/>
        </w:r>
      </w:hyperlink>
    </w:p>
    <w:p w14:paraId="7A23A2F5" w14:textId="32AB3358" w:rsidR="0009449E" w:rsidRDefault="00A50909">
      <w:pPr>
        <w:pStyle w:val="Sadraj3"/>
        <w:rPr>
          <w:rFonts w:asciiTheme="minorHAnsi" w:eastAsiaTheme="minorEastAsia" w:hAnsiTheme="minorHAnsi" w:cstheme="minorBidi"/>
          <w:noProof/>
          <w:sz w:val="22"/>
          <w:szCs w:val="22"/>
          <w:lang w:eastAsia="hr-HR"/>
        </w:rPr>
      </w:pPr>
      <w:hyperlink w:anchor="_Toc46163865" w:history="1">
        <w:r w:rsidR="0009449E" w:rsidRPr="00E227C1">
          <w:rPr>
            <w:rStyle w:val="Hiperveza"/>
            <w:noProof/>
          </w:rPr>
          <w:t>11.2.1</w:t>
        </w:r>
        <w:r w:rsidR="0009449E">
          <w:rPr>
            <w:rFonts w:asciiTheme="minorHAnsi" w:eastAsiaTheme="minorEastAsia" w:hAnsiTheme="minorHAnsi" w:cstheme="minorBidi"/>
            <w:noProof/>
            <w:sz w:val="22"/>
            <w:szCs w:val="22"/>
            <w:lang w:eastAsia="hr-HR"/>
          </w:rPr>
          <w:tab/>
        </w:r>
        <w:r w:rsidR="0009449E" w:rsidRPr="00E227C1">
          <w:rPr>
            <w:rStyle w:val="Hiperveza"/>
            <w:noProof/>
          </w:rPr>
          <w:t>Postojeći izvori financiranja</w:t>
        </w:r>
        <w:r w:rsidR="0009449E">
          <w:rPr>
            <w:noProof/>
            <w:webHidden/>
          </w:rPr>
          <w:tab/>
        </w:r>
        <w:r w:rsidR="0009449E">
          <w:rPr>
            <w:noProof/>
            <w:webHidden/>
          </w:rPr>
          <w:fldChar w:fldCharType="begin"/>
        </w:r>
        <w:r w:rsidR="0009449E">
          <w:rPr>
            <w:noProof/>
            <w:webHidden/>
          </w:rPr>
          <w:instrText xml:space="preserve"> PAGEREF _Toc46163865 \h </w:instrText>
        </w:r>
        <w:r w:rsidR="0009449E">
          <w:rPr>
            <w:noProof/>
            <w:webHidden/>
          </w:rPr>
        </w:r>
        <w:r w:rsidR="0009449E">
          <w:rPr>
            <w:noProof/>
            <w:webHidden/>
          </w:rPr>
          <w:fldChar w:fldCharType="separate"/>
        </w:r>
        <w:r w:rsidR="00CE61F3">
          <w:rPr>
            <w:noProof/>
            <w:webHidden/>
          </w:rPr>
          <w:t>97</w:t>
        </w:r>
        <w:r w:rsidR="0009449E">
          <w:rPr>
            <w:noProof/>
            <w:webHidden/>
          </w:rPr>
          <w:fldChar w:fldCharType="end"/>
        </w:r>
      </w:hyperlink>
    </w:p>
    <w:p w14:paraId="442F96FA" w14:textId="0A3A3030" w:rsidR="0009449E" w:rsidRDefault="00A50909">
      <w:pPr>
        <w:pStyle w:val="Sadraj3"/>
        <w:rPr>
          <w:rFonts w:asciiTheme="minorHAnsi" w:eastAsiaTheme="minorEastAsia" w:hAnsiTheme="minorHAnsi" w:cstheme="minorBidi"/>
          <w:noProof/>
          <w:sz w:val="22"/>
          <w:szCs w:val="22"/>
          <w:lang w:eastAsia="hr-HR"/>
        </w:rPr>
      </w:pPr>
      <w:hyperlink w:anchor="_Toc46163866" w:history="1">
        <w:r w:rsidR="0009449E" w:rsidRPr="00E227C1">
          <w:rPr>
            <w:rStyle w:val="Hiperveza"/>
            <w:noProof/>
          </w:rPr>
          <w:t>11.2.2</w:t>
        </w:r>
        <w:r w:rsidR="0009449E">
          <w:rPr>
            <w:rFonts w:asciiTheme="minorHAnsi" w:eastAsiaTheme="minorEastAsia" w:hAnsiTheme="minorHAnsi" w:cstheme="minorBidi"/>
            <w:noProof/>
            <w:sz w:val="22"/>
            <w:szCs w:val="22"/>
            <w:lang w:eastAsia="hr-HR"/>
          </w:rPr>
          <w:tab/>
        </w:r>
        <w:r w:rsidR="0009449E" w:rsidRPr="00E227C1">
          <w:rPr>
            <w:rStyle w:val="Hiperveza"/>
            <w:noProof/>
          </w:rPr>
          <w:t>Financijske barijere i ograničenja</w:t>
        </w:r>
        <w:r w:rsidR="0009449E">
          <w:rPr>
            <w:noProof/>
            <w:webHidden/>
          </w:rPr>
          <w:tab/>
        </w:r>
        <w:r w:rsidR="0009449E">
          <w:rPr>
            <w:noProof/>
            <w:webHidden/>
          </w:rPr>
          <w:fldChar w:fldCharType="begin"/>
        </w:r>
        <w:r w:rsidR="0009449E">
          <w:rPr>
            <w:noProof/>
            <w:webHidden/>
          </w:rPr>
          <w:instrText xml:space="preserve"> PAGEREF _Toc46163866 \h </w:instrText>
        </w:r>
        <w:r w:rsidR="0009449E">
          <w:rPr>
            <w:noProof/>
            <w:webHidden/>
          </w:rPr>
        </w:r>
        <w:r w:rsidR="0009449E">
          <w:rPr>
            <w:noProof/>
            <w:webHidden/>
          </w:rPr>
          <w:fldChar w:fldCharType="separate"/>
        </w:r>
        <w:r w:rsidR="00CE61F3">
          <w:rPr>
            <w:noProof/>
            <w:webHidden/>
          </w:rPr>
          <w:t>98</w:t>
        </w:r>
        <w:r w:rsidR="0009449E">
          <w:rPr>
            <w:noProof/>
            <w:webHidden/>
          </w:rPr>
          <w:fldChar w:fldCharType="end"/>
        </w:r>
      </w:hyperlink>
    </w:p>
    <w:p w14:paraId="70BFC5F7" w14:textId="30CEF8C9" w:rsidR="0009449E" w:rsidRDefault="00A50909">
      <w:pPr>
        <w:pStyle w:val="Sadraj3"/>
        <w:rPr>
          <w:rFonts w:asciiTheme="minorHAnsi" w:eastAsiaTheme="minorEastAsia" w:hAnsiTheme="minorHAnsi" w:cstheme="minorBidi"/>
          <w:noProof/>
          <w:sz w:val="22"/>
          <w:szCs w:val="22"/>
          <w:lang w:eastAsia="hr-HR"/>
        </w:rPr>
      </w:pPr>
      <w:hyperlink w:anchor="_Toc46163867" w:history="1">
        <w:r w:rsidR="0009449E" w:rsidRPr="00E227C1">
          <w:rPr>
            <w:rStyle w:val="Hiperveza"/>
            <w:noProof/>
          </w:rPr>
          <w:t>11.2.3</w:t>
        </w:r>
        <w:r w:rsidR="0009449E">
          <w:rPr>
            <w:rFonts w:asciiTheme="minorHAnsi" w:eastAsiaTheme="minorEastAsia" w:hAnsiTheme="minorHAnsi" w:cstheme="minorBidi"/>
            <w:noProof/>
            <w:sz w:val="22"/>
            <w:szCs w:val="22"/>
            <w:lang w:eastAsia="hr-HR"/>
          </w:rPr>
          <w:tab/>
        </w:r>
        <w:r w:rsidR="0009449E" w:rsidRPr="00E227C1">
          <w:rPr>
            <w:rStyle w:val="Hiperveza"/>
            <w:noProof/>
          </w:rPr>
          <w:t>Dugoročni model financiranja energetske obnove i izvori financiranja</w:t>
        </w:r>
        <w:r w:rsidR="0009449E">
          <w:rPr>
            <w:noProof/>
            <w:webHidden/>
          </w:rPr>
          <w:tab/>
        </w:r>
        <w:r w:rsidR="0009449E">
          <w:rPr>
            <w:noProof/>
            <w:webHidden/>
          </w:rPr>
          <w:fldChar w:fldCharType="begin"/>
        </w:r>
        <w:r w:rsidR="0009449E">
          <w:rPr>
            <w:noProof/>
            <w:webHidden/>
          </w:rPr>
          <w:instrText xml:space="preserve"> PAGEREF _Toc46163867 \h </w:instrText>
        </w:r>
        <w:r w:rsidR="0009449E">
          <w:rPr>
            <w:noProof/>
            <w:webHidden/>
          </w:rPr>
        </w:r>
        <w:r w:rsidR="0009449E">
          <w:rPr>
            <w:noProof/>
            <w:webHidden/>
          </w:rPr>
          <w:fldChar w:fldCharType="separate"/>
        </w:r>
        <w:r w:rsidR="00CE61F3">
          <w:rPr>
            <w:noProof/>
            <w:webHidden/>
          </w:rPr>
          <w:t>99</w:t>
        </w:r>
        <w:r w:rsidR="0009449E">
          <w:rPr>
            <w:noProof/>
            <w:webHidden/>
          </w:rPr>
          <w:fldChar w:fldCharType="end"/>
        </w:r>
      </w:hyperlink>
    </w:p>
    <w:p w14:paraId="081A8A12" w14:textId="02609787" w:rsidR="0009449E" w:rsidRDefault="00A50909">
      <w:pPr>
        <w:pStyle w:val="Sadraj2"/>
        <w:rPr>
          <w:rFonts w:asciiTheme="minorHAnsi" w:eastAsiaTheme="minorEastAsia" w:hAnsiTheme="minorHAnsi" w:cstheme="minorBidi"/>
          <w:b w:val="0"/>
          <w:smallCaps w:val="0"/>
          <w:noProof/>
          <w:lang w:eastAsia="hr-HR"/>
        </w:rPr>
      </w:pPr>
      <w:hyperlink w:anchor="_Toc46163868" w:history="1">
        <w:r w:rsidR="0009449E" w:rsidRPr="00E227C1">
          <w:rPr>
            <w:rStyle w:val="Hiperveza"/>
            <w:noProof/>
          </w:rPr>
          <w:t>11.3</w:t>
        </w:r>
        <w:r w:rsidR="0009449E">
          <w:rPr>
            <w:rFonts w:asciiTheme="minorHAnsi" w:eastAsiaTheme="minorEastAsia" w:hAnsiTheme="minorHAnsi" w:cstheme="minorBidi"/>
            <w:b w:val="0"/>
            <w:smallCaps w:val="0"/>
            <w:noProof/>
            <w:lang w:eastAsia="hr-HR"/>
          </w:rPr>
          <w:tab/>
        </w:r>
        <w:r w:rsidR="0009449E" w:rsidRPr="00E227C1">
          <w:rPr>
            <w:rStyle w:val="Hiperveza"/>
            <w:noProof/>
          </w:rPr>
          <w:t>Aktivnosti za mobilizaciju ulaganja</w:t>
        </w:r>
        <w:r w:rsidR="0009449E">
          <w:rPr>
            <w:noProof/>
            <w:webHidden/>
          </w:rPr>
          <w:tab/>
        </w:r>
        <w:r w:rsidR="0009449E">
          <w:rPr>
            <w:noProof/>
            <w:webHidden/>
          </w:rPr>
          <w:fldChar w:fldCharType="begin"/>
        </w:r>
        <w:r w:rsidR="0009449E">
          <w:rPr>
            <w:noProof/>
            <w:webHidden/>
          </w:rPr>
          <w:instrText xml:space="preserve"> PAGEREF _Toc46163868 \h </w:instrText>
        </w:r>
        <w:r w:rsidR="0009449E">
          <w:rPr>
            <w:noProof/>
            <w:webHidden/>
          </w:rPr>
        </w:r>
        <w:r w:rsidR="0009449E">
          <w:rPr>
            <w:noProof/>
            <w:webHidden/>
          </w:rPr>
          <w:fldChar w:fldCharType="separate"/>
        </w:r>
        <w:r w:rsidR="00CE61F3">
          <w:rPr>
            <w:noProof/>
            <w:webHidden/>
          </w:rPr>
          <w:t>101</w:t>
        </w:r>
        <w:r w:rsidR="0009449E">
          <w:rPr>
            <w:noProof/>
            <w:webHidden/>
          </w:rPr>
          <w:fldChar w:fldCharType="end"/>
        </w:r>
      </w:hyperlink>
    </w:p>
    <w:p w14:paraId="7D2F9965" w14:textId="31497325"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69" w:history="1">
        <w:r w:rsidR="0009449E" w:rsidRPr="00E227C1">
          <w:rPr>
            <w:rStyle w:val="Hiperveza"/>
            <w:noProof/>
          </w:rPr>
          <w:t>12</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Sažetak rezultata javnog savjetovanja o dugoročnoj strategiji</w:t>
        </w:r>
        <w:r w:rsidR="0009449E">
          <w:rPr>
            <w:noProof/>
            <w:webHidden/>
          </w:rPr>
          <w:tab/>
        </w:r>
        <w:r w:rsidR="0009449E">
          <w:rPr>
            <w:noProof/>
            <w:webHidden/>
          </w:rPr>
          <w:fldChar w:fldCharType="begin"/>
        </w:r>
        <w:r w:rsidR="0009449E">
          <w:rPr>
            <w:noProof/>
            <w:webHidden/>
          </w:rPr>
          <w:instrText xml:space="preserve"> PAGEREF _Toc46163869 \h </w:instrText>
        </w:r>
        <w:r w:rsidR="0009449E">
          <w:rPr>
            <w:noProof/>
            <w:webHidden/>
          </w:rPr>
        </w:r>
        <w:r w:rsidR="0009449E">
          <w:rPr>
            <w:noProof/>
            <w:webHidden/>
          </w:rPr>
          <w:fldChar w:fldCharType="separate"/>
        </w:r>
        <w:r w:rsidR="00CE61F3">
          <w:rPr>
            <w:noProof/>
            <w:webHidden/>
          </w:rPr>
          <w:t>103</w:t>
        </w:r>
        <w:r w:rsidR="0009449E">
          <w:rPr>
            <w:noProof/>
            <w:webHidden/>
          </w:rPr>
          <w:fldChar w:fldCharType="end"/>
        </w:r>
      </w:hyperlink>
    </w:p>
    <w:p w14:paraId="261CB520" w14:textId="63FAC77A" w:rsidR="0009449E" w:rsidRDefault="00A50909">
      <w:pPr>
        <w:pStyle w:val="Sadraj2"/>
        <w:rPr>
          <w:rFonts w:asciiTheme="minorHAnsi" w:eastAsiaTheme="minorEastAsia" w:hAnsiTheme="minorHAnsi" w:cstheme="minorBidi"/>
          <w:b w:val="0"/>
          <w:smallCaps w:val="0"/>
          <w:noProof/>
          <w:lang w:eastAsia="hr-HR"/>
        </w:rPr>
      </w:pPr>
      <w:hyperlink w:anchor="_Toc46163870" w:history="1">
        <w:r w:rsidR="0009449E" w:rsidRPr="00E227C1">
          <w:rPr>
            <w:rStyle w:val="Hiperveza"/>
            <w:noProof/>
          </w:rPr>
          <w:t>12.1</w:t>
        </w:r>
        <w:r w:rsidR="0009449E">
          <w:rPr>
            <w:rFonts w:asciiTheme="minorHAnsi" w:eastAsiaTheme="minorEastAsia" w:hAnsiTheme="minorHAnsi" w:cstheme="minorBidi"/>
            <w:b w:val="0"/>
            <w:smallCaps w:val="0"/>
            <w:noProof/>
            <w:lang w:eastAsia="hr-HR"/>
          </w:rPr>
          <w:tab/>
        </w:r>
        <w:r w:rsidR="0009449E" w:rsidRPr="00E227C1">
          <w:rPr>
            <w:rStyle w:val="Hiperveza"/>
            <w:noProof/>
          </w:rPr>
          <w:t>Modaliteti javnog savjetovanja</w:t>
        </w:r>
        <w:r w:rsidR="0009449E">
          <w:rPr>
            <w:noProof/>
            <w:webHidden/>
          </w:rPr>
          <w:tab/>
        </w:r>
        <w:r w:rsidR="0009449E">
          <w:rPr>
            <w:noProof/>
            <w:webHidden/>
          </w:rPr>
          <w:fldChar w:fldCharType="begin"/>
        </w:r>
        <w:r w:rsidR="0009449E">
          <w:rPr>
            <w:noProof/>
            <w:webHidden/>
          </w:rPr>
          <w:instrText xml:space="preserve"> PAGEREF _Toc46163870 \h </w:instrText>
        </w:r>
        <w:r w:rsidR="0009449E">
          <w:rPr>
            <w:noProof/>
            <w:webHidden/>
          </w:rPr>
        </w:r>
        <w:r w:rsidR="0009449E">
          <w:rPr>
            <w:noProof/>
            <w:webHidden/>
          </w:rPr>
          <w:fldChar w:fldCharType="separate"/>
        </w:r>
        <w:r w:rsidR="00CE61F3">
          <w:rPr>
            <w:noProof/>
            <w:webHidden/>
          </w:rPr>
          <w:t>103</w:t>
        </w:r>
        <w:r w:rsidR="0009449E">
          <w:rPr>
            <w:noProof/>
            <w:webHidden/>
          </w:rPr>
          <w:fldChar w:fldCharType="end"/>
        </w:r>
      </w:hyperlink>
    </w:p>
    <w:p w14:paraId="365D42CD" w14:textId="322B7079" w:rsidR="0009449E" w:rsidRDefault="00A50909">
      <w:pPr>
        <w:pStyle w:val="Sadraj3"/>
        <w:rPr>
          <w:rFonts w:asciiTheme="minorHAnsi" w:eastAsiaTheme="minorEastAsia" w:hAnsiTheme="minorHAnsi" w:cstheme="minorBidi"/>
          <w:noProof/>
          <w:sz w:val="22"/>
          <w:szCs w:val="22"/>
          <w:lang w:eastAsia="hr-HR"/>
        </w:rPr>
      </w:pPr>
      <w:hyperlink w:anchor="_Toc46163871" w:history="1">
        <w:r w:rsidR="0009449E" w:rsidRPr="00E227C1">
          <w:rPr>
            <w:rStyle w:val="Hiperveza"/>
            <w:noProof/>
          </w:rPr>
          <w:t>12.1.1</w:t>
        </w:r>
        <w:r w:rsidR="0009449E">
          <w:rPr>
            <w:rFonts w:asciiTheme="minorHAnsi" w:eastAsiaTheme="minorEastAsia" w:hAnsiTheme="minorHAnsi" w:cstheme="minorBidi"/>
            <w:noProof/>
            <w:sz w:val="22"/>
            <w:szCs w:val="22"/>
            <w:lang w:eastAsia="hr-HR"/>
          </w:rPr>
          <w:tab/>
        </w:r>
        <w:r w:rsidR="0009449E" w:rsidRPr="00E227C1">
          <w:rPr>
            <w:rStyle w:val="Hiperveza"/>
            <w:noProof/>
          </w:rPr>
          <w:t>Otvoreni dijalog partnera</w:t>
        </w:r>
        <w:r w:rsidR="0009449E">
          <w:rPr>
            <w:noProof/>
            <w:webHidden/>
          </w:rPr>
          <w:tab/>
        </w:r>
        <w:r w:rsidR="0009449E">
          <w:rPr>
            <w:noProof/>
            <w:webHidden/>
          </w:rPr>
          <w:fldChar w:fldCharType="begin"/>
        </w:r>
        <w:r w:rsidR="0009449E">
          <w:rPr>
            <w:noProof/>
            <w:webHidden/>
          </w:rPr>
          <w:instrText xml:space="preserve"> PAGEREF _Toc46163871 \h </w:instrText>
        </w:r>
        <w:r w:rsidR="0009449E">
          <w:rPr>
            <w:noProof/>
            <w:webHidden/>
          </w:rPr>
        </w:r>
        <w:r w:rsidR="0009449E">
          <w:rPr>
            <w:noProof/>
            <w:webHidden/>
          </w:rPr>
          <w:fldChar w:fldCharType="separate"/>
        </w:r>
        <w:r w:rsidR="00CE61F3">
          <w:rPr>
            <w:noProof/>
            <w:webHidden/>
          </w:rPr>
          <w:t>103</w:t>
        </w:r>
        <w:r w:rsidR="0009449E">
          <w:rPr>
            <w:noProof/>
            <w:webHidden/>
          </w:rPr>
          <w:fldChar w:fldCharType="end"/>
        </w:r>
      </w:hyperlink>
    </w:p>
    <w:p w14:paraId="32D87276" w14:textId="12FB33FC" w:rsidR="0009449E" w:rsidRDefault="00A50909">
      <w:pPr>
        <w:pStyle w:val="Sadraj3"/>
        <w:rPr>
          <w:rFonts w:asciiTheme="minorHAnsi" w:eastAsiaTheme="minorEastAsia" w:hAnsiTheme="minorHAnsi" w:cstheme="minorBidi"/>
          <w:noProof/>
          <w:sz w:val="22"/>
          <w:szCs w:val="22"/>
          <w:lang w:eastAsia="hr-HR"/>
        </w:rPr>
      </w:pPr>
      <w:hyperlink w:anchor="_Toc46163872" w:history="1">
        <w:r w:rsidR="0009449E" w:rsidRPr="00E227C1">
          <w:rPr>
            <w:rStyle w:val="Hiperveza"/>
            <w:noProof/>
          </w:rPr>
          <w:t>12.1.2</w:t>
        </w:r>
        <w:r w:rsidR="0009449E">
          <w:rPr>
            <w:rFonts w:asciiTheme="minorHAnsi" w:eastAsiaTheme="minorEastAsia" w:hAnsiTheme="minorHAnsi" w:cstheme="minorBidi"/>
            <w:noProof/>
            <w:sz w:val="22"/>
            <w:szCs w:val="22"/>
            <w:lang w:eastAsia="hr-HR"/>
          </w:rPr>
          <w:tab/>
        </w:r>
        <w:r w:rsidR="0009449E" w:rsidRPr="00E227C1">
          <w:rPr>
            <w:rStyle w:val="Hiperveza"/>
            <w:noProof/>
          </w:rPr>
          <w:t>Povelja o suradnji s ciljem dekarbonizacije zgrada do 2050.</w:t>
        </w:r>
        <w:r w:rsidR="0009449E">
          <w:rPr>
            <w:noProof/>
            <w:webHidden/>
          </w:rPr>
          <w:tab/>
        </w:r>
        <w:r w:rsidR="0009449E">
          <w:rPr>
            <w:noProof/>
            <w:webHidden/>
          </w:rPr>
          <w:fldChar w:fldCharType="begin"/>
        </w:r>
        <w:r w:rsidR="0009449E">
          <w:rPr>
            <w:noProof/>
            <w:webHidden/>
          </w:rPr>
          <w:instrText xml:space="preserve"> PAGEREF _Toc46163872 \h </w:instrText>
        </w:r>
        <w:r w:rsidR="0009449E">
          <w:rPr>
            <w:noProof/>
            <w:webHidden/>
          </w:rPr>
        </w:r>
        <w:r w:rsidR="0009449E">
          <w:rPr>
            <w:noProof/>
            <w:webHidden/>
          </w:rPr>
          <w:fldChar w:fldCharType="separate"/>
        </w:r>
        <w:r w:rsidR="00CE61F3">
          <w:rPr>
            <w:noProof/>
            <w:webHidden/>
          </w:rPr>
          <w:t>109</w:t>
        </w:r>
        <w:r w:rsidR="0009449E">
          <w:rPr>
            <w:noProof/>
            <w:webHidden/>
          </w:rPr>
          <w:fldChar w:fldCharType="end"/>
        </w:r>
      </w:hyperlink>
    </w:p>
    <w:p w14:paraId="34ABF75A" w14:textId="64844B9D" w:rsidR="0009449E" w:rsidRDefault="00A50909">
      <w:pPr>
        <w:pStyle w:val="Sadraj3"/>
        <w:rPr>
          <w:rFonts w:asciiTheme="minorHAnsi" w:eastAsiaTheme="minorEastAsia" w:hAnsiTheme="minorHAnsi" w:cstheme="minorBidi"/>
          <w:noProof/>
          <w:sz w:val="22"/>
          <w:szCs w:val="22"/>
          <w:lang w:eastAsia="hr-HR"/>
        </w:rPr>
      </w:pPr>
      <w:hyperlink w:anchor="_Toc46163873" w:history="1">
        <w:r w:rsidR="0009449E" w:rsidRPr="00E227C1">
          <w:rPr>
            <w:rStyle w:val="Hiperveza"/>
            <w:noProof/>
          </w:rPr>
          <w:t>12.1.3</w:t>
        </w:r>
        <w:r w:rsidR="0009449E">
          <w:rPr>
            <w:rFonts w:asciiTheme="minorHAnsi" w:eastAsiaTheme="minorEastAsia" w:hAnsiTheme="minorHAnsi" w:cstheme="minorBidi"/>
            <w:noProof/>
            <w:sz w:val="22"/>
            <w:szCs w:val="22"/>
            <w:lang w:eastAsia="hr-HR"/>
          </w:rPr>
          <w:tab/>
        </w:r>
        <w:r w:rsidR="0009449E" w:rsidRPr="00E227C1">
          <w:rPr>
            <w:rStyle w:val="Hiperveza"/>
            <w:noProof/>
          </w:rPr>
          <w:t>Savjetovanje sa zainteresiranom javnošću</w:t>
        </w:r>
        <w:r w:rsidR="0009449E">
          <w:rPr>
            <w:noProof/>
            <w:webHidden/>
          </w:rPr>
          <w:tab/>
        </w:r>
        <w:r w:rsidR="0009449E">
          <w:rPr>
            <w:noProof/>
            <w:webHidden/>
          </w:rPr>
          <w:fldChar w:fldCharType="begin"/>
        </w:r>
        <w:r w:rsidR="0009449E">
          <w:rPr>
            <w:noProof/>
            <w:webHidden/>
          </w:rPr>
          <w:instrText xml:space="preserve"> PAGEREF _Toc46163873 \h </w:instrText>
        </w:r>
        <w:r w:rsidR="0009449E">
          <w:rPr>
            <w:noProof/>
            <w:webHidden/>
          </w:rPr>
        </w:r>
        <w:r w:rsidR="0009449E">
          <w:rPr>
            <w:noProof/>
            <w:webHidden/>
          </w:rPr>
          <w:fldChar w:fldCharType="separate"/>
        </w:r>
        <w:r w:rsidR="00CE61F3">
          <w:rPr>
            <w:noProof/>
            <w:webHidden/>
          </w:rPr>
          <w:t>111</w:t>
        </w:r>
        <w:r w:rsidR="0009449E">
          <w:rPr>
            <w:noProof/>
            <w:webHidden/>
          </w:rPr>
          <w:fldChar w:fldCharType="end"/>
        </w:r>
      </w:hyperlink>
    </w:p>
    <w:p w14:paraId="443D1368" w14:textId="6EBA0E4E" w:rsidR="0009449E" w:rsidRDefault="00A50909">
      <w:pPr>
        <w:pStyle w:val="Sadraj2"/>
        <w:rPr>
          <w:rFonts w:asciiTheme="minorHAnsi" w:eastAsiaTheme="minorEastAsia" w:hAnsiTheme="minorHAnsi" w:cstheme="minorBidi"/>
          <w:b w:val="0"/>
          <w:smallCaps w:val="0"/>
          <w:noProof/>
          <w:lang w:eastAsia="hr-HR"/>
        </w:rPr>
      </w:pPr>
      <w:hyperlink w:anchor="_Toc46163874" w:history="1">
        <w:r w:rsidR="0009449E" w:rsidRPr="00E227C1">
          <w:rPr>
            <w:rStyle w:val="Hiperveza"/>
            <w:noProof/>
          </w:rPr>
          <w:t>12.2</w:t>
        </w:r>
        <w:r w:rsidR="0009449E">
          <w:rPr>
            <w:rFonts w:asciiTheme="minorHAnsi" w:eastAsiaTheme="minorEastAsia" w:hAnsiTheme="minorHAnsi" w:cstheme="minorBidi"/>
            <w:b w:val="0"/>
            <w:smallCaps w:val="0"/>
            <w:noProof/>
            <w:lang w:eastAsia="hr-HR"/>
          </w:rPr>
          <w:tab/>
        </w:r>
        <w:r w:rsidR="0009449E" w:rsidRPr="00E227C1">
          <w:rPr>
            <w:rStyle w:val="Hiperveza"/>
            <w:noProof/>
          </w:rPr>
          <w:t>Rezultati javnog savjetovanja</w:t>
        </w:r>
        <w:r w:rsidR="0009449E">
          <w:rPr>
            <w:noProof/>
            <w:webHidden/>
          </w:rPr>
          <w:tab/>
        </w:r>
        <w:r w:rsidR="0009449E">
          <w:rPr>
            <w:noProof/>
            <w:webHidden/>
          </w:rPr>
          <w:fldChar w:fldCharType="begin"/>
        </w:r>
        <w:r w:rsidR="0009449E">
          <w:rPr>
            <w:noProof/>
            <w:webHidden/>
          </w:rPr>
          <w:instrText xml:space="preserve"> PAGEREF _Toc46163874 \h </w:instrText>
        </w:r>
        <w:r w:rsidR="0009449E">
          <w:rPr>
            <w:noProof/>
            <w:webHidden/>
          </w:rPr>
        </w:r>
        <w:r w:rsidR="0009449E">
          <w:rPr>
            <w:noProof/>
            <w:webHidden/>
          </w:rPr>
          <w:fldChar w:fldCharType="separate"/>
        </w:r>
        <w:r w:rsidR="00CE61F3">
          <w:rPr>
            <w:noProof/>
            <w:webHidden/>
          </w:rPr>
          <w:t>111</w:t>
        </w:r>
        <w:r w:rsidR="0009449E">
          <w:rPr>
            <w:noProof/>
            <w:webHidden/>
          </w:rPr>
          <w:fldChar w:fldCharType="end"/>
        </w:r>
      </w:hyperlink>
    </w:p>
    <w:p w14:paraId="761E6335" w14:textId="59DB625E"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75" w:history="1">
        <w:r w:rsidR="0009449E" w:rsidRPr="00E227C1">
          <w:rPr>
            <w:rStyle w:val="Hiperveza"/>
            <w:noProof/>
          </w:rPr>
          <w:t>13</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Popis slika i tablica</w:t>
        </w:r>
        <w:r w:rsidR="0009449E">
          <w:rPr>
            <w:noProof/>
            <w:webHidden/>
          </w:rPr>
          <w:tab/>
        </w:r>
        <w:r w:rsidR="0009449E">
          <w:rPr>
            <w:noProof/>
            <w:webHidden/>
          </w:rPr>
          <w:fldChar w:fldCharType="begin"/>
        </w:r>
        <w:r w:rsidR="0009449E">
          <w:rPr>
            <w:noProof/>
            <w:webHidden/>
          </w:rPr>
          <w:instrText xml:space="preserve"> PAGEREF _Toc46163875 \h </w:instrText>
        </w:r>
        <w:r w:rsidR="0009449E">
          <w:rPr>
            <w:noProof/>
            <w:webHidden/>
          </w:rPr>
        </w:r>
        <w:r w:rsidR="0009449E">
          <w:rPr>
            <w:noProof/>
            <w:webHidden/>
          </w:rPr>
          <w:fldChar w:fldCharType="separate"/>
        </w:r>
        <w:r w:rsidR="00CE61F3">
          <w:rPr>
            <w:noProof/>
            <w:webHidden/>
          </w:rPr>
          <w:t>113</w:t>
        </w:r>
        <w:r w:rsidR="0009449E">
          <w:rPr>
            <w:noProof/>
            <w:webHidden/>
          </w:rPr>
          <w:fldChar w:fldCharType="end"/>
        </w:r>
      </w:hyperlink>
    </w:p>
    <w:p w14:paraId="06D0CDB6" w14:textId="1676FBEE" w:rsidR="0009449E" w:rsidRDefault="00A50909">
      <w:pPr>
        <w:pStyle w:val="Sadraj1"/>
        <w:rPr>
          <w:rFonts w:asciiTheme="minorHAnsi" w:eastAsiaTheme="minorEastAsia" w:hAnsiTheme="minorHAnsi" w:cstheme="minorBidi"/>
          <w:b w:val="0"/>
          <w:i w:val="0"/>
          <w:caps w:val="0"/>
          <w:noProof/>
          <w:color w:val="auto"/>
          <w:sz w:val="22"/>
          <w:szCs w:val="22"/>
          <w:lang w:eastAsia="hr-HR"/>
        </w:rPr>
      </w:pPr>
      <w:hyperlink w:anchor="_Toc46163876" w:history="1">
        <w:r w:rsidR="0009449E" w:rsidRPr="00E227C1">
          <w:rPr>
            <w:rStyle w:val="Hiperveza"/>
            <w:noProof/>
          </w:rPr>
          <w:t>14</w:t>
        </w:r>
        <w:r w:rsidR="0009449E">
          <w:rPr>
            <w:rFonts w:asciiTheme="minorHAnsi" w:eastAsiaTheme="minorEastAsia" w:hAnsiTheme="minorHAnsi" w:cstheme="minorBidi"/>
            <w:b w:val="0"/>
            <w:i w:val="0"/>
            <w:caps w:val="0"/>
            <w:noProof/>
            <w:color w:val="auto"/>
            <w:sz w:val="22"/>
            <w:szCs w:val="22"/>
            <w:lang w:eastAsia="hr-HR"/>
          </w:rPr>
          <w:tab/>
        </w:r>
        <w:r w:rsidR="0009449E" w:rsidRPr="00E227C1">
          <w:rPr>
            <w:rStyle w:val="Hiperveza"/>
            <w:noProof/>
          </w:rPr>
          <w:t>LITERATURA</w:t>
        </w:r>
        <w:r w:rsidR="0009449E">
          <w:rPr>
            <w:noProof/>
            <w:webHidden/>
          </w:rPr>
          <w:tab/>
        </w:r>
        <w:r w:rsidR="0009449E">
          <w:rPr>
            <w:noProof/>
            <w:webHidden/>
          </w:rPr>
          <w:fldChar w:fldCharType="begin"/>
        </w:r>
        <w:r w:rsidR="0009449E">
          <w:rPr>
            <w:noProof/>
            <w:webHidden/>
          </w:rPr>
          <w:instrText xml:space="preserve"> PAGEREF _Toc46163876 \h </w:instrText>
        </w:r>
        <w:r w:rsidR="0009449E">
          <w:rPr>
            <w:noProof/>
            <w:webHidden/>
          </w:rPr>
        </w:r>
        <w:r w:rsidR="0009449E">
          <w:rPr>
            <w:noProof/>
            <w:webHidden/>
          </w:rPr>
          <w:fldChar w:fldCharType="separate"/>
        </w:r>
        <w:r w:rsidR="00CE61F3">
          <w:rPr>
            <w:noProof/>
            <w:webHidden/>
          </w:rPr>
          <w:t>115</w:t>
        </w:r>
        <w:r w:rsidR="0009449E">
          <w:rPr>
            <w:noProof/>
            <w:webHidden/>
          </w:rPr>
          <w:fldChar w:fldCharType="end"/>
        </w:r>
      </w:hyperlink>
    </w:p>
    <w:p w14:paraId="43F85D9A" w14:textId="1370707F" w:rsidR="00916D2B" w:rsidRDefault="001143DA" w:rsidP="007F13E7">
      <w:r>
        <w:fldChar w:fldCharType="end"/>
      </w:r>
    </w:p>
    <w:p w14:paraId="7131F777" w14:textId="24EF8A11" w:rsidR="001143DA" w:rsidRDefault="001143DA" w:rsidP="007F13E7"/>
    <w:p w14:paraId="14906F24" w14:textId="04047E11" w:rsidR="001143DA" w:rsidRDefault="001143DA" w:rsidP="007F13E7"/>
    <w:p w14:paraId="3B64F851" w14:textId="77777777" w:rsidR="001143DA" w:rsidRPr="00EC457F" w:rsidRDefault="001143DA" w:rsidP="007F13E7"/>
    <w:p w14:paraId="2A2BB4C3" w14:textId="77777777" w:rsidR="00FC6F80" w:rsidRPr="00EC457F" w:rsidRDefault="00FC6F80" w:rsidP="008129E7">
      <w:pPr>
        <w:pStyle w:val="Naslov1-"/>
      </w:pPr>
      <w:r w:rsidRPr="00EC457F">
        <w:t>Popis kratica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4"/>
      </w:tblGrid>
      <w:tr w:rsidR="00F601D7" w:rsidRPr="00EC457F" w14:paraId="24E4BA9D" w14:textId="77777777" w:rsidTr="00FC6F80">
        <w:trPr>
          <w:cantSplit/>
        </w:trPr>
        <w:tc>
          <w:tcPr>
            <w:tcW w:w="1560" w:type="dxa"/>
            <w:vAlign w:val="center"/>
          </w:tcPr>
          <w:p w14:paraId="0A73600E" w14:textId="77777777" w:rsidR="00F601D7" w:rsidRPr="00EC457F" w:rsidRDefault="00F601D7" w:rsidP="007F13E7">
            <w:pPr>
              <w:rPr>
                <w:lang w:eastAsia="hr-HR"/>
              </w:rPr>
            </w:pPr>
            <w:r w:rsidRPr="00EC457F">
              <w:rPr>
                <w:lang w:eastAsia="hr-HR"/>
              </w:rPr>
              <w:t>EFRR</w:t>
            </w:r>
          </w:p>
        </w:tc>
        <w:tc>
          <w:tcPr>
            <w:tcW w:w="7784" w:type="dxa"/>
            <w:vAlign w:val="center"/>
          </w:tcPr>
          <w:p w14:paraId="0738B0D6" w14:textId="3142B067" w:rsidR="00F601D7" w:rsidRPr="00EC457F" w:rsidRDefault="00F601D7" w:rsidP="007F13E7">
            <w:pPr>
              <w:rPr>
                <w:lang w:eastAsia="hr-HR"/>
              </w:rPr>
            </w:pPr>
            <w:r w:rsidRPr="00EC457F">
              <w:rPr>
                <w:lang w:eastAsia="hr-HR"/>
              </w:rPr>
              <w:t>Europski fond za regionalni razvoj</w:t>
            </w:r>
          </w:p>
        </w:tc>
      </w:tr>
      <w:tr w:rsidR="000B054C" w:rsidRPr="00EC457F" w14:paraId="26D7145F" w14:textId="77777777" w:rsidTr="000B054C">
        <w:trPr>
          <w:cantSplit/>
        </w:trPr>
        <w:tc>
          <w:tcPr>
            <w:tcW w:w="1560" w:type="dxa"/>
          </w:tcPr>
          <w:p w14:paraId="75D7EDB3" w14:textId="77777777" w:rsidR="000B054C" w:rsidRPr="00EC457F" w:rsidRDefault="004A1AD8" w:rsidP="007F13E7">
            <w:pPr>
              <w:rPr>
                <w:highlight w:val="yellow"/>
                <w:lang w:eastAsia="hr-HR"/>
              </w:rPr>
            </w:pPr>
            <w:r w:rsidRPr="00EC457F">
              <w:t>EIHP</w:t>
            </w:r>
          </w:p>
        </w:tc>
        <w:tc>
          <w:tcPr>
            <w:tcW w:w="7784" w:type="dxa"/>
          </w:tcPr>
          <w:p w14:paraId="77C6F5F8" w14:textId="77777777" w:rsidR="000B054C" w:rsidRPr="00EC457F" w:rsidRDefault="00F601D7" w:rsidP="007F13E7">
            <w:pPr>
              <w:rPr>
                <w:highlight w:val="yellow"/>
                <w:lang w:eastAsia="hr-HR"/>
              </w:rPr>
            </w:pPr>
            <w:r w:rsidRPr="00EC457F">
              <w:rPr>
                <w:lang w:eastAsia="hr-HR"/>
              </w:rPr>
              <w:t>Energetski institut Hrvoje Požar</w:t>
            </w:r>
          </w:p>
        </w:tc>
      </w:tr>
      <w:tr w:rsidR="006A5270" w:rsidRPr="00EC457F" w14:paraId="6EE6FFED" w14:textId="77777777" w:rsidTr="000B054C">
        <w:trPr>
          <w:cantSplit/>
        </w:trPr>
        <w:tc>
          <w:tcPr>
            <w:tcW w:w="1560" w:type="dxa"/>
          </w:tcPr>
          <w:p w14:paraId="24353BEF" w14:textId="77777777" w:rsidR="006A5270" w:rsidRPr="00EC457F" w:rsidRDefault="006A5270" w:rsidP="007F13E7">
            <w:r>
              <w:t>EK</w:t>
            </w:r>
          </w:p>
        </w:tc>
        <w:tc>
          <w:tcPr>
            <w:tcW w:w="7784" w:type="dxa"/>
          </w:tcPr>
          <w:p w14:paraId="2948F4E0" w14:textId="77777777" w:rsidR="006A5270" w:rsidRPr="00EC457F" w:rsidRDefault="006A5270" w:rsidP="007F13E7">
            <w:pPr>
              <w:rPr>
                <w:lang w:eastAsia="hr-HR"/>
              </w:rPr>
            </w:pPr>
            <w:r>
              <w:rPr>
                <w:lang w:eastAsia="hr-HR"/>
              </w:rPr>
              <w:t>Europska komisija</w:t>
            </w:r>
          </w:p>
        </w:tc>
      </w:tr>
      <w:tr w:rsidR="00F601D7" w:rsidRPr="00EC457F" w14:paraId="021E560E" w14:textId="77777777" w:rsidTr="00F31E6B">
        <w:trPr>
          <w:cantSplit/>
        </w:trPr>
        <w:tc>
          <w:tcPr>
            <w:tcW w:w="1560" w:type="dxa"/>
            <w:vAlign w:val="center"/>
          </w:tcPr>
          <w:p w14:paraId="2EF51D09" w14:textId="77777777" w:rsidR="00F601D7" w:rsidRPr="00EC457F" w:rsidRDefault="00F601D7" w:rsidP="007F13E7">
            <w:r w:rsidRPr="00EC457F">
              <w:rPr>
                <w:lang w:eastAsia="hr-HR"/>
              </w:rPr>
              <w:t>ESI</w:t>
            </w:r>
          </w:p>
        </w:tc>
        <w:tc>
          <w:tcPr>
            <w:tcW w:w="7784" w:type="dxa"/>
            <w:vAlign w:val="center"/>
          </w:tcPr>
          <w:p w14:paraId="0C67B884" w14:textId="77777777" w:rsidR="00F601D7" w:rsidRPr="00EC457F" w:rsidRDefault="00F601D7" w:rsidP="007F13E7">
            <w:pPr>
              <w:rPr>
                <w:lang w:eastAsia="hr-HR"/>
              </w:rPr>
            </w:pPr>
            <w:r w:rsidRPr="00EC457F">
              <w:rPr>
                <w:lang w:eastAsia="hr-HR"/>
              </w:rPr>
              <w:t>Europski strukturni i investicijski fondovi</w:t>
            </w:r>
          </w:p>
        </w:tc>
      </w:tr>
      <w:tr w:rsidR="00F601D7" w:rsidRPr="00EC457F" w14:paraId="710BDAD9" w14:textId="77777777" w:rsidTr="00F31E6B">
        <w:trPr>
          <w:cantSplit/>
        </w:trPr>
        <w:tc>
          <w:tcPr>
            <w:tcW w:w="1560" w:type="dxa"/>
            <w:vAlign w:val="center"/>
          </w:tcPr>
          <w:p w14:paraId="60D8101B" w14:textId="77777777" w:rsidR="00F601D7" w:rsidRPr="00EC457F" w:rsidRDefault="00F601D7" w:rsidP="007F13E7">
            <w:pPr>
              <w:rPr>
                <w:lang w:eastAsia="hr-HR"/>
              </w:rPr>
            </w:pPr>
            <w:r w:rsidRPr="00EC457F">
              <w:rPr>
                <w:lang w:eastAsia="hr-HR"/>
              </w:rPr>
              <w:t>EU</w:t>
            </w:r>
          </w:p>
        </w:tc>
        <w:tc>
          <w:tcPr>
            <w:tcW w:w="7784" w:type="dxa"/>
            <w:vAlign w:val="center"/>
          </w:tcPr>
          <w:p w14:paraId="5BEEBE6A" w14:textId="77777777" w:rsidR="00F601D7" w:rsidRPr="00EC457F" w:rsidRDefault="00F601D7" w:rsidP="007F13E7">
            <w:pPr>
              <w:rPr>
                <w:lang w:eastAsia="hr-HR"/>
              </w:rPr>
            </w:pPr>
            <w:r w:rsidRPr="00EC457F">
              <w:rPr>
                <w:lang w:eastAsia="hr-HR"/>
              </w:rPr>
              <w:t>Europska unija</w:t>
            </w:r>
          </w:p>
        </w:tc>
      </w:tr>
      <w:tr w:rsidR="00561EED" w:rsidRPr="00EC457F" w14:paraId="4D15E197" w14:textId="77777777" w:rsidTr="00F31E6B">
        <w:trPr>
          <w:cantSplit/>
        </w:trPr>
        <w:tc>
          <w:tcPr>
            <w:tcW w:w="1560" w:type="dxa"/>
            <w:vAlign w:val="center"/>
          </w:tcPr>
          <w:p w14:paraId="6ED797B6" w14:textId="77777777" w:rsidR="00561EED" w:rsidRPr="00EC457F" w:rsidRDefault="00561EED" w:rsidP="007F13E7">
            <w:pPr>
              <w:rPr>
                <w:lang w:eastAsia="hr-HR"/>
              </w:rPr>
            </w:pPr>
            <w:r>
              <w:rPr>
                <w:lang w:eastAsia="hr-HR"/>
              </w:rPr>
              <w:t>EUROSTAT</w:t>
            </w:r>
          </w:p>
        </w:tc>
        <w:tc>
          <w:tcPr>
            <w:tcW w:w="7784" w:type="dxa"/>
            <w:vAlign w:val="center"/>
          </w:tcPr>
          <w:p w14:paraId="5FE41C13" w14:textId="77777777" w:rsidR="00561EED" w:rsidRPr="00EC457F" w:rsidRDefault="009C037B" w:rsidP="007F13E7">
            <w:pPr>
              <w:rPr>
                <w:lang w:eastAsia="hr-HR"/>
              </w:rPr>
            </w:pPr>
            <w:r>
              <w:rPr>
                <w:lang w:eastAsia="hr-HR"/>
              </w:rPr>
              <w:t xml:space="preserve">Statistički ured Europske unije </w:t>
            </w:r>
          </w:p>
        </w:tc>
      </w:tr>
      <w:tr w:rsidR="000B054C" w:rsidRPr="00EC457F" w14:paraId="698CED04" w14:textId="77777777" w:rsidTr="000B054C">
        <w:trPr>
          <w:cantSplit/>
        </w:trPr>
        <w:tc>
          <w:tcPr>
            <w:tcW w:w="1560" w:type="dxa"/>
            <w:vAlign w:val="center"/>
          </w:tcPr>
          <w:p w14:paraId="5B7C2BC8" w14:textId="77777777" w:rsidR="000B054C" w:rsidRPr="00EC457F" w:rsidRDefault="00F601D7" w:rsidP="007F13E7">
            <w:r w:rsidRPr="00EC457F">
              <w:rPr>
                <w:lang w:eastAsia="hr-HR"/>
              </w:rPr>
              <w:t>FZOEU</w:t>
            </w:r>
          </w:p>
        </w:tc>
        <w:tc>
          <w:tcPr>
            <w:tcW w:w="7784" w:type="dxa"/>
            <w:vAlign w:val="center"/>
          </w:tcPr>
          <w:p w14:paraId="45A86DE6" w14:textId="77777777" w:rsidR="000B054C" w:rsidRPr="00EC457F" w:rsidRDefault="002312A0" w:rsidP="007F13E7">
            <w:pPr>
              <w:rPr>
                <w:rFonts w:ascii="Calibri" w:hAnsi="Calibri" w:cs="Times New Roman"/>
              </w:rPr>
            </w:pPr>
            <w:r>
              <w:rPr>
                <w:lang w:eastAsia="hr-HR"/>
              </w:rPr>
              <w:t>Fond</w:t>
            </w:r>
            <w:r w:rsidR="00F601D7" w:rsidRPr="00EC457F">
              <w:rPr>
                <w:lang w:eastAsia="hr-HR"/>
              </w:rPr>
              <w:t xml:space="preserve"> za zaštitu okoliša i energetsku učinkovitost</w:t>
            </w:r>
          </w:p>
        </w:tc>
      </w:tr>
      <w:tr w:rsidR="000B054C" w:rsidRPr="00EC457F" w14:paraId="5DBAAEAB" w14:textId="77777777" w:rsidTr="00FC6F80">
        <w:trPr>
          <w:cantSplit/>
        </w:trPr>
        <w:tc>
          <w:tcPr>
            <w:tcW w:w="1560" w:type="dxa"/>
            <w:vAlign w:val="center"/>
          </w:tcPr>
          <w:p w14:paraId="5E6D91D6" w14:textId="77777777" w:rsidR="000B054C" w:rsidRPr="00EC457F" w:rsidRDefault="00F601D7" w:rsidP="007F13E7">
            <w:pPr>
              <w:rPr>
                <w:lang w:eastAsia="hr-HR"/>
              </w:rPr>
            </w:pPr>
            <w:r w:rsidRPr="00EC457F">
              <w:rPr>
                <w:lang w:eastAsia="hr-HR"/>
              </w:rPr>
              <w:t>MGIPU</w:t>
            </w:r>
          </w:p>
        </w:tc>
        <w:tc>
          <w:tcPr>
            <w:tcW w:w="7784" w:type="dxa"/>
            <w:vAlign w:val="center"/>
          </w:tcPr>
          <w:p w14:paraId="2C80A159" w14:textId="77777777" w:rsidR="000B054C" w:rsidRPr="00EC457F" w:rsidRDefault="00F601D7" w:rsidP="007F13E7">
            <w:pPr>
              <w:rPr>
                <w:lang w:eastAsia="hr-HR"/>
              </w:rPr>
            </w:pPr>
            <w:r w:rsidRPr="00EC457F">
              <w:rPr>
                <w:lang w:eastAsia="hr-HR"/>
              </w:rPr>
              <w:t>Ministarstvo graditeljstva i prostornoga uređenja</w:t>
            </w:r>
          </w:p>
        </w:tc>
      </w:tr>
      <w:tr w:rsidR="000B054C" w:rsidRPr="00EC457F" w14:paraId="0F574185" w14:textId="77777777" w:rsidTr="000B054C">
        <w:trPr>
          <w:cantSplit/>
        </w:trPr>
        <w:tc>
          <w:tcPr>
            <w:tcW w:w="1560" w:type="dxa"/>
            <w:vAlign w:val="center"/>
          </w:tcPr>
          <w:p w14:paraId="5DCBC011" w14:textId="77777777" w:rsidR="000B054C" w:rsidRPr="00EC457F" w:rsidRDefault="00F601D7" w:rsidP="007F13E7">
            <w:pPr>
              <w:rPr>
                <w:lang w:eastAsia="hr-HR"/>
              </w:rPr>
            </w:pPr>
            <w:r w:rsidRPr="00EC457F">
              <w:rPr>
                <w:lang w:eastAsia="hr-HR"/>
              </w:rPr>
              <w:t>MRRFEU</w:t>
            </w:r>
          </w:p>
        </w:tc>
        <w:tc>
          <w:tcPr>
            <w:tcW w:w="7784" w:type="dxa"/>
            <w:vAlign w:val="center"/>
          </w:tcPr>
          <w:p w14:paraId="6C94463B" w14:textId="77777777" w:rsidR="00F601D7" w:rsidRPr="00EC457F" w:rsidRDefault="00F601D7" w:rsidP="007F13E7">
            <w:pPr>
              <w:rPr>
                <w:lang w:eastAsia="hr-HR"/>
              </w:rPr>
            </w:pPr>
            <w:r w:rsidRPr="00EC457F">
              <w:rPr>
                <w:lang w:eastAsia="hr-HR"/>
              </w:rPr>
              <w:t>Ministarstvo regionalnog</w:t>
            </w:r>
            <w:r w:rsidR="002F5A25">
              <w:rPr>
                <w:lang w:eastAsia="hr-HR"/>
              </w:rPr>
              <w:t>a</w:t>
            </w:r>
            <w:r w:rsidRPr="00EC457F">
              <w:rPr>
                <w:lang w:eastAsia="hr-HR"/>
              </w:rPr>
              <w:t xml:space="preserve"> razvoja i fondova Europske unije</w:t>
            </w:r>
          </w:p>
        </w:tc>
      </w:tr>
      <w:tr w:rsidR="000B054C" w:rsidRPr="00EC457F" w14:paraId="253CB4A2" w14:textId="77777777" w:rsidTr="000B054C">
        <w:trPr>
          <w:cantSplit/>
        </w:trPr>
        <w:tc>
          <w:tcPr>
            <w:tcW w:w="1560" w:type="dxa"/>
            <w:vAlign w:val="center"/>
          </w:tcPr>
          <w:p w14:paraId="21793700" w14:textId="77777777" w:rsidR="000B054C" w:rsidRPr="00EC457F" w:rsidRDefault="00F601D7" w:rsidP="007F13E7">
            <w:pPr>
              <w:rPr>
                <w:lang w:eastAsia="hr-HR"/>
              </w:rPr>
            </w:pPr>
            <w:r w:rsidRPr="00EC457F">
              <w:rPr>
                <w:lang w:eastAsia="hr-HR"/>
              </w:rPr>
              <w:t>MZOIE</w:t>
            </w:r>
          </w:p>
        </w:tc>
        <w:tc>
          <w:tcPr>
            <w:tcW w:w="7784" w:type="dxa"/>
            <w:vAlign w:val="center"/>
          </w:tcPr>
          <w:p w14:paraId="423FD0DE" w14:textId="77777777" w:rsidR="000B054C" w:rsidRPr="00EC457F" w:rsidRDefault="00F601D7" w:rsidP="007F13E7">
            <w:pPr>
              <w:rPr>
                <w:lang w:eastAsia="hr-HR"/>
              </w:rPr>
            </w:pPr>
            <w:r w:rsidRPr="00EC457F">
              <w:rPr>
                <w:lang w:eastAsia="hr-HR"/>
              </w:rPr>
              <w:t>Ministarstvo zaštite okoliša i energetike</w:t>
            </w:r>
          </w:p>
        </w:tc>
      </w:tr>
      <w:tr w:rsidR="00F15F28" w:rsidRPr="00EC457F" w14:paraId="3426FCAB" w14:textId="77777777" w:rsidTr="000B054C">
        <w:trPr>
          <w:cantSplit/>
        </w:trPr>
        <w:tc>
          <w:tcPr>
            <w:tcW w:w="1560" w:type="dxa"/>
            <w:vAlign w:val="center"/>
          </w:tcPr>
          <w:p w14:paraId="24EA787B" w14:textId="77777777" w:rsidR="00F15F28" w:rsidRPr="00EC457F" w:rsidRDefault="00F15F28" w:rsidP="007F13E7">
            <w:pPr>
              <w:rPr>
                <w:lang w:eastAsia="hr-HR"/>
              </w:rPr>
            </w:pPr>
            <w:r>
              <w:rPr>
                <w:lang w:eastAsia="hr-HR"/>
              </w:rPr>
              <w:t>NKT</w:t>
            </w:r>
          </w:p>
        </w:tc>
        <w:tc>
          <w:tcPr>
            <w:tcW w:w="7784" w:type="dxa"/>
            <w:vAlign w:val="center"/>
          </w:tcPr>
          <w:p w14:paraId="521CC10D" w14:textId="77777777" w:rsidR="00F15F28" w:rsidRPr="00EC457F" w:rsidRDefault="00F15F28" w:rsidP="007F13E7">
            <w:pPr>
              <w:rPr>
                <w:lang w:eastAsia="hr-HR"/>
              </w:rPr>
            </w:pPr>
            <w:r>
              <w:rPr>
                <w:lang w:eastAsia="hr-HR"/>
              </w:rPr>
              <w:t>Nacionalno koordinacijsko tijelo za energetsku učinkovitost</w:t>
            </w:r>
          </w:p>
        </w:tc>
      </w:tr>
      <w:tr w:rsidR="00CA29CA" w:rsidRPr="00EC457F" w14:paraId="4C1C2F1E" w14:textId="77777777" w:rsidTr="000B054C">
        <w:trPr>
          <w:cantSplit/>
        </w:trPr>
        <w:tc>
          <w:tcPr>
            <w:tcW w:w="1560" w:type="dxa"/>
            <w:vAlign w:val="center"/>
          </w:tcPr>
          <w:p w14:paraId="56B80A01" w14:textId="77777777" w:rsidR="00CA29CA" w:rsidRPr="007D0A92" w:rsidRDefault="00CA29CA" w:rsidP="007F13E7">
            <w:pPr>
              <w:rPr>
                <w:lang w:eastAsia="hr-HR"/>
              </w:rPr>
            </w:pPr>
            <w:r w:rsidRPr="007D0A92">
              <w:rPr>
                <w:lang w:eastAsia="hr-HR"/>
              </w:rPr>
              <w:t>NN</w:t>
            </w:r>
          </w:p>
        </w:tc>
        <w:tc>
          <w:tcPr>
            <w:tcW w:w="7784" w:type="dxa"/>
            <w:vAlign w:val="center"/>
          </w:tcPr>
          <w:p w14:paraId="6D64B90E" w14:textId="77777777" w:rsidR="00CA29CA" w:rsidRPr="007D0A92" w:rsidRDefault="00CA29CA" w:rsidP="007F13E7">
            <w:pPr>
              <w:rPr>
                <w:lang w:eastAsia="hr-HR"/>
              </w:rPr>
            </w:pPr>
            <w:r w:rsidRPr="007D0A92">
              <w:rPr>
                <w:lang w:eastAsia="hr-HR"/>
              </w:rPr>
              <w:t>Narodne novine</w:t>
            </w:r>
          </w:p>
        </w:tc>
      </w:tr>
      <w:tr w:rsidR="00C634EA" w:rsidRPr="00EC457F" w14:paraId="5074DCFE" w14:textId="77777777" w:rsidTr="000B054C">
        <w:trPr>
          <w:cantSplit/>
        </w:trPr>
        <w:tc>
          <w:tcPr>
            <w:tcW w:w="1560" w:type="dxa"/>
            <w:vAlign w:val="center"/>
          </w:tcPr>
          <w:p w14:paraId="28BBA780" w14:textId="3FF90C79" w:rsidR="00C634EA" w:rsidRPr="007D0A92" w:rsidRDefault="00C634EA" w:rsidP="00C634EA">
            <w:pPr>
              <w:rPr>
                <w:lang w:eastAsia="hr-HR"/>
              </w:rPr>
            </w:pPr>
            <w:r w:rsidRPr="007D0A92">
              <w:rPr>
                <w:lang w:eastAsia="hr-HR"/>
              </w:rPr>
              <w:t>nZEB</w:t>
            </w:r>
          </w:p>
        </w:tc>
        <w:tc>
          <w:tcPr>
            <w:tcW w:w="7784" w:type="dxa"/>
            <w:vAlign w:val="center"/>
          </w:tcPr>
          <w:p w14:paraId="42159152" w14:textId="50604A15" w:rsidR="00C634EA" w:rsidRPr="007D0A92" w:rsidRDefault="00C634EA" w:rsidP="00C634EA">
            <w:pPr>
              <w:rPr>
                <w:lang w:eastAsia="hr-HR"/>
              </w:rPr>
            </w:pPr>
            <w:r w:rsidRPr="007D0A92">
              <w:t>zgrade gotovo nulte energije (eng. nearly Zero Energy Buildings)</w:t>
            </w:r>
          </w:p>
        </w:tc>
      </w:tr>
      <w:tr w:rsidR="00A92C0C" w:rsidRPr="00A92C0C" w14:paraId="31C71E35" w14:textId="77777777" w:rsidTr="000B054C">
        <w:trPr>
          <w:cantSplit/>
        </w:trPr>
        <w:tc>
          <w:tcPr>
            <w:tcW w:w="1560" w:type="dxa"/>
            <w:vAlign w:val="center"/>
          </w:tcPr>
          <w:p w14:paraId="63B4A094" w14:textId="2623E6A8" w:rsidR="000059DB" w:rsidRPr="007D0A92" w:rsidRDefault="00C634EA" w:rsidP="007F13E7">
            <w:pPr>
              <w:rPr>
                <w:lang w:eastAsia="hr-HR"/>
              </w:rPr>
            </w:pPr>
            <w:r w:rsidRPr="007D0A92">
              <w:rPr>
                <w:lang w:eastAsia="hr-HR"/>
              </w:rPr>
              <w:t>nZEN</w:t>
            </w:r>
          </w:p>
        </w:tc>
        <w:tc>
          <w:tcPr>
            <w:tcW w:w="7784" w:type="dxa"/>
            <w:vAlign w:val="center"/>
          </w:tcPr>
          <w:p w14:paraId="23814880" w14:textId="5AA053EF" w:rsidR="000059DB" w:rsidRPr="007D0A92" w:rsidRDefault="00C634EA" w:rsidP="007F13E7">
            <w:pPr>
              <w:rPr>
                <w:lang w:eastAsia="hr-HR"/>
              </w:rPr>
            </w:pPr>
            <w:r w:rsidRPr="007D0A92">
              <w:t xml:space="preserve">naselja gotovo nulte energije (eng. </w:t>
            </w:r>
            <w:r w:rsidR="00BA4BDA" w:rsidRPr="007D0A92">
              <w:t>nearly Zero Energy Neighbourhoods</w:t>
            </w:r>
            <w:r w:rsidRPr="007D0A92">
              <w:t>)</w:t>
            </w:r>
          </w:p>
        </w:tc>
      </w:tr>
      <w:tr w:rsidR="00A92C0C" w:rsidRPr="00A92C0C" w14:paraId="0126A8BD" w14:textId="77777777" w:rsidTr="000B054C">
        <w:trPr>
          <w:cantSplit/>
        </w:trPr>
        <w:tc>
          <w:tcPr>
            <w:tcW w:w="1560" w:type="dxa"/>
            <w:vAlign w:val="center"/>
          </w:tcPr>
          <w:p w14:paraId="7048746D" w14:textId="77777777" w:rsidR="006A5270" w:rsidRPr="00A92C0C" w:rsidRDefault="006A5270" w:rsidP="007F13E7">
            <w:pPr>
              <w:rPr>
                <w:lang w:eastAsia="hr-HR"/>
              </w:rPr>
            </w:pPr>
            <w:r w:rsidRPr="00A92C0C">
              <w:rPr>
                <w:lang w:eastAsia="hr-HR"/>
              </w:rPr>
              <w:t>OPKK</w:t>
            </w:r>
          </w:p>
        </w:tc>
        <w:tc>
          <w:tcPr>
            <w:tcW w:w="7784" w:type="dxa"/>
            <w:vAlign w:val="center"/>
          </w:tcPr>
          <w:p w14:paraId="26A77455" w14:textId="77777777" w:rsidR="006A5270" w:rsidRPr="00A92C0C" w:rsidRDefault="006A5270" w:rsidP="007F13E7">
            <w:pPr>
              <w:rPr>
                <w:lang w:eastAsia="hr-HR"/>
              </w:rPr>
            </w:pPr>
            <w:r w:rsidRPr="00A92C0C">
              <w:rPr>
                <w:lang w:eastAsia="hr-HR"/>
              </w:rPr>
              <w:t>Operativni program „Konkurentnost i kohezija 2014.-2020.“</w:t>
            </w:r>
          </w:p>
        </w:tc>
      </w:tr>
      <w:tr w:rsidR="00A92C0C" w:rsidRPr="00A92C0C" w14:paraId="0BEB7BFF" w14:textId="77777777" w:rsidTr="000B054C">
        <w:trPr>
          <w:cantSplit/>
        </w:trPr>
        <w:tc>
          <w:tcPr>
            <w:tcW w:w="1560" w:type="dxa"/>
            <w:vAlign w:val="center"/>
          </w:tcPr>
          <w:p w14:paraId="4324158E" w14:textId="77777777" w:rsidR="00561EED" w:rsidRPr="00A92C0C" w:rsidRDefault="00561EED" w:rsidP="007F13E7">
            <w:pPr>
              <w:rPr>
                <w:lang w:eastAsia="hr-HR"/>
              </w:rPr>
            </w:pPr>
            <w:r w:rsidRPr="00A92C0C">
              <w:rPr>
                <w:lang w:eastAsia="hr-HR"/>
              </w:rPr>
              <w:t>PDV</w:t>
            </w:r>
          </w:p>
        </w:tc>
        <w:tc>
          <w:tcPr>
            <w:tcW w:w="7784" w:type="dxa"/>
            <w:vAlign w:val="center"/>
          </w:tcPr>
          <w:p w14:paraId="5A5BB995" w14:textId="77777777" w:rsidR="00561EED" w:rsidRPr="00A92C0C" w:rsidRDefault="00561EED" w:rsidP="007F13E7">
            <w:pPr>
              <w:rPr>
                <w:lang w:eastAsia="hr-HR"/>
              </w:rPr>
            </w:pPr>
            <w:r w:rsidRPr="00A92C0C">
              <w:rPr>
                <w:lang w:eastAsia="hr-HR"/>
              </w:rPr>
              <w:t>porez na dodanu vrijednost</w:t>
            </w:r>
          </w:p>
        </w:tc>
      </w:tr>
      <w:tr w:rsidR="00A92C0C" w:rsidRPr="00A92C0C" w14:paraId="77108E2A" w14:textId="77777777" w:rsidTr="000B054C">
        <w:trPr>
          <w:cantSplit/>
        </w:trPr>
        <w:tc>
          <w:tcPr>
            <w:tcW w:w="1560" w:type="dxa"/>
            <w:vAlign w:val="center"/>
          </w:tcPr>
          <w:p w14:paraId="6400AA92" w14:textId="77777777" w:rsidR="00561EED" w:rsidRPr="00A92C0C" w:rsidRDefault="00561EED" w:rsidP="007F13E7">
            <w:pPr>
              <w:rPr>
                <w:lang w:eastAsia="hr-HR"/>
              </w:rPr>
            </w:pPr>
            <w:r w:rsidRPr="00A92C0C">
              <w:rPr>
                <w:lang w:eastAsia="hr-HR"/>
              </w:rPr>
              <w:t>PT</w:t>
            </w:r>
          </w:p>
        </w:tc>
        <w:tc>
          <w:tcPr>
            <w:tcW w:w="7784" w:type="dxa"/>
            <w:vAlign w:val="center"/>
          </w:tcPr>
          <w:p w14:paraId="089C8114" w14:textId="77777777" w:rsidR="00561EED" w:rsidRPr="00A92C0C" w:rsidRDefault="00561EED" w:rsidP="007F13E7">
            <w:pPr>
              <w:rPr>
                <w:lang w:eastAsia="hr-HR"/>
              </w:rPr>
            </w:pPr>
            <w:r w:rsidRPr="00A92C0C">
              <w:rPr>
                <w:lang w:eastAsia="hr-HR"/>
              </w:rPr>
              <w:t xml:space="preserve">posredničko tijelo </w:t>
            </w:r>
          </w:p>
        </w:tc>
      </w:tr>
      <w:tr w:rsidR="00A92C0C" w:rsidRPr="00A92C0C" w14:paraId="3626C5ED" w14:textId="77777777" w:rsidTr="000B054C">
        <w:trPr>
          <w:cantSplit/>
        </w:trPr>
        <w:tc>
          <w:tcPr>
            <w:tcW w:w="1560" w:type="dxa"/>
            <w:vAlign w:val="center"/>
          </w:tcPr>
          <w:p w14:paraId="512AE069" w14:textId="77777777" w:rsidR="00561EED" w:rsidRPr="00A92C0C" w:rsidRDefault="00561EED" w:rsidP="007F13E7">
            <w:pPr>
              <w:rPr>
                <w:lang w:eastAsia="hr-HR"/>
              </w:rPr>
            </w:pPr>
            <w:r w:rsidRPr="00A92C0C">
              <w:rPr>
                <w:lang w:eastAsia="hr-HR"/>
              </w:rPr>
              <w:t>RH</w:t>
            </w:r>
          </w:p>
        </w:tc>
        <w:tc>
          <w:tcPr>
            <w:tcW w:w="7784" w:type="dxa"/>
            <w:vAlign w:val="center"/>
          </w:tcPr>
          <w:p w14:paraId="74EFFF6C" w14:textId="77777777" w:rsidR="00561EED" w:rsidRPr="00A92C0C" w:rsidRDefault="00561EED" w:rsidP="007F13E7">
            <w:pPr>
              <w:rPr>
                <w:lang w:eastAsia="hr-HR"/>
              </w:rPr>
            </w:pPr>
            <w:r w:rsidRPr="00A92C0C">
              <w:rPr>
                <w:lang w:eastAsia="hr-HR"/>
              </w:rPr>
              <w:t>Republika Hrvatska</w:t>
            </w:r>
          </w:p>
        </w:tc>
      </w:tr>
      <w:tr w:rsidR="00A92C0C" w:rsidRPr="00A92C0C" w14:paraId="44DE85ED" w14:textId="77777777" w:rsidTr="000B054C">
        <w:trPr>
          <w:cantSplit/>
        </w:trPr>
        <w:tc>
          <w:tcPr>
            <w:tcW w:w="1560" w:type="dxa"/>
            <w:vAlign w:val="center"/>
          </w:tcPr>
          <w:p w14:paraId="0883D9F6" w14:textId="77777777" w:rsidR="00561EED" w:rsidRPr="00A92C0C" w:rsidRDefault="00561EED" w:rsidP="007F13E7">
            <w:pPr>
              <w:rPr>
                <w:lang w:eastAsia="hr-HR"/>
              </w:rPr>
            </w:pPr>
            <w:r w:rsidRPr="00A92C0C">
              <w:rPr>
                <w:lang w:eastAsia="hr-HR"/>
              </w:rPr>
              <w:t>SC</w:t>
            </w:r>
          </w:p>
        </w:tc>
        <w:tc>
          <w:tcPr>
            <w:tcW w:w="7784" w:type="dxa"/>
            <w:vAlign w:val="center"/>
          </w:tcPr>
          <w:p w14:paraId="454D6312" w14:textId="77777777" w:rsidR="00561EED" w:rsidRPr="00A92C0C" w:rsidRDefault="00561EED" w:rsidP="007F13E7">
            <w:pPr>
              <w:rPr>
                <w:lang w:eastAsia="hr-HR"/>
              </w:rPr>
            </w:pPr>
            <w:r w:rsidRPr="00A92C0C">
              <w:rPr>
                <w:lang w:eastAsia="hr-HR"/>
              </w:rPr>
              <w:t>specifični cilj</w:t>
            </w:r>
          </w:p>
        </w:tc>
      </w:tr>
      <w:tr w:rsidR="00A92C0C" w:rsidRPr="00A92C0C" w14:paraId="0E20CDC5" w14:textId="77777777" w:rsidTr="001B0767">
        <w:trPr>
          <w:cantSplit/>
        </w:trPr>
        <w:tc>
          <w:tcPr>
            <w:tcW w:w="1560" w:type="dxa"/>
            <w:vAlign w:val="center"/>
          </w:tcPr>
          <w:p w14:paraId="316772DF" w14:textId="77777777" w:rsidR="002E5752" w:rsidRPr="00A92C0C" w:rsidRDefault="002E5752" w:rsidP="001B0767">
            <w:pPr>
              <w:rPr>
                <w:lang w:eastAsia="hr-HR"/>
              </w:rPr>
            </w:pPr>
            <w:r w:rsidRPr="00A92C0C">
              <w:rPr>
                <w:lang w:eastAsia="hr-HR"/>
              </w:rPr>
              <w:t>SMiV</w:t>
            </w:r>
          </w:p>
        </w:tc>
        <w:tc>
          <w:tcPr>
            <w:tcW w:w="7784" w:type="dxa"/>
            <w:vAlign w:val="center"/>
          </w:tcPr>
          <w:p w14:paraId="68AE9F43" w14:textId="77777777" w:rsidR="002E5752" w:rsidRPr="00A92C0C" w:rsidRDefault="002E5752" w:rsidP="001B0767">
            <w:pPr>
              <w:rPr>
                <w:lang w:eastAsia="hr-HR"/>
              </w:rPr>
            </w:pPr>
            <w:r w:rsidRPr="00A92C0C">
              <w:rPr>
                <w:lang w:eastAsia="hr-HR"/>
              </w:rPr>
              <w:t>Sustav za praćenje, mjerenje i verifikaciju ušteda energije</w:t>
            </w:r>
          </w:p>
        </w:tc>
      </w:tr>
      <w:tr w:rsidR="00A92C0C" w:rsidRPr="00A92C0C" w14:paraId="4A3F3B63" w14:textId="77777777" w:rsidTr="000B054C">
        <w:trPr>
          <w:cantSplit/>
        </w:trPr>
        <w:tc>
          <w:tcPr>
            <w:tcW w:w="1560" w:type="dxa"/>
            <w:vAlign w:val="center"/>
          </w:tcPr>
          <w:p w14:paraId="27C4AD84" w14:textId="34DBC7ED" w:rsidR="000B054C" w:rsidRPr="00A92C0C" w:rsidRDefault="002E5752" w:rsidP="007F13E7">
            <w:pPr>
              <w:rPr>
                <w:lang w:eastAsia="hr-HR"/>
              </w:rPr>
            </w:pPr>
            <w:r w:rsidRPr="00A92C0C">
              <w:rPr>
                <w:lang w:eastAsia="hr-HR"/>
              </w:rPr>
              <w:t>TPRUETZZ</w:t>
            </w:r>
          </w:p>
        </w:tc>
        <w:tc>
          <w:tcPr>
            <w:tcW w:w="7784" w:type="dxa"/>
            <w:vAlign w:val="center"/>
          </w:tcPr>
          <w:p w14:paraId="3F416151" w14:textId="5B4EFE34" w:rsidR="000B054C" w:rsidRPr="00A92C0C" w:rsidRDefault="002E5752" w:rsidP="002E5752">
            <w:pPr>
              <w:rPr>
                <w:lang w:eastAsia="hr-HR"/>
              </w:rPr>
            </w:pPr>
            <w:r w:rsidRPr="00A92C0C">
              <w:rPr>
                <w:lang w:eastAsia="hr-HR"/>
              </w:rPr>
              <w:t>Tehnički propis o racionalnoj uporabi energije i toplinskoj zaštiti u zgradama</w:t>
            </w:r>
          </w:p>
        </w:tc>
      </w:tr>
      <w:tr w:rsidR="006011FB" w:rsidRPr="00EC457F" w14:paraId="167331F9" w14:textId="77777777" w:rsidTr="000B054C">
        <w:trPr>
          <w:cantSplit/>
        </w:trPr>
        <w:tc>
          <w:tcPr>
            <w:tcW w:w="1560" w:type="dxa"/>
            <w:vAlign w:val="center"/>
          </w:tcPr>
          <w:p w14:paraId="76D6326F" w14:textId="77777777" w:rsidR="006011FB" w:rsidRPr="00EC457F" w:rsidRDefault="006011FB" w:rsidP="007F13E7">
            <w:pPr>
              <w:rPr>
                <w:lang w:eastAsia="hr-HR"/>
              </w:rPr>
            </w:pPr>
            <w:r>
              <w:rPr>
                <w:lang w:eastAsia="hr-HR"/>
              </w:rPr>
              <w:t>VSZ</w:t>
            </w:r>
          </w:p>
        </w:tc>
        <w:tc>
          <w:tcPr>
            <w:tcW w:w="7784" w:type="dxa"/>
            <w:vAlign w:val="center"/>
          </w:tcPr>
          <w:p w14:paraId="1259B4A1" w14:textId="77777777" w:rsidR="006011FB" w:rsidRPr="00EC457F" w:rsidRDefault="006011FB" w:rsidP="007F13E7">
            <w:pPr>
              <w:rPr>
                <w:lang w:eastAsia="hr-HR"/>
              </w:rPr>
            </w:pPr>
            <w:r>
              <w:rPr>
                <w:lang w:eastAsia="hr-HR"/>
              </w:rPr>
              <w:t xml:space="preserve">višestambene </w:t>
            </w:r>
            <w:r w:rsidR="002312A0">
              <w:rPr>
                <w:lang w:eastAsia="hr-HR"/>
              </w:rPr>
              <w:t>zgrade</w:t>
            </w:r>
          </w:p>
        </w:tc>
      </w:tr>
      <w:tr w:rsidR="00561EED" w:rsidRPr="00EC457F" w14:paraId="76E23B33" w14:textId="77777777" w:rsidTr="000B054C">
        <w:trPr>
          <w:cantSplit/>
        </w:trPr>
        <w:tc>
          <w:tcPr>
            <w:tcW w:w="1560" w:type="dxa"/>
            <w:vAlign w:val="center"/>
          </w:tcPr>
          <w:p w14:paraId="5C50DABF" w14:textId="77777777" w:rsidR="00561EED" w:rsidRDefault="00561EED" w:rsidP="007F13E7">
            <w:pPr>
              <w:rPr>
                <w:lang w:eastAsia="hr-HR"/>
              </w:rPr>
            </w:pPr>
            <w:r>
              <w:rPr>
                <w:lang w:eastAsia="hr-HR"/>
              </w:rPr>
              <w:t>ZMN</w:t>
            </w:r>
          </w:p>
        </w:tc>
        <w:tc>
          <w:tcPr>
            <w:tcW w:w="7784" w:type="dxa"/>
            <w:vAlign w:val="center"/>
          </w:tcPr>
          <w:p w14:paraId="24E4C18E" w14:textId="77777777" w:rsidR="00561EED" w:rsidRDefault="00561EED" w:rsidP="007F13E7">
            <w:pPr>
              <w:rPr>
                <w:lang w:eastAsia="hr-HR"/>
              </w:rPr>
            </w:pPr>
            <w:r>
              <w:rPr>
                <w:lang w:eastAsia="hr-HR"/>
              </w:rPr>
              <w:t>zajamčena minimalna naknada</w:t>
            </w:r>
          </w:p>
        </w:tc>
      </w:tr>
      <w:tr w:rsidR="000B054C" w:rsidRPr="00EC457F" w14:paraId="6B6602E1" w14:textId="77777777" w:rsidTr="000B054C">
        <w:trPr>
          <w:cantSplit/>
        </w:trPr>
        <w:tc>
          <w:tcPr>
            <w:tcW w:w="1560" w:type="dxa"/>
            <w:vAlign w:val="center"/>
          </w:tcPr>
          <w:p w14:paraId="600612D4" w14:textId="77777777" w:rsidR="000B054C" w:rsidRPr="00EC457F" w:rsidRDefault="00CF2074" w:rsidP="007F13E7">
            <w:pPr>
              <w:rPr>
                <w:lang w:eastAsia="hr-HR"/>
              </w:rPr>
            </w:pPr>
            <w:r>
              <w:rPr>
                <w:lang w:eastAsia="hr-HR"/>
              </w:rPr>
              <w:t>ESRH</w:t>
            </w:r>
          </w:p>
        </w:tc>
        <w:tc>
          <w:tcPr>
            <w:tcW w:w="7784" w:type="dxa"/>
            <w:vAlign w:val="center"/>
          </w:tcPr>
          <w:p w14:paraId="640D403B" w14:textId="77777777" w:rsidR="000B054C" w:rsidRPr="00EC457F" w:rsidRDefault="00CF2074" w:rsidP="007F13E7">
            <w:pPr>
              <w:rPr>
                <w:lang w:eastAsia="hr-HR"/>
              </w:rPr>
            </w:pPr>
            <w:r w:rsidRPr="00CF2074">
              <w:rPr>
                <w:lang w:eastAsia="hr-HR"/>
              </w:rPr>
              <w:t>Strategij</w:t>
            </w:r>
            <w:r w:rsidR="00980B72">
              <w:rPr>
                <w:lang w:eastAsia="hr-HR"/>
              </w:rPr>
              <w:t>a</w:t>
            </w:r>
            <w:r w:rsidRPr="00CF2074">
              <w:rPr>
                <w:lang w:eastAsia="hr-HR"/>
              </w:rPr>
              <w:t xml:space="preserve"> energetskog razvoja Republike Hrvatske do 2030. s pogledom na 2050. godinu</w:t>
            </w:r>
          </w:p>
        </w:tc>
      </w:tr>
      <w:tr w:rsidR="00FD714A" w:rsidRPr="00EC457F" w14:paraId="3F6C217D" w14:textId="77777777" w:rsidTr="00FC6F80">
        <w:trPr>
          <w:cantSplit/>
        </w:trPr>
        <w:tc>
          <w:tcPr>
            <w:tcW w:w="1560" w:type="dxa"/>
            <w:vAlign w:val="center"/>
          </w:tcPr>
          <w:p w14:paraId="43895DB6" w14:textId="77777777" w:rsidR="00FD714A" w:rsidRPr="00EC457F" w:rsidRDefault="00CF2074" w:rsidP="007F13E7">
            <w:pPr>
              <w:rPr>
                <w:lang w:eastAsia="hr-HR"/>
              </w:rPr>
            </w:pPr>
            <w:r>
              <w:rPr>
                <w:lang w:eastAsia="hr-HR"/>
              </w:rPr>
              <w:t>NECP</w:t>
            </w:r>
          </w:p>
        </w:tc>
        <w:tc>
          <w:tcPr>
            <w:tcW w:w="7784" w:type="dxa"/>
            <w:vAlign w:val="center"/>
          </w:tcPr>
          <w:p w14:paraId="07DCDF38" w14:textId="77777777" w:rsidR="00FD714A" w:rsidRPr="00EC457F" w:rsidRDefault="00980B72" w:rsidP="007F13E7">
            <w:pPr>
              <w:rPr>
                <w:lang w:eastAsia="hr-HR"/>
              </w:rPr>
            </w:pPr>
            <w:r w:rsidRPr="00980B72">
              <w:rPr>
                <w:lang w:eastAsia="hr-HR"/>
              </w:rPr>
              <w:t>Integrirani nacionalni energetski i klimatski plan za Republiku Hrvatsku za razdoblje 2021. do 2030.</w:t>
            </w:r>
          </w:p>
        </w:tc>
      </w:tr>
      <w:tr w:rsidR="00993C6E" w:rsidRPr="00EC457F" w14:paraId="4A3F3EDB" w14:textId="77777777" w:rsidTr="00FC6F80">
        <w:trPr>
          <w:cantSplit/>
        </w:trPr>
        <w:tc>
          <w:tcPr>
            <w:tcW w:w="1560" w:type="dxa"/>
            <w:vAlign w:val="center"/>
          </w:tcPr>
          <w:p w14:paraId="1FF10284" w14:textId="775B2CE6" w:rsidR="00993C6E" w:rsidRDefault="00993C6E" w:rsidP="007F13E7">
            <w:pPr>
              <w:rPr>
                <w:lang w:eastAsia="hr-HR"/>
              </w:rPr>
            </w:pPr>
            <w:r w:rsidRPr="0059329E">
              <w:rPr>
                <w:rFonts w:cs="Tahoma"/>
                <w:color w:val="000000"/>
                <w:szCs w:val="20"/>
              </w:rPr>
              <w:t>EOJN</w:t>
            </w:r>
          </w:p>
        </w:tc>
        <w:tc>
          <w:tcPr>
            <w:tcW w:w="7784" w:type="dxa"/>
            <w:vAlign w:val="center"/>
          </w:tcPr>
          <w:p w14:paraId="7BFA3E91" w14:textId="36304B3B" w:rsidR="00993C6E" w:rsidRPr="00980B72" w:rsidRDefault="00C634EA" w:rsidP="007F13E7">
            <w:pPr>
              <w:rPr>
                <w:lang w:eastAsia="hr-HR"/>
              </w:rPr>
            </w:pPr>
            <w:r>
              <w:rPr>
                <w:lang w:eastAsia="hr-HR"/>
              </w:rPr>
              <w:t xml:space="preserve">Elektronički </w:t>
            </w:r>
            <w:r w:rsidR="00993C6E">
              <w:rPr>
                <w:lang w:eastAsia="hr-HR"/>
              </w:rPr>
              <w:t>oglasnik javne nabave</w:t>
            </w:r>
          </w:p>
        </w:tc>
      </w:tr>
    </w:tbl>
    <w:p w14:paraId="324D9074" w14:textId="77777777" w:rsidR="001F7AF9" w:rsidRDefault="001F7AF9" w:rsidP="007F13E7">
      <w:pPr>
        <w:rPr>
          <w:lang w:eastAsia="hr-HR"/>
        </w:rPr>
      </w:pPr>
    </w:p>
    <w:p w14:paraId="64AB7606" w14:textId="77777777" w:rsidR="001F7AF9" w:rsidRDefault="001F7AF9" w:rsidP="007F13E7">
      <w:pPr>
        <w:rPr>
          <w:lang w:eastAsia="hr-HR"/>
        </w:rPr>
      </w:pPr>
    </w:p>
    <w:p w14:paraId="40F6B680" w14:textId="77777777" w:rsidR="001F7AF9" w:rsidRDefault="001F7AF9" w:rsidP="007F13E7">
      <w:pPr>
        <w:rPr>
          <w:lang w:eastAsia="hr-HR"/>
        </w:rPr>
        <w:sectPr w:rsidR="001F7AF9" w:rsidSect="001F7AF9">
          <w:headerReference w:type="default" r:id="rId13"/>
          <w:footerReference w:type="default" r:id="rId14"/>
          <w:type w:val="oddPage"/>
          <w:pgSz w:w="11906" w:h="16838" w:code="9"/>
          <w:pgMar w:top="1247" w:right="1134" w:bottom="1247" w:left="1418" w:header="567" w:footer="567" w:gutter="0"/>
          <w:cols w:space="708"/>
          <w:rtlGutter/>
          <w:docGrid w:linePitch="360"/>
        </w:sectPr>
      </w:pPr>
    </w:p>
    <w:p w14:paraId="53C43387" w14:textId="77777777" w:rsidR="00C9332F" w:rsidRDefault="00C9332F" w:rsidP="008129E7">
      <w:pPr>
        <w:pStyle w:val="Naslov1-"/>
      </w:pPr>
      <w:r w:rsidRPr="00EC457F">
        <w:lastRenderedPageBreak/>
        <w:t>Sažetak</w:t>
      </w:r>
    </w:p>
    <w:p w14:paraId="4C1B3708" w14:textId="77CBFF51" w:rsidR="003053D9" w:rsidRDefault="003053D9" w:rsidP="003053D9">
      <w:r>
        <w:t xml:space="preserve">Dugoročna strategija za poticanje ulaganja u obnovu nacionalnog fonda zgrada Republike Hrvatske prema  </w:t>
      </w:r>
      <w:sdt>
        <w:sdtPr>
          <w:id w:val="-1385862529"/>
          <w:citation/>
        </w:sdtPr>
        <w:sdtEndPr/>
        <w:sdtContent>
          <w:r>
            <w:fldChar w:fldCharType="begin"/>
          </w:r>
          <w:r>
            <w:instrText xml:space="preserve"> CITATION Dir18 \l 1050 </w:instrText>
          </w:r>
          <w:r>
            <w:fldChar w:fldCharType="separate"/>
          </w:r>
          <w:r w:rsidR="002D258B">
            <w:rPr>
              <w:noProof/>
            </w:rPr>
            <w:t>(2018)</w:t>
          </w:r>
          <w:r>
            <w:fldChar w:fldCharType="end"/>
          </w:r>
        </w:sdtContent>
      </w:sdt>
      <w:r>
        <w:t xml:space="preserve"> i </w:t>
      </w:r>
      <w:sdt>
        <w:sdtPr>
          <w:id w:val="-2034568657"/>
          <w:citation/>
        </w:sdtPr>
        <w:sdtEndPr/>
        <w:sdtContent>
          <w:r>
            <w:fldChar w:fldCharType="begin"/>
          </w:r>
          <w:r>
            <w:instrText xml:space="preserve"> CITATION Zak19 \l 1050 </w:instrText>
          </w:r>
          <w:r>
            <w:fldChar w:fldCharType="separate"/>
          </w:r>
          <w:r w:rsidR="002D258B">
            <w:rPr>
              <w:noProof/>
            </w:rPr>
            <w:t>(2019)</w:t>
          </w:r>
          <w:r>
            <w:fldChar w:fldCharType="end"/>
          </w:r>
        </w:sdtContent>
      </w:sdt>
      <w:r>
        <w:t xml:space="preserve"> obuhvaća: </w:t>
      </w:r>
    </w:p>
    <w:p w14:paraId="4B1B0772" w14:textId="77777777" w:rsidR="003053D9" w:rsidRDefault="003053D9" w:rsidP="007D44EF">
      <w:pPr>
        <w:pStyle w:val="Odlomakpopisa"/>
        <w:numPr>
          <w:ilvl w:val="0"/>
          <w:numId w:val="63"/>
        </w:numPr>
      </w:pPr>
      <w:r>
        <w:t>pregled nacionalnog fonda zgrada</w:t>
      </w:r>
    </w:p>
    <w:p w14:paraId="66F97C93" w14:textId="77777777" w:rsidR="003053D9" w:rsidRDefault="003053D9" w:rsidP="007D44EF">
      <w:pPr>
        <w:pStyle w:val="Odlomakpopisa"/>
        <w:numPr>
          <w:ilvl w:val="0"/>
          <w:numId w:val="63"/>
        </w:numPr>
      </w:pPr>
      <w:r>
        <w:t xml:space="preserve">utvrđivanje troškovno učinkovitog pristupa obnovi ovisno o vrsti zgrade i klimatskoj zoni, uzimajući u obzir, kada je primjenjivo, relevantne pokretačke točke u životnom ciklusu zgrade </w:t>
      </w:r>
    </w:p>
    <w:p w14:paraId="0C2CFD48" w14:textId="77777777" w:rsidR="003053D9" w:rsidRDefault="003053D9" w:rsidP="007D44EF">
      <w:pPr>
        <w:pStyle w:val="Odlomakpopisa"/>
        <w:numPr>
          <w:ilvl w:val="0"/>
          <w:numId w:val="63"/>
        </w:numPr>
      </w:pPr>
      <w:r>
        <w:t xml:space="preserve">politike i mjere za poticanje troškovno učinkovite dubinske obnove zgrada, uključujući postupne dubinske obnove te za podupiranje ciljanih troškovno učinkovitih mjera obnove </w:t>
      </w:r>
    </w:p>
    <w:p w14:paraId="34FD5985" w14:textId="77777777" w:rsidR="003053D9" w:rsidRDefault="003053D9" w:rsidP="007D44EF">
      <w:pPr>
        <w:pStyle w:val="Odlomakpopisa"/>
        <w:numPr>
          <w:ilvl w:val="0"/>
          <w:numId w:val="63"/>
        </w:numPr>
      </w:pPr>
      <w:r>
        <w:t>pregled politika i mjera koje su usmjerene na segmente nacionalnog fonda zgrada s najgorim svojstvima, dileme suprotstavljenih interesa najmodavca i najmoprimca i nedostatke tržišta te opis relevantnih nacionalnih mjera kojima se pridonosi ublažavanju energetskog siromaštva</w:t>
      </w:r>
    </w:p>
    <w:p w14:paraId="76601D27" w14:textId="77777777" w:rsidR="003053D9" w:rsidRDefault="003053D9" w:rsidP="007D44EF">
      <w:pPr>
        <w:pStyle w:val="Odlomakpopisa"/>
        <w:numPr>
          <w:ilvl w:val="0"/>
          <w:numId w:val="63"/>
        </w:numPr>
      </w:pPr>
      <w:r>
        <w:t xml:space="preserve">politike i mjere usmjerene na sve zgrade javnog sektora </w:t>
      </w:r>
    </w:p>
    <w:p w14:paraId="604B5934" w14:textId="77777777" w:rsidR="003053D9" w:rsidRDefault="003053D9" w:rsidP="007D44EF">
      <w:pPr>
        <w:pStyle w:val="Odlomakpopisa"/>
        <w:numPr>
          <w:ilvl w:val="0"/>
          <w:numId w:val="63"/>
        </w:numPr>
      </w:pPr>
      <w:r>
        <w:t xml:space="preserve">pregled nacionalnih inicijativa za promicanje pametnih tehnologija i dobro povezanih zgrada i zajednica, kao i vještina i obrazovanja u građevinskom sektoru i sektoru energetske učinkovitosti </w:t>
      </w:r>
    </w:p>
    <w:p w14:paraId="45A9F96E" w14:textId="77777777" w:rsidR="003053D9" w:rsidRDefault="003053D9" w:rsidP="007D44EF">
      <w:pPr>
        <w:pStyle w:val="Odlomakpopisa"/>
        <w:numPr>
          <w:ilvl w:val="0"/>
          <w:numId w:val="63"/>
        </w:numPr>
      </w:pPr>
      <w:r>
        <w:t xml:space="preserve">na dokazima utemeljenu procjenu očekivanih ušteda energije i širih koristi, kao što su koristi povezane sa zdravljem, sigurnošću i kvalitetom zraka. </w:t>
      </w:r>
    </w:p>
    <w:p w14:paraId="24D2CD20" w14:textId="1762D035" w:rsidR="003053D9" w:rsidRDefault="003053D9" w:rsidP="007D44EF">
      <w:pPr>
        <w:pStyle w:val="Odlomakpopisa"/>
        <w:numPr>
          <w:ilvl w:val="0"/>
          <w:numId w:val="63"/>
        </w:numPr>
      </w:pPr>
      <w:r>
        <w:t>procjenu očekivane uštede energije i širih koristi sustavnog ulaganja u integralnu obnovu nacionalnog fonda zgrada (otvaranje novih radnih mjesta, smanjenje energetskog siromaštva, porast vrijednosti nekretnina)</w:t>
      </w:r>
    </w:p>
    <w:p w14:paraId="46140823" w14:textId="77777777" w:rsidR="003053D9" w:rsidRPr="00A92C0C" w:rsidRDefault="003053D9" w:rsidP="003053D9">
      <w:r w:rsidRPr="00A92C0C">
        <w:t xml:space="preserve">Nacionalni fond zgrada RH u 2011. godini obuhvaćao je ukupnu korisnu površinu 198.133.193 m² zgrada. Projekcijom kretanja do 2050. godine, utvrđeno je kako će se u 2050. godini  fond zgrada sastojati od 189.646.889 m² stambenih zgrada, te 66.732.712 m² nestambenih zgrada, odnosno 158.039.074 m² korisne površine stambenih zgrada, i 49.431.639 m² grijane korisne površine nestambenih zgrada. Promjenu do 2050. godine u odnosu na 2011. godinu čini porast ukupne korisne površine stambenih zgrada za 11.487.625 m², i smanjenje grijane korisne površine nestambenih zgrada za 2.140.105 m². Bez značajnih promjena politika usmjerenih na povećanje stope obnove zgrada, vidljivo je da i uz smanjeni intenzitet novogradnje postoji visoka stopa demolacije, koja opisuje dio fonda koji izlazi iz upotrebe bilo rušenjem, privremenim </w:t>
      </w:r>
      <w:r w:rsidRPr="00A92C0C">
        <w:lastRenderedPageBreak/>
        <w:t xml:space="preserve">napuštanjem ili neregistriranim napuštanjem grada koje su formalno u funkciji. Trend promjene površine zgrada pokazuje iznadprosječni porast u primorskim županijama, a stagnaciju ili čak pad u kopnenim županijama. </w:t>
      </w:r>
    </w:p>
    <w:p w14:paraId="0988F372" w14:textId="4670E947" w:rsidR="003053D9" w:rsidRPr="00A92C0C" w:rsidRDefault="003053D9" w:rsidP="003053D9">
      <w:r w:rsidRPr="00A92C0C">
        <w:t xml:space="preserve">Prosječna energetska svojstva fonda zgrada prema podacima prikupljenim u IEC bazi podataka energetskih certifikata zgrada su ravnomjerno zastupljena u pogledu potrebne toplinske energije za grijanje u stambenim i uredskim zgradama, dok kod ostalih namjena dolazi do pomaka prema lošijim energetskim razredima (kod bolnica i obiteljskih kuća) ili boljim (trgovina, hoteli, restorani) što odražava i početno stanje fonda kao i intenzitet investicija. U pogledu primarne energije, udio zgrada s lošijim energetskim karakteristikama je nešto veći, budući da je primarna energija kao mjerilo tek kratko vrijeme u upotrebi, te je potrebno određeno vrijeme prilagodbe kako bi se to reflektiralo u prosječnim rezultatima fonda zgrada. Kod energetskih svojstava vanjske ovojnice zgrada vidljivo je podudaranje s regulatornim zahtjevima u ovisnosti o razdoblju gradnje, a sustavi grijanja kroz indirektni pokazatelj omjera isporučene i potrebne energije za grijanje također pokazuju povećanje energetske učinkovitosti sustava. </w:t>
      </w:r>
    </w:p>
    <w:p w14:paraId="65F00FE3" w14:textId="5BC81E1F" w:rsidR="003053D9" w:rsidRPr="00A92C0C" w:rsidRDefault="00E57143" w:rsidP="003053D9">
      <w:r>
        <w:t>S</w:t>
      </w:r>
      <w:r w:rsidR="003053D9" w:rsidRPr="00A92C0C">
        <w:t xml:space="preserve">topa energetske obnove zgrada za razdoblje od 2014. do 2020. godine iznosi 0,7%, odnosno 1,35 milijuna m² godišnje, a ciljana je stopa je 1 %  2021. godine, 1,5% do 2024. godine, 2,0% do 2026., 2,5% do 2028. i 3%  2030, sa zadržavanjem intenziteta obnove od 3% godišnje do 2050. godine. Prema izvještajima provedbenih tijela za prostorno uređenje županija i gradova u razdoblju od 1.4.2014. do 31.12.2019. godine izgrađeno je 145 nZEB zgrada. U bazi energetskih certifikata postoji ukupno 616 zgrada koje po specifičnoj primarnoj energiji i udjelu obnovljivih izvora energije zadovoljavaju uvjete za nZEB, ali kako nije postojala obveza iskazivanja ispunjavanja zahtjeva za nZEB nisu uključene u broj nZEB zgrada. Može se zaključiti kako 1,6% zgrada za koje su izdani energetski certifikati u toku 2018. i 2019. godine ispunjava zahtjeve za zgrade gotovo nulte energije.  </w:t>
      </w:r>
    </w:p>
    <w:p w14:paraId="459E6F80" w14:textId="77777777" w:rsidR="003053D9" w:rsidRPr="00A92C0C" w:rsidRDefault="003053D9" w:rsidP="003053D9">
      <w:r w:rsidRPr="00A92C0C">
        <w:t xml:space="preserve">U ukupnom fondu zgrada obuhvaćene su i zgrade sa statusom nepokretnog kulturnog dobra te zgrade u vlasništvu i korištenju oružanih snaga RH. Zgrade sa statusom nepokretnog kulturnog dobra obuhvaćene su Registrom kulturnih dobara Republike Hrvatske, prema kojem je 102.615 zgrada unutar kulturno povijesnih cjelina koje imaju status kulturnog dobra, odnosno 1.950 zgrada imaju status pojedinačno zaštićenog kulturnog dobra. Na isti način su i zgrade u vlasništvu i korištenju Oružanih snaga RH sadržane u ukupnom fondu zgrada prema namjeni i razdoblju gradnje, a prema Dugoročnom planu razvoja OSRH razmatraju se u tri skupine – perspektivne nekretnine koje su građene za vojnu namjenu koje koristi Ministarstvo obrane RH, privremeno perspektivne nekretnine koje su u postupku napuštanja, te neperspektivne nekretnine </w:t>
      </w:r>
      <w:r w:rsidRPr="00A92C0C">
        <w:lastRenderedPageBreak/>
        <w:t xml:space="preserve">koje ne koristi MORH. Perspektivne nekretnine obuhvaćene su planovima korištenja i unapređenja lokacija OSRH te se u prvom redu prioriteta obnove nalazi sedam lokacija gdje će se povećavati energetska učinkovitost, primijeniti gospodarenje otpadom i primijeniti korištenje biomase. </w:t>
      </w:r>
    </w:p>
    <w:p w14:paraId="6A285AE3" w14:textId="356D32E9" w:rsidR="003053D9" w:rsidRPr="00A92C0C" w:rsidRDefault="003053D9" w:rsidP="003053D9">
      <w:r w:rsidRPr="00A92C0C">
        <w:t xml:space="preserve">Aktualni programi energetske obnove obuhvaćaju sve namjene zgrada, privatne, javne i komercijalne korisnike, kao i zgrade najlošijih svojstava na potpomognutim područjima i područjima od posebne državne skrbi. Tehničke mogućnosti za energetsku obnovu prioritetno se oslanjaju na smanjenje </w:t>
      </w:r>
      <w:r w:rsidR="00E57143">
        <w:t xml:space="preserve">energetskih </w:t>
      </w:r>
      <w:r w:rsidRPr="00A92C0C">
        <w:t>potreba kroz obnovu vanjske ovojnice</w:t>
      </w:r>
      <w:r w:rsidR="00E57143">
        <w:t xml:space="preserve"> zgrade</w:t>
      </w:r>
      <w:r w:rsidRPr="00A92C0C">
        <w:t xml:space="preserve"> u skladu s važećom regulativom. Zahtjev za nZEB uključuje i tehničke sustave u zgradama </w:t>
      </w:r>
      <w:r w:rsidR="00E57143">
        <w:t>te</w:t>
      </w:r>
      <w:r w:rsidRPr="00A92C0C">
        <w:t xml:space="preserve"> minimalni udio obnovljivih izvora energije. Obnovu vanjske ovojnice dopunjava centralizacija i modernizacija sustava grijanja, hlađenja i ventilacije te pripreme PTV uz primjenu obnovljivih izvora energije, pri čemu je za svaku zgradu potrebno razmotriti mogućnosti zasebnog kotlovskog sustava ili sustava područnog grijanja. Ograničeni broj centraliziranih toplinskih sustava grijanja – sustava daljinskog grijanja – ima prednosti u odnosu na pojedinačne sustave koje uključuju mogućnost iskorištavanja otpadne toplinske energije, interpolacije i povezivanja s drugim sustavima, te centralizirano korištenje obnovljivih izvora energije čime se povećava udio obnovljivih izvora energije na lokacijama gdje su tehničke mogućnosti uključivanja OIE na zgradama ograničene. </w:t>
      </w:r>
    </w:p>
    <w:p w14:paraId="2933AB0E" w14:textId="77777777" w:rsidR="003053D9" w:rsidRPr="00A92C0C" w:rsidRDefault="003053D9" w:rsidP="003053D9">
      <w:r w:rsidRPr="00A92C0C">
        <w:t xml:space="preserve">Modeli održive obnove zgrada mogu se poduprijeti centraliziranim toplinskim sustavima povezivanjem investicije u obnovu zgrada i obnovu sustava daljinskog grijanja, čime se zbog stalnog smanjenja potreba zgrada sustav mijenja iz djelovanja baziranog na visokim operativnom troškovima na sustav temeljen na visokim investicijskim troškovima. Centralizirani toplinski sustavi se mogu, ali ne moraju poklapati s većim prostornim cjelinama – četvrtima, susjedstvima ili naseljima, koja se razmatraju kao nZEN – čime se na teret ostvarivanja ciljeva dijeli na veći broj jedinica na širem području, čime se do kraja iskorištava potencijal kvalitetnih lokacija i  dijeli sa zgradama koje zbog niza ograničenja ne mogu postići individualne zahtjeve za zgrade, ili su izuzete od obaveze. Na istom tragu je i agregiranje projekata što se može provesti na prostornoj osnovi, ili platformi ili skupina za ulaganja, konzorcija malih i srednjih poduzeća i različitih rješenja u paketu. Formiranje mreža jedinstvenih pristupnih točaka (one stop shop) objedinjava informacije o energetskoj obnovi i mogućnostima financiranja. </w:t>
      </w:r>
    </w:p>
    <w:p w14:paraId="3E3603D7" w14:textId="441AFF41" w:rsidR="003053D9" w:rsidRPr="00A92C0C" w:rsidRDefault="003053D9" w:rsidP="00E57143">
      <w:r w:rsidRPr="00A92C0C">
        <w:t xml:space="preserve">Postojeće mjere za poticanje obnove zgrada u RH obuhvaćaju nacionalne i međunarodne projekte i programe za obnovu zgrada, te provedbu operativnih programa RH za različite tipologije zgrada. Prema </w:t>
      </w:r>
      <w:r w:rsidR="002577A7">
        <w:t>G</w:t>
      </w:r>
      <w:r w:rsidR="002577A7" w:rsidRPr="00A92C0C">
        <w:t xml:space="preserve">odišnjem </w:t>
      </w:r>
      <w:r w:rsidRPr="00A92C0C">
        <w:t xml:space="preserve">izvješću o napretku postignutom u ostvarenju  nacionalnih ciljeva energetske učinkovitosti na temelju članka 24. stavka 1. u skladu s dijelom 1. Priloga XIV. Direktive 2012/27/EU </w:t>
      </w:r>
      <w:r w:rsidRPr="00A92C0C">
        <w:lastRenderedPageBreak/>
        <w:t xml:space="preserve">ostvarene su uštede od 2,61 PJ, sa smanjenjem emisija od 177.916 tCO2 u zgradarstvu, javnoj rasvjeti i prometu. Od toga, u zgradarstvu je obnovljeno ukupno 5.700.000 m² površine u razdoblju od 2014. do 2019. godine. Na razini država članica EU vidljivo je da dominiraju programi kojima se potiče obnova zgrada različitim modelima financiranja – subvencijama, u manjoj mjeri i zajmovima i fiskalnim instrumentima, ali rezultati nisu sistematski praćeni; mali dio instrumenata je usmjeren prema integralnoj obnovi zgrada, i često nije riješeno aktivnije uključenje privatnog financiranja. Postoji niz prepreka za energetsku obnovu, ali najčešće je to kao u RH financijska barijera, koju prate administrativne i institucionalne barijere i nedovoljna informiranost. Konačno, trošak obnove i korist od obnove su često odvojeni što smanjuje motivaciju za povećanje energetske učinkovitosti. Hrvatska nacionalna politika integralne obnove zgrada može ostvariti postavljene ciljeve kroz strateške, legislativne, tehničke, financijske, komunikacijske i istraživačko razvojne mjere uz korištenje financijskih modela i poticaja, sheme dodjele bespovratnih sredstava, porezne olakšice, sustav poticane stambene štednje i posebne programe financiranja koji uključuju mogućnost korištenja bespovratnih sredstava iz EU fondova. </w:t>
      </w:r>
    </w:p>
    <w:p w14:paraId="393E1B15" w14:textId="77777777" w:rsidR="003053D9" w:rsidRPr="00A92C0C" w:rsidRDefault="003053D9" w:rsidP="003053D9">
      <w:r w:rsidRPr="00A92C0C">
        <w:t xml:space="preserve">Uz politike usmjerene na ukupni fond zgrada, obuhvaćene su politike i mjere usmjerene na specifična problemska područja, što su: </w:t>
      </w:r>
    </w:p>
    <w:p w14:paraId="1EA1D583" w14:textId="77777777" w:rsidR="003053D9" w:rsidRPr="00A92C0C" w:rsidRDefault="003053D9" w:rsidP="006A4908">
      <w:pPr>
        <w:pStyle w:val="Odlomakpopisa"/>
        <w:numPr>
          <w:ilvl w:val="0"/>
          <w:numId w:val="68"/>
        </w:numPr>
      </w:pPr>
      <w:r w:rsidRPr="00A92C0C">
        <w:t>zgrade s nagorim svojstvima čiji udio po namjenama zgrada se kreće od 19% do čak 82%</w:t>
      </w:r>
    </w:p>
    <w:p w14:paraId="4188D71C" w14:textId="77777777" w:rsidR="003053D9" w:rsidRPr="00A92C0C" w:rsidRDefault="003053D9" w:rsidP="006A4908">
      <w:pPr>
        <w:pStyle w:val="Odlomakpopisa"/>
        <w:numPr>
          <w:ilvl w:val="0"/>
          <w:numId w:val="68"/>
        </w:numPr>
      </w:pPr>
      <w:r w:rsidRPr="00A92C0C">
        <w:t>seizmički ugrožene zgrade</w:t>
      </w:r>
    </w:p>
    <w:p w14:paraId="39B122D1" w14:textId="77777777" w:rsidR="003053D9" w:rsidRPr="00A92C0C" w:rsidRDefault="003053D9" w:rsidP="003053D9">
      <w:r w:rsidRPr="00A92C0C">
        <w:t xml:space="preserve">Dodatna specifična problemska područja čine suprotstavljeni interesi najmodavaca i najmoprimaca koji nije toliko izražen u Hrvatskoj. Nedostaci tržišta koje je pod depopulacijskim pritiskom su bitno veći problem, s najvećim prometom nekretninama u gradu Zagrebu i Splitsko dalmatinskoj županiji, te nesrazmjerno visokim troškovima obnove u odnosu na tržišnu vrijednost nekretnina na ruralnim i slabije razvijenim područjima. Energetsko siromaštvo nije definirano kao posebna kategorija siromaštva, ali je prepoznato kao rastući problem. Izmijenjeni Program energetske obnove obiteljskih kuća 2014. do 2020. i Program suzbijanja energetskog siromaštva koji uključuje korištenje obnovljivih izvora energije u stambenim zgradama na potpomognutim područjima i područjima posebne državne skrbi za razdoblje 2019. – 2021. godine adresiraju pitanje energetskog siromaštva, te postavljaju temelj za definiciju energetskog siromaštva kao i širenje kriterija za utvrđivanje građana koji su u riziku od energetskog siromaštva i kojima je potrebna pomoć pri energetskoj obnovi. Nastavlja se promicanje vještina i tehnologija u području zgrada gotovo nulte energije i energetske obnove. Uz nZEB zgrade vezana je i politika za povećanje elektromobilnosti, povezivanjem uz gradnju i energetsku obnovu zgrada. </w:t>
      </w:r>
    </w:p>
    <w:p w14:paraId="5B917701" w14:textId="3FB089A9" w:rsidR="003053D9" w:rsidRPr="00A92C0C" w:rsidRDefault="003053D9" w:rsidP="003053D9">
      <w:r w:rsidRPr="00A92C0C">
        <w:lastRenderedPageBreak/>
        <w:t>Zgrade javnog sektora su posebno područje interesa te s</w:t>
      </w:r>
      <w:r w:rsidR="006A4908" w:rsidRPr="00A92C0C">
        <w:t xml:space="preserve">e </w:t>
      </w:r>
      <w:r w:rsidRPr="00A92C0C">
        <w:t xml:space="preserve">mjere za zgrade javnog sektora –Sustavno gospodarenje energijom u javnom sektoru, Zelena javna nabava, Program energetske obnove zgrada koje imaju status kulturnog dobra </w:t>
      </w:r>
      <w:r w:rsidR="006A4908" w:rsidRPr="00A92C0C">
        <w:t xml:space="preserve"> - </w:t>
      </w:r>
      <w:r w:rsidRPr="00A92C0C">
        <w:t xml:space="preserve">zadržavaju do 2030. godine. </w:t>
      </w:r>
    </w:p>
    <w:p w14:paraId="768F3B59" w14:textId="30068331" w:rsidR="003053D9" w:rsidRPr="00A92C0C" w:rsidRDefault="003053D9" w:rsidP="003053D9">
      <w:r w:rsidRPr="00A92C0C">
        <w:t xml:space="preserve">Dugoročni plan s mjerama, mjerljivim pokazateljima napretka i pokazateljima za ključne točke 2030., 2040. i 2050. godine oslanja se na Energy Roadmap 2050, te daje mjerljive pokazatelje napretka pogledu broja i površine obnovljenih zgrada, koji raste s trenutnih 0.7% godišnje (1.350.000 m²) na 3% 2030. godine i zadržava se u istom intenzitetu do 2050. godine. Iskazano u površini obnovljenih  zgrada, cilj iznosi 28.481.490 m² obnovljenih zgrada do 2030., 44.271.564 m² do 2040. i 45.944.429 m² do 2050. godine. Dodatni </w:t>
      </w:r>
      <w:r w:rsidR="006A7B80">
        <w:t>pokazatelji</w:t>
      </w:r>
      <w:r w:rsidR="006A7B80" w:rsidRPr="00A92C0C">
        <w:t xml:space="preserve"> </w:t>
      </w:r>
      <w:r w:rsidR="007B71A6">
        <w:t xml:space="preserve">napretka </w:t>
      </w:r>
      <w:r w:rsidRPr="00A92C0C">
        <w:t xml:space="preserve">koji će se pratiti kroz registar izdanih energetskih certifikata zgrada su povećanje kvalitete vanjske ovojnice te broj nZEB zgrada i ukupna površina nZEB rekonstruiranih zgrada. Uz ove pokazatelje, temeljno se prati smanjenje potrošnje energije u zgradama javnog sektora i stambenim zgradama, prosječna potrebna toplinska energija za grijanje/hlađenje u obnovljenoj zgradi javnog sektora, doprinos smanjenju potrošnje energije i doprinos razvoju gospodarstva kroz povećanje broja zaposlenih tijekom obnove. </w:t>
      </w:r>
    </w:p>
    <w:p w14:paraId="6FE4CB4D" w14:textId="0584264B" w:rsidR="003053D9" w:rsidRPr="00A92C0C" w:rsidRDefault="003053D9" w:rsidP="003053D9">
      <w:r w:rsidRPr="00A92C0C">
        <w:t xml:space="preserve">Energetskom obnovom zgrada utječe se pozitivno i na zaštitu od požara i rizika povezanih s pojačanom seizmičkom aktivnošću. Poticanjem integralne obnove povećava se obuhvat analiza zgrada i kvaliteta rješenja zaštite od požara. Uz primjenu minimalnih zahtjeva na sadržaj projektne dokumentacije obuhvat prethodnih analiza u pogledu zaštite od požara i seizmičkih aktivnosti moguće je obuhvatiti opravdanim troškovima energetske obnove zgrada. U pogledu zadovoljavanja zahtjeva seizmičke otpornosti, fond zgrada građen do 1963. godine (što čini cca 30% ukupnog fonda zgrada) nije projektiran za preuzimanje horizontalnih opterećenja. Od 1964. Hrvatska ima znatno povećane zahtjeve za konstrukciju zgrada, a od 2008. godine u primjeni je europska regulativa kojom se dodatno povećava sigurnost zgrada u slučaju potresa. Moguć je niz tehničkih mjera koje se mogu povezati s integralnom energetskom obnovom zgrada, koje mogu povećati trošak obnove u rasponu od 581 </w:t>
      </w:r>
      <w:r w:rsidR="00E57143">
        <w:t>do</w:t>
      </w:r>
      <w:r w:rsidRPr="00A92C0C">
        <w:t xml:space="preserve"> 2.418 kn/m², odnosno prosječno 1.500 kn/m². </w:t>
      </w:r>
    </w:p>
    <w:p w14:paraId="3758407C" w14:textId="387A526F" w:rsidR="003053D9" w:rsidRPr="00A92C0C" w:rsidRDefault="003053D9" w:rsidP="003053D9">
      <w:r w:rsidRPr="00A92C0C">
        <w:t xml:space="preserve">Potrebna ulaganja u energetsku obnovu fonda zgrada procjenjuju se na 93,31 milijarde kuna u razdoblju do 2050. godine, ali zbog intenzivne demolacije postoji i trošak koji nije energetska obnova, već novogradnja koja zamjenjuje demolirani fond, za koju se trošak penje na 238,42 milijarde kuna do 2050. godine. Uloga države je u stvaranju i unaprjeđenju uvjeta kako bi se među investitorima stvorila povoljna investicijska klima za realizaciju potrebnih ulaganja. Povoljni uvjeti podrazumijevaju makroekonomsku stabilnost, </w:t>
      </w:r>
      <w:r w:rsidRPr="00A92C0C">
        <w:lastRenderedPageBreak/>
        <w:t>učinkovitu državnu upravu, konkurentnu razinu poreznog opterećenja, pravnu sigurnost, zaštitu tržišnog natjecanja i postojanje odgovarajućih financijskih poticaja za ulaganja. Dugoročni model financiranja obnove oslanja se na uspostavu financijskih instrumenata – fonda za urbanu obnovu za projekte energetske obnove putem sredstava Europskih strukturnih i investicijskih fondova i razvojnih banaka kojima bi se ponudili dugoročni i održivi mehanizmi financiranja (zajmovi, garancije, equity) za korisnike iz javnog i privatnog sektora; daljnju provedbu Programa energetske obnove zgrada javnog sektora; uspostavu posebnog potpornog programa za sufinanciranje energetske obnove zgrada zaštićene kulturne baštine; uspostavu posebnog instrumenta za sufinanciranje tehničke pripreme projekata; sustav obveze energetske učinkovitosti za opskrbljivače energijom te uspostavu sustava poreznih olakšica za ulaganja u energetsku obnovu</w:t>
      </w:r>
      <w:r w:rsidR="00E57143">
        <w:t>.</w:t>
      </w:r>
    </w:p>
    <w:p w14:paraId="7E7468EA" w14:textId="0F7AEABF" w:rsidR="00827B0A" w:rsidRPr="00A92C0C" w:rsidRDefault="00827B0A" w:rsidP="007F13E7">
      <w:pPr>
        <w:rPr>
          <w:lang w:eastAsia="hr-HR"/>
        </w:rPr>
      </w:pPr>
      <w:r w:rsidRPr="00A92C0C">
        <w:rPr>
          <w:lang w:eastAsia="hr-HR"/>
        </w:rPr>
        <w:br w:type="page"/>
      </w:r>
    </w:p>
    <w:p w14:paraId="3FDC04FC" w14:textId="77777777" w:rsidR="006410FC" w:rsidRPr="00012800" w:rsidRDefault="004A1AD8" w:rsidP="008129E7">
      <w:pPr>
        <w:pStyle w:val="Naslov10"/>
      </w:pPr>
      <w:bookmarkStart w:id="6" w:name="_Toc34052853"/>
      <w:bookmarkStart w:id="7" w:name="_Toc46163796"/>
      <w:r w:rsidRPr="00012800">
        <w:lastRenderedPageBreak/>
        <w:t>Uvod</w:t>
      </w:r>
      <w:bookmarkEnd w:id="6"/>
      <w:bookmarkEnd w:id="7"/>
    </w:p>
    <w:p w14:paraId="76B807B8" w14:textId="77777777" w:rsidR="00C843A2" w:rsidRDefault="00C843A2" w:rsidP="00C843A2">
      <w:r>
        <w:t>Europska je unija postavila dugoročni cilj smanjenja emisija CO2 iz sektora zgradarstva od 80-95% do 2050. godine. Također, Direktiva 2010/31/EU Europskog parlamenta i Vijeća od 19. svibnja 2010. o energetskoj učinkovitosti zgrada (preinaka)  propisuje poticanje razmatranja ugradnje visokoučinkovitih alternativnih sustava u mjeri u kojoj je to tehnički, funkcionalno i gospodarski izvedivo, dok Direktiva 2009/28/EZ Europskog parlamenta i Vijeća od 23. travnja 2009. o promicanju uporabe energije iz obnovljivih izvora te o izmjeni i kasnijem stavljanju izvan snage direktiva 2001/77/EZ i 2003/30/EZ (Tekst značajan za EGP)  (u nastavku teksta: Direktiva 2009/28/EU) propisuje obvezu uvođenja mjera za povećanje udjela energije iz obnovljivih izvora energije za sve države članice EU.</w:t>
      </w:r>
    </w:p>
    <w:p w14:paraId="0D0D0553" w14:textId="77777777" w:rsidR="00C843A2" w:rsidRDefault="00C843A2" w:rsidP="00C843A2"/>
    <w:p w14:paraId="4791EEC9" w14:textId="729E0171" w:rsidR="00C843A2" w:rsidRDefault="00C843A2" w:rsidP="00C843A2">
      <w:r>
        <w:t xml:space="preserve">Prema preuzetim obvezama iz Direktive </w:t>
      </w:r>
      <w:r w:rsidR="0074352B">
        <w:t>201</w:t>
      </w:r>
      <w:r w:rsidR="0034426E">
        <w:t>8/844</w:t>
      </w:r>
      <w:r w:rsidR="00D51F63">
        <w:t>/EU</w:t>
      </w:r>
      <w:r w:rsidR="0034426E">
        <w:t xml:space="preserve"> </w:t>
      </w:r>
      <w:r w:rsidR="00C04924" w:rsidRPr="00C04924">
        <w:t>o izmjeni Direktive 2010/31/EU o energetskim svojstvima zgrada i Direktive 2012/27/EU o energetskoj učinkovitosti</w:t>
      </w:r>
      <w:r w:rsidR="00C04924">
        <w:t xml:space="preserve"> prenesenim u nacionalno zakonodavstvo </w:t>
      </w:r>
      <w:r w:rsidR="00D53D04" w:rsidRPr="00D53D04">
        <w:t>Zakon</w:t>
      </w:r>
      <w:r w:rsidR="00D53D04">
        <w:t>om</w:t>
      </w:r>
      <w:r w:rsidR="00D53D04" w:rsidRPr="00D53D04">
        <w:t xml:space="preserve"> o gradnji (NN 153/13, 20/17, 39/19, 125/19)</w:t>
      </w:r>
      <w:r w:rsidR="009C16F9">
        <w:t xml:space="preserve"> </w:t>
      </w:r>
      <w:r w:rsidR="00473E43">
        <w:t>čl. 47</w:t>
      </w:r>
      <w:r w:rsidR="0016684C">
        <w:t xml:space="preserve">a. </w:t>
      </w:r>
      <w:r>
        <w:t>Republika Hrvatska je obavezna do 10. ožujka 2020. godine dostaviti Europskoj komisiji Dugoročnu strategiju za poticanje ulaganja u obnovu nacionalnog fonda zgrada Republike Hrvatske koja obuhvaća sljedeća područja:</w:t>
      </w:r>
    </w:p>
    <w:p w14:paraId="58B50880" w14:textId="77777777" w:rsidR="00854CBF" w:rsidRDefault="00854CBF" w:rsidP="00854CBF">
      <w:r>
        <w:t>●</w:t>
      </w:r>
      <w:r>
        <w:tab/>
        <w:t>pregled nacionalnog fonda zgrada</w:t>
      </w:r>
    </w:p>
    <w:p w14:paraId="3413EE18" w14:textId="77777777" w:rsidR="00854CBF" w:rsidRDefault="00854CBF" w:rsidP="00854CBF">
      <w:r>
        <w:t>●</w:t>
      </w:r>
      <w:r>
        <w:tab/>
        <w:t xml:space="preserve">utvrđivanje troškovno učinkovitog pristupa obnovi ovisno o vrsti zgrade i klimatskoj zoni, uzimajući u obzir, kada je primjenjivo, relevantne pokretačke točke u životnom ciklusu zgrade </w:t>
      </w:r>
    </w:p>
    <w:p w14:paraId="7BA1CF27" w14:textId="77777777" w:rsidR="00854CBF" w:rsidRDefault="00854CBF" w:rsidP="00854CBF">
      <w:r>
        <w:t>●</w:t>
      </w:r>
      <w:r>
        <w:tab/>
        <w:t xml:space="preserve">politike i mjere za poticanje troškovno učinkovite dubinske obnove zgrada, uključujući postupne dubinske obnove te za podupiranje ciljanih troškovno učinkovitih mjera obnove </w:t>
      </w:r>
    </w:p>
    <w:p w14:paraId="09951377" w14:textId="77777777" w:rsidR="00854CBF" w:rsidRDefault="00854CBF" w:rsidP="00854CBF">
      <w:r>
        <w:t>●</w:t>
      </w:r>
      <w:r>
        <w:tab/>
        <w:t>pregled politika i mjera koje su usmjerene na segmente nacionalnog fonda zgrada s najgorim svojstvima, dileme suprotstavljenih interesa najmodavca i najmoprimca i nedostatke tržišta te opis relevantnih nacionalnih mjera kojima se pridonosi ublažavanju energetskog siromaštva</w:t>
      </w:r>
    </w:p>
    <w:p w14:paraId="37187F4B" w14:textId="77777777" w:rsidR="00854CBF" w:rsidRDefault="00854CBF" w:rsidP="00854CBF">
      <w:r>
        <w:t>●</w:t>
      </w:r>
      <w:r>
        <w:tab/>
        <w:t xml:space="preserve">politike i mjere usmjerene na sve zgrade javnog sektora </w:t>
      </w:r>
    </w:p>
    <w:p w14:paraId="41D82987" w14:textId="77777777" w:rsidR="00854CBF" w:rsidRDefault="00854CBF" w:rsidP="00854CBF">
      <w:r>
        <w:t>●</w:t>
      </w:r>
      <w:r>
        <w:tab/>
        <w:t xml:space="preserve">pregled nacionalnih inicijativa za promicanje pametnih tehnologija i dobro povezanih zgrada i zajednica, kao i vještina i obrazovanja u građevinskom sektoru i sektoru energetske učinkovitosti </w:t>
      </w:r>
    </w:p>
    <w:p w14:paraId="1CBDEC3F" w14:textId="77777777" w:rsidR="00854CBF" w:rsidRDefault="00854CBF" w:rsidP="00854CBF">
      <w:r>
        <w:t>●</w:t>
      </w:r>
      <w:r>
        <w:tab/>
        <w:t xml:space="preserve">na dokazima utemeljenu procjenu očekivanih ušteda energije i širih koristi, kao što su koristi povezane sa zdravljem, sigurnošću i kvalitetom zraka. </w:t>
      </w:r>
    </w:p>
    <w:p w14:paraId="0620A81D" w14:textId="33EAF0DC" w:rsidR="00854CBF" w:rsidRDefault="00854CBF" w:rsidP="00854CBF">
      <w:r>
        <w:lastRenderedPageBreak/>
        <w:t>●</w:t>
      </w:r>
      <w:r>
        <w:tab/>
        <w:t>procjenu očekivane uštede energije i širih koristi sustavnog ulaganja u integralnu obnovu nacionalnog fonda zgrada (otvaranje novih radnih mjesta, smanjenje energetskog siromaštva, porast vrijednosti nekretnina, i dr.)</w:t>
      </w:r>
    </w:p>
    <w:p w14:paraId="7014580A" w14:textId="244CDADD" w:rsidR="00C843A2" w:rsidRDefault="00C843A2" w:rsidP="00C843A2">
      <w:pPr>
        <w:rPr>
          <w:szCs w:val="20"/>
          <w:lang w:eastAsia="hr-HR"/>
        </w:rPr>
      </w:pPr>
      <w:r>
        <w:t>U svom metodološkom dijelu Dugoročna strategija za poticanje ulaganja u obnovu nacionalnog fonda zgrada Republike Hrvatske je usuglašena s</w:t>
      </w:r>
      <w:r w:rsidR="006F7831">
        <w:t xml:space="preserve"> </w:t>
      </w:r>
      <w:r w:rsidR="001907CD">
        <w:t>I</w:t>
      </w:r>
      <w:r w:rsidR="006F7831">
        <w:t>ntegriran</w:t>
      </w:r>
      <w:r w:rsidR="001907CD">
        <w:t>im</w:t>
      </w:r>
      <w:r w:rsidR="006F7831">
        <w:t xml:space="preserve"> </w:t>
      </w:r>
      <w:r w:rsidR="001907CD">
        <w:t xml:space="preserve">nacionalnim energetskim </w:t>
      </w:r>
      <w:r w:rsidR="006F7831">
        <w:t xml:space="preserve">i </w:t>
      </w:r>
      <w:r w:rsidR="001907CD">
        <w:t xml:space="preserve">klimatskim planom </w:t>
      </w:r>
      <w:r w:rsidR="006F7831">
        <w:t xml:space="preserve">za </w:t>
      </w:r>
      <w:r w:rsidR="001907CD">
        <w:t xml:space="preserve">Republiku </w:t>
      </w:r>
      <w:r w:rsidR="006F7831">
        <w:t>Hrvatsku</w:t>
      </w:r>
      <w:r w:rsidR="0086513D">
        <w:t xml:space="preserve"> za razdoblje 2021. do 2030. godine</w:t>
      </w:r>
      <w:r w:rsidR="00376928">
        <w:t xml:space="preserve"> </w:t>
      </w:r>
      <w:sdt>
        <w:sdtPr>
          <w:id w:val="-1198085953"/>
          <w:citation/>
        </w:sdtPr>
        <w:sdtEndPr/>
        <w:sdtContent>
          <w:r w:rsidR="00376928">
            <w:fldChar w:fldCharType="begin"/>
          </w:r>
          <w:r w:rsidR="00376928" w:rsidRPr="00334A49">
            <w:instrText xml:space="preserve"> CITATION NECP \l 1033 </w:instrText>
          </w:r>
          <w:r w:rsidR="00376928">
            <w:fldChar w:fldCharType="separate"/>
          </w:r>
          <w:r w:rsidR="002D258B">
            <w:rPr>
              <w:noProof/>
            </w:rPr>
            <w:t>(Vlada RH, 2019.)</w:t>
          </w:r>
          <w:r w:rsidR="00376928">
            <w:fldChar w:fldCharType="end"/>
          </w:r>
        </w:sdtContent>
      </w:sdt>
      <w:r w:rsidR="006F7831">
        <w:t xml:space="preserve">, te </w:t>
      </w:r>
      <w:r w:rsidR="00FD44C6">
        <w:t xml:space="preserve">Strategijom </w:t>
      </w:r>
      <w:r w:rsidR="00FD44C6" w:rsidRPr="00376928">
        <w:rPr>
          <w:szCs w:val="20"/>
          <w:lang w:eastAsia="hr-HR"/>
        </w:rPr>
        <w:t>energetskog razvoja Republike Hrvatske do 2030. s pogledom na 2050. godinu</w:t>
      </w:r>
      <w:r w:rsidR="00FD44C6">
        <w:rPr>
          <w:szCs w:val="20"/>
          <w:lang w:eastAsia="hr-HR"/>
        </w:rPr>
        <w:fldChar w:fldCharType="begin"/>
      </w:r>
      <w:r w:rsidR="00FD44C6">
        <w:rPr>
          <w:szCs w:val="20"/>
          <w:lang w:eastAsia="hr-HR"/>
        </w:rPr>
        <w:instrText xml:space="preserve">CITATION EIH19 \l 1033 </w:instrText>
      </w:r>
      <w:r w:rsidR="00FD44C6">
        <w:rPr>
          <w:szCs w:val="20"/>
          <w:lang w:eastAsia="hr-HR"/>
        </w:rPr>
        <w:fldChar w:fldCharType="separate"/>
      </w:r>
      <w:r w:rsidR="00FD44C6">
        <w:rPr>
          <w:noProof/>
          <w:szCs w:val="20"/>
          <w:lang w:eastAsia="hr-HR"/>
        </w:rPr>
        <w:t xml:space="preserve"> </w:t>
      </w:r>
      <w:r w:rsidR="00FD44C6" w:rsidRPr="002D258B">
        <w:rPr>
          <w:noProof/>
          <w:szCs w:val="20"/>
          <w:lang w:eastAsia="hr-HR"/>
        </w:rPr>
        <w:t>(Vlada RH, 2019.)</w:t>
      </w:r>
      <w:r w:rsidR="00FD44C6">
        <w:rPr>
          <w:szCs w:val="20"/>
          <w:lang w:eastAsia="hr-HR"/>
        </w:rPr>
        <w:fldChar w:fldCharType="end"/>
      </w:r>
      <w:r w:rsidR="00FD44C6">
        <w:rPr>
          <w:szCs w:val="20"/>
          <w:lang w:eastAsia="hr-HR"/>
        </w:rPr>
        <w:t>.</w:t>
      </w:r>
    </w:p>
    <w:p w14:paraId="33751E5D" w14:textId="00DCDCB7" w:rsidR="00FD44C6" w:rsidRDefault="00FD44C6" w:rsidP="00C843A2">
      <w:r>
        <w:t xml:space="preserve">Kao izvori podataka o postojećem stanju fonda zgrada korišteni su sljedeći dokumenti: </w:t>
      </w:r>
    </w:p>
    <w:p w14:paraId="57825ECF" w14:textId="77777777" w:rsidR="00C843A2" w:rsidRDefault="00C843A2" w:rsidP="00C843A2">
      <w:r>
        <w:t>●</w:t>
      </w:r>
      <w:r>
        <w:tab/>
        <w:t xml:space="preserve">Nacionalnim planom za povećanje zgrada gotovo nulte energije do 2020. godine </w:t>
      </w:r>
    </w:p>
    <w:p w14:paraId="3F7C09AF" w14:textId="77777777" w:rsidR="00C843A2" w:rsidRDefault="00C843A2" w:rsidP="00C843A2">
      <w:r>
        <w:t>●</w:t>
      </w:r>
      <w:r>
        <w:tab/>
        <w:t xml:space="preserve">Nacionalnim programom energetske učinkovitosti za razdoblje 2008.-2016. godine </w:t>
      </w:r>
    </w:p>
    <w:p w14:paraId="148C5A4A" w14:textId="77777777" w:rsidR="00C843A2" w:rsidRDefault="00C843A2" w:rsidP="00C843A2">
      <w:r>
        <w:t>●</w:t>
      </w:r>
      <w:r>
        <w:tab/>
        <w:t xml:space="preserve">Drugim Nacionalnim akcijskim planom energetske učinkovitosti za razdoblje do kraja 2013.  </w:t>
      </w:r>
    </w:p>
    <w:p w14:paraId="677088F2" w14:textId="77777777" w:rsidR="00C843A2" w:rsidRDefault="00C843A2" w:rsidP="00C843A2">
      <w:r>
        <w:t>●</w:t>
      </w:r>
      <w:r>
        <w:tab/>
        <w:t xml:space="preserve">Trećim Nacionalnim akcijskim planom energetske učinkovitosti za razdoblje 2014.-2016. godine </w:t>
      </w:r>
    </w:p>
    <w:p w14:paraId="6342915D" w14:textId="33727779" w:rsidR="00C843A2" w:rsidRDefault="00C843A2" w:rsidP="00C843A2">
      <w:r>
        <w:t>●</w:t>
      </w:r>
      <w:r>
        <w:tab/>
        <w:t xml:space="preserve">Četvrtim Nacionalnim akcijskim planom energetske učinkovitosti za razdoblje do kraja 2019. </w:t>
      </w:r>
    </w:p>
    <w:p w14:paraId="0BCF9ABE" w14:textId="77777777" w:rsidR="00C843A2" w:rsidRDefault="00C843A2" w:rsidP="00C843A2">
      <w:r>
        <w:t>●</w:t>
      </w:r>
      <w:r>
        <w:tab/>
        <w:t xml:space="preserve">Programom energetske obnove obiteljskih kuća za razdoblje od 2014. do 2020. godine s detaljnim planom za razdoblje od 2014. do 2016. godine </w:t>
      </w:r>
    </w:p>
    <w:p w14:paraId="36702B76" w14:textId="77777777" w:rsidR="00C843A2" w:rsidRDefault="00C843A2" w:rsidP="00C843A2">
      <w:r>
        <w:t>●</w:t>
      </w:r>
      <w:r>
        <w:tab/>
        <w:t xml:space="preserve">Programom energetske obnove višestambenih zgrada za razdoblje od 2014. do 2020. godine s detaljnim planom za razdoblje od 2014. do 2016. godine </w:t>
      </w:r>
    </w:p>
    <w:p w14:paraId="08402FCD" w14:textId="77777777" w:rsidR="00C843A2" w:rsidRDefault="00C843A2" w:rsidP="00C843A2">
      <w:r>
        <w:t>●</w:t>
      </w:r>
      <w:r>
        <w:tab/>
        <w:t xml:space="preserve">Programom energetske obnove komercijalnih nestambenih zgrada za razdoblje 2014. do 2020. godine s detaljnim planom energetske obnove komercijalnih nestambenih zgrada za razdoblje 2014.-2016. </w:t>
      </w:r>
    </w:p>
    <w:p w14:paraId="21768E76" w14:textId="77777777" w:rsidR="00C843A2" w:rsidRDefault="00C843A2" w:rsidP="00C843A2">
      <w:r>
        <w:t>●</w:t>
      </w:r>
      <w:r>
        <w:tab/>
        <w:t xml:space="preserve">Programom energetske obnove zgrada javnog sektora za razdoblje od 2014. do 2015. godine </w:t>
      </w:r>
    </w:p>
    <w:p w14:paraId="5C44072D" w14:textId="77777777" w:rsidR="00C843A2" w:rsidRDefault="00C843A2" w:rsidP="00C843A2">
      <w:r>
        <w:t>●</w:t>
      </w:r>
      <w:r>
        <w:tab/>
        <w:t>Program</w:t>
      </w:r>
      <w:r w:rsidR="0086513D">
        <w:t>om</w:t>
      </w:r>
      <w:r>
        <w:t xml:space="preserve"> energetske obnove zgrada javnog sektora za razdoblje 2016. – 2020. </w:t>
      </w:r>
    </w:p>
    <w:p w14:paraId="38D44009" w14:textId="77777777" w:rsidR="00C843A2" w:rsidRDefault="00C843A2" w:rsidP="00C843A2">
      <w:r>
        <w:t>U skladu s preporukama Europske komisije, izrada Dugoročne strategije za poticanje ulaganja u obnovu nacionalnog fonda zgrada Republike Hrvatske je bazirana na sljedećim odrednicama:</w:t>
      </w:r>
    </w:p>
    <w:p w14:paraId="41A96852" w14:textId="77777777" w:rsidR="00C843A2" w:rsidRDefault="00C843A2" w:rsidP="00C843A2">
      <w:r>
        <w:t>●</w:t>
      </w:r>
      <w:r>
        <w:tab/>
      </w:r>
      <w:r w:rsidR="0086513D">
        <w:t xml:space="preserve">postavlja </w:t>
      </w:r>
      <w:r>
        <w:t>dugoročne ciljeve za obnovu nacionalnog fonda zgrada na vrlo visoku razinu – minimalno 80% smanjenje emisija stakleničkih plinova do 2050. godine</w:t>
      </w:r>
    </w:p>
    <w:p w14:paraId="1B13DD78" w14:textId="77777777" w:rsidR="00C843A2" w:rsidRDefault="00C843A2" w:rsidP="00C843A2">
      <w:r>
        <w:lastRenderedPageBreak/>
        <w:t>●</w:t>
      </w:r>
      <w:r>
        <w:tab/>
      </w:r>
      <w:r w:rsidR="0086513D">
        <w:t xml:space="preserve">daje </w:t>
      </w:r>
      <w:r>
        <w:t>pregled nacionalnog fonda zgrada koji će obuhvatiti sve zgrade u Hrvatskoj</w:t>
      </w:r>
    </w:p>
    <w:p w14:paraId="6424099A" w14:textId="77777777" w:rsidR="00C843A2" w:rsidRDefault="00C843A2" w:rsidP="00C843A2">
      <w:r>
        <w:t>●</w:t>
      </w:r>
      <w:r>
        <w:tab/>
      </w:r>
      <w:r w:rsidR="0086513D">
        <w:t xml:space="preserve">predlaže </w:t>
      </w:r>
      <w:r>
        <w:t>jasne i provedive financijske modele za obnovu nacionalnog fonda zgrada do 2050. godine</w:t>
      </w:r>
    </w:p>
    <w:p w14:paraId="55913DF3" w14:textId="77777777" w:rsidR="00C843A2" w:rsidRDefault="00C843A2" w:rsidP="00C843A2">
      <w:r>
        <w:t>●</w:t>
      </w:r>
      <w:r>
        <w:tab/>
      </w:r>
      <w:r w:rsidR="0086513D">
        <w:t xml:space="preserve">procjenjuje </w:t>
      </w:r>
      <w:r>
        <w:t>utjecaj predloženih politika i mjera na nacionalni gospodarski razvitak</w:t>
      </w:r>
    </w:p>
    <w:p w14:paraId="4002676C" w14:textId="77777777" w:rsidR="00C843A2" w:rsidRDefault="00C843A2" w:rsidP="00C843A2">
      <w:r>
        <w:t>●</w:t>
      </w:r>
      <w:r>
        <w:tab/>
      </w:r>
      <w:r w:rsidR="0086513D">
        <w:t xml:space="preserve">procjenjuje </w:t>
      </w:r>
      <w:r>
        <w:t>očekivane uštede energije u nacionalnom fondu zgrada u cilju boljeg planiranja i praćena postignutih rezultata u fazi implementacije Strategije</w:t>
      </w:r>
    </w:p>
    <w:p w14:paraId="37467366" w14:textId="77777777" w:rsidR="00C843A2" w:rsidRDefault="00C843A2" w:rsidP="00C843A2">
      <w:r>
        <w:t>●</w:t>
      </w:r>
      <w:r>
        <w:tab/>
      </w:r>
      <w:r w:rsidR="0086513D">
        <w:t xml:space="preserve">predlaže </w:t>
      </w:r>
      <w:r>
        <w:t>nove mehanizme za dugoročno financiranje te planove i perspektive koji će osigurati stabilnu investicijsku klimu svih sudionika na tržištu</w:t>
      </w:r>
    </w:p>
    <w:p w14:paraId="24C5EFBD" w14:textId="77777777" w:rsidR="00E06E77" w:rsidRDefault="00E06E77" w:rsidP="007F13E7"/>
    <w:p w14:paraId="588AFDC6" w14:textId="77777777" w:rsidR="00C801C2" w:rsidRDefault="00C801C2" w:rsidP="007F13E7"/>
    <w:p w14:paraId="67368625" w14:textId="77777777" w:rsidR="001F7AF9" w:rsidRDefault="001F7AF9" w:rsidP="008129E7">
      <w:pPr>
        <w:pStyle w:val="Naslov10"/>
        <w:sectPr w:rsidR="001F7AF9" w:rsidSect="001F7AF9">
          <w:type w:val="oddPage"/>
          <w:pgSz w:w="11906" w:h="16838" w:code="9"/>
          <w:pgMar w:top="1247" w:right="1134" w:bottom="1247" w:left="1418" w:header="567" w:footer="567" w:gutter="0"/>
          <w:cols w:space="708"/>
          <w:rtlGutter/>
          <w:docGrid w:linePitch="360"/>
        </w:sectPr>
      </w:pPr>
      <w:bookmarkStart w:id="8" w:name="_Toc34052854"/>
    </w:p>
    <w:p w14:paraId="31C524E4" w14:textId="77777777" w:rsidR="00521ADA" w:rsidRPr="008129E7" w:rsidRDefault="00521ADA" w:rsidP="008129E7">
      <w:pPr>
        <w:pStyle w:val="Naslov10"/>
      </w:pPr>
      <w:bookmarkStart w:id="9" w:name="_Toc46163797"/>
      <w:r w:rsidRPr="008129E7">
        <w:lastRenderedPageBreak/>
        <w:t>Pregled nacionalnog fonda zgrada</w:t>
      </w:r>
      <w:bookmarkEnd w:id="8"/>
      <w:bookmarkEnd w:id="9"/>
    </w:p>
    <w:p w14:paraId="7325046F" w14:textId="59A8600F" w:rsidR="00186B14" w:rsidRPr="00A92C0C" w:rsidRDefault="000A2B99" w:rsidP="00F13EB2">
      <w:pPr>
        <w:rPr>
          <w:szCs w:val="20"/>
          <w:lang w:eastAsia="hr-HR"/>
        </w:rPr>
      </w:pPr>
      <w:r w:rsidRPr="0068279D">
        <w:rPr>
          <w:szCs w:val="20"/>
          <w:lang w:eastAsia="hr-HR"/>
        </w:rPr>
        <w:t>Struktura f</w:t>
      </w:r>
      <w:r w:rsidR="000144E3" w:rsidRPr="009125F0">
        <w:rPr>
          <w:szCs w:val="20"/>
          <w:lang w:eastAsia="hr-HR"/>
        </w:rPr>
        <w:t>ond</w:t>
      </w:r>
      <w:r w:rsidRPr="009125F0">
        <w:rPr>
          <w:szCs w:val="20"/>
          <w:lang w:eastAsia="hr-HR"/>
        </w:rPr>
        <w:t>a</w:t>
      </w:r>
      <w:r w:rsidR="000144E3" w:rsidRPr="009125F0">
        <w:rPr>
          <w:szCs w:val="20"/>
          <w:lang w:eastAsia="hr-HR"/>
        </w:rPr>
        <w:t xml:space="preserve"> zgrada </w:t>
      </w:r>
      <w:r w:rsidR="000144E3" w:rsidRPr="00A92C0C">
        <w:rPr>
          <w:szCs w:val="20"/>
          <w:lang w:eastAsia="hr-HR"/>
        </w:rPr>
        <w:t xml:space="preserve">Republike Hrvatske </w:t>
      </w:r>
      <w:r w:rsidRPr="00A92C0C">
        <w:rPr>
          <w:szCs w:val="20"/>
          <w:lang w:eastAsia="hr-HR"/>
        </w:rPr>
        <w:t>se kontinuirano mijenja</w:t>
      </w:r>
      <w:r w:rsidR="00C634EA">
        <w:rPr>
          <w:szCs w:val="20"/>
          <w:lang w:eastAsia="hr-HR"/>
        </w:rPr>
        <w:t>. A</w:t>
      </w:r>
      <w:r w:rsidRPr="00A92C0C">
        <w:rPr>
          <w:szCs w:val="20"/>
          <w:lang w:eastAsia="hr-HR"/>
        </w:rPr>
        <w:t xml:space="preserve">ktualni pregled fonda </w:t>
      </w:r>
      <w:r w:rsidR="00C634EA">
        <w:rPr>
          <w:szCs w:val="20"/>
          <w:lang w:eastAsia="hr-HR"/>
        </w:rPr>
        <w:t xml:space="preserve">zgrada temelji se </w:t>
      </w:r>
      <w:r w:rsidR="00C634EA" w:rsidRPr="009125F0">
        <w:rPr>
          <w:szCs w:val="20"/>
          <w:lang w:eastAsia="hr-HR"/>
        </w:rPr>
        <w:t xml:space="preserve">na </w:t>
      </w:r>
      <w:r w:rsidR="00C634EA">
        <w:rPr>
          <w:szCs w:val="20"/>
          <w:lang w:eastAsia="hr-HR"/>
        </w:rPr>
        <w:t>postojećim</w:t>
      </w:r>
      <w:r w:rsidR="00C634EA" w:rsidRPr="00756959">
        <w:rPr>
          <w:szCs w:val="20"/>
          <w:lang w:eastAsia="hr-HR"/>
        </w:rPr>
        <w:t xml:space="preserve"> podat</w:t>
      </w:r>
      <w:r w:rsidR="00C634EA">
        <w:rPr>
          <w:szCs w:val="20"/>
          <w:lang w:eastAsia="hr-HR"/>
        </w:rPr>
        <w:t>cima iz raspoloživih strateških dokumenta te planova i programa</w:t>
      </w:r>
      <w:r w:rsidR="00C634EA" w:rsidRPr="00756959">
        <w:rPr>
          <w:szCs w:val="20"/>
          <w:lang w:eastAsia="hr-HR"/>
        </w:rPr>
        <w:t>, novi</w:t>
      </w:r>
      <w:r w:rsidR="00C634EA">
        <w:rPr>
          <w:szCs w:val="20"/>
          <w:lang w:eastAsia="hr-HR"/>
        </w:rPr>
        <w:t>m</w:t>
      </w:r>
      <w:r w:rsidR="00C634EA" w:rsidRPr="00756959">
        <w:rPr>
          <w:szCs w:val="20"/>
          <w:lang w:eastAsia="hr-HR"/>
        </w:rPr>
        <w:t xml:space="preserve"> </w:t>
      </w:r>
      <w:r w:rsidR="00E94B58" w:rsidRPr="00A92C0C">
        <w:rPr>
          <w:szCs w:val="20"/>
          <w:lang w:eastAsia="hr-HR"/>
        </w:rPr>
        <w:t xml:space="preserve">podacima </w:t>
      </w:r>
      <w:r w:rsidR="0087617E" w:rsidRPr="00A92C0C">
        <w:rPr>
          <w:szCs w:val="20"/>
          <w:lang w:eastAsia="hr-HR"/>
        </w:rPr>
        <w:t xml:space="preserve">prikupljenim </w:t>
      </w:r>
      <w:r w:rsidR="00C634EA">
        <w:rPr>
          <w:szCs w:val="20"/>
          <w:lang w:eastAsia="hr-HR"/>
        </w:rPr>
        <w:t>tijekom</w:t>
      </w:r>
      <w:r w:rsidR="0087617E" w:rsidRPr="00A92C0C">
        <w:rPr>
          <w:szCs w:val="20"/>
          <w:lang w:eastAsia="hr-HR"/>
        </w:rPr>
        <w:t xml:space="preserve"> izrade </w:t>
      </w:r>
      <w:r w:rsidR="00C634EA">
        <w:rPr>
          <w:szCs w:val="20"/>
          <w:lang w:eastAsia="hr-HR"/>
        </w:rPr>
        <w:t>ove Dugoročne strategije</w:t>
      </w:r>
      <w:r w:rsidR="00C634EA" w:rsidRPr="008B5A42">
        <w:rPr>
          <w:szCs w:val="20"/>
          <w:lang w:eastAsia="hr-HR"/>
        </w:rPr>
        <w:t xml:space="preserve"> i pretpostavk</w:t>
      </w:r>
      <w:r w:rsidR="00C634EA">
        <w:rPr>
          <w:szCs w:val="20"/>
          <w:lang w:eastAsia="hr-HR"/>
        </w:rPr>
        <w:t>ama</w:t>
      </w:r>
      <w:r w:rsidR="00C634EA" w:rsidRPr="008B5A42">
        <w:rPr>
          <w:szCs w:val="20"/>
          <w:lang w:eastAsia="hr-HR"/>
        </w:rPr>
        <w:t xml:space="preserve"> </w:t>
      </w:r>
      <w:r w:rsidR="00011401" w:rsidRPr="00A92C0C">
        <w:rPr>
          <w:szCs w:val="20"/>
          <w:lang w:eastAsia="hr-HR"/>
        </w:rPr>
        <w:t xml:space="preserve">budućih kretanja fonda zgrada temeljenih na </w:t>
      </w:r>
      <w:r w:rsidR="006642B0" w:rsidRPr="00A92C0C">
        <w:rPr>
          <w:szCs w:val="20"/>
          <w:lang w:eastAsia="hr-HR"/>
        </w:rPr>
        <w:t xml:space="preserve">gospodarskim i demografskim </w:t>
      </w:r>
      <w:r w:rsidR="009E518D" w:rsidRPr="00A92C0C">
        <w:rPr>
          <w:szCs w:val="20"/>
          <w:lang w:eastAsia="hr-HR"/>
        </w:rPr>
        <w:t xml:space="preserve">ulaznim podacima. </w:t>
      </w:r>
    </w:p>
    <w:p w14:paraId="6E280CB5" w14:textId="572DBB15" w:rsidR="000975A3" w:rsidRPr="009C4091" w:rsidRDefault="009E518D" w:rsidP="0068279D">
      <w:pPr>
        <w:rPr>
          <w:szCs w:val="20"/>
        </w:rPr>
      </w:pPr>
      <w:r w:rsidRPr="00A92C0C">
        <w:rPr>
          <w:szCs w:val="20"/>
          <w:lang w:eastAsia="hr-HR"/>
        </w:rPr>
        <w:t xml:space="preserve">Zadnje obuhvatno istraživanje podataka provedeno u </w:t>
      </w:r>
      <w:r w:rsidR="00C634EA" w:rsidRPr="00A92C0C">
        <w:rPr>
          <w:szCs w:val="20"/>
          <w:lang w:eastAsia="hr-HR"/>
        </w:rPr>
        <w:t>Dugoročn</w:t>
      </w:r>
      <w:r w:rsidR="00C07A74">
        <w:rPr>
          <w:szCs w:val="20"/>
          <w:lang w:eastAsia="hr-HR"/>
        </w:rPr>
        <w:t>oj</w:t>
      </w:r>
      <w:r w:rsidR="00C634EA" w:rsidRPr="00A92C0C">
        <w:rPr>
          <w:szCs w:val="20"/>
          <w:lang w:eastAsia="hr-HR"/>
        </w:rPr>
        <w:t xml:space="preserve"> strategi</w:t>
      </w:r>
      <w:r w:rsidR="00C634EA">
        <w:rPr>
          <w:szCs w:val="20"/>
          <w:lang w:eastAsia="hr-HR"/>
        </w:rPr>
        <w:t>je</w:t>
      </w:r>
      <w:r w:rsidR="00C634EA" w:rsidRPr="00A92C0C">
        <w:rPr>
          <w:szCs w:val="20"/>
          <w:lang w:eastAsia="hr-HR"/>
        </w:rPr>
        <w:t xml:space="preserve"> </w:t>
      </w:r>
      <w:r w:rsidR="007703D4" w:rsidRPr="00A92C0C">
        <w:rPr>
          <w:szCs w:val="20"/>
          <w:lang w:eastAsia="hr-HR"/>
        </w:rPr>
        <w:t xml:space="preserve">za poticanje ulaganja u </w:t>
      </w:r>
      <w:r w:rsidR="00173CBF" w:rsidRPr="00A92C0C">
        <w:rPr>
          <w:szCs w:val="20"/>
          <w:lang w:eastAsia="hr-HR"/>
        </w:rPr>
        <w:t>obnovu nacionalnog fonda zgrada RH</w:t>
      </w:r>
      <w:r w:rsidR="001C6913" w:rsidRPr="00A92C0C">
        <w:rPr>
          <w:szCs w:val="20"/>
          <w:lang w:eastAsia="hr-HR"/>
        </w:rPr>
        <w:t xml:space="preserve"> </w:t>
      </w:r>
      <w:r w:rsidR="007703D4" w:rsidRPr="00A92C0C">
        <w:rPr>
          <w:szCs w:val="20"/>
          <w:lang w:eastAsia="hr-HR"/>
        </w:rPr>
        <w:fldChar w:fldCharType="begin"/>
      </w:r>
      <w:r w:rsidR="007703D4" w:rsidRPr="00A92C0C">
        <w:rPr>
          <w:szCs w:val="20"/>
          <w:lang w:eastAsia="hr-HR"/>
        </w:rPr>
        <w:instrText xml:space="preserve"> CITATION MGI19 \l 1033 </w:instrText>
      </w:r>
      <w:r w:rsidR="007703D4" w:rsidRPr="00A92C0C">
        <w:rPr>
          <w:szCs w:val="20"/>
          <w:lang w:eastAsia="hr-HR"/>
        </w:rPr>
        <w:fldChar w:fldCharType="separate"/>
      </w:r>
      <w:r w:rsidR="002D258B" w:rsidRPr="00A92C0C">
        <w:rPr>
          <w:noProof/>
          <w:szCs w:val="20"/>
          <w:lang w:eastAsia="hr-HR"/>
        </w:rPr>
        <w:t xml:space="preserve"> </w:t>
      </w:r>
      <w:r w:rsidR="004C0264" w:rsidRPr="00A92C0C">
        <w:rPr>
          <w:noProof/>
          <w:szCs w:val="20"/>
          <w:lang w:eastAsia="hr-HR"/>
        </w:rPr>
        <w:t xml:space="preserve">(Vlada RH, </w:t>
      </w:r>
      <w:r w:rsidR="002D258B" w:rsidRPr="00A92C0C">
        <w:rPr>
          <w:noProof/>
          <w:szCs w:val="20"/>
          <w:lang w:eastAsia="hr-HR"/>
        </w:rPr>
        <w:t>2019</w:t>
      </w:r>
      <w:r w:rsidR="004C0264" w:rsidRPr="00A92C0C">
        <w:rPr>
          <w:noProof/>
          <w:szCs w:val="20"/>
          <w:lang w:eastAsia="hr-HR"/>
        </w:rPr>
        <w:t>.</w:t>
      </w:r>
      <w:r w:rsidR="002D258B" w:rsidRPr="00A92C0C">
        <w:rPr>
          <w:noProof/>
          <w:szCs w:val="20"/>
          <w:lang w:eastAsia="hr-HR"/>
        </w:rPr>
        <w:t>)</w:t>
      </w:r>
      <w:r w:rsidR="007703D4" w:rsidRPr="00A92C0C">
        <w:rPr>
          <w:szCs w:val="20"/>
          <w:lang w:eastAsia="hr-HR"/>
        </w:rPr>
        <w:fldChar w:fldCharType="end"/>
      </w:r>
      <w:r w:rsidR="00175B2B" w:rsidRPr="00A92C0C">
        <w:rPr>
          <w:szCs w:val="20"/>
          <w:lang w:eastAsia="hr-HR"/>
        </w:rPr>
        <w:t xml:space="preserve"> temelji se na podacima</w:t>
      </w:r>
      <w:r w:rsidR="00CA54AF" w:rsidRPr="00A92C0C">
        <w:rPr>
          <w:szCs w:val="20"/>
          <w:lang w:eastAsia="hr-HR"/>
        </w:rPr>
        <w:t xml:space="preserve"> </w:t>
      </w:r>
      <w:r w:rsidR="00587C08" w:rsidRPr="00A92C0C">
        <w:rPr>
          <w:szCs w:val="20"/>
        </w:rPr>
        <w:t>Dugoročne strategije za poticanje ulaganja u obnovu nacionalnog fonda zgrada Republike Hrvatske</w:t>
      </w:r>
      <w:r w:rsidR="00C634EA">
        <w:rPr>
          <w:szCs w:val="20"/>
        </w:rPr>
        <w:t xml:space="preserve"> iz</w:t>
      </w:r>
      <w:r w:rsidR="00587C08" w:rsidRPr="00A92C0C">
        <w:rPr>
          <w:szCs w:val="20"/>
        </w:rPr>
        <w:t xml:space="preserve"> lipnj</w:t>
      </w:r>
      <w:r w:rsidR="00C634EA">
        <w:rPr>
          <w:szCs w:val="20"/>
        </w:rPr>
        <w:t>a</w:t>
      </w:r>
      <w:r w:rsidR="00587C08" w:rsidRPr="00A92C0C">
        <w:rPr>
          <w:szCs w:val="20"/>
        </w:rPr>
        <w:t xml:space="preserve"> 2014</w:t>
      </w:r>
      <w:r w:rsidR="00C634EA">
        <w:rPr>
          <w:szCs w:val="20"/>
        </w:rPr>
        <w:t>. godine</w:t>
      </w:r>
      <w:r w:rsidR="00175B2B" w:rsidRPr="00A92C0C">
        <w:rPr>
          <w:szCs w:val="20"/>
          <w:lang w:eastAsia="hr-HR"/>
        </w:rPr>
        <w:t xml:space="preserve"> </w:t>
      </w:r>
      <w:r w:rsidR="00CA54AF" w:rsidRPr="00A92C0C">
        <w:rPr>
          <w:szCs w:val="20"/>
          <w:lang w:eastAsia="hr-HR"/>
        </w:rPr>
        <w:fldChar w:fldCharType="begin"/>
      </w:r>
      <w:r w:rsidR="00D81717" w:rsidRPr="00A92C0C">
        <w:rPr>
          <w:szCs w:val="20"/>
          <w:lang w:eastAsia="hr-HR"/>
        </w:rPr>
        <w:instrText xml:space="preserve">CITATION MGI17 \l 1033 </w:instrText>
      </w:r>
      <w:r w:rsidR="00CA54AF" w:rsidRPr="00A92C0C">
        <w:rPr>
          <w:szCs w:val="20"/>
          <w:lang w:eastAsia="hr-HR"/>
        </w:rPr>
        <w:fldChar w:fldCharType="separate"/>
      </w:r>
      <w:r w:rsidR="002D258B" w:rsidRPr="00A92C0C">
        <w:rPr>
          <w:noProof/>
          <w:szCs w:val="20"/>
          <w:lang w:eastAsia="hr-HR"/>
        </w:rPr>
        <w:t xml:space="preserve"> (Vlada RH,</w:t>
      </w:r>
      <w:r w:rsidR="004C0264" w:rsidRPr="00A92C0C">
        <w:rPr>
          <w:noProof/>
          <w:szCs w:val="20"/>
          <w:lang w:eastAsia="hr-HR"/>
        </w:rPr>
        <w:t xml:space="preserve"> 2014.</w:t>
      </w:r>
      <w:r w:rsidR="002D258B" w:rsidRPr="00A92C0C">
        <w:rPr>
          <w:noProof/>
          <w:szCs w:val="20"/>
          <w:lang w:eastAsia="hr-HR"/>
        </w:rPr>
        <w:t>)</w:t>
      </w:r>
      <w:r w:rsidR="00CA54AF" w:rsidRPr="00A92C0C">
        <w:rPr>
          <w:szCs w:val="20"/>
          <w:lang w:eastAsia="hr-HR"/>
        </w:rPr>
        <w:fldChar w:fldCharType="end"/>
      </w:r>
      <w:r w:rsidR="00676364" w:rsidRPr="00A92C0C">
        <w:rPr>
          <w:szCs w:val="20"/>
        </w:rPr>
        <w:t>,</w:t>
      </w:r>
      <w:r w:rsidR="00101185" w:rsidRPr="00A92C0C">
        <w:rPr>
          <w:szCs w:val="20"/>
        </w:rPr>
        <w:t xml:space="preserve"> </w:t>
      </w:r>
      <w:r w:rsidR="00727AA1" w:rsidRPr="00A92C0C">
        <w:rPr>
          <w:szCs w:val="20"/>
        </w:rPr>
        <w:t>Nacionalnog p</w:t>
      </w:r>
      <w:r w:rsidR="00101185" w:rsidRPr="00A92C0C">
        <w:rPr>
          <w:szCs w:val="20"/>
        </w:rPr>
        <w:t>lana za povećanje broja zgrada gotovo nulte energije</w:t>
      </w:r>
      <w:r w:rsidR="00676364" w:rsidRPr="00A92C0C">
        <w:rPr>
          <w:szCs w:val="20"/>
        </w:rPr>
        <w:t xml:space="preserve"> </w:t>
      </w:r>
      <w:r w:rsidR="00101185" w:rsidRPr="00A92C0C">
        <w:rPr>
          <w:szCs w:val="20"/>
        </w:rPr>
        <w:fldChar w:fldCharType="begin"/>
      </w:r>
      <w:r w:rsidR="00101185" w:rsidRPr="00A92C0C">
        <w:rPr>
          <w:szCs w:val="20"/>
        </w:rPr>
        <w:instrText xml:space="preserve"> CITATION MGI14 \l 1033 </w:instrText>
      </w:r>
      <w:r w:rsidR="00101185" w:rsidRPr="00A92C0C">
        <w:rPr>
          <w:szCs w:val="20"/>
        </w:rPr>
        <w:fldChar w:fldCharType="separate"/>
      </w:r>
      <w:r w:rsidR="002D258B" w:rsidRPr="00A92C0C">
        <w:rPr>
          <w:noProof/>
          <w:szCs w:val="20"/>
        </w:rPr>
        <w:t xml:space="preserve"> (MGIPU, 2014)</w:t>
      </w:r>
      <w:r w:rsidR="00101185" w:rsidRPr="00A92C0C">
        <w:rPr>
          <w:szCs w:val="20"/>
        </w:rPr>
        <w:fldChar w:fldCharType="end"/>
      </w:r>
      <w:r w:rsidR="00101185" w:rsidRPr="00A92C0C">
        <w:rPr>
          <w:szCs w:val="20"/>
        </w:rPr>
        <w:t xml:space="preserve">, </w:t>
      </w:r>
      <w:r w:rsidR="00387427" w:rsidRPr="00A92C0C">
        <w:rPr>
          <w:szCs w:val="20"/>
        </w:rPr>
        <w:t>Nacionalnog programa energetske učinkovitosti za razdoblje 2008.-2016. godine</w:t>
      </w:r>
      <w:r w:rsidR="005F0246" w:rsidRPr="00A92C0C">
        <w:rPr>
          <w:szCs w:val="20"/>
        </w:rPr>
        <w:t xml:space="preserve"> </w:t>
      </w:r>
      <w:r w:rsidR="00032CCE" w:rsidRPr="00A92C0C">
        <w:rPr>
          <w:szCs w:val="20"/>
        </w:rPr>
        <w:fldChar w:fldCharType="begin"/>
      </w:r>
      <w:r w:rsidR="00032CCE" w:rsidRPr="00A92C0C">
        <w:rPr>
          <w:szCs w:val="20"/>
        </w:rPr>
        <w:instrText xml:space="preserve"> CITATION Nac \l 1033 </w:instrText>
      </w:r>
      <w:r w:rsidR="00032CCE" w:rsidRPr="00A92C0C">
        <w:rPr>
          <w:szCs w:val="20"/>
        </w:rPr>
        <w:fldChar w:fldCharType="separate"/>
      </w:r>
      <w:r w:rsidR="002D258B" w:rsidRPr="00A92C0C">
        <w:rPr>
          <w:noProof/>
          <w:szCs w:val="20"/>
        </w:rPr>
        <w:t xml:space="preserve"> (MINGO, 2010)</w:t>
      </w:r>
      <w:r w:rsidR="00032CCE" w:rsidRPr="00A92C0C">
        <w:rPr>
          <w:szCs w:val="20"/>
        </w:rPr>
        <w:fldChar w:fldCharType="end"/>
      </w:r>
      <w:r w:rsidR="00032CCE" w:rsidRPr="00A92C0C">
        <w:rPr>
          <w:szCs w:val="20"/>
        </w:rPr>
        <w:t xml:space="preserve">, </w:t>
      </w:r>
      <w:r w:rsidR="003A7C5F" w:rsidRPr="00A92C0C">
        <w:rPr>
          <w:szCs w:val="20"/>
        </w:rPr>
        <w:t xml:space="preserve">Programa energetske obnove obiteljskih kuća za razdoblje od 2014. do 2020. godine s detaljnim planom za razdoblje od 2014. do 2016. godine </w:t>
      </w:r>
      <w:r w:rsidR="003A7C5F" w:rsidRPr="00A92C0C">
        <w:rPr>
          <w:szCs w:val="20"/>
        </w:rPr>
        <w:fldChar w:fldCharType="begin"/>
      </w:r>
      <w:r w:rsidR="003A7C5F" w:rsidRPr="00A92C0C">
        <w:rPr>
          <w:szCs w:val="20"/>
        </w:rPr>
        <w:instrText xml:space="preserve"> CITATION MGI141 \l 1033 </w:instrText>
      </w:r>
      <w:r w:rsidR="003A7C5F" w:rsidRPr="00A92C0C">
        <w:rPr>
          <w:szCs w:val="20"/>
        </w:rPr>
        <w:fldChar w:fldCharType="separate"/>
      </w:r>
      <w:r w:rsidR="002D258B" w:rsidRPr="00A92C0C">
        <w:rPr>
          <w:noProof/>
          <w:szCs w:val="20"/>
        </w:rPr>
        <w:t xml:space="preserve"> (MGIPU, 2014)</w:t>
      </w:r>
      <w:r w:rsidR="003A7C5F" w:rsidRPr="00A92C0C">
        <w:rPr>
          <w:szCs w:val="20"/>
        </w:rPr>
        <w:fldChar w:fldCharType="end"/>
      </w:r>
      <w:r w:rsidR="003A7C5F" w:rsidRPr="00A92C0C">
        <w:rPr>
          <w:szCs w:val="20"/>
        </w:rPr>
        <w:t xml:space="preserve">, </w:t>
      </w:r>
      <w:r w:rsidR="00DD5641" w:rsidRPr="00A92C0C">
        <w:rPr>
          <w:szCs w:val="20"/>
        </w:rPr>
        <w:t xml:space="preserve">Programa energetske </w:t>
      </w:r>
      <w:r w:rsidR="00DD5641" w:rsidRPr="009C4091">
        <w:rPr>
          <w:szCs w:val="20"/>
        </w:rPr>
        <w:t xml:space="preserve">obnove višestambenih zgrada za razdoblje od 2014. do 2020. godine s detaljnim planom za razdoblje od 2014. do 2016. godine </w:t>
      </w:r>
      <w:r w:rsidR="00DD5641" w:rsidRPr="009C4091">
        <w:rPr>
          <w:szCs w:val="20"/>
        </w:rPr>
        <w:fldChar w:fldCharType="begin"/>
      </w:r>
      <w:r w:rsidR="00DD5641" w:rsidRPr="009C4091">
        <w:rPr>
          <w:szCs w:val="20"/>
        </w:rPr>
        <w:instrText xml:space="preserve"> CITATION MGI142 \l 1033 </w:instrText>
      </w:r>
      <w:r w:rsidR="00DD5641" w:rsidRPr="009C4091">
        <w:rPr>
          <w:szCs w:val="20"/>
        </w:rPr>
        <w:fldChar w:fldCharType="separate"/>
      </w:r>
      <w:r w:rsidR="002D258B">
        <w:rPr>
          <w:noProof/>
          <w:szCs w:val="20"/>
        </w:rPr>
        <w:t xml:space="preserve"> </w:t>
      </w:r>
      <w:r w:rsidR="002D258B" w:rsidRPr="002D258B">
        <w:rPr>
          <w:noProof/>
          <w:szCs w:val="20"/>
        </w:rPr>
        <w:t>(MGIPU, 2014)</w:t>
      </w:r>
      <w:r w:rsidR="00DD5641" w:rsidRPr="009C4091">
        <w:rPr>
          <w:szCs w:val="20"/>
        </w:rPr>
        <w:fldChar w:fldCharType="end"/>
      </w:r>
      <w:r w:rsidR="00DD5641" w:rsidRPr="009C4091">
        <w:rPr>
          <w:szCs w:val="20"/>
        </w:rPr>
        <w:t xml:space="preserve">, </w:t>
      </w:r>
      <w:r w:rsidR="005979DB" w:rsidRPr="009C4091">
        <w:rPr>
          <w:szCs w:val="20"/>
        </w:rPr>
        <w:t>Programa energetske obnove komercijalnih nestambenih zgrada za razdoblje od 2014. do 2020. godine s detaljnim planom energetske obnove komercijalnih nestambenih zgrada za razdoblje od 2014. do 2016</w:t>
      </w:r>
      <w:r w:rsidR="003A7C5F" w:rsidRPr="009C4091">
        <w:rPr>
          <w:szCs w:val="20"/>
        </w:rPr>
        <w:t xml:space="preserve"> </w:t>
      </w:r>
      <w:r w:rsidR="005979DB" w:rsidRPr="009C4091">
        <w:rPr>
          <w:szCs w:val="20"/>
        </w:rPr>
        <w:fldChar w:fldCharType="begin"/>
      </w:r>
      <w:r w:rsidR="005979DB" w:rsidRPr="009C4091">
        <w:rPr>
          <w:szCs w:val="20"/>
        </w:rPr>
        <w:instrText xml:space="preserve"> CITATION MGI143 \l 1033 </w:instrText>
      </w:r>
      <w:r w:rsidR="005979DB" w:rsidRPr="009C4091">
        <w:rPr>
          <w:szCs w:val="20"/>
        </w:rPr>
        <w:fldChar w:fldCharType="separate"/>
      </w:r>
      <w:r w:rsidR="002D258B">
        <w:rPr>
          <w:noProof/>
          <w:szCs w:val="20"/>
        </w:rPr>
        <w:t xml:space="preserve"> </w:t>
      </w:r>
      <w:r w:rsidR="002D258B" w:rsidRPr="002D258B">
        <w:rPr>
          <w:noProof/>
          <w:szCs w:val="20"/>
        </w:rPr>
        <w:t>(MGIPU, 2014)</w:t>
      </w:r>
      <w:r w:rsidR="005979DB" w:rsidRPr="009C4091">
        <w:rPr>
          <w:szCs w:val="20"/>
        </w:rPr>
        <w:fldChar w:fldCharType="end"/>
      </w:r>
      <w:r w:rsidR="005979DB" w:rsidRPr="009C4091">
        <w:rPr>
          <w:szCs w:val="20"/>
        </w:rPr>
        <w:t xml:space="preserve">, </w:t>
      </w:r>
      <w:r w:rsidR="00FF38FD" w:rsidRPr="009C4091">
        <w:rPr>
          <w:szCs w:val="20"/>
        </w:rPr>
        <w:t>Programa energetske obnove zgrada javnog sektora za razdoblje 2016. – 2020</w:t>
      </w:r>
      <w:r w:rsidR="005979DB" w:rsidRPr="009C4091">
        <w:rPr>
          <w:szCs w:val="20"/>
        </w:rPr>
        <w:t xml:space="preserve"> </w:t>
      </w:r>
      <w:r w:rsidR="00CD473E" w:rsidRPr="009C4091">
        <w:rPr>
          <w:szCs w:val="20"/>
        </w:rPr>
        <w:fldChar w:fldCharType="begin"/>
      </w:r>
      <w:r w:rsidR="00CD473E" w:rsidRPr="009C4091">
        <w:rPr>
          <w:szCs w:val="20"/>
        </w:rPr>
        <w:instrText xml:space="preserve"> CITATION MGI172 \l 1033 </w:instrText>
      </w:r>
      <w:r w:rsidR="00CD473E" w:rsidRPr="009C4091">
        <w:rPr>
          <w:szCs w:val="20"/>
        </w:rPr>
        <w:fldChar w:fldCharType="separate"/>
      </w:r>
      <w:r w:rsidR="002D258B">
        <w:rPr>
          <w:noProof/>
          <w:szCs w:val="20"/>
        </w:rPr>
        <w:t xml:space="preserve"> </w:t>
      </w:r>
      <w:r w:rsidR="002D258B" w:rsidRPr="002D258B">
        <w:rPr>
          <w:noProof/>
          <w:szCs w:val="20"/>
        </w:rPr>
        <w:t>(MGIPU, 2017)</w:t>
      </w:r>
      <w:r w:rsidR="00CD473E" w:rsidRPr="009C4091">
        <w:rPr>
          <w:szCs w:val="20"/>
        </w:rPr>
        <w:fldChar w:fldCharType="end"/>
      </w:r>
      <w:r w:rsidR="00CD473E" w:rsidRPr="009C4091">
        <w:rPr>
          <w:szCs w:val="20"/>
        </w:rPr>
        <w:t xml:space="preserve">, te </w:t>
      </w:r>
      <w:r w:rsidR="00677360" w:rsidRPr="009C4091">
        <w:rPr>
          <w:szCs w:val="20"/>
        </w:rPr>
        <w:t xml:space="preserve">statističkih podataka </w:t>
      </w:r>
      <w:r w:rsidR="0042189F" w:rsidRPr="009C4091">
        <w:rPr>
          <w:szCs w:val="20"/>
        </w:rPr>
        <w:t xml:space="preserve">o popisu kućanstava i stanovništva. </w:t>
      </w:r>
      <w:r w:rsidR="006E55B7" w:rsidRPr="009C4091">
        <w:rPr>
          <w:szCs w:val="20"/>
        </w:rPr>
        <w:t xml:space="preserve">Dodatni ulazni podaci </w:t>
      </w:r>
      <w:r w:rsidR="006A505F" w:rsidRPr="009C4091">
        <w:rPr>
          <w:szCs w:val="20"/>
        </w:rPr>
        <w:t xml:space="preserve">i pretpostavke su </w:t>
      </w:r>
      <w:r w:rsidR="0068279D">
        <w:rPr>
          <w:szCs w:val="20"/>
        </w:rPr>
        <w:t>usklađeni</w:t>
      </w:r>
      <w:r w:rsidR="00606052" w:rsidRPr="009C4091">
        <w:rPr>
          <w:szCs w:val="20"/>
        </w:rPr>
        <w:t xml:space="preserve"> </w:t>
      </w:r>
      <w:r w:rsidR="0068279D">
        <w:rPr>
          <w:szCs w:val="20"/>
        </w:rPr>
        <w:t>s podacima</w:t>
      </w:r>
      <w:r w:rsidR="00606052" w:rsidRPr="009C4091">
        <w:rPr>
          <w:szCs w:val="20"/>
        </w:rPr>
        <w:t xml:space="preserve"> </w:t>
      </w:r>
      <w:r w:rsidR="00376928">
        <w:t xml:space="preserve">Integriranog nacionalnog energetskog i klimatskog plana za Republiku Hrvatsku za razdoblje 2021. do 2030. godine </w:t>
      </w:r>
      <w:sdt>
        <w:sdtPr>
          <w:id w:val="1910951013"/>
          <w:citation/>
        </w:sdtPr>
        <w:sdtEndPr/>
        <w:sdtContent>
          <w:r w:rsidR="00376928">
            <w:fldChar w:fldCharType="begin"/>
          </w:r>
          <w:r w:rsidR="00376928" w:rsidRPr="002F18AC">
            <w:instrText xml:space="preserve"> CITATION NECP \l 1033 </w:instrText>
          </w:r>
          <w:r w:rsidR="00376928">
            <w:fldChar w:fldCharType="separate"/>
          </w:r>
          <w:r w:rsidR="002D258B">
            <w:rPr>
              <w:noProof/>
            </w:rPr>
            <w:t>(Vlada RH, 2019.)</w:t>
          </w:r>
          <w:r w:rsidR="00376928">
            <w:fldChar w:fldCharType="end"/>
          </w:r>
        </w:sdtContent>
      </w:sdt>
      <w:r w:rsidR="00D92A06" w:rsidRPr="0068279D">
        <w:rPr>
          <w:szCs w:val="20"/>
          <w:lang w:eastAsia="hr-HR"/>
        </w:rPr>
        <w:t xml:space="preserve"> i </w:t>
      </w:r>
      <w:r w:rsidR="00376928" w:rsidRPr="00376928">
        <w:rPr>
          <w:szCs w:val="20"/>
          <w:lang w:eastAsia="hr-HR"/>
        </w:rPr>
        <w:t>Strategij</w:t>
      </w:r>
      <w:r w:rsidR="00376928">
        <w:rPr>
          <w:szCs w:val="20"/>
          <w:lang w:eastAsia="hr-HR"/>
        </w:rPr>
        <w:t>e</w:t>
      </w:r>
      <w:r w:rsidR="00376928" w:rsidRPr="00376928">
        <w:rPr>
          <w:szCs w:val="20"/>
          <w:lang w:eastAsia="hr-HR"/>
        </w:rPr>
        <w:t xml:space="preserve"> energetskog razvoja Republike Hrvatske do 2030. s pogledom na 2050. godinu</w:t>
      </w:r>
      <w:r w:rsidR="007D7466">
        <w:rPr>
          <w:szCs w:val="20"/>
          <w:lang w:eastAsia="hr-HR"/>
        </w:rPr>
        <w:fldChar w:fldCharType="begin"/>
      </w:r>
      <w:r w:rsidR="00264601">
        <w:rPr>
          <w:szCs w:val="20"/>
          <w:lang w:eastAsia="hr-HR"/>
        </w:rPr>
        <w:instrText xml:space="preserve">CITATION EIH19 \l 1033 </w:instrText>
      </w:r>
      <w:r w:rsidR="007D7466">
        <w:rPr>
          <w:szCs w:val="20"/>
          <w:lang w:eastAsia="hr-HR"/>
        </w:rPr>
        <w:fldChar w:fldCharType="separate"/>
      </w:r>
      <w:r w:rsidR="002D258B">
        <w:rPr>
          <w:noProof/>
          <w:szCs w:val="20"/>
          <w:lang w:eastAsia="hr-HR"/>
        </w:rPr>
        <w:t xml:space="preserve"> </w:t>
      </w:r>
      <w:r w:rsidR="002D258B" w:rsidRPr="002D258B">
        <w:rPr>
          <w:noProof/>
          <w:szCs w:val="20"/>
          <w:lang w:eastAsia="hr-HR"/>
        </w:rPr>
        <w:t>(Vlada RH, 2019.)</w:t>
      </w:r>
      <w:r w:rsidR="007D7466">
        <w:rPr>
          <w:szCs w:val="20"/>
          <w:lang w:eastAsia="hr-HR"/>
        </w:rPr>
        <w:fldChar w:fldCharType="end"/>
      </w:r>
      <w:r w:rsidR="00D92A06" w:rsidRPr="0068279D">
        <w:rPr>
          <w:szCs w:val="20"/>
          <w:lang w:eastAsia="hr-HR"/>
        </w:rPr>
        <w:t>.</w:t>
      </w:r>
      <w:r w:rsidR="00D92A06" w:rsidRPr="009C4091">
        <w:rPr>
          <w:szCs w:val="20"/>
        </w:rPr>
        <w:t xml:space="preserve"> </w:t>
      </w:r>
    </w:p>
    <w:p w14:paraId="117C7BA9" w14:textId="77777777" w:rsidR="00D92A06" w:rsidRDefault="009125F0" w:rsidP="00676364">
      <w:r>
        <w:t xml:space="preserve">Prema dostupnim podacima, </w:t>
      </w:r>
      <w:r w:rsidR="004D170B">
        <w:t xml:space="preserve">fond zgrada </w:t>
      </w:r>
      <w:r w:rsidR="00544BEF">
        <w:t xml:space="preserve">RH </w:t>
      </w:r>
      <w:r w:rsidR="00AB4D6A">
        <w:t xml:space="preserve">2011. godine </w:t>
      </w:r>
      <w:r w:rsidR="001A56B3">
        <w:t xml:space="preserve">je obuhvaćao ukupnu površinu od </w:t>
      </w:r>
      <w:r w:rsidR="005C723E">
        <w:t>198.133.193 m²</w:t>
      </w:r>
      <w:r w:rsidR="004C3D49">
        <w:t xml:space="preserve">. Praćenjem kretanja fonda zgrada kroz podatke o izdanim građevinskim dozvolama i završenim zgradama, te srušenim zgradama, utvrđena je promjena u fondu zgrada po godinama za razdoblje </w:t>
      </w:r>
      <w:r w:rsidR="00326BAE">
        <w:t xml:space="preserve">od </w:t>
      </w:r>
      <w:r w:rsidR="004C3D49">
        <w:t>2011</w:t>
      </w:r>
      <w:r w:rsidR="00326BAE">
        <w:t xml:space="preserve">. </w:t>
      </w:r>
      <w:r w:rsidR="004C3D49">
        <w:t xml:space="preserve"> </w:t>
      </w:r>
      <w:r w:rsidR="00326BAE">
        <w:t>do 2019. godine</w:t>
      </w:r>
      <w:r w:rsidR="00AD5BBD">
        <w:t xml:space="preserve"> </w:t>
      </w:r>
    </w:p>
    <w:p w14:paraId="6FA0B844" w14:textId="76E7B397" w:rsidR="0004144E" w:rsidRDefault="00176DFF" w:rsidP="009C4091">
      <w:pPr>
        <w:keepNext/>
        <w:jc w:val="center"/>
      </w:pPr>
      <w:r>
        <w:rPr>
          <w:noProof/>
          <w:lang w:eastAsia="hr-HR"/>
        </w:rPr>
        <w:lastRenderedPageBreak/>
        <w:drawing>
          <wp:inline distT="0" distB="0" distL="0" distR="0" wp14:anchorId="3C9448F4" wp14:editId="58373F96">
            <wp:extent cx="4572000" cy="3360420"/>
            <wp:effectExtent l="0" t="0" r="0" b="11430"/>
            <wp:docPr id="1" name="Chart 1">
              <a:extLst xmlns:a="http://schemas.openxmlformats.org/drawingml/2006/main">
                <a:ext uri="{FF2B5EF4-FFF2-40B4-BE49-F238E27FC236}">
                  <a16:creationId xmlns:a16="http://schemas.microsoft.com/office/drawing/2014/main" id="{7DD326C2-BA3E-41A1-85F9-7B44BA3A3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BD427F" w14:textId="1616B9CD" w:rsidR="00A422E6" w:rsidRPr="00462C8F" w:rsidRDefault="0004144E" w:rsidP="00224C17">
      <w:pPr>
        <w:pStyle w:val="Opisslike"/>
        <w:jc w:val="center"/>
      </w:pPr>
      <w:bookmarkStart w:id="10" w:name="_Toc40088996"/>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1</w:t>
      </w:r>
      <w:r w:rsidR="00A50909">
        <w:rPr>
          <w:noProof/>
        </w:rPr>
        <w:fldChar w:fldCharType="end"/>
      </w:r>
      <w:r>
        <w:t xml:space="preserve"> Kretanje </w:t>
      </w:r>
      <w:bookmarkStart w:id="11" w:name="_Toc34052855"/>
      <w:r w:rsidR="00A422E6" w:rsidRPr="00462C8F">
        <w:t>Kategorije nacionalnog fonda zgrada prema namjeni</w:t>
      </w:r>
      <w:bookmarkEnd w:id="10"/>
      <w:bookmarkEnd w:id="11"/>
      <w:r w:rsidR="00A422E6" w:rsidRPr="00462C8F">
        <w:t xml:space="preserve"> </w:t>
      </w:r>
    </w:p>
    <w:p w14:paraId="15BB438B" w14:textId="77777777" w:rsidR="00AD38C6" w:rsidRDefault="00AD38C6" w:rsidP="009415E3">
      <w:pPr>
        <w:rPr>
          <w:lang w:eastAsia="hr-HR"/>
        </w:rPr>
      </w:pPr>
    </w:p>
    <w:p w14:paraId="63D73E39" w14:textId="77777777" w:rsidR="00AD38C6" w:rsidRDefault="00AD38C6" w:rsidP="009415E3">
      <w:pPr>
        <w:rPr>
          <w:lang w:eastAsia="hr-HR"/>
        </w:rPr>
      </w:pPr>
    </w:p>
    <w:p w14:paraId="53EDEE03" w14:textId="2FD424F6" w:rsidR="00AD38C6" w:rsidRPr="007649C2" w:rsidRDefault="00AD38C6" w:rsidP="007649C2">
      <w:pPr>
        <w:pStyle w:val="Naslov20"/>
      </w:pPr>
      <w:bookmarkStart w:id="12" w:name="_Toc46163798"/>
      <w:r w:rsidRPr="007649C2">
        <w:t>Kategorije nacionalnog fonda zgrada prema namjeni</w:t>
      </w:r>
      <w:bookmarkEnd w:id="12"/>
      <w:r w:rsidRPr="007649C2">
        <w:t xml:space="preserve"> </w:t>
      </w:r>
    </w:p>
    <w:p w14:paraId="0AACD59C" w14:textId="73BF8193" w:rsidR="009415E3" w:rsidRDefault="00C634EA" w:rsidP="009415E3">
      <w:pPr>
        <w:rPr>
          <w:lang w:eastAsia="hr-HR"/>
        </w:rPr>
      </w:pPr>
      <w:r>
        <w:rPr>
          <w:lang w:eastAsia="hr-HR"/>
        </w:rPr>
        <w:t>Nacionalni fond zgrada Republike Hrvatske za potrebe izrade ove Dugoročne strategije prema namjeni se klasificira u slijedeće kategorije</w:t>
      </w:r>
      <w:r w:rsidR="009415E3">
        <w:rPr>
          <w:lang w:eastAsia="hr-HR"/>
        </w:rPr>
        <w:t>:</w:t>
      </w:r>
    </w:p>
    <w:p w14:paraId="238B827D" w14:textId="22920C05" w:rsidR="009415E3" w:rsidRDefault="009415E3" w:rsidP="009415E3">
      <w:pPr>
        <w:rPr>
          <w:lang w:eastAsia="hr-HR"/>
        </w:rPr>
      </w:pPr>
      <w:r>
        <w:rPr>
          <w:lang w:eastAsia="hr-HR"/>
        </w:rPr>
        <w:t>●</w:t>
      </w:r>
      <w:r>
        <w:rPr>
          <w:lang w:eastAsia="hr-HR"/>
        </w:rPr>
        <w:tab/>
        <w:t>višestambene zgrade</w:t>
      </w:r>
      <w:r w:rsidR="00C634EA">
        <w:rPr>
          <w:lang w:eastAsia="hr-HR"/>
        </w:rPr>
        <w:t>,</w:t>
      </w:r>
    </w:p>
    <w:p w14:paraId="3A19AD75" w14:textId="57E3E372" w:rsidR="009415E3" w:rsidRDefault="009415E3" w:rsidP="009415E3">
      <w:pPr>
        <w:rPr>
          <w:lang w:eastAsia="hr-HR"/>
        </w:rPr>
      </w:pPr>
      <w:r>
        <w:rPr>
          <w:lang w:eastAsia="hr-HR"/>
        </w:rPr>
        <w:t>●</w:t>
      </w:r>
      <w:r>
        <w:rPr>
          <w:lang w:eastAsia="hr-HR"/>
        </w:rPr>
        <w:tab/>
        <w:t>obiteljske kuće</w:t>
      </w:r>
      <w:r w:rsidR="00C634EA">
        <w:rPr>
          <w:lang w:eastAsia="hr-HR"/>
        </w:rPr>
        <w:t>,</w:t>
      </w:r>
    </w:p>
    <w:p w14:paraId="06203640" w14:textId="5C997F21" w:rsidR="009415E3" w:rsidRDefault="009415E3" w:rsidP="009415E3">
      <w:pPr>
        <w:rPr>
          <w:lang w:eastAsia="hr-HR"/>
        </w:rPr>
      </w:pPr>
      <w:r>
        <w:rPr>
          <w:lang w:eastAsia="hr-HR"/>
        </w:rPr>
        <w:t>●</w:t>
      </w:r>
      <w:r>
        <w:rPr>
          <w:lang w:eastAsia="hr-HR"/>
        </w:rPr>
        <w:tab/>
        <w:t>zgrade javne namjene</w:t>
      </w:r>
      <w:r w:rsidR="00C634EA">
        <w:rPr>
          <w:lang w:eastAsia="hr-HR"/>
        </w:rPr>
        <w:t>,</w:t>
      </w:r>
    </w:p>
    <w:p w14:paraId="1CCDF970" w14:textId="07AEF25A" w:rsidR="009415E3" w:rsidRDefault="009415E3" w:rsidP="009415E3">
      <w:pPr>
        <w:rPr>
          <w:lang w:eastAsia="hr-HR"/>
        </w:rPr>
      </w:pPr>
      <w:r>
        <w:rPr>
          <w:lang w:eastAsia="hr-HR"/>
        </w:rPr>
        <w:t>●</w:t>
      </w:r>
      <w:r>
        <w:rPr>
          <w:lang w:eastAsia="hr-HR"/>
        </w:rPr>
        <w:tab/>
        <w:t>zgrade komercijalne namjene</w:t>
      </w:r>
      <w:r w:rsidR="00C634EA">
        <w:rPr>
          <w:lang w:eastAsia="hr-HR"/>
        </w:rPr>
        <w:t>,</w:t>
      </w:r>
    </w:p>
    <w:p w14:paraId="4C6DD688" w14:textId="0A1D1939" w:rsidR="006844E5" w:rsidRDefault="006844E5" w:rsidP="006844E5">
      <w:pPr>
        <w:rPr>
          <w:lang w:eastAsia="hr-HR"/>
        </w:rPr>
      </w:pPr>
      <w:r>
        <w:rPr>
          <w:lang w:eastAsia="hr-HR"/>
        </w:rPr>
        <w:t xml:space="preserve">Za klasifikaciju zgrada korištene su definicije vrsta zgrada dane u </w:t>
      </w:r>
      <w:r w:rsidR="004C0264" w:rsidRPr="00A92C0C">
        <w:rPr>
          <w:lang w:eastAsia="hr-HR"/>
        </w:rPr>
        <w:t>nacionaln</w:t>
      </w:r>
      <w:r w:rsidR="00C634EA">
        <w:rPr>
          <w:lang w:eastAsia="hr-HR"/>
        </w:rPr>
        <w:t xml:space="preserve">im </w:t>
      </w:r>
      <w:r w:rsidR="00C634EA" w:rsidRPr="00A92C0C">
        <w:rPr>
          <w:lang w:eastAsia="hr-HR"/>
        </w:rPr>
        <w:t>program</w:t>
      </w:r>
      <w:r w:rsidR="00C634EA">
        <w:rPr>
          <w:lang w:eastAsia="hr-HR"/>
        </w:rPr>
        <w:t>ima</w:t>
      </w:r>
      <w:r w:rsidR="00C634EA" w:rsidRPr="00A92C0C">
        <w:rPr>
          <w:lang w:eastAsia="hr-HR"/>
        </w:rPr>
        <w:t xml:space="preserve"> </w:t>
      </w:r>
      <w:r w:rsidRPr="00A92C0C">
        <w:rPr>
          <w:lang w:eastAsia="hr-HR"/>
        </w:rPr>
        <w:t>energetske obnove obiteljskih kuća, višestambenih zgrada</w:t>
      </w:r>
      <w:r w:rsidR="00C634EA">
        <w:rPr>
          <w:lang w:eastAsia="hr-HR"/>
        </w:rPr>
        <w:t>,</w:t>
      </w:r>
      <w:r w:rsidRPr="00A92C0C">
        <w:rPr>
          <w:lang w:eastAsia="hr-HR"/>
        </w:rPr>
        <w:t xml:space="preserve"> zgrada javnog sektora</w:t>
      </w:r>
      <w:r w:rsidR="00C634EA">
        <w:rPr>
          <w:lang w:eastAsia="hr-HR"/>
        </w:rPr>
        <w:t xml:space="preserve"> te </w:t>
      </w:r>
      <w:r w:rsidR="00C634EA">
        <w:t>komercijalnih nestambenih zgrada</w:t>
      </w:r>
      <w:r w:rsidRPr="00A92C0C">
        <w:rPr>
          <w:lang w:eastAsia="hr-HR"/>
        </w:rPr>
        <w:t xml:space="preserve">. U kontekstu Dugoročne strategije </w:t>
      </w:r>
      <w:r>
        <w:rPr>
          <w:lang w:eastAsia="hr-HR"/>
        </w:rPr>
        <w:t xml:space="preserve">zgrade javnog sektora su zgrade u vlasništvu javnog sektora u kojima se obavljaju društvene djelatnosti (odgoja, obrazovanja, znanosti, kulture, sporta, zdravstva i socijalne skrbi), djelatnosti državnih tijela i </w:t>
      </w:r>
      <w:r w:rsidR="00C634EA">
        <w:rPr>
          <w:lang w:eastAsia="hr-HR"/>
        </w:rPr>
        <w:t xml:space="preserve">organizacija </w:t>
      </w:r>
      <w:r>
        <w:rPr>
          <w:lang w:eastAsia="hr-HR"/>
        </w:rPr>
        <w:t xml:space="preserve">kao i tijela i organizacija lokalne i područne (regionalne) samouprave, djelatnosti pravnih osoba s javnim ovlastima, zatim zgrade za stanovanje zajednica, zgrade </w:t>
      </w:r>
      <w:r w:rsidR="00C634EA">
        <w:rPr>
          <w:lang w:eastAsia="hr-HR"/>
        </w:rPr>
        <w:t xml:space="preserve">udruga </w:t>
      </w:r>
      <w:r>
        <w:rPr>
          <w:lang w:eastAsia="hr-HR"/>
        </w:rPr>
        <w:t xml:space="preserve">građana i zgrade vjerskih zajednica. Obiteljska kuća je zgrada u kojoj je više od 50% bruto podne površine namijenjeno za stanovanje te zadovoljava jedan od dva navedena uvjeta: ima najviše tri stambene jedinice i/ili ima građevinsku bruto površinu manju ili jednaku 600 m2. Višestambena zgrada je svaka ona zgrada koja je u cijelosti ili u kojoj </w:t>
      </w:r>
      <w:r>
        <w:rPr>
          <w:lang w:eastAsia="hr-HR"/>
        </w:rPr>
        <w:lastRenderedPageBreak/>
        <w:t xml:space="preserve">je više od 50% bruto podne površine namijenjeno za stanovanje te ima tri ili više stambenih jedinica i kojom upravlja upravitelj zgrade, koji je pravna </w:t>
      </w:r>
      <w:r w:rsidR="00766EF3">
        <w:rPr>
          <w:lang w:eastAsia="hr-HR"/>
        </w:rPr>
        <w:t>il</w:t>
      </w:r>
      <w:r>
        <w:rPr>
          <w:lang w:eastAsia="hr-HR"/>
        </w:rPr>
        <w:t>i fizička osoba, u skladu sa Zakonom o vlasništvu i drugim stvarnim pravima (NN, 91/96, 68/98, 137/99, 22/00, 73/00, 129/00, 114/01, 79/06, 141/06, 146/08, 38/09, 153/09, 143/12, 152/14).</w:t>
      </w:r>
      <w:r w:rsidR="00C634EA">
        <w:rPr>
          <w:lang w:eastAsia="hr-HR"/>
        </w:rPr>
        <w:t xml:space="preserve"> </w:t>
      </w:r>
      <w:r>
        <w:rPr>
          <w:lang w:eastAsia="hr-HR"/>
        </w:rPr>
        <w:t>Zgrade komercijalne namjene su sve zgrade u većinskom privatnom vlasništvu u kojima je više od 50% bruto podne površine namijenjeno poslovnoj i/ili uslužnoj djelatnosti.</w:t>
      </w:r>
    </w:p>
    <w:p w14:paraId="2CCBF474" w14:textId="53364A2A" w:rsidR="006844E5" w:rsidRDefault="006844E5" w:rsidP="006844E5">
      <w:pPr>
        <w:rPr>
          <w:lang w:eastAsia="hr-HR"/>
        </w:rPr>
      </w:pPr>
      <w:r>
        <w:rPr>
          <w:lang w:eastAsia="hr-HR"/>
        </w:rPr>
        <w:t>Zgrade sa statusom kulturnog dobra nalaze se u sve četiri kategorije zgrada</w:t>
      </w:r>
      <w:r w:rsidR="00A3399C">
        <w:rPr>
          <w:lang w:eastAsia="hr-HR"/>
        </w:rPr>
        <w:t xml:space="preserve">. </w:t>
      </w:r>
      <w:r>
        <w:rPr>
          <w:lang w:eastAsia="hr-HR"/>
        </w:rPr>
        <w:t>Ministarstvo kulture također radi na definiranju dijela nacionalnog fonda zgrada sa statusom kulturnog dobra, u svrhu analize i praćenja stanja na nacionalnoj razini.</w:t>
      </w:r>
      <w:r w:rsidR="00A3399C">
        <w:rPr>
          <w:lang w:eastAsia="hr-HR"/>
        </w:rPr>
        <w:t xml:space="preserve"> Također, </w:t>
      </w:r>
      <w:r w:rsidR="001C13A1">
        <w:rPr>
          <w:lang w:eastAsia="hr-HR"/>
        </w:rPr>
        <w:t xml:space="preserve">zgrade u korištenju Oružanih snaga Republike Hrvatske nalaze se u svim prethodnim kategorijama zgrada, </w:t>
      </w:r>
      <w:r w:rsidR="00C634EA">
        <w:rPr>
          <w:lang w:eastAsia="hr-HR"/>
        </w:rPr>
        <w:t xml:space="preserve">a </w:t>
      </w:r>
      <w:r w:rsidR="00B267B6">
        <w:rPr>
          <w:lang w:eastAsia="hr-HR"/>
        </w:rPr>
        <w:t xml:space="preserve">dinamika </w:t>
      </w:r>
      <w:r w:rsidR="00C634EA">
        <w:rPr>
          <w:lang w:eastAsia="hr-HR"/>
        </w:rPr>
        <w:t xml:space="preserve">razvoja </w:t>
      </w:r>
      <w:r w:rsidR="00B267B6">
        <w:rPr>
          <w:lang w:eastAsia="hr-HR"/>
        </w:rPr>
        <w:t xml:space="preserve">tog </w:t>
      </w:r>
      <w:r w:rsidR="00C634EA">
        <w:rPr>
          <w:lang w:eastAsia="hr-HR"/>
        </w:rPr>
        <w:t xml:space="preserve">segmenta fonda </w:t>
      </w:r>
      <w:r w:rsidR="00B267B6">
        <w:rPr>
          <w:lang w:eastAsia="hr-HR"/>
        </w:rPr>
        <w:t xml:space="preserve">zgrada </w:t>
      </w:r>
      <w:r w:rsidR="00C634EA">
        <w:rPr>
          <w:lang w:eastAsia="hr-HR"/>
        </w:rPr>
        <w:t xml:space="preserve">definirana </w:t>
      </w:r>
      <w:r w:rsidR="00B267B6">
        <w:rPr>
          <w:lang w:eastAsia="hr-HR"/>
        </w:rPr>
        <w:t xml:space="preserve">je </w:t>
      </w:r>
      <w:r w:rsidR="003A447B">
        <w:rPr>
          <w:lang w:eastAsia="hr-HR"/>
        </w:rPr>
        <w:t>Dugoročn</w:t>
      </w:r>
      <w:r w:rsidR="00C634EA">
        <w:rPr>
          <w:lang w:eastAsia="hr-HR"/>
        </w:rPr>
        <w:t>im</w:t>
      </w:r>
      <w:r w:rsidR="003A447B">
        <w:rPr>
          <w:lang w:eastAsia="hr-HR"/>
        </w:rPr>
        <w:t xml:space="preserve"> </w:t>
      </w:r>
      <w:r w:rsidR="00F44181">
        <w:rPr>
          <w:lang w:eastAsia="hr-HR"/>
        </w:rPr>
        <w:t>plan</w:t>
      </w:r>
      <w:r w:rsidR="00C634EA">
        <w:rPr>
          <w:lang w:eastAsia="hr-HR"/>
        </w:rPr>
        <w:t>om</w:t>
      </w:r>
      <w:r w:rsidR="00F44181">
        <w:rPr>
          <w:lang w:eastAsia="hr-HR"/>
        </w:rPr>
        <w:t xml:space="preserve"> razvoja oružanih snaga Republike Hrvatske za razdoblje 2015. do 2024. godine. </w:t>
      </w:r>
      <w:r w:rsidR="00F44181" w:rsidRPr="009C4091">
        <w:rPr>
          <w:lang w:eastAsia="hr-HR"/>
        </w:rPr>
        <w:fldChar w:fldCharType="begin"/>
      </w:r>
      <w:r w:rsidR="00F44181" w:rsidRPr="009C4091">
        <w:rPr>
          <w:lang w:eastAsia="hr-HR"/>
        </w:rPr>
        <w:instrText xml:space="preserve"> CITATION MOR14 \l 1033 </w:instrText>
      </w:r>
      <w:r w:rsidR="00F44181" w:rsidRPr="009C4091">
        <w:rPr>
          <w:lang w:eastAsia="hr-HR"/>
        </w:rPr>
        <w:fldChar w:fldCharType="separate"/>
      </w:r>
      <w:r w:rsidR="002D258B">
        <w:rPr>
          <w:noProof/>
          <w:lang w:eastAsia="hr-HR"/>
        </w:rPr>
        <w:t xml:space="preserve"> </w:t>
      </w:r>
      <w:r w:rsidR="002D258B" w:rsidRPr="002D258B">
        <w:rPr>
          <w:noProof/>
          <w:lang w:eastAsia="hr-HR"/>
        </w:rPr>
        <w:t>(MORH, 2014)</w:t>
      </w:r>
      <w:r w:rsidR="00F44181" w:rsidRPr="009C4091">
        <w:rPr>
          <w:lang w:eastAsia="hr-HR"/>
        </w:rPr>
        <w:fldChar w:fldCharType="end"/>
      </w:r>
      <w:r w:rsidR="00F44181">
        <w:rPr>
          <w:lang w:eastAsia="hr-HR"/>
        </w:rPr>
        <w:t>.</w:t>
      </w:r>
      <w:r w:rsidR="00831FF3">
        <w:rPr>
          <w:lang w:eastAsia="hr-HR"/>
        </w:rPr>
        <w:t xml:space="preserve"> </w:t>
      </w:r>
      <w:r w:rsidR="00F44181">
        <w:rPr>
          <w:lang w:eastAsia="hr-HR"/>
        </w:rPr>
        <w:t xml:space="preserve"> </w:t>
      </w:r>
    </w:p>
    <w:p w14:paraId="276DBFD6" w14:textId="5567181B" w:rsidR="0046545B" w:rsidRDefault="0046545B" w:rsidP="009C4091">
      <w:pPr>
        <w:pStyle w:val="Opisslike"/>
        <w:keepNext/>
      </w:pPr>
      <w:bookmarkStart w:id="13" w:name="_Toc40089018"/>
      <w:r>
        <w:t xml:space="preserve">Tablica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t>.</w:t>
      </w:r>
      <w:r w:rsidR="00A50909">
        <w:fldChar w:fldCharType="begin"/>
      </w:r>
      <w:r w:rsidR="00A50909">
        <w:instrText xml:space="preserve"> SEQ Tablica \* ARABIC \s 1 </w:instrText>
      </w:r>
      <w:r w:rsidR="00A50909">
        <w:fldChar w:fldCharType="separate"/>
      </w:r>
      <w:r w:rsidR="00CE61F3">
        <w:rPr>
          <w:noProof/>
        </w:rPr>
        <w:t>1</w:t>
      </w:r>
      <w:r w:rsidR="00A50909">
        <w:rPr>
          <w:noProof/>
        </w:rPr>
        <w:fldChar w:fldCharType="end"/>
      </w:r>
      <w:r>
        <w:t xml:space="preserve"> </w:t>
      </w:r>
      <w:r w:rsidR="007D21E4">
        <w:t xml:space="preserve">Površina </w:t>
      </w:r>
      <w:r>
        <w:t xml:space="preserve">zgrada </w:t>
      </w:r>
      <w:r w:rsidR="00E60A00">
        <w:t xml:space="preserve">u RH </w:t>
      </w:r>
      <w:r>
        <w:t>po namjeni</w:t>
      </w:r>
      <w:r w:rsidR="00756959">
        <w:t xml:space="preserve"> </w:t>
      </w:r>
      <w:r w:rsidR="007D21E4">
        <w:t>u m²</w:t>
      </w:r>
      <w:r w:rsidR="00E60A00">
        <w:t xml:space="preserve"> </w:t>
      </w:r>
      <w:r w:rsidR="007E64BE">
        <w:t>po godinama</w:t>
      </w:r>
      <w:bookmarkEnd w:id="13"/>
    </w:p>
    <w:tbl>
      <w:tblPr>
        <w:tblW w:w="5000" w:type="pct"/>
        <w:tblLook w:val="04A0" w:firstRow="1" w:lastRow="0" w:firstColumn="1" w:lastColumn="0" w:noHBand="0" w:noVBand="1"/>
      </w:tblPr>
      <w:tblGrid>
        <w:gridCol w:w="1505"/>
        <w:gridCol w:w="935"/>
        <w:gridCol w:w="930"/>
        <w:gridCol w:w="930"/>
        <w:gridCol w:w="930"/>
        <w:gridCol w:w="930"/>
        <w:gridCol w:w="930"/>
        <w:gridCol w:w="930"/>
        <w:gridCol w:w="1334"/>
      </w:tblGrid>
      <w:tr w:rsidR="00D20F4E" w:rsidRPr="0046545B" w14:paraId="13EC1986" w14:textId="77777777" w:rsidTr="00D877C5">
        <w:trPr>
          <w:trHeight w:val="300"/>
        </w:trPr>
        <w:tc>
          <w:tcPr>
            <w:tcW w:w="790" w:type="pct"/>
            <w:tcBorders>
              <w:top w:val="nil"/>
              <w:left w:val="nil"/>
              <w:bottom w:val="nil"/>
              <w:right w:val="nil"/>
            </w:tcBorders>
            <w:noWrap/>
            <w:vAlign w:val="bottom"/>
            <w:hideMark/>
          </w:tcPr>
          <w:p w14:paraId="38654956" w14:textId="77777777" w:rsidR="00D20F4E" w:rsidRPr="009C4091" w:rsidRDefault="00D20F4E" w:rsidP="00D20F4E">
            <w:pPr>
              <w:tabs>
                <w:tab w:val="clear" w:pos="431"/>
              </w:tabs>
              <w:spacing w:after="0" w:line="240" w:lineRule="auto"/>
              <w:ind w:left="0"/>
              <w:jc w:val="left"/>
              <w:rPr>
                <w:rFonts w:asciiTheme="minorHAnsi" w:hAnsiTheme="minorHAnsi" w:cs="Calibri"/>
                <w:sz w:val="16"/>
                <w:szCs w:val="16"/>
                <w:lang w:eastAsia="hr-HR"/>
              </w:rPr>
            </w:pPr>
          </w:p>
        </w:tc>
        <w:tc>
          <w:tcPr>
            <w:tcW w:w="574" w:type="pct"/>
            <w:tcBorders>
              <w:top w:val="nil"/>
              <w:left w:val="nil"/>
              <w:bottom w:val="nil"/>
              <w:right w:val="nil"/>
            </w:tcBorders>
            <w:noWrap/>
            <w:vAlign w:val="bottom"/>
            <w:hideMark/>
          </w:tcPr>
          <w:p w14:paraId="20BB44DB"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2011</w:t>
            </w:r>
          </w:p>
        </w:tc>
        <w:tc>
          <w:tcPr>
            <w:tcW w:w="404" w:type="pct"/>
            <w:tcBorders>
              <w:top w:val="nil"/>
              <w:left w:val="nil"/>
              <w:bottom w:val="nil"/>
              <w:right w:val="nil"/>
            </w:tcBorders>
            <w:noWrap/>
            <w:vAlign w:val="bottom"/>
            <w:hideMark/>
          </w:tcPr>
          <w:p w14:paraId="4B4D4C84"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2012</w:t>
            </w:r>
          </w:p>
        </w:tc>
        <w:tc>
          <w:tcPr>
            <w:tcW w:w="489" w:type="pct"/>
            <w:tcBorders>
              <w:top w:val="nil"/>
              <w:left w:val="nil"/>
              <w:bottom w:val="nil"/>
              <w:right w:val="nil"/>
            </w:tcBorders>
            <w:noWrap/>
            <w:vAlign w:val="bottom"/>
            <w:hideMark/>
          </w:tcPr>
          <w:p w14:paraId="6F7D3E50"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2013</w:t>
            </w:r>
          </w:p>
        </w:tc>
        <w:tc>
          <w:tcPr>
            <w:tcW w:w="489" w:type="pct"/>
            <w:tcBorders>
              <w:top w:val="nil"/>
              <w:left w:val="nil"/>
              <w:bottom w:val="nil"/>
              <w:right w:val="nil"/>
            </w:tcBorders>
            <w:noWrap/>
            <w:vAlign w:val="bottom"/>
            <w:hideMark/>
          </w:tcPr>
          <w:p w14:paraId="32CC8584"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2014</w:t>
            </w:r>
          </w:p>
        </w:tc>
        <w:tc>
          <w:tcPr>
            <w:tcW w:w="489" w:type="pct"/>
            <w:tcBorders>
              <w:top w:val="nil"/>
              <w:left w:val="nil"/>
              <w:bottom w:val="nil"/>
              <w:right w:val="nil"/>
            </w:tcBorders>
            <w:noWrap/>
            <w:vAlign w:val="bottom"/>
            <w:hideMark/>
          </w:tcPr>
          <w:p w14:paraId="6B2AD591"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2015</w:t>
            </w:r>
          </w:p>
        </w:tc>
        <w:tc>
          <w:tcPr>
            <w:tcW w:w="489" w:type="pct"/>
            <w:tcBorders>
              <w:top w:val="nil"/>
              <w:left w:val="nil"/>
              <w:bottom w:val="nil"/>
              <w:right w:val="nil"/>
            </w:tcBorders>
            <w:noWrap/>
            <w:vAlign w:val="bottom"/>
            <w:hideMark/>
          </w:tcPr>
          <w:p w14:paraId="655019DA"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2016</w:t>
            </w:r>
          </w:p>
        </w:tc>
        <w:tc>
          <w:tcPr>
            <w:tcW w:w="489" w:type="pct"/>
            <w:tcBorders>
              <w:top w:val="nil"/>
              <w:left w:val="nil"/>
              <w:bottom w:val="nil"/>
              <w:right w:val="nil"/>
            </w:tcBorders>
            <w:noWrap/>
            <w:vAlign w:val="bottom"/>
            <w:hideMark/>
          </w:tcPr>
          <w:p w14:paraId="4CFCBBE7"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2017</w:t>
            </w:r>
          </w:p>
        </w:tc>
        <w:tc>
          <w:tcPr>
            <w:tcW w:w="790" w:type="pct"/>
            <w:tcBorders>
              <w:top w:val="nil"/>
              <w:left w:val="nil"/>
              <w:bottom w:val="nil"/>
              <w:right w:val="nil"/>
            </w:tcBorders>
            <w:noWrap/>
            <w:vAlign w:val="bottom"/>
            <w:hideMark/>
          </w:tcPr>
          <w:p w14:paraId="16C1627D"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2018</w:t>
            </w:r>
          </w:p>
        </w:tc>
      </w:tr>
      <w:tr w:rsidR="0046545B" w:rsidRPr="0046545B" w14:paraId="2CDFC6E8" w14:textId="77777777" w:rsidTr="00D877C5">
        <w:trPr>
          <w:trHeight w:val="300"/>
        </w:trPr>
        <w:tc>
          <w:tcPr>
            <w:tcW w:w="790" w:type="pct"/>
            <w:tcBorders>
              <w:top w:val="nil"/>
              <w:left w:val="nil"/>
              <w:bottom w:val="nil"/>
              <w:right w:val="nil"/>
            </w:tcBorders>
            <w:noWrap/>
            <w:vAlign w:val="bottom"/>
            <w:hideMark/>
          </w:tcPr>
          <w:p w14:paraId="639BE16D" w14:textId="77777777" w:rsidR="00D20F4E" w:rsidRPr="009C4091" w:rsidRDefault="00D20F4E" w:rsidP="00D20F4E">
            <w:pPr>
              <w:tabs>
                <w:tab w:val="clear" w:pos="431"/>
              </w:tabs>
              <w:spacing w:after="0" w:line="240" w:lineRule="auto"/>
              <w:ind w:left="0"/>
              <w:jc w:val="lef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stambene</w:t>
            </w:r>
          </w:p>
        </w:tc>
        <w:tc>
          <w:tcPr>
            <w:tcW w:w="574" w:type="pct"/>
            <w:tcBorders>
              <w:top w:val="nil"/>
              <w:left w:val="nil"/>
              <w:bottom w:val="nil"/>
              <w:right w:val="nil"/>
            </w:tcBorders>
            <w:noWrap/>
            <w:tcMar>
              <w:left w:w="57" w:type="dxa"/>
              <w:right w:w="57" w:type="dxa"/>
            </w:tcMar>
            <w:vAlign w:val="bottom"/>
            <w:hideMark/>
          </w:tcPr>
          <w:p w14:paraId="6E23F1D4" w14:textId="77777777" w:rsidR="00D20F4E" w:rsidRPr="009C4091" w:rsidRDefault="00D20F4E" w:rsidP="005439F4">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146.561.449</w:t>
            </w:r>
          </w:p>
        </w:tc>
        <w:tc>
          <w:tcPr>
            <w:tcW w:w="404" w:type="pct"/>
            <w:tcBorders>
              <w:top w:val="nil"/>
              <w:left w:val="nil"/>
              <w:bottom w:val="nil"/>
              <w:right w:val="nil"/>
            </w:tcBorders>
            <w:noWrap/>
            <w:tcMar>
              <w:left w:w="57" w:type="dxa"/>
              <w:right w:w="57" w:type="dxa"/>
            </w:tcMar>
            <w:vAlign w:val="bottom"/>
            <w:hideMark/>
          </w:tcPr>
          <w:p w14:paraId="74014D0C" w14:textId="77777777" w:rsidR="00D20F4E" w:rsidRPr="009C4091" w:rsidRDefault="00D20F4E" w:rsidP="005439F4">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147.492.526</w:t>
            </w:r>
          </w:p>
        </w:tc>
        <w:tc>
          <w:tcPr>
            <w:tcW w:w="489" w:type="pct"/>
            <w:tcBorders>
              <w:top w:val="nil"/>
              <w:left w:val="nil"/>
              <w:bottom w:val="nil"/>
              <w:right w:val="nil"/>
            </w:tcBorders>
            <w:noWrap/>
            <w:tcMar>
              <w:left w:w="57" w:type="dxa"/>
              <w:right w:w="57" w:type="dxa"/>
            </w:tcMar>
            <w:vAlign w:val="bottom"/>
            <w:hideMark/>
          </w:tcPr>
          <w:p w14:paraId="70F5A916" w14:textId="77777777" w:rsidR="00D20F4E" w:rsidRPr="009C4091" w:rsidRDefault="00D20F4E" w:rsidP="005439F4">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148.162.782</w:t>
            </w:r>
          </w:p>
        </w:tc>
        <w:tc>
          <w:tcPr>
            <w:tcW w:w="489" w:type="pct"/>
            <w:tcBorders>
              <w:top w:val="nil"/>
              <w:left w:val="nil"/>
              <w:bottom w:val="nil"/>
              <w:right w:val="nil"/>
            </w:tcBorders>
            <w:noWrap/>
            <w:tcMar>
              <w:left w:w="57" w:type="dxa"/>
              <w:right w:w="57" w:type="dxa"/>
            </w:tcMar>
            <w:vAlign w:val="bottom"/>
            <w:hideMark/>
          </w:tcPr>
          <w:p w14:paraId="1B64A835" w14:textId="77777777" w:rsidR="00D20F4E" w:rsidRPr="009C4091" w:rsidRDefault="00D20F4E" w:rsidP="005439F4">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148.712.699</w:t>
            </w:r>
          </w:p>
        </w:tc>
        <w:tc>
          <w:tcPr>
            <w:tcW w:w="489" w:type="pct"/>
            <w:tcBorders>
              <w:top w:val="nil"/>
              <w:left w:val="nil"/>
              <w:bottom w:val="nil"/>
              <w:right w:val="nil"/>
            </w:tcBorders>
            <w:noWrap/>
            <w:tcMar>
              <w:left w:w="57" w:type="dxa"/>
              <w:right w:w="57" w:type="dxa"/>
            </w:tcMar>
            <w:vAlign w:val="bottom"/>
            <w:hideMark/>
          </w:tcPr>
          <w:p w14:paraId="7F95AC6D" w14:textId="77777777" w:rsidR="00D20F4E" w:rsidRPr="009C4091" w:rsidRDefault="00D20F4E" w:rsidP="00AE029C">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149.220.513</w:t>
            </w:r>
          </w:p>
        </w:tc>
        <w:tc>
          <w:tcPr>
            <w:tcW w:w="489" w:type="pct"/>
            <w:tcBorders>
              <w:top w:val="nil"/>
              <w:left w:val="nil"/>
              <w:bottom w:val="nil"/>
              <w:right w:val="nil"/>
            </w:tcBorders>
            <w:noWrap/>
            <w:tcMar>
              <w:left w:w="57" w:type="dxa"/>
              <w:right w:w="57" w:type="dxa"/>
            </w:tcMar>
            <w:vAlign w:val="bottom"/>
            <w:hideMark/>
          </w:tcPr>
          <w:p w14:paraId="2C04D420" w14:textId="77777777" w:rsidR="00D20F4E" w:rsidRPr="009C4091" w:rsidRDefault="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149.691.978</w:t>
            </w:r>
          </w:p>
        </w:tc>
        <w:tc>
          <w:tcPr>
            <w:tcW w:w="489" w:type="pct"/>
            <w:tcBorders>
              <w:top w:val="nil"/>
              <w:left w:val="nil"/>
              <w:bottom w:val="nil"/>
              <w:right w:val="nil"/>
            </w:tcBorders>
            <w:noWrap/>
            <w:tcMar>
              <w:left w:w="57" w:type="dxa"/>
              <w:right w:w="57" w:type="dxa"/>
            </w:tcMar>
            <w:vAlign w:val="bottom"/>
            <w:hideMark/>
          </w:tcPr>
          <w:p w14:paraId="504A9349" w14:textId="77777777" w:rsidR="00D20F4E" w:rsidRPr="009C4091" w:rsidRDefault="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150.336.795</w:t>
            </w:r>
          </w:p>
        </w:tc>
        <w:tc>
          <w:tcPr>
            <w:tcW w:w="790" w:type="pct"/>
            <w:tcBorders>
              <w:top w:val="nil"/>
              <w:left w:val="nil"/>
              <w:bottom w:val="nil"/>
              <w:right w:val="nil"/>
            </w:tcBorders>
            <w:noWrap/>
            <w:tcMar>
              <w:left w:w="57" w:type="dxa"/>
              <w:right w:w="57" w:type="dxa"/>
            </w:tcMar>
            <w:vAlign w:val="bottom"/>
            <w:hideMark/>
          </w:tcPr>
          <w:p w14:paraId="5801322E" w14:textId="77777777" w:rsidR="00D20F4E" w:rsidRPr="009C4091" w:rsidRDefault="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150.933.220</w:t>
            </w:r>
          </w:p>
        </w:tc>
      </w:tr>
      <w:tr w:rsidR="0046545B" w:rsidRPr="0046545B" w14:paraId="69551FA3" w14:textId="77777777" w:rsidTr="00D877C5">
        <w:trPr>
          <w:trHeight w:val="300"/>
        </w:trPr>
        <w:tc>
          <w:tcPr>
            <w:tcW w:w="790" w:type="pct"/>
            <w:tcBorders>
              <w:top w:val="nil"/>
              <w:left w:val="nil"/>
              <w:bottom w:val="nil"/>
              <w:right w:val="nil"/>
            </w:tcBorders>
            <w:noWrap/>
            <w:vAlign w:val="bottom"/>
            <w:hideMark/>
          </w:tcPr>
          <w:p w14:paraId="1FDE84A1" w14:textId="77777777" w:rsidR="00D20F4E" w:rsidRPr="009C4091" w:rsidRDefault="00D20F4E" w:rsidP="00D20F4E">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višestambene</w:t>
            </w:r>
          </w:p>
        </w:tc>
        <w:tc>
          <w:tcPr>
            <w:tcW w:w="574" w:type="pct"/>
            <w:tcBorders>
              <w:top w:val="nil"/>
              <w:left w:val="nil"/>
              <w:bottom w:val="nil"/>
              <w:right w:val="nil"/>
            </w:tcBorders>
            <w:noWrap/>
            <w:tcMar>
              <w:left w:w="57" w:type="dxa"/>
              <w:right w:w="57" w:type="dxa"/>
            </w:tcMar>
            <w:vAlign w:val="bottom"/>
            <w:hideMark/>
          </w:tcPr>
          <w:p w14:paraId="3692DFDE"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56.566.680</w:t>
            </w:r>
          </w:p>
        </w:tc>
        <w:tc>
          <w:tcPr>
            <w:tcW w:w="404" w:type="pct"/>
            <w:tcBorders>
              <w:top w:val="nil"/>
              <w:left w:val="nil"/>
              <w:bottom w:val="nil"/>
              <w:right w:val="nil"/>
            </w:tcBorders>
            <w:noWrap/>
            <w:tcMar>
              <w:left w:w="57" w:type="dxa"/>
              <w:right w:w="57" w:type="dxa"/>
            </w:tcMar>
            <w:vAlign w:val="bottom"/>
            <w:hideMark/>
          </w:tcPr>
          <w:p w14:paraId="3BA31726"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56.926.037</w:t>
            </w:r>
          </w:p>
        </w:tc>
        <w:tc>
          <w:tcPr>
            <w:tcW w:w="489" w:type="pct"/>
            <w:tcBorders>
              <w:top w:val="nil"/>
              <w:left w:val="nil"/>
              <w:bottom w:val="nil"/>
              <w:right w:val="nil"/>
            </w:tcBorders>
            <w:noWrap/>
            <w:tcMar>
              <w:left w:w="57" w:type="dxa"/>
              <w:right w:w="57" w:type="dxa"/>
            </w:tcMar>
            <w:vAlign w:val="bottom"/>
            <w:hideMark/>
          </w:tcPr>
          <w:p w14:paraId="7ABBDBED"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57.184.729</w:t>
            </w:r>
          </w:p>
        </w:tc>
        <w:tc>
          <w:tcPr>
            <w:tcW w:w="489" w:type="pct"/>
            <w:tcBorders>
              <w:top w:val="nil"/>
              <w:left w:val="nil"/>
              <w:bottom w:val="nil"/>
              <w:right w:val="nil"/>
            </w:tcBorders>
            <w:noWrap/>
            <w:tcMar>
              <w:left w:w="57" w:type="dxa"/>
              <w:right w:w="57" w:type="dxa"/>
            </w:tcMar>
            <w:vAlign w:val="bottom"/>
            <w:hideMark/>
          </w:tcPr>
          <w:p w14:paraId="13F10C1C"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57.396.974</w:t>
            </w:r>
          </w:p>
        </w:tc>
        <w:tc>
          <w:tcPr>
            <w:tcW w:w="489" w:type="pct"/>
            <w:tcBorders>
              <w:top w:val="nil"/>
              <w:left w:val="nil"/>
              <w:bottom w:val="nil"/>
              <w:right w:val="nil"/>
            </w:tcBorders>
            <w:noWrap/>
            <w:tcMar>
              <w:left w:w="57" w:type="dxa"/>
              <w:right w:w="57" w:type="dxa"/>
            </w:tcMar>
            <w:vAlign w:val="bottom"/>
            <w:hideMark/>
          </w:tcPr>
          <w:p w14:paraId="216A4F23"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57.592.969</w:t>
            </w:r>
          </w:p>
        </w:tc>
        <w:tc>
          <w:tcPr>
            <w:tcW w:w="489" w:type="pct"/>
            <w:tcBorders>
              <w:top w:val="nil"/>
              <w:left w:val="nil"/>
              <w:bottom w:val="nil"/>
              <w:right w:val="nil"/>
            </w:tcBorders>
            <w:noWrap/>
            <w:tcMar>
              <w:left w:w="57" w:type="dxa"/>
              <w:right w:w="57" w:type="dxa"/>
            </w:tcMar>
            <w:vAlign w:val="bottom"/>
            <w:hideMark/>
          </w:tcPr>
          <w:p w14:paraId="066AB7B4"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57.774.935</w:t>
            </w:r>
          </w:p>
        </w:tc>
        <w:tc>
          <w:tcPr>
            <w:tcW w:w="489" w:type="pct"/>
            <w:tcBorders>
              <w:top w:val="nil"/>
              <w:left w:val="nil"/>
              <w:bottom w:val="nil"/>
              <w:right w:val="nil"/>
            </w:tcBorders>
            <w:noWrap/>
            <w:tcMar>
              <w:left w:w="57" w:type="dxa"/>
              <w:right w:w="57" w:type="dxa"/>
            </w:tcMar>
            <w:vAlign w:val="bottom"/>
            <w:hideMark/>
          </w:tcPr>
          <w:p w14:paraId="47161A87"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58.023.808</w:t>
            </w:r>
          </w:p>
        </w:tc>
        <w:tc>
          <w:tcPr>
            <w:tcW w:w="790" w:type="pct"/>
            <w:tcBorders>
              <w:top w:val="nil"/>
              <w:left w:val="nil"/>
              <w:bottom w:val="nil"/>
              <w:right w:val="nil"/>
            </w:tcBorders>
            <w:noWrap/>
            <w:tcMar>
              <w:left w:w="57" w:type="dxa"/>
              <w:right w:w="57" w:type="dxa"/>
            </w:tcMar>
            <w:vAlign w:val="bottom"/>
            <w:hideMark/>
          </w:tcPr>
          <w:p w14:paraId="36049857"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58.241.082</w:t>
            </w:r>
          </w:p>
        </w:tc>
      </w:tr>
      <w:tr w:rsidR="0046545B" w:rsidRPr="0046545B" w14:paraId="5066AA5B" w14:textId="77777777" w:rsidTr="00D877C5">
        <w:trPr>
          <w:trHeight w:val="300"/>
        </w:trPr>
        <w:tc>
          <w:tcPr>
            <w:tcW w:w="790" w:type="pct"/>
            <w:tcBorders>
              <w:top w:val="nil"/>
              <w:left w:val="nil"/>
              <w:bottom w:val="nil"/>
              <w:right w:val="nil"/>
            </w:tcBorders>
            <w:noWrap/>
            <w:vAlign w:val="bottom"/>
            <w:hideMark/>
          </w:tcPr>
          <w:p w14:paraId="01ABAED9" w14:textId="77777777" w:rsidR="00D20F4E" w:rsidRPr="009C4091" w:rsidRDefault="00D20F4E" w:rsidP="00D20F4E">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obiteljske</w:t>
            </w:r>
          </w:p>
        </w:tc>
        <w:tc>
          <w:tcPr>
            <w:tcW w:w="574" w:type="pct"/>
            <w:tcBorders>
              <w:top w:val="nil"/>
              <w:left w:val="nil"/>
              <w:bottom w:val="nil"/>
              <w:right w:val="nil"/>
            </w:tcBorders>
            <w:noWrap/>
            <w:tcMar>
              <w:left w:w="57" w:type="dxa"/>
              <w:right w:w="57" w:type="dxa"/>
            </w:tcMar>
            <w:vAlign w:val="bottom"/>
            <w:hideMark/>
          </w:tcPr>
          <w:p w14:paraId="325F6D43"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89.994.769</w:t>
            </w:r>
          </w:p>
        </w:tc>
        <w:tc>
          <w:tcPr>
            <w:tcW w:w="404" w:type="pct"/>
            <w:tcBorders>
              <w:top w:val="nil"/>
              <w:left w:val="nil"/>
              <w:bottom w:val="nil"/>
              <w:right w:val="nil"/>
            </w:tcBorders>
            <w:noWrap/>
            <w:tcMar>
              <w:left w:w="57" w:type="dxa"/>
              <w:right w:w="57" w:type="dxa"/>
            </w:tcMar>
            <w:vAlign w:val="bottom"/>
            <w:hideMark/>
          </w:tcPr>
          <w:p w14:paraId="11EF6030"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90.566.489</w:t>
            </w:r>
          </w:p>
        </w:tc>
        <w:tc>
          <w:tcPr>
            <w:tcW w:w="489" w:type="pct"/>
            <w:tcBorders>
              <w:top w:val="nil"/>
              <w:left w:val="nil"/>
              <w:bottom w:val="nil"/>
              <w:right w:val="nil"/>
            </w:tcBorders>
            <w:noWrap/>
            <w:tcMar>
              <w:left w:w="57" w:type="dxa"/>
              <w:right w:w="57" w:type="dxa"/>
            </w:tcMar>
            <w:vAlign w:val="bottom"/>
            <w:hideMark/>
          </w:tcPr>
          <w:p w14:paraId="2749C870"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90.978.053</w:t>
            </w:r>
          </w:p>
        </w:tc>
        <w:tc>
          <w:tcPr>
            <w:tcW w:w="489" w:type="pct"/>
            <w:tcBorders>
              <w:top w:val="nil"/>
              <w:left w:val="nil"/>
              <w:bottom w:val="nil"/>
              <w:right w:val="nil"/>
            </w:tcBorders>
            <w:noWrap/>
            <w:tcMar>
              <w:left w:w="57" w:type="dxa"/>
              <w:right w:w="57" w:type="dxa"/>
            </w:tcMar>
            <w:vAlign w:val="bottom"/>
            <w:hideMark/>
          </w:tcPr>
          <w:p w14:paraId="549B309A"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91.315.725</w:t>
            </w:r>
          </w:p>
        </w:tc>
        <w:tc>
          <w:tcPr>
            <w:tcW w:w="489" w:type="pct"/>
            <w:tcBorders>
              <w:top w:val="nil"/>
              <w:left w:val="nil"/>
              <w:bottom w:val="nil"/>
              <w:right w:val="nil"/>
            </w:tcBorders>
            <w:noWrap/>
            <w:tcMar>
              <w:left w:w="57" w:type="dxa"/>
              <w:right w:w="57" w:type="dxa"/>
            </w:tcMar>
            <w:vAlign w:val="bottom"/>
            <w:hideMark/>
          </w:tcPr>
          <w:p w14:paraId="60A45B76"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91.627.544</w:t>
            </w:r>
          </w:p>
        </w:tc>
        <w:tc>
          <w:tcPr>
            <w:tcW w:w="489" w:type="pct"/>
            <w:tcBorders>
              <w:top w:val="nil"/>
              <w:left w:val="nil"/>
              <w:bottom w:val="nil"/>
              <w:right w:val="nil"/>
            </w:tcBorders>
            <w:noWrap/>
            <w:tcMar>
              <w:left w:w="57" w:type="dxa"/>
              <w:right w:w="57" w:type="dxa"/>
            </w:tcMar>
            <w:vAlign w:val="bottom"/>
            <w:hideMark/>
          </w:tcPr>
          <w:p w14:paraId="1C559DB4"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91.917.043</w:t>
            </w:r>
          </w:p>
        </w:tc>
        <w:tc>
          <w:tcPr>
            <w:tcW w:w="489" w:type="pct"/>
            <w:tcBorders>
              <w:top w:val="nil"/>
              <w:left w:val="nil"/>
              <w:bottom w:val="nil"/>
              <w:right w:val="nil"/>
            </w:tcBorders>
            <w:noWrap/>
            <w:tcMar>
              <w:left w:w="57" w:type="dxa"/>
              <w:right w:w="57" w:type="dxa"/>
            </w:tcMar>
            <w:vAlign w:val="bottom"/>
            <w:hideMark/>
          </w:tcPr>
          <w:p w14:paraId="1B8FC215"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92.312.987</w:t>
            </w:r>
          </w:p>
        </w:tc>
        <w:tc>
          <w:tcPr>
            <w:tcW w:w="790" w:type="pct"/>
            <w:tcBorders>
              <w:top w:val="nil"/>
              <w:left w:val="nil"/>
              <w:bottom w:val="nil"/>
              <w:right w:val="nil"/>
            </w:tcBorders>
            <w:noWrap/>
            <w:tcMar>
              <w:left w:w="57" w:type="dxa"/>
              <w:right w:w="57" w:type="dxa"/>
            </w:tcMar>
            <w:vAlign w:val="bottom"/>
            <w:hideMark/>
          </w:tcPr>
          <w:p w14:paraId="7515623D"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93.068.368</w:t>
            </w:r>
          </w:p>
        </w:tc>
      </w:tr>
      <w:tr w:rsidR="0046545B" w:rsidRPr="0046545B" w14:paraId="6222DE14" w14:textId="77777777" w:rsidTr="00D877C5">
        <w:trPr>
          <w:trHeight w:val="300"/>
        </w:trPr>
        <w:tc>
          <w:tcPr>
            <w:tcW w:w="790" w:type="pct"/>
            <w:tcBorders>
              <w:top w:val="nil"/>
              <w:left w:val="nil"/>
              <w:bottom w:val="nil"/>
              <w:right w:val="nil"/>
            </w:tcBorders>
            <w:noWrap/>
            <w:vAlign w:val="bottom"/>
            <w:hideMark/>
          </w:tcPr>
          <w:p w14:paraId="0DA249FE" w14:textId="77777777" w:rsidR="00D20F4E" w:rsidRPr="009C4091" w:rsidRDefault="00D20F4E" w:rsidP="00D20F4E">
            <w:pPr>
              <w:tabs>
                <w:tab w:val="clear" w:pos="431"/>
              </w:tabs>
              <w:spacing w:after="0" w:line="240" w:lineRule="auto"/>
              <w:ind w:left="0"/>
              <w:jc w:val="lef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nestambene</w:t>
            </w:r>
          </w:p>
        </w:tc>
        <w:tc>
          <w:tcPr>
            <w:tcW w:w="574" w:type="pct"/>
            <w:tcBorders>
              <w:top w:val="nil"/>
              <w:left w:val="nil"/>
              <w:bottom w:val="nil"/>
              <w:right w:val="nil"/>
            </w:tcBorders>
            <w:noWrap/>
            <w:tcMar>
              <w:left w:w="57" w:type="dxa"/>
              <w:right w:w="57" w:type="dxa"/>
            </w:tcMar>
            <w:vAlign w:val="bottom"/>
            <w:hideMark/>
          </w:tcPr>
          <w:p w14:paraId="25FD3C17" w14:textId="77777777" w:rsidR="00D20F4E" w:rsidRPr="009C4091" w:rsidRDefault="00D20F4E" w:rsidP="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51.571.744</w:t>
            </w:r>
          </w:p>
        </w:tc>
        <w:tc>
          <w:tcPr>
            <w:tcW w:w="404" w:type="pct"/>
            <w:tcBorders>
              <w:top w:val="nil"/>
              <w:left w:val="nil"/>
              <w:bottom w:val="nil"/>
              <w:right w:val="nil"/>
            </w:tcBorders>
            <w:noWrap/>
            <w:tcMar>
              <w:left w:w="57" w:type="dxa"/>
              <w:right w:w="57" w:type="dxa"/>
            </w:tcMar>
            <w:vAlign w:val="bottom"/>
            <w:hideMark/>
          </w:tcPr>
          <w:p w14:paraId="7EF6F546" w14:textId="77777777" w:rsidR="00D20F4E" w:rsidRPr="009C4091" w:rsidRDefault="00D20F4E" w:rsidP="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52.501.937</w:t>
            </w:r>
          </w:p>
        </w:tc>
        <w:tc>
          <w:tcPr>
            <w:tcW w:w="489" w:type="pct"/>
            <w:tcBorders>
              <w:top w:val="nil"/>
              <w:left w:val="nil"/>
              <w:bottom w:val="nil"/>
              <w:right w:val="nil"/>
            </w:tcBorders>
            <w:noWrap/>
            <w:tcMar>
              <w:left w:w="57" w:type="dxa"/>
              <w:right w:w="57" w:type="dxa"/>
            </w:tcMar>
            <w:vAlign w:val="bottom"/>
            <w:hideMark/>
          </w:tcPr>
          <w:p w14:paraId="632C841A" w14:textId="77777777" w:rsidR="00D20F4E" w:rsidRPr="009C4091" w:rsidRDefault="00D20F4E" w:rsidP="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53.301.824</w:t>
            </w:r>
          </w:p>
        </w:tc>
        <w:tc>
          <w:tcPr>
            <w:tcW w:w="489" w:type="pct"/>
            <w:tcBorders>
              <w:top w:val="nil"/>
              <w:left w:val="nil"/>
              <w:bottom w:val="nil"/>
              <w:right w:val="nil"/>
            </w:tcBorders>
            <w:noWrap/>
            <w:tcMar>
              <w:left w:w="57" w:type="dxa"/>
              <w:right w:w="57" w:type="dxa"/>
            </w:tcMar>
            <w:vAlign w:val="bottom"/>
            <w:hideMark/>
          </w:tcPr>
          <w:p w14:paraId="3DD4B515" w14:textId="77777777" w:rsidR="00D20F4E" w:rsidRPr="009C4091" w:rsidRDefault="00D20F4E" w:rsidP="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53.952.092</w:t>
            </w:r>
          </w:p>
        </w:tc>
        <w:tc>
          <w:tcPr>
            <w:tcW w:w="489" w:type="pct"/>
            <w:tcBorders>
              <w:top w:val="nil"/>
              <w:left w:val="nil"/>
              <w:bottom w:val="nil"/>
              <w:right w:val="nil"/>
            </w:tcBorders>
            <w:noWrap/>
            <w:tcMar>
              <w:left w:w="57" w:type="dxa"/>
              <w:right w:w="57" w:type="dxa"/>
            </w:tcMar>
            <w:vAlign w:val="bottom"/>
            <w:hideMark/>
          </w:tcPr>
          <w:p w14:paraId="2433C617" w14:textId="77777777" w:rsidR="00D20F4E" w:rsidRPr="009C4091" w:rsidRDefault="00D20F4E" w:rsidP="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54.799.686</w:t>
            </w:r>
          </w:p>
        </w:tc>
        <w:tc>
          <w:tcPr>
            <w:tcW w:w="489" w:type="pct"/>
            <w:tcBorders>
              <w:top w:val="nil"/>
              <w:left w:val="nil"/>
              <w:bottom w:val="nil"/>
              <w:right w:val="nil"/>
            </w:tcBorders>
            <w:noWrap/>
            <w:tcMar>
              <w:left w:w="57" w:type="dxa"/>
              <w:right w:w="57" w:type="dxa"/>
            </w:tcMar>
            <w:vAlign w:val="bottom"/>
            <w:hideMark/>
          </w:tcPr>
          <w:p w14:paraId="71432390" w14:textId="77777777" w:rsidR="00D20F4E" w:rsidRPr="009C4091" w:rsidRDefault="00D20F4E" w:rsidP="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56.211.792</w:t>
            </w:r>
          </w:p>
        </w:tc>
        <w:tc>
          <w:tcPr>
            <w:tcW w:w="489" w:type="pct"/>
            <w:tcBorders>
              <w:top w:val="nil"/>
              <w:left w:val="nil"/>
              <w:bottom w:val="nil"/>
              <w:right w:val="nil"/>
            </w:tcBorders>
            <w:noWrap/>
            <w:tcMar>
              <w:left w:w="57" w:type="dxa"/>
              <w:right w:w="57" w:type="dxa"/>
            </w:tcMar>
            <w:vAlign w:val="bottom"/>
            <w:hideMark/>
          </w:tcPr>
          <w:p w14:paraId="37B848E5" w14:textId="77777777" w:rsidR="00D20F4E" w:rsidRPr="009C4091" w:rsidRDefault="00D20F4E" w:rsidP="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57.451.660</w:t>
            </w:r>
          </w:p>
        </w:tc>
        <w:tc>
          <w:tcPr>
            <w:tcW w:w="790" w:type="pct"/>
            <w:tcBorders>
              <w:top w:val="nil"/>
              <w:left w:val="nil"/>
              <w:bottom w:val="nil"/>
              <w:right w:val="nil"/>
            </w:tcBorders>
            <w:noWrap/>
            <w:tcMar>
              <w:left w:w="57" w:type="dxa"/>
              <w:right w:w="57" w:type="dxa"/>
            </w:tcMar>
            <w:vAlign w:val="bottom"/>
            <w:hideMark/>
          </w:tcPr>
          <w:p w14:paraId="33D13D27" w14:textId="77777777" w:rsidR="00D20F4E" w:rsidRPr="009C4091" w:rsidRDefault="00D20F4E" w:rsidP="00D20F4E">
            <w:pPr>
              <w:tabs>
                <w:tab w:val="clear" w:pos="431"/>
              </w:tabs>
              <w:spacing w:after="0" w:line="240" w:lineRule="auto"/>
              <w:ind w:left="0"/>
              <w:jc w:val="righ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58.722.937</w:t>
            </w:r>
          </w:p>
        </w:tc>
      </w:tr>
      <w:tr w:rsidR="0046545B" w:rsidRPr="0046545B" w14:paraId="7377CA6D" w14:textId="77777777" w:rsidTr="00D877C5">
        <w:trPr>
          <w:trHeight w:val="300"/>
        </w:trPr>
        <w:tc>
          <w:tcPr>
            <w:tcW w:w="790" w:type="pct"/>
            <w:tcBorders>
              <w:top w:val="nil"/>
              <w:left w:val="nil"/>
              <w:bottom w:val="nil"/>
              <w:right w:val="nil"/>
            </w:tcBorders>
            <w:noWrap/>
            <w:vAlign w:val="bottom"/>
            <w:hideMark/>
          </w:tcPr>
          <w:p w14:paraId="6EAE9F9F" w14:textId="77777777" w:rsidR="00D20F4E" w:rsidRPr="009C4091" w:rsidRDefault="00D20F4E" w:rsidP="00D20F4E">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uredska</w:t>
            </w:r>
          </w:p>
        </w:tc>
        <w:tc>
          <w:tcPr>
            <w:tcW w:w="574" w:type="pct"/>
            <w:tcBorders>
              <w:top w:val="nil"/>
              <w:left w:val="nil"/>
              <w:bottom w:val="nil"/>
              <w:right w:val="nil"/>
            </w:tcBorders>
            <w:noWrap/>
            <w:tcMar>
              <w:left w:w="57" w:type="dxa"/>
              <w:right w:w="57" w:type="dxa"/>
            </w:tcMar>
            <w:vAlign w:val="bottom"/>
            <w:hideMark/>
          </w:tcPr>
          <w:p w14:paraId="3C2E885B"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8.641.609</w:t>
            </w:r>
          </w:p>
        </w:tc>
        <w:tc>
          <w:tcPr>
            <w:tcW w:w="404" w:type="pct"/>
            <w:tcBorders>
              <w:top w:val="nil"/>
              <w:left w:val="nil"/>
              <w:bottom w:val="nil"/>
              <w:right w:val="nil"/>
            </w:tcBorders>
            <w:noWrap/>
            <w:tcMar>
              <w:left w:w="57" w:type="dxa"/>
              <w:right w:w="57" w:type="dxa"/>
            </w:tcMar>
            <w:vAlign w:val="bottom"/>
            <w:hideMark/>
          </w:tcPr>
          <w:p w14:paraId="6031CC9F"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8.717.128</w:t>
            </w:r>
          </w:p>
        </w:tc>
        <w:tc>
          <w:tcPr>
            <w:tcW w:w="489" w:type="pct"/>
            <w:tcBorders>
              <w:top w:val="nil"/>
              <w:left w:val="nil"/>
              <w:bottom w:val="nil"/>
              <w:right w:val="nil"/>
            </w:tcBorders>
            <w:noWrap/>
            <w:tcMar>
              <w:left w:w="57" w:type="dxa"/>
              <w:right w:w="57" w:type="dxa"/>
            </w:tcMar>
            <w:vAlign w:val="bottom"/>
            <w:hideMark/>
          </w:tcPr>
          <w:p w14:paraId="7183C720"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8.749.054</w:t>
            </w:r>
          </w:p>
        </w:tc>
        <w:tc>
          <w:tcPr>
            <w:tcW w:w="489" w:type="pct"/>
            <w:tcBorders>
              <w:top w:val="nil"/>
              <w:left w:val="nil"/>
              <w:bottom w:val="nil"/>
              <w:right w:val="nil"/>
            </w:tcBorders>
            <w:noWrap/>
            <w:tcMar>
              <w:left w:w="57" w:type="dxa"/>
              <w:right w:w="57" w:type="dxa"/>
            </w:tcMar>
            <w:vAlign w:val="bottom"/>
            <w:hideMark/>
          </w:tcPr>
          <w:p w14:paraId="677B0EE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8.853.648</w:t>
            </w:r>
          </w:p>
        </w:tc>
        <w:tc>
          <w:tcPr>
            <w:tcW w:w="489" w:type="pct"/>
            <w:tcBorders>
              <w:top w:val="nil"/>
              <w:left w:val="nil"/>
              <w:bottom w:val="nil"/>
              <w:right w:val="nil"/>
            </w:tcBorders>
            <w:noWrap/>
            <w:tcMar>
              <w:left w:w="57" w:type="dxa"/>
              <w:right w:w="57" w:type="dxa"/>
            </w:tcMar>
            <w:vAlign w:val="bottom"/>
            <w:hideMark/>
          </w:tcPr>
          <w:p w14:paraId="76F6E278"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8.932.317</w:t>
            </w:r>
          </w:p>
        </w:tc>
        <w:tc>
          <w:tcPr>
            <w:tcW w:w="489" w:type="pct"/>
            <w:tcBorders>
              <w:top w:val="nil"/>
              <w:left w:val="nil"/>
              <w:bottom w:val="nil"/>
              <w:right w:val="nil"/>
            </w:tcBorders>
            <w:noWrap/>
            <w:tcMar>
              <w:left w:w="57" w:type="dxa"/>
              <w:right w:w="57" w:type="dxa"/>
            </w:tcMar>
            <w:vAlign w:val="bottom"/>
            <w:hideMark/>
          </w:tcPr>
          <w:p w14:paraId="785B04C9"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8.999.649</w:t>
            </w:r>
          </w:p>
        </w:tc>
        <w:tc>
          <w:tcPr>
            <w:tcW w:w="489" w:type="pct"/>
            <w:tcBorders>
              <w:top w:val="nil"/>
              <w:left w:val="nil"/>
              <w:bottom w:val="nil"/>
              <w:right w:val="nil"/>
            </w:tcBorders>
            <w:noWrap/>
            <w:tcMar>
              <w:left w:w="57" w:type="dxa"/>
              <w:right w:w="57" w:type="dxa"/>
            </w:tcMar>
            <w:vAlign w:val="bottom"/>
            <w:hideMark/>
          </w:tcPr>
          <w:p w14:paraId="56D38223"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9.153.546</w:t>
            </w:r>
          </w:p>
        </w:tc>
        <w:tc>
          <w:tcPr>
            <w:tcW w:w="790" w:type="pct"/>
            <w:tcBorders>
              <w:top w:val="nil"/>
              <w:left w:val="nil"/>
              <w:bottom w:val="nil"/>
              <w:right w:val="nil"/>
            </w:tcBorders>
            <w:noWrap/>
            <w:tcMar>
              <w:left w:w="57" w:type="dxa"/>
              <w:right w:w="57" w:type="dxa"/>
            </w:tcMar>
            <w:vAlign w:val="bottom"/>
            <w:hideMark/>
          </w:tcPr>
          <w:p w14:paraId="0B3460F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9.509.855</w:t>
            </w:r>
          </w:p>
        </w:tc>
      </w:tr>
      <w:tr w:rsidR="0046545B" w:rsidRPr="0046545B" w14:paraId="74484E96" w14:textId="77777777" w:rsidTr="00D877C5">
        <w:trPr>
          <w:trHeight w:val="300"/>
        </w:trPr>
        <w:tc>
          <w:tcPr>
            <w:tcW w:w="790" w:type="pct"/>
            <w:tcBorders>
              <w:top w:val="nil"/>
              <w:left w:val="nil"/>
              <w:bottom w:val="nil"/>
              <w:right w:val="nil"/>
            </w:tcBorders>
            <w:noWrap/>
            <w:vAlign w:val="bottom"/>
            <w:hideMark/>
          </w:tcPr>
          <w:p w14:paraId="559D9F5F" w14:textId="77777777" w:rsidR="00D20F4E" w:rsidRPr="009C4091" w:rsidRDefault="00D20F4E" w:rsidP="00D20F4E">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obrazovne</w:t>
            </w:r>
          </w:p>
        </w:tc>
        <w:tc>
          <w:tcPr>
            <w:tcW w:w="574" w:type="pct"/>
            <w:tcBorders>
              <w:top w:val="nil"/>
              <w:left w:val="nil"/>
              <w:bottom w:val="nil"/>
              <w:right w:val="nil"/>
            </w:tcBorders>
            <w:noWrap/>
            <w:tcMar>
              <w:left w:w="57" w:type="dxa"/>
              <w:right w:w="57" w:type="dxa"/>
            </w:tcMar>
            <w:vAlign w:val="bottom"/>
            <w:hideMark/>
          </w:tcPr>
          <w:p w14:paraId="1AF7EF6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5.614.153</w:t>
            </w:r>
          </w:p>
        </w:tc>
        <w:tc>
          <w:tcPr>
            <w:tcW w:w="404" w:type="pct"/>
            <w:tcBorders>
              <w:top w:val="nil"/>
              <w:left w:val="nil"/>
              <w:bottom w:val="nil"/>
              <w:right w:val="nil"/>
            </w:tcBorders>
            <w:noWrap/>
            <w:tcMar>
              <w:left w:w="57" w:type="dxa"/>
              <w:right w:w="57" w:type="dxa"/>
            </w:tcMar>
            <w:vAlign w:val="bottom"/>
            <w:hideMark/>
          </w:tcPr>
          <w:p w14:paraId="34A73D59"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5.700.089</w:t>
            </w:r>
          </w:p>
        </w:tc>
        <w:tc>
          <w:tcPr>
            <w:tcW w:w="489" w:type="pct"/>
            <w:tcBorders>
              <w:top w:val="nil"/>
              <w:left w:val="nil"/>
              <w:bottom w:val="nil"/>
              <w:right w:val="nil"/>
            </w:tcBorders>
            <w:noWrap/>
            <w:tcMar>
              <w:left w:w="57" w:type="dxa"/>
              <w:right w:w="57" w:type="dxa"/>
            </w:tcMar>
            <w:vAlign w:val="bottom"/>
            <w:hideMark/>
          </w:tcPr>
          <w:p w14:paraId="0EE94265"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5.752.115</w:t>
            </w:r>
          </w:p>
        </w:tc>
        <w:tc>
          <w:tcPr>
            <w:tcW w:w="489" w:type="pct"/>
            <w:tcBorders>
              <w:top w:val="nil"/>
              <w:left w:val="nil"/>
              <w:bottom w:val="nil"/>
              <w:right w:val="nil"/>
            </w:tcBorders>
            <w:noWrap/>
            <w:tcMar>
              <w:left w:w="57" w:type="dxa"/>
              <w:right w:w="57" w:type="dxa"/>
            </w:tcMar>
            <w:vAlign w:val="bottom"/>
            <w:hideMark/>
          </w:tcPr>
          <w:p w14:paraId="25A4E5F9"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5.795.596</w:t>
            </w:r>
          </w:p>
        </w:tc>
        <w:tc>
          <w:tcPr>
            <w:tcW w:w="489" w:type="pct"/>
            <w:tcBorders>
              <w:top w:val="nil"/>
              <w:left w:val="nil"/>
              <w:bottom w:val="nil"/>
              <w:right w:val="nil"/>
            </w:tcBorders>
            <w:noWrap/>
            <w:tcMar>
              <w:left w:w="57" w:type="dxa"/>
              <w:right w:w="57" w:type="dxa"/>
            </w:tcMar>
            <w:vAlign w:val="bottom"/>
            <w:hideMark/>
          </w:tcPr>
          <w:p w14:paraId="42174DA9"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5.852.856</w:t>
            </w:r>
          </w:p>
        </w:tc>
        <w:tc>
          <w:tcPr>
            <w:tcW w:w="489" w:type="pct"/>
            <w:tcBorders>
              <w:top w:val="nil"/>
              <w:left w:val="nil"/>
              <w:bottom w:val="nil"/>
              <w:right w:val="nil"/>
            </w:tcBorders>
            <w:noWrap/>
            <w:tcMar>
              <w:left w:w="57" w:type="dxa"/>
              <w:right w:w="57" w:type="dxa"/>
            </w:tcMar>
            <w:vAlign w:val="bottom"/>
            <w:hideMark/>
          </w:tcPr>
          <w:p w14:paraId="130B1BD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5.910.963</w:t>
            </w:r>
          </w:p>
        </w:tc>
        <w:tc>
          <w:tcPr>
            <w:tcW w:w="489" w:type="pct"/>
            <w:tcBorders>
              <w:top w:val="nil"/>
              <w:left w:val="nil"/>
              <w:bottom w:val="nil"/>
              <w:right w:val="nil"/>
            </w:tcBorders>
            <w:noWrap/>
            <w:tcMar>
              <w:left w:w="57" w:type="dxa"/>
              <w:right w:w="57" w:type="dxa"/>
            </w:tcMar>
            <w:vAlign w:val="bottom"/>
            <w:hideMark/>
          </w:tcPr>
          <w:p w14:paraId="2C370F7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5.994.135</w:t>
            </w:r>
          </w:p>
        </w:tc>
        <w:tc>
          <w:tcPr>
            <w:tcW w:w="790" w:type="pct"/>
            <w:tcBorders>
              <w:top w:val="nil"/>
              <w:left w:val="nil"/>
              <w:bottom w:val="nil"/>
              <w:right w:val="nil"/>
            </w:tcBorders>
            <w:noWrap/>
            <w:tcMar>
              <w:left w:w="57" w:type="dxa"/>
              <w:right w:w="57" w:type="dxa"/>
            </w:tcMar>
            <w:vAlign w:val="bottom"/>
            <w:hideMark/>
          </w:tcPr>
          <w:p w14:paraId="57585F2E"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6.039.404</w:t>
            </w:r>
          </w:p>
        </w:tc>
      </w:tr>
      <w:tr w:rsidR="0046545B" w:rsidRPr="0046545B" w14:paraId="48898676" w14:textId="77777777" w:rsidTr="00D877C5">
        <w:trPr>
          <w:trHeight w:val="300"/>
        </w:trPr>
        <w:tc>
          <w:tcPr>
            <w:tcW w:w="790" w:type="pct"/>
            <w:tcBorders>
              <w:top w:val="nil"/>
              <w:left w:val="nil"/>
              <w:bottom w:val="nil"/>
              <w:right w:val="nil"/>
            </w:tcBorders>
            <w:noWrap/>
            <w:vAlign w:val="bottom"/>
            <w:hideMark/>
          </w:tcPr>
          <w:p w14:paraId="14FBB965" w14:textId="77777777" w:rsidR="00D20F4E" w:rsidRPr="009C4091" w:rsidRDefault="00D20F4E" w:rsidP="00D20F4E">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hoteli i restorani</w:t>
            </w:r>
          </w:p>
        </w:tc>
        <w:tc>
          <w:tcPr>
            <w:tcW w:w="574" w:type="pct"/>
            <w:tcBorders>
              <w:top w:val="nil"/>
              <w:left w:val="nil"/>
              <w:bottom w:val="nil"/>
              <w:right w:val="nil"/>
            </w:tcBorders>
            <w:noWrap/>
            <w:tcMar>
              <w:left w:w="57" w:type="dxa"/>
              <w:right w:w="57" w:type="dxa"/>
            </w:tcMar>
            <w:vAlign w:val="bottom"/>
            <w:hideMark/>
          </w:tcPr>
          <w:p w14:paraId="1804168F"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3.318.095</w:t>
            </w:r>
          </w:p>
        </w:tc>
        <w:tc>
          <w:tcPr>
            <w:tcW w:w="404" w:type="pct"/>
            <w:tcBorders>
              <w:top w:val="nil"/>
              <w:left w:val="nil"/>
              <w:bottom w:val="nil"/>
              <w:right w:val="nil"/>
            </w:tcBorders>
            <w:noWrap/>
            <w:tcMar>
              <w:left w:w="57" w:type="dxa"/>
              <w:right w:w="57" w:type="dxa"/>
            </w:tcMar>
            <w:vAlign w:val="bottom"/>
            <w:hideMark/>
          </w:tcPr>
          <w:p w14:paraId="6FE22EA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3.367.790</w:t>
            </w:r>
          </w:p>
        </w:tc>
        <w:tc>
          <w:tcPr>
            <w:tcW w:w="489" w:type="pct"/>
            <w:tcBorders>
              <w:top w:val="nil"/>
              <w:left w:val="nil"/>
              <w:bottom w:val="nil"/>
              <w:right w:val="nil"/>
            </w:tcBorders>
            <w:noWrap/>
            <w:tcMar>
              <w:left w:w="57" w:type="dxa"/>
              <w:right w:w="57" w:type="dxa"/>
            </w:tcMar>
            <w:vAlign w:val="bottom"/>
            <w:hideMark/>
          </w:tcPr>
          <w:p w14:paraId="5323F004"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3.433.700</w:t>
            </w:r>
          </w:p>
        </w:tc>
        <w:tc>
          <w:tcPr>
            <w:tcW w:w="489" w:type="pct"/>
            <w:tcBorders>
              <w:top w:val="nil"/>
              <w:left w:val="nil"/>
              <w:bottom w:val="nil"/>
              <w:right w:val="nil"/>
            </w:tcBorders>
            <w:noWrap/>
            <w:tcMar>
              <w:left w:w="57" w:type="dxa"/>
              <w:right w:w="57" w:type="dxa"/>
            </w:tcMar>
            <w:vAlign w:val="bottom"/>
            <w:hideMark/>
          </w:tcPr>
          <w:p w14:paraId="24BBAA56"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3.498.656</w:t>
            </w:r>
          </w:p>
        </w:tc>
        <w:tc>
          <w:tcPr>
            <w:tcW w:w="489" w:type="pct"/>
            <w:tcBorders>
              <w:top w:val="nil"/>
              <w:left w:val="nil"/>
              <w:bottom w:val="nil"/>
              <w:right w:val="nil"/>
            </w:tcBorders>
            <w:noWrap/>
            <w:tcMar>
              <w:left w:w="57" w:type="dxa"/>
              <w:right w:w="57" w:type="dxa"/>
            </w:tcMar>
            <w:vAlign w:val="bottom"/>
            <w:hideMark/>
          </w:tcPr>
          <w:p w14:paraId="4E8279C3"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3.584.989</w:t>
            </w:r>
          </w:p>
        </w:tc>
        <w:tc>
          <w:tcPr>
            <w:tcW w:w="489" w:type="pct"/>
            <w:tcBorders>
              <w:top w:val="nil"/>
              <w:left w:val="nil"/>
              <w:bottom w:val="nil"/>
              <w:right w:val="nil"/>
            </w:tcBorders>
            <w:noWrap/>
            <w:tcMar>
              <w:left w:w="57" w:type="dxa"/>
              <w:right w:w="57" w:type="dxa"/>
            </w:tcMar>
            <w:vAlign w:val="bottom"/>
            <w:hideMark/>
          </w:tcPr>
          <w:p w14:paraId="7E86037B"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3.742.801</w:t>
            </w:r>
          </w:p>
        </w:tc>
        <w:tc>
          <w:tcPr>
            <w:tcW w:w="489" w:type="pct"/>
            <w:tcBorders>
              <w:top w:val="nil"/>
              <w:left w:val="nil"/>
              <w:bottom w:val="nil"/>
              <w:right w:val="nil"/>
            </w:tcBorders>
            <w:noWrap/>
            <w:tcMar>
              <w:left w:w="57" w:type="dxa"/>
              <w:right w:w="57" w:type="dxa"/>
            </w:tcMar>
            <w:vAlign w:val="bottom"/>
            <w:hideMark/>
          </w:tcPr>
          <w:p w14:paraId="7640771F"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3.960.003</w:t>
            </w:r>
          </w:p>
        </w:tc>
        <w:tc>
          <w:tcPr>
            <w:tcW w:w="790" w:type="pct"/>
            <w:tcBorders>
              <w:top w:val="nil"/>
              <w:left w:val="nil"/>
              <w:bottom w:val="nil"/>
              <w:right w:val="nil"/>
            </w:tcBorders>
            <w:noWrap/>
            <w:tcMar>
              <w:left w:w="57" w:type="dxa"/>
              <w:right w:w="57" w:type="dxa"/>
            </w:tcMar>
            <w:vAlign w:val="bottom"/>
            <w:hideMark/>
          </w:tcPr>
          <w:p w14:paraId="2226E0C4"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4.170.458</w:t>
            </w:r>
          </w:p>
        </w:tc>
      </w:tr>
      <w:tr w:rsidR="0046545B" w:rsidRPr="0046545B" w14:paraId="0863F691" w14:textId="77777777" w:rsidTr="00D877C5">
        <w:trPr>
          <w:trHeight w:val="300"/>
        </w:trPr>
        <w:tc>
          <w:tcPr>
            <w:tcW w:w="790" w:type="pct"/>
            <w:tcBorders>
              <w:top w:val="nil"/>
              <w:left w:val="nil"/>
              <w:bottom w:val="nil"/>
              <w:right w:val="nil"/>
            </w:tcBorders>
            <w:noWrap/>
            <w:vAlign w:val="bottom"/>
            <w:hideMark/>
          </w:tcPr>
          <w:p w14:paraId="5EF82CBD" w14:textId="77777777" w:rsidR="00D20F4E" w:rsidRPr="009C4091" w:rsidRDefault="00D20F4E" w:rsidP="00D20F4E">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bolnice</w:t>
            </w:r>
          </w:p>
        </w:tc>
        <w:tc>
          <w:tcPr>
            <w:tcW w:w="574" w:type="pct"/>
            <w:tcBorders>
              <w:top w:val="nil"/>
              <w:left w:val="nil"/>
              <w:bottom w:val="nil"/>
              <w:right w:val="nil"/>
            </w:tcBorders>
            <w:noWrap/>
            <w:tcMar>
              <w:left w:w="57" w:type="dxa"/>
              <w:right w:w="57" w:type="dxa"/>
            </w:tcMar>
            <w:vAlign w:val="bottom"/>
            <w:hideMark/>
          </w:tcPr>
          <w:p w14:paraId="71D940A0"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2.952.511</w:t>
            </w:r>
          </w:p>
        </w:tc>
        <w:tc>
          <w:tcPr>
            <w:tcW w:w="404" w:type="pct"/>
            <w:tcBorders>
              <w:top w:val="nil"/>
              <w:left w:val="nil"/>
              <w:bottom w:val="nil"/>
              <w:right w:val="nil"/>
            </w:tcBorders>
            <w:noWrap/>
            <w:tcMar>
              <w:left w:w="57" w:type="dxa"/>
              <w:right w:w="57" w:type="dxa"/>
            </w:tcMar>
            <w:vAlign w:val="bottom"/>
            <w:hideMark/>
          </w:tcPr>
          <w:p w14:paraId="36911E88"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2.997.705</w:t>
            </w:r>
          </w:p>
        </w:tc>
        <w:tc>
          <w:tcPr>
            <w:tcW w:w="489" w:type="pct"/>
            <w:tcBorders>
              <w:top w:val="nil"/>
              <w:left w:val="nil"/>
              <w:bottom w:val="nil"/>
              <w:right w:val="nil"/>
            </w:tcBorders>
            <w:noWrap/>
            <w:tcMar>
              <w:left w:w="57" w:type="dxa"/>
              <w:right w:w="57" w:type="dxa"/>
            </w:tcMar>
            <w:vAlign w:val="bottom"/>
            <w:hideMark/>
          </w:tcPr>
          <w:p w14:paraId="784D0A2A"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3.025.066</w:t>
            </w:r>
          </w:p>
        </w:tc>
        <w:tc>
          <w:tcPr>
            <w:tcW w:w="489" w:type="pct"/>
            <w:tcBorders>
              <w:top w:val="nil"/>
              <w:left w:val="nil"/>
              <w:bottom w:val="nil"/>
              <w:right w:val="nil"/>
            </w:tcBorders>
            <w:noWrap/>
            <w:tcMar>
              <w:left w:w="57" w:type="dxa"/>
              <w:right w:w="57" w:type="dxa"/>
            </w:tcMar>
            <w:vAlign w:val="bottom"/>
            <w:hideMark/>
          </w:tcPr>
          <w:p w14:paraId="3E8BE764"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3.047.933</w:t>
            </w:r>
          </w:p>
        </w:tc>
        <w:tc>
          <w:tcPr>
            <w:tcW w:w="489" w:type="pct"/>
            <w:tcBorders>
              <w:top w:val="nil"/>
              <w:left w:val="nil"/>
              <w:bottom w:val="nil"/>
              <w:right w:val="nil"/>
            </w:tcBorders>
            <w:noWrap/>
            <w:tcMar>
              <w:left w:w="57" w:type="dxa"/>
              <w:right w:w="57" w:type="dxa"/>
            </w:tcMar>
            <w:vAlign w:val="bottom"/>
            <w:hideMark/>
          </w:tcPr>
          <w:p w14:paraId="1838C42B"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3.078.046</w:t>
            </w:r>
          </w:p>
        </w:tc>
        <w:tc>
          <w:tcPr>
            <w:tcW w:w="489" w:type="pct"/>
            <w:tcBorders>
              <w:top w:val="nil"/>
              <w:left w:val="nil"/>
              <w:bottom w:val="nil"/>
              <w:right w:val="nil"/>
            </w:tcBorders>
            <w:noWrap/>
            <w:tcMar>
              <w:left w:w="57" w:type="dxa"/>
              <w:right w:w="57" w:type="dxa"/>
            </w:tcMar>
            <w:vAlign w:val="bottom"/>
            <w:hideMark/>
          </w:tcPr>
          <w:p w14:paraId="54CA5B1E"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3.108.605</w:t>
            </w:r>
          </w:p>
        </w:tc>
        <w:tc>
          <w:tcPr>
            <w:tcW w:w="489" w:type="pct"/>
            <w:tcBorders>
              <w:top w:val="nil"/>
              <w:left w:val="nil"/>
              <w:bottom w:val="nil"/>
              <w:right w:val="nil"/>
            </w:tcBorders>
            <w:noWrap/>
            <w:tcMar>
              <w:left w:w="57" w:type="dxa"/>
              <w:right w:w="57" w:type="dxa"/>
            </w:tcMar>
            <w:vAlign w:val="bottom"/>
            <w:hideMark/>
          </w:tcPr>
          <w:p w14:paraId="7216824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3.152.345</w:t>
            </w:r>
          </w:p>
        </w:tc>
        <w:tc>
          <w:tcPr>
            <w:tcW w:w="790" w:type="pct"/>
            <w:tcBorders>
              <w:top w:val="nil"/>
              <w:left w:val="nil"/>
              <w:bottom w:val="nil"/>
              <w:right w:val="nil"/>
            </w:tcBorders>
            <w:noWrap/>
            <w:tcMar>
              <w:left w:w="57" w:type="dxa"/>
              <w:right w:w="57" w:type="dxa"/>
            </w:tcMar>
            <w:vAlign w:val="bottom"/>
            <w:hideMark/>
          </w:tcPr>
          <w:p w14:paraId="6490218C"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3.176.153</w:t>
            </w:r>
          </w:p>
        </w:tc>
      </w:tr>
      <w:tr w:rsidR="0046545B" w:rsidRPr="0046545B" w14:paraId="19E21C6E" w14:textId="77777777" w:rsidTr="00D877C5">
        <w:trPr>
          <w:trHeight w:val="300"/>
        </w:trPr>
        <w:tc>
          <w:tcPr>
            <w:tcW w:w="790" w:type="pct"/>
            <w:tcBorders>
              <w:top w:val="nil"/>
              <w:left w:val="nil"/>
              <w:bottom w:val="nil"/>
              <w:right w:val="nil"/>
            </w:tcBorders>
            <w:noWrap/>
            <w:vAlign w:val="bottom"/>
            <w:hideMark/>
          </w:tcPr>
          <w:p w14:paraId="7DF6D211" w14:textId="77777777" w:rsidR="00D20F4E" w:rsidRPr="009C4091" w:rsidRDefault="00D20F4E" w:rsidP="00D20F4E">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sportske dvorane</w:t>
            </w:r>
          </w:p>
        </w:tc>
        <w:tc>
          <w:tcPr>
            <w:tcW w:w="574" w:type="pct"/>
            <w:tcBorders>
              <w:top w:val="nil"/>
              <w:left w:val="nil"/>
              <w:bottom w:val="nil"/>
              <w:right w:val="nil"/>
            </w:tcBorders>
            <w:noWrap/>
            <w:tcMar>
              <w:left w:w="57" w:type="dxa"/>
              <w:right w:w="57" w:type="dxa"/>
            </w:tcMar>
            <w:vAlign w:val="bottom"/>
            <w:hideMark/>
          </w:tcPr>
          <w:p w14:paraId="00E5DBA1"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416.633</w:t>
            </w:r>
          </w:p>
        </w:tc>
        <w:tc>
          <w:tcPr>
            <w:tcW w:w="404" w:type="pct"/>
            <w:tcBorders>
              <w:top w:val="nil"/>
              <w:left w:val="nil"/>
              <w:bottom w:val="nil"/>
              <w:right w:val="nil"/>
            </w:tcBorders>
            <w:noWrap/>
            <w:tcMar>
              <w:left w:w="57" w:type="dxa"/>
              <w:right w:w="57" w:type="dxa"/>
            </w:tcMar>
            <w:vAlign w:val="bottom"/>
            <w:hideMark/>
          </w:tcPr>
          <w:p w14:paraId="0D274FF0"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423.010</w:t>
            </w:r>
          </w:p>
        </w:tc>
        <w:tc>
          <w:tcPr>
            <w:tcW w:w="489" w:type="pct"/>
            <w:tcBorders>
              <w:top w:val="nil"/>
              <w:left w:val="nil"/>
              <w:bottom w:val="nil"/>
              <w:right w:val="nil"/>
            </w:tcBorders>
            <w:noWrap/>
            <w:tcMar>
              <w:left w:w="57" w:type="dxa"/>
              <w:right w:w="57" w:type="dxa"/>
            </w:tcMar>
            <w:vAlign w:val="bottom"/>
            <w:hideMark/>
          </w:tcPr>
          <w:p w14:paraId="38325041"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426.871</w:t>
            </w:r>
          </w:p>
        </w:tc>
        <w:tc>
          <w:tcPr>
            <w:tcW w:w="489" w:type="pct"/>
            <w:tcBorders>
              <w:top w:val="nil"/>
              <w:left w:val="nil"/>
              <w:bottom w:val="nil"/>
              <w:right w:val="nil"/>
            </w:tcBorders>
            <w:noWrap/>
            <w:tcMar>
              <w:left w:w="57" w:type="dxa"/>
              <w:right w:w="57" w:type="dxa"/>
            </w:tcMar>
            <w:vAlign w:val="bottom"/>
            <w:hideMark/>
          </w:tcPr>
          <w:p w14:paraId="7D3D9714"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430.098</w:t>
            </w:r>
          </w:p>
        </w:tc>
        <w:tc>
          <w:tcPr>
            <w:tcW w:w="489" w:type="pct"/>
            <w:tcBorders>
              <w:top w:val="nil"/>
              <w:left w:val="nil"/>
              <w:bottom w:val="nil"/>
              <w:right w:val="nil"/>
            </w:tcBorders>
            <w:noWrap/>
            <w:tcMar>
              <w:left w:w="57" w:type="dxa"/>
              <w:right w:w="57" w:type="dxa"/>
            </w:tcMar>
            <w:vAlign w:val="bottom"/>
            <w:hideMark/>
          </w:tcPr>
          <w:p w14:paraId="3ED9CB1C"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434.347</w:t>
            </w:r>
          </w:p>
        </w:tc>
        <w:tc>
          <w:tcPr>
            <w:tcW w:w="489" w:type="pct"/>
            <w:tcBorders>
              <w:top w:val="nil"/>
              <w:left w:val="nil"/>
              <w:bottom w:val="nil"/>
              <w:right w:val="nil"/>
            </w:tcBorders>
            <w:noWrap/>
            <w:tcMar>
              <w:left w:w="57" w:type="dxa"/>
              <w:right w:w="57" w:type="dxa"/>
            </w:tcMar>
            <w:vAlign w:val="bottom"/>
            <w:hideMark/>
          </w:tcPr>
          <w:p w14:paraId="4451B9ED"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438.660</w:t>
            </w:r>
          </w:p>
        </w:tc>
        <w:tc>
          <w:tcPr>
            <w:tcW w:w="489" w:type="pct"/>
            <w:tcBorders>
              <w:top w:val="nil"/>
              <w:left w:val="nil"/>
              <w:bottom w:val="nil"/>
              <w:right w:val="nil"/>
            </w:tcBorders>
            <w:noWrap/>
            <w:tcMar>
              <w:left w:w="57" w:type="dxa"/>
              <w:right w:w="57" w:type="dxa"/>
            </w:tcMar>
            <w:vAlign w:val="bottom"/>
            <w:hideMark/>
          </w:tcPr>
          <w:p w14:paraId="0E56A140"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444.832</w:t>
            </w:r>
          </w:p>
        </w:tc>
        <w:tc>
          <w:tcPr>
            <w:tcW w:w="790" w:type="pct"/>
            <w:tcBorders>
              <w:top w:val="nil"/>
              <w:left w:val="nil"/>
              <w:bottom w:val="nil"/>
              <w:right w:val="nil"/>
            </w:tcBorders>
            <w:noWrap/>
            <w:tcMar>
              <w:left w:w="57" w:type="dxa"/>
              <w:right w:w="57" w:type="dxa"/>
            </w:tcMar>
            <w:vAlign w:val="bottom"/>
            <w:hideMark/>
          </w:tcPr>
          <w:p w14:paraId="2C74DA29"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448.191</w:t>
            </w:r>
          </w:p>
        </w:tc>
      </w:tr>
      <w:tr w:rsidR="0046545B" w:rsidRPr="0046545B" w14:paraId="7E05436F" w14:textId="77777777" w:rsidTr="00D877C5">
        <w:trPr>
          <w:trHeight w:val="300"/>
        </w:trPr>
        <w:tc>
          <w:tcPr>
            <w:tcW w:w="790" w:type="pct"/>
            <w:tcBorders>
              <w:top w:val="nil"/>
              <w:left w:val="nil"/>
              <w:bottom w:val="nil"/>
              <w:right w:val="nil"/>
            </w:tcBorders>
            <w:noWrap/>
            <w:vAlign w:val="bottom"/>
            <w:hideMark/>
          </w:tcPr>
          <w:p w14:paraId="12697105" w14:textId="77777777" w:rsidR="00D20F4E" w:rsidRPr="009C4091" w:rsidRDefault="00D20F4E" w:rsidP="00D20F4E">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trgovina</w:t>
            </w:r>
          </w:p>
        </w:tc>
        <w:tc>
          <w:tcPr>
            <w:tcW w:w="574" w:type="pct"/>
            <w:tcBorders>
              <w:top w:val="nil"/>
              <w:left w:val="nil"/>
              <w:bottom w:val="nil"/>
              <w:right w:val="nil"/>
            </w:tcBorders>
            <w:noWrap/>
            <w:tcMar>
              <w:left w:w="57" w:type="dxa"/>
              <w:right w:w="57" w:type="dxa"/>
            </w:tcMar>
            <w:vAlign w:val="bottom"/>
            <w:hideMark/>
          </w:tcPr>
          <w:p w14:paraId="7221841C"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11.397.783</w:t>
            </w:r>
          </w:p>
        </w:tc>
        <w:tc>
          <w:tcPr>
            <w:tcW w:w="404" w:type="pct"/>
            <w:tcBorders>
              <w:top w:val="nil"/>
              <w:left w:val="nil"/>
              <w:bottom w:val="nil"/>
              <w:right w:val="nil"/>
            </w:tcBorders>
            <w:noWrap/>
            <w:tcMar>
              <w:left w:w="57" w:type="dxa"/>
              <w:right w:w="57" w:type="dxa"/>
            </w:tcMar>
            <w:vAlign w:val="bottom"/>
            <w:hideMark/>
          </w:tcPr>
          <w:p w14:paraId="0AD62853"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11.618.001</w:t>
            </w:r>
          </w:p>
        </w:tc>
        <w:tc>
          <w:tcPr>
            <w:tcW w:w="489" w:type="pct"/>
            <w:tcBorders>
              <w:top w:val="nil"/>
              <w:left w:val="nil"/>
              <w:bottom w:val="nil"/>
              <w:right w:val="nil"/>
            </w:tcBorders>
            <w:noWrap/>
            <w:tcMar>
              <w:left w:w="57" w:type="dxa"/>
              <w:right w:w="57" w:type="dxa"/>
            </w:tcMar>
            <w:vAlign w:val="bottom"/>
            <w:hideMark/>
          </w:tcPr>
          <w:p w14:paraId="54D5BF4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11.797.604</w:t>
            </w:r>
          </w:p>
        </w:tc>
        <w:tc>
          <w:tcPr>
            <w:tcW w:w="489" w:type="pct"/>
            <w:tcBorders>
              <w:top w:val="nil"/>
              <w:left w:val="nil"/>
              <w:bottom w:val="nil"/>
              <w:right w:val="nil"/>
            </w:tcBorders>
            <w:noWrap/>
            <w:tcMar>
              <w:left w:w="57" w:type="dxa"/>
              <w:right w:w="57" w:type="dxa"/>
            </w:tcMar>
            <w:vAlign w:val="bottom"/>
            <w:hideMark/>
          </w:tcPr>
          <w:p w14:paraId="27172F47"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11.948.339</w:t>
            </w:r>
          </w:p>
        </w:tc>
        <w:tc>
          <w:tcPr>
            <w:tcW w:w="489" w:type="pct"/>
            <w:tcBorders>
              <w:top w:val="nil"/>
              <w:left w:val="nil"/>
              <w:bottom w:val="nil"/>
              <w:right w:val="nil"/>
            </w:tcBorders>
            <w:noWrap/>
            <w:tcMar>
              <w:left w:w="57" w:type="dxa"/>
              <w:right w:w="57" w:type="dxa"/>
            </w:tcMar>
            <w:vAlign w:val="bottom"/>
            <w:hideMark/>
          </w:tcPr>
          <w:p w14:paraId="3F7D8AA3"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12.071.477</w:t>
            </w:r>
          </w:p>
        </w:tc>
        <w:tc>
          <w:tcPr>
            <w:tcW w:w="489" w:type="pct"/>
            <w:tcBorders>
              <w:top w:val="nil"/>
              <w:left w:val="nil"/>
              <w:bottom w:val="nil"/>
              <w:right w:val="nil"/>
            </w:tcBorders>
            <w:noWrap/>
            <w:tcMar>
              <w:left w:w="57" w:type="dxa"/>
              <w:right w:w="57" w:type="dxa"/>
            </w:tcMar>
            <w:vAlign w:val="bottom"/>
            <w:hideMark/>
          </w:tcPr>
          <w:p w14:paraId="4E3C72DE"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12.183.010</w:t>
            </w:r>
          </w:p>
        </w:tc>
        <w:tc>
          <w:tcPr>
            <w:tcW w:w="489" w:type="pct"/>
            <w:tcBorders>
              <w:top w:val="nil"/>
              <w:left w:val="nil"/>
              <w:bottom w:val="nil"/>
              <w:right w:val="nil"/>
            </w:tcBorders>
            <w:noWrap/>
            <w:tcMar>
              <w:left w:w="57" w:type="dxa"/>
              <w:right w:w="57" w:type="dxa"/>
            </w:tcMar>
            <w:vAlign w:val="bottom"/>
            <w:hideMark/>
          </w:tcPr>
          <w:p w14:paraId="000F9ED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12.306.046</w:t>
            </w:r>
          </w:p>
        </w:tc>
        <w:tc>
          <w:tcPr>
            <w:tcW w:w="790" w:type="pct"/>
            <w:tcBorders>
              <w:top w:val="nil"/>
              <w:left w:val="nil"/>
              <w:bottom w:val="nil"/>
              <w:right w:val="nil"/>
            </w:tcBorders>
            <w:noWrap/>
            <w:tcMar>
              <w:left w:w="57" w:type="dxa"/>
              <w:right w:w="57" w:type="dxa"/>
            </w:tcMar>
            <w:vAlign w:val="bottom"/>
            <w:hideMark/>
          </w:tcPr>
          <w:p w14:paraId="724C8E8A"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12.428.018</w:t>
            </w:r>
          </w:p>
        </w:tc>
      </w:tr>
      <w:tr w:rsidR="0046545B" w:rsidRPr="0046545B" w14:paraId="46341BBE" w14:textId="77777777" w:rsidTr="00D877C5">
        <w:trPr>
          <w:trHeight w:val="300"/>
        </w:trPr>
        <w:tc>
          <w:tcPr>
            <w:tcW w:w="790" w:type="pct"/>
            <w:tcBorders>
              <w:top w:val="nil"/>
              <w:left w:val="nil"/>
              <w:bottom w:val="nil"/>
              <w:right w:val="nil"/>
            </w:tcBorders>
            <w:noWrap/>
            <w:vAlign w:val="bottom"/>
            <w:hideMark/>
          </w:tcPr>
          <w:p w14:paraId="2AF8F82E" w14:textId="77777777" w:rsidR="00D20F4E" w:rsidRPr="009C4091" w:rsidRDefault="00D20F4E" w:rsidP="00D20F4E">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ostalo</w:t>
            </w:r>
          </w:p>
        </w:tc>
        <w:tc>
          <w:tcPr>
            <w:tcW w:w="574" w:type="pct"/>
            <w:tcBorders>
              <w:top w:val="nil"/>
              <w:left w:val="nil"/>
              <w:bottom w:val="nil"/>
              <w:right w:val="nil"/>
            </w:tcBorders>
            <w:noWrap/>
            <w:tcMar>
              <w:left w:w="57" w:type="dxa"/>
              <w:right w:w="57" w:type="dxa"/>
            </w:tcMar>
            <w:vAlign w:val="bottom"/>
            <w:hideMark/>
          </w:tcPr>
          <w:p w14:paraId="2C55C41E"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19.230.960</w:t>
            </w:r>
          </w:p>
        </w:tc>
        <w:tc>
          <w:tcPr>
            <w:tcW w:w="404" w:type="pct"/>
            <w:tcBorders>
              <w:top w:val="nil"/>
              <w:left w:val="nil"/>
              <w:bottom w:val="nil"/>
              <w:right w:val="nil"/>
            </w:tcBorders>
            <w:noWrap/>
            <w:tcMar>
              <w:left w:w="57" w:type="dxa"/>
              <w:right w:w="57" w:type="dxa"/>
            </w:tcMar>
            <w:vAlign w:val="bottom"/>
            <w:hideMark/>
          </w:tcPr>
          <w:p w14:paraId="715190B5"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19.678.214</w:t>
            </w:r>
          </w:p>
        </w:tc>
        <w:tc>
          <w:tcPr>
            <w:tcW w:w="489" w:type="pct"/>
            <w:tcBorders>
              <w:top w:val="nil"/>
              <w:left w:val="nil"/>
              <w:bottom w:val="nil"/>
              <w:right w:val="nil"/>
            </w:tcBorders>
            <w:noWrap/>
            <w:tcMar>
              <w:left w:w="57" w:type="dxa"/>
              <w:right w:w="57" w:type="dxa"/>
            </w:tcMar>
            <w:vAlign w:val="bottom"/>
            <w:hideMark/>
          </w:tcPr>
          <w:p w14:paraId="6129597A"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20.117.414</w:t>
            </w:r>
          </w:p>
        </w:tc>
        <w:tc>
          <w:tcPr>
            <w:tcW w:w="489" w:type="pct"/>
            <w:tcBorders>
              <w:top w:val="nil"/>
              <w:left w:val="nil"/>
              <w:bottom w:val="nil"/>
              <w:right w:val="nil"/>
            </w:tcBorders>
            <w:noWrap/>
            <w:tcMar>
              <w:left w:w="57" w:type="dxa"/>
              <w:right w:w="57" w:type="dxa"/>
            </w:tcMar>
            <w:vAlign w:val="bottom"/>
            <w:hideMark/>
          </w:tcPr>
          <w:p w14:paraId="0A5A828D"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20.377.822</w:t>
            </w:r>
          </w:p>
        </w:tc>
        <w:tc>
          <w:tcPr>
            <w:tcW w:w="489" w:type="pct"/>
            <w:tcBorders>
              <w:top w:val="nil"/>
              <w:left w:val="nil"/>
              <w:bottom w:val="nil"/>
              <w:right w:val="nil"/>
            </w:tcBorders>
            <w:noWrap/>
            <w:tcMar>
              <w:left w:w="57" w:type="dxa"/>
              <w:right w:w="57" w:type="dxa"/>
            </w:tcMar>
            <w:vAlign w:val="bottom"/>
            <w:hideMark/>
          </w:tcPr>
          <w:p w14:paraId="4D4F1DE9"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20.845.653</w:t>
            </w:r>
          </w:p>
        </w:tc>
        <w:tc>
          <w:tcPr>
            <w:tcW w:w="489" w:type="pct"/>
            <w:tcBorders>
              <w:top w:val="nil"/>
              <w:left w:val="nil"/>
              <w:bottom w:val="nil"/>
              <w:right w:val="nil"/>
            </w:tcBorders>
            <w:noWrap/>
            <w:tcMar>
              <w:left w:w="57" w:type="dxa"/>
              <w:right w:w="57" w:type="dxa"/>
            </w:tcMar>
            <w:vAlign w:val="bottom"/>
            <w:hideMark/>
          </w:tcPr>
          <w:p w14:paraId="6F3B407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21.828.104</w:t>
            </w:r>
          </w:p>
        </w:tc>
        <w:tc>
          <w:tcPr>
            <w:tcW w:w="489" w:type="pct"/>
            <w:tcBorders>
              <w:top w:val="nil"/>
              <w:left w:val="nil"/>
              <w:bottom w:val="nil"/>
              <w:right w:val="nil"/>
            </w:tcBorders>
            <w:noWrap/>
            <w:tcMar>
              <w:left w:w="57" w:type="dxa"/>
              <w:right w:w="57" w:type="dxa"/>
            </w:tcMar>
            <w:vAlign w:val="bottom"/>
            <w:hideMark/>
          </w:tcPr>
          <w:p w14:paraId="4F243639"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22.440.753</w:t>
            </w:r>
          </w:p>
        </w:tc>
        <w:tc>
          <w:tcPr>
            <w:tcW w:w="790" w:type="pct"/>
            <w:tcBorders>
              <w:top w:val="nil"/>
              <w:left w:val="nil"/>
              <w:bottom w:val="nil"/>
              <w:right w:val="nil"/>
            </w:tcBorders>
            <w:noWrap/>
            <w:tcMar>
              <w:left w:w="57" w:type="dxa"/>
              <w:right w:w="57" w:type="dxa"/>
            </w:tcMar>
            <w:vAlign w:val="bottom"/>
            <w:hideMark/>
          </w:tcPr>
          <w:p w14:paraId="3B40F642"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22.950.858</w:t>
            </w:r>
          </w:p>
        </w:tc>
      </w:tr>
    </w:tbl>
    <w:p w14:paraId="581912BA" w14:textId="77777777" w:rsidR="00F71215" w:rsidRDefault="00F71215" w:rsidP="009415E3">
      <w:pPr>
        <w:rPr>
          <w:lang w:eastAsia="hr-HR"/>
        </w:rPr>
      </w:pPr>
    </w:p>
    <w:p w14:paraId="54F04714" w14:textId="77777777" w:rsidR="007D3699" w:rsidRPr="007649C2" w:rsidRDefault="007D3699" w:rsidP="007649C2">
      <w:pPr>
        <w:pStyle w:val="Naslov20"/>
        <w:numPr>
          <w:ilvl w:val="1"/>
          <w:numId w:val="69"/>
        </w:numPr>
        <w:ind w:left="567"/>
      </w:pPr>
      <w:bookmarkStart w:id="14" w:name="_Toc34052856"/>
      <w:bookmarkStart w:id="15" w:name="_Toc46163799"/>
      <w:r w:rsidRPr="007649C2">
        <w:t>Projekcija kretanja fonda zgrada do 2050. godine</w:t>
      </w:r>
      <w:bookmarkEnd w:id="14"/>
      <w:bookmarkEnd w:id="15"/>
    </w:p>
    <w:p w14:paraId="20E3BE7B" w14:textId="77777777" w:rsidR="008E2651" w:rsidRPr="00E806C8" w:rsidRDefault="008E2651" w:rsidP="008C7825"/>
    <w:p w14:paraId="50AEEE96" w14:textId="77777777" w:rsidR="008E2651" w:rsidRDefault="008E2651" w:rsidP="008E2651">
      <w:r>
        <w:t>Struktura stambenog fonda u usporedbi podataka iz popisa stanovništva 2001. i 2011. pokazuje relativni pad površine stalno nastanjenih stanova, uz udvostručenje površine privremeno i trajno napuštenih stanova, što je u neposrednoj vezi s padom broja stanovnika u istom razdoblju. Privremeno i trajno napušteni stambeni fond opterećuje fond zgrada, jer onemogućava planiranje mjera povećanja energetske učinkovitosti, ne sudjeluje u energetskoj bilanci ukupnog fonda zgrada potrošnjom energije, te smanjuje energetsku intenzivnost stambenog sektora</w:t>
      </w:r>
      <w:r w:rsidR="006B2472">
        <w:t xml:space="preserve"> i potencijal ušteda. Računski modeli se zato baziraju na nastanjenom fondu stambenih zgrada kako bi energetska intenzivnost realno oslikavala stanje fonda. </w:t>
      </w:r>
    </w:p>
    <w:p w14:paraId="6203CF80" w14:textId="77777777" w:rsidR="008E2651" w:rsidRDefault="002508DB" w:rsidP="008E2651">
      <w:pPr>
        <w:keepNext/>
        <w:jc w:val="center"/>
      </w:pPr>
      <w:r w:rsidRPr="00283F5D">
        <w:rPr>
          <w:noProof/>
          <w:lang w:eastAsia="hr-HR"/>
        </w:rPr>
        <w:lastRenderedPageBreak/>
        <w:drawing>
          <wp:inline distT="0" distB="0" distL="0" distR="0" wp14:anchorId="17AA1B7E" wp14:editId="73ED6EF6">
            <wp:extent cx="3429000" cy="2181225"/>
            <wp:effectExtent l="0" t="0" r="0"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181225"/>
                    </a:xfrm>
                    <a:prstGeom prst="rect">
                      <a:avLst/>
                    </a:prstGeom>
                    <a:noFill/>
                    <a:ln>
                      <a:noFill/>
                    </a:ln>
                  </pic:spPr>
                </pic:pic>
              </a:graphicData>
            </a:graphic>
          </wp:inline>
        </w:drawing>
      </w:r>
    </w:p>
    <w:p w14:paraId="473C47A1" w14:textId="6F5CDC28" w:rsidR="008E2651" w:rsidRDefault="008E2651" w:rsidP="008E2651">
      <w:pPr>
        <w:pStyle w:val="Opisslike"/>
        <w:jc w:val="center"/>
      </w:pPr>
      <w:bookmarkStart w:id="16" w:name="_Toc40088997"/>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w:instrText>
      </w:r>
      <w:r w:rsidR="00A50909">
        <w:instrText xml:space="preserve"> </w:instrText>
      </w:r>
      <w:r w:rsidR="00A50909">
        <w:fldChar w:fldCharType="separate"/>
      </w:r>
      <w:r w:rsidR="00CE61F3">
        <w:rPr>
          <w:noProof/>
        </w:rPr>
        <w:t>2</w:t>
      </w:r>
      <w:r w:rsidR="00A50909">
        <w:rPr>
          <w:noProof/>
        </w:rPr>
        <w:fldChar w:fldCharType="end"/>
      </w:r>
      <w:r>
        <w:t xml:space="preserve"> Struktura stambenog fonda po korištenju 2001. godine</w:t>
      </w:r>
      <w:bookmarkEnd w:id="16"/>
    </w:p>
    <w:p w14:paraId="6E94B511" w14:textId="77777777" w:rsidR="008E2651" w:rsidRDefault="002508DB" w:rsidP="008E2651">
      <w:pPr>
        <w:keepNext/>
        <w:jc w:val="center"/>
      </w:pPr>
      <w:r w:rsidRPr="00283F5D">
        <w:rPr>
          <w:noProof/>
          <w:lang w:eastAsia="hr-HR"/>
        </w:rPr>
        <w:drawing>
          <wp:inline distT="0" distB="0" distL="0" distR="0" wp14:anchorId="76C6CA6D" wp14:editId="4350A990">
            <wp:extent cx="3429000" cy="2181225"/>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181225"/>
                    </a:xfrm>
                    <a:prstGeom prst="rect">
                      <a:avLst/>
                    </a:prstGeom>
                    <a:noFill/>
                    <a:ln>
                      <a:noFill/>
                    </a:ln>
                  </pic:spPr>
                </pic:pic>
              </a:graphicData>
            </a:graphic>
          </wp:inline>
        </w:drawing>
      </w:r>
    </w:p>
    <w:p w14:paraId="59F33540" w14:textId="0688F9C4" w:rsidR="008E2651" w:rsidRDefault="008E2651" w:rsidP="008E2651">
      <w:pPr>
        <w:pStyle w:val="Opisslike"/>
        <w:jc w:val="center"/>
      </w:pPr>
      <w:bookmarkStart w:id="17" w:name="_Toc40088998"/>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3</w:t>
      </w:r>
      <w:r w:rsidR="00A50909">
        <w:rPr>
          <w:noProof/>
        </w:rPr>
        <w:fldChar w:fldCharType="end"/>
      </w:r>
      <w:r>
        <w:t xml:space="preserve"> Struktura stambenog fonda po korištenju 2011. godine</w:t>
      </w:r>
      <w:bookmarkEnd w:id="17"/>
    </w:p>
    <w:p w14:paraId="624EBDA0" w14:textId="77777777" w:rsidR="008E2651" w:rsidRDefault="008E2651" w:rsidP="008E2651">
      <w:pPr>
        <w:rPr>
          <w:lang w:eastAsia="hr-HR"/>
        </w:rPr>
      </w:pPr>
    </w:p>
    <w:p w14:paraId="01CD9A1E" w14:textId="77777777" w:rsidR="00572455" w:rsidRDefault="008E2651" w:rsidP="008E2651">
      <w:pPr>
        <w:rPr>
          <w:lang w:eastAsia="hr-HR"/>
        </w:rPr>
      </w:pPr>
      <w:r>
        <w:rPr>
          <w:lang w:eastAsia="hr-HR"/>
        </w:rPr>
        <w:t>Prema dostupnim ulaznim podacima provedeno je modeliranje mogućeg stanja fonda u razdoblju do 2050. godine, na podacima o stambenim zgradama. Modeliranje je provedeno za tri seta ulaznih podataka</w:t>
      </w:r>
    </w:p>
    <w:p w14:paraId="479E0F18" w14:textId="77777777" w:rsidR="00572455" w:rsidRDefault="008E2651" w:rsidP="00853D9C">
      <w:pPr>
        <w:pStyle w:val="Odlomakpopisa"/>
        <w:numPr>
          <w:ilvl w:val="0"/>
          <w:numId w:val="54"/>
        </w:numPr>
      </w:pPr>
      <w:r>
        <w:t xml:space="preserve">kretanje fonda stalno naseljenih stambenih zgrada od 2011 do 2017 godine po županijama, </w:t>
      </w:r>
    </w:p>
    <w:p w14:paraId="15B5ED48" w14:textId="77777777" w:rsidR="00572455" w:rsidRDefault="008E2651" w:rsidP="00853D9C">
      <w:pPr>
        <w:pStyle w:val="Odlomakpopisa"/>
        <w:numPr>
          <w:ilvl w:val="0"/>
          <w:numId w:val="54"/>
        </w:numPr>
      </w:pPr>
      <w:r>
        <w:t xml:space="preserve">kretanje ukupnog fonda stalno naseljenih stambenih zgrada u RH od 2011 do 2017 godine, </w:t>
      </w:r>
    </w:p>
    <w:p w14:paraId="7F5C9A4D" w14:textId="77777777" w:rsidR="008E2651" w:rsidRDefault="008E2651" w:rsidP="00853D9C">
      <w:pPr>
        <w:pStyle w:val="Odlomakpopisa"/>
        <w:numPr>
          <w:ilvl w:val="0"/>
          <w:numId w:val="54"/>
        </w:numPr>
      </w:pPr>
      <w:r>
        <w:t xml:space="preserve">kretanje ukupnog fonda stalno naseljenih stambenih zgrada od 1996 do 2017 godine. </w:t>
      </w:r>
    </w:p>
    <w:p w14:paraId="1E987030" w14:textId="77777777" w:rsidR="00CA2EEC" w:rsidRDefault="00CA2EEC" w:rsidP="00595E8D">
      <w:pPr>
        <w:ind w:left="0"/>
      </w:pPr>
      <w:r>
        <w:t xml:space="preserve">Prognoza je </w:t>
      </w:r>
      <w:r w:rsidR="00C95246">
        <w:t xml:space="preserve">izrađena </w:t>
      </w:r>
      <w:r w:rsidR="000869CD">
        <w:t>linearn</w:t>
      </w:r>
      <w:r w:rsidR="004A2005">
        <w:t xml:space="preserve">om </w:t>
      </w:r>
      <w:r w:rsidR="000869CD">
        <w:t>regresij</w:t>
      </w:r>
      <w:r w:rsidR="004A2005">
        <w:t>om</w:t>
      </w:r>
      <w:r w:rsidR="000869CD">
        <w:t xml:space="preserve">, s </w:t>
      </w:r>
      <w:r w:rsidR="0060715A">
        <w:t xml:space="preserve">95% vjerojatnošću </w:t>
      </w:r>
      <w:r w:rsidR="00596509">
        <w:t xml:space="preserve">rezultata između gornje i donje granice </w:t>
      </w:r>
      <w:r w:rsidR="004A2005">
        <w:t xml:space="preserve">predviđanja. </w:t>
      </w:r>
      <w:r w:rsidR="004E2693">
        <w:t xml:space="preserve"> </w:t>
      </w:r>
    </w:p>
    <w:p w14:paraId="5914B0C9" w14:textId="77777777" w:rsidR="000E6591" w:rsidRDefault="002508DB" w:rsidP="000E6591">
      <w:pPr>
        <w:keepNext/>
      </w:pPr>
      <w:r w:rsidRPr="00283F5D">
        <w:rPr>
          <w:noProof/>
          <w:lang w:eastAsia="hr-HR"/>
        </w:rPr>
        <w:lastRenderedPageBreak/>
        <w:drawing>
          <wp:inline distT="0" distB="0" distL="0" distR="0" wp14:anchorId="0885DDCC" wp14:editId="00F5735D">
            <wp:extent cx="6010275" cy="3276600"/>
            <wp:effectExtent l="0" t="0" r="0" b="0"/>
            <wp:docPr id="5"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CEF693" w14:textId="48BBFB73" w:rsidR="000E6591" w:rsidRPr="00A92C0C" w:rsidRDefault="000E6591" w:rsidP="000E6591">
      <w:pPr>
        <w:pStyle w:val="Opisslike"/>
      </w:pPr>
      <w:bookmarkStart w:id="18" w:name="_Ref45721401"/>
      <w:bookmarkStart w:id="19" w:name="_Ref27377427"/>
      <w:bookmarkStart w:id="20" w:name="_Toc40088999"/>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4</w:t>
      </w:r>
      <w:r w:rsidR="00A50909">
        <w:rPr>
          <w:noProof/>
        </w:rPr>
        <w:fldChar w:fldCharType="end"/>
      </w:r>
      <w:bookmarkEnd w:id="18"/>
      <w:r>
        <w:t xml:space="preserve"> </w:t>
      </w:r>
      <w:r w:rsidRPr="00A92C0C">
        <w:t>Predviđanje kretanja površine stambenih zgrada RH ukupno</w:t>
      </w:r>
      <w:r w:rsidR="00DE219B" w:rsidRPr="00A92C0C">
        <w:t xml:space="preserve"> do 2050.</w:t>
      </w:r>
      <w:r w:rsidRPr="00A92C0C">
        <w:t xml:space="preserve"> na nizu 2011. do 2017.</w:t>
      </w:r>
      <w:bookmarkEnd w:id="19"/>
      <w:bookmarkEnd w:id="20"/>
    </w:p>
    <w:p w14:paraId="63D619ED" w14:textId="1A7DAAF3" w:rsidR="00932DA6" w:rsidRPr="00A92C0C" w:rsidRDefault="00932DA6" w:rsidP="000E6591">
      <w:r w:rsidRPr="00A92C0C">
        <w:t xml:space="preserve">U prvom slučaju, </w:t>
      </w:r>
      <w:r w:rsidR="005E6A7F" w:rsidRPr="00A92C0C">
        <w:t xml:space="preserve">modelirano </w:t>
      </w:r>
      <w:r w:rsidRPr="00A92C0C">
        <w:t>n</w:t>
      </w:r>
      <w:r w:rsidR="000E6591" w:rsidRPr="00A92C0C">
        <w:t>a temelju agregiranih podataka o kretanju fonda</w:t>
      </w:r>
      <w:r w:rsidR="00572455" w:rsidRPr="00A92C0C">
        <w:t xml:space="preserve"> stalno naseljenih</w:t>
      </w:r>
      <w:r w:rsidR="000E6591" w:rsidRPr="00A92C0C">
        <w:t xml:space="preserve"> stambenih zgrada za RH </w:t>
      </w:r>
      <w:r w:rsidR="00E515DA" w:rsidRPr="00A92C0C">
        <w:t xml:space="preserve">za razdoblje od 2011. do 2017. godine </w:t>
      </w:r>
      <w:r w:rsidR="000E6591" w:rsidRPr="00A92C0C">
        <w:t>(</w:t>
      </w:r>
      <w:r w:rsidR="00830DF0">
        <w:fldChar w:fldCharType="begin"/>
      </w:r>
      <w:r w:rsidR="00830DF0">
        <w:instrText xml:space="preserve"> REF _Ref45721401 \h </w:instrText>
      </w:r>
      <w:r w:rsidR="00830DF0">
        <w:fldChar w:fldCharType="separate"/>
      </w:r>
      <w:r w:rsidR="00CE61F3">
        <w:t xml:space="preserve">Slika </w:t>
      </w:r>
      <w:r w:rsidR="00CE61F3">
        <w:rPr>
          <w:noProof/>
        </w:rPr>
        <w:t>2</w:t>
      </w:r>
      <w:r w:rsidR="00CE61F3">
        <w:t>.</w:t>
      </w:r>
      <w:r w:rsidR="00CE61F3">
        <w:rPr>
          <w:noProof/>
        </w:rPr>
        <w:t>4</w:t>
      </w:r>
      <w:r w:rsidR="00830DF0">
        <w:fldChar w:fldCharType="end"/>
      </w:r>
      <w:r w:rsidR="000E6591" w:rsidRPr="00A92C0C">
        <w:t>), s 95 postotnom vjerojatnošću</w:t>
      </w:r>
      <w:r w:rsidR="00683F8D" w:rsidRPr="00A92C0C">
        <w:t xml:space="preserve"> kretanja rezultata između donje i gornje granice</w:t>
      </w:r>
      <w:r w:rsidR="000E6591" w:rsidRPr="00A92C0C">
        <w:t>, površina stalno naseljenih stambenih zgrada će se sa trenutnih 124.901.114 m² povećati na 144.683.933 m²</w:t>
      </w:r>
      <w:r w:rsidR="004C0264" w:rsidRPr="00A92C0C">
        <w:t xml:space="preserve"> 2050. godine</w:t>
      </w:r>
      <w:r w:rsidR="000E6591" w:rsidRPr="00A92C0C">
        <w:t xml:space="preserve"> (donja granica 144.159.938 m², a gornja granica 145.207.928 m²). </w:t>
      </w:r>
    </w:p>
    <w:p w14:paraId="27AD7F9A" w14:textId="134C6A07" w:rsidR="000E6591" w:rsidRPr="00A92C0C" w:rsidRDefault="005B2B67" w:rsidP="000E6591">
      <w:r w:rsidRPr="00A92C0C">
        <w:t xml:space="preserve">Drugi slučaj </w:t>
      </w:r>
      <w:r w:rsidR="00757D0D" w:rsidRPr="00A92C0C">
        <w:t>z</w:t>
      </w:r>
      <w:r w:rsidR="000E6591" w:rsidRPr="00A92C0C">
        <w:t>bog različitih stupnjeva razvoja po županijama, na istom vremenskom rasponu ulaznih podataka po županijama</w:t>
      </w:r>
      <w:r w:rsidR="00507A6E" w:rsidRPr="00A92C0C">
        <w:t xml:space="preserve"> (od 2011. do 2017. godine)</w:t>
      </w:r>
      <w:r w:rsidR="0068467F" w:rsidRPr="00A92C0C">
        <w:t xml:space="preserve">, korištenjem iste metode predviđanja </w:t>
      </w:r>
      <w:r w:rsidR="000E6591" w:rsidRPr="00A92C0C">
        <w:t xml:space="preserve"> </w:t>
      </w:r>
      <w:r w:rsidR="004559B0" w:rsidRPr="00A92C0C">
        <w:t xml:space="preserve">daje </w:t>
      </w:r>
      <w:r w:rsidR="000E6591" w:rsidRPr="00A92C0C">
        <w:t>gotovo identičnu moguću površinu stambenog fonda od 144.567.276 m²</w:t>
      </w:r>
      <w:r w:rsidR="004C0264" w:rsidRPr="00A92C0C">
        <w:t xml:space="preserve"> 2050. godine</w:t>
      </w:r>
      <w:r w:rsidR="000E6591" w:rsidRPr="00A92C0C">
        <w:t xml:space="preserve">, s </w:t>
      </w:r>
      <w:r w:rsidR="00BD2954" w:rsidRPr="00A92C0C">
        <w:t xml:space="preserve">malo </w:t>
      </w:r>
      <w:r w:rsidR="000E6591" w:rsidRPr="00A92C0C">
        <w:t xml:space="preserve">većim rasponom graničnih vrijednosti (od 142.309.690 do 146.824.862 m² - </w:t>
      </w:r>
      <w:r w:rsidR="00830DF0">
        <w:fldChar w:fldCharType="begin"/>
      </w:r>
      <w:r w:rsidR="00830DF0">
        <w:instrText xml:space="preserve"> REF _Ref45721410 \h </w:instrText>
      </w:r>
      <w:r w:rsidR="00830DF0">
        <w:fldChar w:fldCharType="separate"/>
      </w:r>
      <w:r w:rsidR="00CE61F3">
        <w:t xml:space="preserve">Slika </w:t>
      </w:r>
      <w:r w:rsidR="00CE61F3">
        <w:rPr>
          <w:noProof/>
        </w:rPr>
        <w:t>2</w:t>
      </w:r>
      <w:r w:rsidR="00CE61F3">
        <w:t>.</w:t>
      </w:r>
      <w:r w:rsidR="00CE61F3">
        <w:rPr>
          <w:noProof/>
        </w:rPr>
        <w:t>5</w:t>
      </w:r>
      <w:r w:rsidR="00830DF0">
        <w:fldChar w:fldCharType="end"/>
      </w:r>
      <w:r w:rsidR="000E6591" w:rsidRPr="00A92C0C">
        <w:fldChar w:fldCharType="begin"/>
      </w:r>
      <w:r w:rsidR="000E6591" w:rsidRPr="00A92C0C">
        <w:instrText xml:space="preserve"> REF _Ref27378324 \h </w:instrText>
      </w:r>
      <w:r w:rsidR="000E6591" w:rsidRPr="00A92C0C">
        <w:fldChar w:fldCharType="separate"/>
      </w:r>
      <w:r w:rsidR="00CE61F3">
        <w:t xml:space="preserve">Slika </w:t>
      </w:r>
      <w:r w:rsidR="00CE61F3">
        <w:rPr>
          <w:noProof/>
        </w:rPr>
        <w:t>2</w:t>
      </w:r>
      <w:r w:rsidR="00CE61F3">
        <w:t>.</w:t>
      </w:r>
      <w:r w:rsidR="00CE61F3">
        <w:rPr>
          <w:noProof/>
        </w:rPr>
        <w:t>5</w:t>
      </w:r>
      <w:r w:rsidR="00CE61F3">
        <w:t xml:space="preserve"> </w:t>
      </w:r>
      <w:r w:rsidR="00CE61F3" w:rsidRPr="006D4384">
        <w:t xml:space="preserve">Predviđanje kretanja površine stambenih zgrada RH </w:t>
      </w:r>
      <w:r w:rsidR="00CE61F3">
        <w:t>sumirano po županijama</w:t>
      </w:r>
      <w:r w:rsidR="00CE61F3" w:rsidRPr="006D4384">
        <w:t xml:space="preserve"> na nizu 2011. do 2017.</w:t>
      </w:r>
      <w:r w:rsidR="000E6591" w:rsidRPr="00A92C0C">
        <w:fldChar w:fldCharType="end"/>
      </w:r>
      <w:r w:rsidR="000E6591" w:rsidRPr="00A92C0C">
        <w:t xml:space="preserve">). </w:t>
      </w:r>
    </w:p>
    <w:p w14:paraId="4604FD01" w14:textId="77777777" w:rsidR="000E6591" w:rsidRDefault="002508DB" w:rsidP="000E6591">
      <w:pPr>
        <w:keepNext/>
      </w:pPr>
      <w:r w:rsidRPr="00283F5D">
        <w:rPr>
          <w:noProof/>
          <w:lang w:eastAsia="hr-HR"/>
        </w:rPr>
        <w:drawing>
          <wp:inline distT="0" distB="0" distL="0" distR="0" wp14:anchorId="4BF2DDF8" wp14:editId="59F6BAE0">
            <wp:extent cx="5942965" cy="3151505"/>
            <wp:effectExtent l="0" t="0" r="635" b="10795"/>
            <wp:docPr id="6"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6AE2D5" w14:textId="0FDB93C7" w:rsidR="000E6591" w:rsidRPr="00980AE0" w:rsidRDefault="000E6591" w:rsidP="000E6591">
      <w:pPr>
        <w:pStyle w:val="Opisslike"/>
      </w:pPr>
      <w:bookmarkStart w:id="21" w:name="_Ref45721410"/>
      <w:bookmarkStart w:id="22" w:name="_Ref27378324"/>
      <w:bookmarkStart w:id="23" w:name="_Toc40089000"/>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5</w:t>
      </w:r>
      <w:r w:rsidR="00A50909">
        <w:rPr>
          <w:noProof/>
        </w:rPr>
        <w:fldChar w:fldCharType="end"/>
      </w:r>
      <w:bookmarkEnd w:id="21"/>
      <w:r>
        <w:t xml:space="preserve"> </w:t>
      </w:r>
      <w:r w:rsidRPr="006D4384">
        <w:t xml:space="preserve">Predviđanje kretanja površine stambenih zgrada RH </w:t>
      </w:r>
      <w:r>
        <w:t>sumirano po županijama</w:t>
      </w:r>
      <w:r w:rsidRPr="006D4384">
        <w:t xml:space="preserve"> na nizu 2011. do 2017.</w:t>
      </w:r>
      <w:bookmarkEnd w:id="22"/>
      <w:bookmarkEnd w:id="23"/>
    </w:p>
    <w:p w14:paraId="478CEC8E" w14:textId="763B3065" w:rsidR="000E6591" w:rsidRDefault="004A2005" w:rsidP="000E6591">
      <w:pPr>
        <w:rPr>
          <w:lang w:eastAsia="hr-HR"/>
        </w:rPr>
      </w:pPr>
      <w:r>
        <w:rPr>
          <w:lang w:eastAsia="hr-HR"/>
        </w:rPr>
        <w:t xml:space="preserve">Treći pristup predviđanju oslanja se na podatke o </w:t>
      </w:r>
      <w:r w:rsidR="00A57487">
        <w:rPr>
          <w:lang w:eastAsia="hr-HR"/>
        </w:rPr>
        <w:t xml:space="preserve">površinama stalno naseljenih stanova u razdoblju od </w:t>
      </w:r>
      <w:r w:rsidR="00060168">
        <w:rPr>
          <w:lang w:eastAsia="hr-HR"/>
        </w:rPr>
        <w:t xml:space="preserve">1996. do 2017. </w:t>
      </w:r>
      <w:r w:rsidR="000E519B">
        <w:rPr>
          <w:lang w:eastAsia="hr-HR"/>
        </w:rPr>
        <w:t>Razlog za drugačiju analizu je u tome</w:t>
      </w:r>
      <w:r w:rsidR="00574C83">
        <w:rPr>
          <w:lang w:eastAsia="hr-HR"/>
        </w:rPr>
        <w:t xml:space="preserve"> </w:t>
      </w:r>
      <w:r w:rsidR="000E519B">
        <w:rPr>
          <w:lang w:eastAsia="hr-HR"/>
        </w:rPr>
        <w:t>što p</w:t>
      </w:r>
      <w:r w:rsidR="000E6591">
        <w:rPr>
          <w:lang w:eastAsia="hr-HR"/>
        </w:rPr>
        <w:t xml:space="preserve">redviđanje povećanja površine </w:t>
      </w:r>
      <w:r w:rsidR="000E6591">
        <w:rPr>
          <w:lang w:eastAsia="hr-HR"/>
        </w:rPr>
        <w:lastRenderedPageBreak/>
        <w:t xml:space="preserve">zgrada u više </w:t>
      </w:r>
      <w:r w:rsidR="00FA2DD5">
        <w:rPr>
          <w:lang w:eastAsia="hr-HR"/>
        </w:rPr>
        <w:t>nego</w:t>
      </w:r>
      <w:r w:rsidR="000E6591">
        <w:rPr>
          <w:lang w:eastAsia="hr-HR"/>
        </w:rPr>
        <w:t xml:space="preserve"> tridesetogodišnjem </w:t>
      </w:r>
      <w:r w:rsidR="00A205F8">
        <w:rPr>
          <w:lang w:eastAsia="hr-HR"/>
        </w:rPr>
        <w:t xml:space="preserve">razdoblju </w:t>
      </w:r>
      <w:r w:rsidR="000E6591">
        <w:rPr>
          <w:lang w:eastAsia="hr-HR"/>
        </w:rPr>
        <w:t xml:space="preserve">prema trendu posljednjih šest godina </w:t>
      </w:r>
      <w:r w:rsidR="00B65F75">
        <w:rPr>
          <w:lang w:eastAsia="hr-HR"/>
        </w:rPr>
        <w:t>nije dovoljno</w:t>
      </w:r>
      <w:r w:rsidR="007B2CDA">
        <w:rPr>
          <w:lang w:eastAsia="hr-HR"/>
        </w:rPr>
        <w:t xml:space="preserve"> pouzdano. </w:t>
      </w:r>
      <w:r w:rsidR="000E6591">
        <w:rPr>
          <w:lang w:eastAsia="hr-HR"/>
        </w:rPr>
        <w:t xml:space="preserve"> Dvadesetogodišnji raspon ulaznih podataka uključuje i razdoblja usporenog gospodarskog razvoja, </w:t>
      </w:r>
      <w:r w:rsidR="004B0F33">
        <w:rPr>
          <w:lang w:eastAsia="hr-HR"/>
        </w:rPr>
        <w:t>povratka na prethodnu razinu aktivnosti</w:t>
      </w:r>
      <w:r w:rsidR="000E6591">
        <w:rPr>
          <w:lang w:eastAsia="hr-HR"/>
        </w:rPr>
        <w:t xml:space="preserve">, kreditne ekspanzije, recesije i </w:t>
      </w:r>
      <w:r w:rsidR="0097783F">
        <w:rPr>
          <w:lang w:eastAsia="hr-HR"/>
        </w:rPr>
        <w:t xml:space="preserve">kasnijeg </w:t>
      </w:r>
      <w:r w:rsidR="000E6591">
        <w:rPr>
          <w:lang w:eastAsia="hr-HR"/>
        </w:rPr>
        <w:t>postupnog oporavka</w:t>
      </w:r>
      <w:r w:rsidR="0097783F">
        <w:rPr>
          <w:lang w:eastAsia="hr-HR"/>
        </w:rPr>
        <w:t>;</w:t>
      </w:r>
      <w:r w:rsidR="000E6591">
        <w:rPr>
          <w:lang w:eastAsia="hr-HR"/>
        </w:rPr>
        <w:t xml:space="preserve"> promjenu strukture vlasništva stambenog fonda (otkup stanova), praćen</w:t>
      </w:r>
      <w:r w:rsidR="00E80303">
        <w:rPr>
          <w:lang w:eastAsia="hr-HR"/>
        </w:rPr>
        <w:t>o</w:t>
      </w:r>
      <w:r w:rsidR="000E6591">
        <w:rPr>
          <w:lang w:eastAsia="hr-HR"/>
        </w:rPr>
        <w:t xml:space="preserve"> stalnim odljevom stanovništva</w:t>
      </w:r>
      <w:r w:rsidR="0097783F">
        <w:rPr>
          <w:lang w:eastAsia="hr-HR"/>
        </w:rPr>
        <w:t>;</w:t>
      </w:r>
      <w:r w:rsidR="000E6591">
        <w:rPr>
          <w:lang w:eastAsia="hr-HR"/>
        </w:rPr>
        <w:t xml:space="preserve"> </w:t>
      </w:r>
      <w:r w:rsidR="0097783F">
        <w:rPr>
          <w:lang w:eastAsia="hr-HR"/>
        </w:rPr>
        <w:t>te time</w:t>
      </w:r>
      <w:r w:rsidR="000E6591">
        <w:rPr>
          <w:lang w:eastAsia="hr-HR"/>
        </w:rPr>
        <w:t xml:space="preserve"> </w:t>
      </w:r>
      <w:r w:rsidR="008B5A42">
        <w:rPr>
          <w:lang w:eastAsia="hr-HR"/>
        </w:rPr>
        <w:t>daje</w:t>
      </w:r>
      <w:r w:rsidR="000E6591">
        <w:rPr>
          <w:lang w:eastAsia="hr-HR"/>
        </w:rPr>
        <w:t xml:space="preserve"> realniju dugoročnu sliku kretanja površine fonda zgrada. Rezultati ove analize pokazuju </w:t>
      </w:r>
      <w:r w:rsidR="0009429B">
        <w:rPr>
          <w:lang w:eastAsia="hr-HR"/>
        </w:rPr>
        <w:t>kako</w:t>
      </w:r>
      <w:r w:rsidR="000E6591">
        <w:rPr>
          <w:lang w:eastAsia="hr-HR"/>
        </w:rPr>
        <w:t xml:space="preserve"> je </w:t>
      </w:r>
      <w:r w:rsidR="0009429B">
        <w:rPr>
          <w:lang w:eastAsia="hr-HR"/>
        </w:rPr>
        <w:t>2050. godine</w:t>
      </w:r>
      <w:r w:rsidR="000E6591">
        <w:rPr>
          <w:lang w:eastAsia="hr-HR"/>
        </w:rPr>
        <w:t xml:space="preserve"> moguća površina zgrada 162.891.454 m², u rasponu od </w:t>
      </w:r>
      <w:r w:rsidR="000E6591" w:rsidRPr="00312850">
        <w:rPr>
          <w:lang w:eastAsia="hr-HR"/>
        </w:rPr>
        <w:t>157.101.752</w:t>
      </w:r>
      <w:r w:rsidR="000E6591">
        <w:rPr>
          <w:lang w:eastAsia="hr-HR"/>
        </w:rPr>
        <w:t xml:space="preserve"> m² do </w:t>
      </w:r>
      <w:r w:rsidR="000E6591" w:rsidRPr="00312850">
        <w:rPr>
          <w:lang w:eastAsia="hr-HR"/>
        </w:rPr>
        <w:t>168.681.156</w:t>
      </w:r>
      <w:r w:rsidR="000E6591">
        <w:rPr>
          <w:lang w:eastAsia="hr-HR"/>
        </w:rPr>
        <w:t xml:space="preserve"> m² uz 95 postotnu vjerojatnost (</w:t>
      </w:r>
      <w:r w:rsidR="00830DF0">
        <w:rPr>
          <w:lang w:eastAsia="hr-HR"/>
        </w:rPr>
        <w:fldChar w:fldCharType="begin"/>
      </w:r>
      <w:r w:rsidR="00830DF0">
        <w:rPr>
          <w:lang w:eastAsia="hr-HR"/>
        </w:rPr>
        <w:instrText xml:space="preserve"> REF _Ref45721446 \h </w:instrText>
      </w:r>
      <w:r w:rsidR="00830DF0">
        <w:rPr>
          <w:lang w:eastAsia="hr-HR"/>
        </w:rPr>
      </w:r>
      <w:r w:rsidR="00830DF0">
        <w:rPr>
          <w:lang w:eastAsia="hr-HR"/>
        </w:rPr>
        <w:fldChar w:fldCharType="separate"/>
      </w:r>
      <w:r w:rsidR="00CE61F3">
        <w:t xml:space="preserve">Slika </w:t>
      </w:r>
      <w:r w:rsidR="00CE61F3">
        <w:rPr>
          <w:noProof/>
        </w:rPr>
        <w:t>2</w:t>
      </w:r>
      <w:r w:rsidR="00CE61F3">
        <w:t>.</w:t>
      </w:r>
      <w:r w:rsidR="00CE61F3">
        <w:rPr>
          <w:noProof/>
        </w:rPr>
        <w:t>6</w:t>
      </w:r>
      <w:r w:rsidR="00830DF0">
        <w:rPr>
          <w:lang w:eastAsia="hr-HR"/>
        </w:rPr>
        <w:fldChar w:fldCharType="end"/>
      </w:r>
      <w:r w:rsidR="000E6591">
        <w:rPr>
          <w:lang w:eastAsia="hr-HR"/>
        </w:rPr>
        <w:t xml:space="preserve">). </w:t>
      </w:r>
    </w:p>
    <w:p w14:paraId="045BE200" w14:textId="77777777" w:rsidR="000E6591" w:rsidRDefault="002508DB" w:rsidP="000E6591">
      <w:pPr>
        <w:keepNext/>
      </w:pPr>
      <w:r w:rsidRPr="00283F5D">
        <w:rPr>
          <w:noProof/>
          <w:lang w:eastAsia="hr-HR"/>
        </w:rPr>
        <w:drawing>
          <wp:inline distT="0" distB="0" distL="0" distR="0" wp14:anchorId="3B21D8F0" wp14:editId="17926B43">
            <wp:extent cx="6052820" cy="2997835"/>
            <wp:effectExtent l="0" t="0" r="5080" b="12065"/>
            <wp:docPr id="7"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F9C861" w14:textId="3874436C" w:rsidR="000E6591" w:rsidRDefault="000E6591" w:rsidP="000E6591">
      <w:pPr>
        <w:pStyle w:val="Opisslike"/>
      </w:pPr>
      <w:bookmarkStart w:id="24" w:name="_Ref45721446"/>
      <w:bookmarkStart w:id="25" w:name="_Ref27378820"/>
      <w:bookmarkStart w:id="26" w:name="_Toc40089001"/>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6</w:t>
      </w:r>
      <w:r w:rsidR="00A50909">
        <w:rPr>
          <w:noProof/>
        </w:rPr>
        <w:fldChar w:fldCharType="end"/>
      </w:r>
      <w:bookmarkEnd w:id="24"/>
      <w:r>
        <w:t xml:space="preserve"> Predviđanje kretanja površine stambenog fonda RH ukupno na nizu podataka od 1996. od 2017. godine</w:t>
      </w:r>
      <w:bookmarkEnd w:id="25"/>
      <w:bookmarkEnd w:id="26"/>
    </w:p>
    <w:p w14:paraId="30891BCA" w14:textId="0D0439CB" w:rsidR="000E6591" w:rsidRDefault="000E6591" w:rsidP="000E6591">
      <w:r>
        <w:t>U planiranju budućih energetskih potreba stambenog sektora u okviru Strategije energetskog razvoja Republike Hrvatske do 2030</w:t>
      </w:r>
      <w:r w:rsidR="00230174">
        <w:t>.</w:t>
      </w:r>
      <w:r>
        <w:t xml:space="preserve"> s pogledom na 2050</w:t>
      </w:r>
      <w:r w:rsidR="00230174">
        <w:t>.</w:t>
      </w:r>
      <w:r w:rsidR="007D7466">
        <w:fldChar w:fldCharType="begin"/>
      </w:r>
      <w:r w:rsidR="00264601">
        <w:instrText xml:space="preserve">CITATION EIH19 \l 1033 </w:instrText>
      </w:r>
      <w:r w:rsidR="007D7466">
        <w:fldChar w:fldCharType="separate"/>
      </w:r>
      <w:r w:rsidR="002D258B">
        <w:rPr>
          <w:noProof/>
        </w:rPr>
        <w:t xml:space="preserve"> </w:t>
      </w:r>
      <w:r w:rsidR="002D258B" w:rsidRPr="002D258B">
        <w:rPr>
          <w:noProof/>
        </w:rPr>
        <w:t>(Vlada RH, 2019.)</w:t>
      </w:r>
      <w:r w:rsidR="007D7466">
        <w:fldChar w:fldCharType="end"/>
      </w:r>
      <w:r>
        <w:t xml:space="preserve"> korišten je model temeljen na demografskim podacima, prema kojem se očekuje pad stanovništva RH na </w:t>
      </w:r>
      <w:r w:rsidRPr="00980AE0">
        <w:t>3,27 milijuna stanovnika</w:t>
      </w:r>
      <w:r>
        <w:t xml:space="preserve"> u 2050. godini. Uz pad broja stanovnika, očekuje se i smanjenje </w:t>
      </w:r>
      <w:r w:rsidR="008B5A42">
        <w:t>broja članova</w:t>
      </w:r>
      <w:r>
        <w:t xml:space="preserve"> prosječnog kućanstva na 2,0 osobe (sa sadašnjih 2,78) te rast površine stambene jedinice sa 82,98 m² na 95,91 m² - odnosno, porast korisne površine stana po osobi sa sadašnjih 30m² na 48 m². S ovim ulaznim podacima, konačni fond </w:t>
      </w:r>
      <w:r w:rsidR="00FE3D37">
        <w:t xml:space="preserve">stambenih </w:t>
      </w:r>
      <w:r>
        <w:t xml:space="preserve">zgrada u 2050. godini bio bi </w:t>
      </w:r>
      <w:r w:rsidRPr="008310CA">
        <w:t>158.039.074</w:t>
      </w:r>
      <w:r>
        <w:t xml:space="preserve"> m². </w:t>
      </w:r>
    </w:p>
    <w:p w14:paraId="16FBD31A" w14:textId="2E3C2BFC" w:rsidR="00160E3F" w:rsidRDefault="000E6591" w:rsidP="000E6591">
      <w:r>
        <w:t xml:space="preserve">Vidljivo je relativno dobro poklapanje rezultata modela baziranog na dugoročnoj statistici kretanja fonda zgrada i modela baziranog na dugoročnim demografskim projekcijama, te se za analizu koristi model razvoja fonda zgrada usklađen s </w:t>
      </w:r>
      <w:r w:rsidR="00980B72">
        <w:t>Strategij</w:t>
      </w:r>
      <w:r w:rsidR="00D81717">
        <w:t>om</w:t>
      </w:r>
      <w:r w:rsidR="00980B72">
        <w:t xml:space="preserve"> energetskog razvoja Republike Hrvatske do 2030. s pogledom na 2050. </w:t>
      </w:r>
      <w:r>
        <w:t xml:space="preserve">i </w:t>
      </w:r>
      <w:r w:rsidR="00D81717" w:rsidRPr="00D81717">
        <w:t>Integrirani</w:t>
      </w:r>
      <w:r w:rsidR="00D81717">
        <w:t>m</w:t>
      </w:r>
      <w:r w:rsidR="00D81717" w:rsidRPr="00D81717">
        <w:t xml:space="preserve"> nacionalni</w:t>
      </w:r>
      <w:r w:rsidR="00D81717">
        <w:t>m</w:t>
      </w:r>
      <w:r w:rsidR="00D81717" w:rsidRPr="00D81717">
        <w:t xml:space="preserve"> energetski</w:t>
      </w:r>
      <w:r w:rsidR="00D81717">
        <w:t>m</w:t>
      </w:r>
      <w:r w:rsidR="00D81717" w:rsidRPr="00D81717">
        <w:t xml:space="preserve"> i klimatski</w:t>
      </w:r>
      <w:r w:rsidR="00D81717">
        <w:t>m</w:t>
      </w:r>
      <w:r w:rsidR="00D81717" w:rsidRPr="00D81717">
        <w:t xml:space="preserve"> plan</w:t>
      </w:r>
      <w:r w:rsidR="00D81717">
        <w:t>om</w:t>
      </w:r>
      <w:r w:rsidR="00D81717" w:rsidRPr="00D81717">
        <w:t xml:space="preserve"> za Republiku Hrvatsku za razdoblje 2021. do 2030.</w:t>
      </w:r>
      <w:r w:rsidR="001C246F">
        <w:t xml:space="preserve">, prema kojem će </w:t>
      </w:r>
      <w:r w:rsidR="00632884">
        <w:t xml:space="preserve">u 2050. godini fond stalno naseljenih stanova biti </w:t>
      </w:r>
      <w:r w:rsidR="00632884" w:rsidRPr="008310CA">
        <w:t>158.039.074</w:t>
      </w:r>
      <w:r w:rsidR="00632884">
        <w:t xml:space="preserve"> m²</w:t>
      </w:r>
      <w:r w:rsidR="002A5B66">
        <w:t xml:space="preserve">, s ukupnim porastom </w:t>
      </w:r>
      <w:r w:rsidR="00B052AA">
        <w:t>o</w:t>
      </w:r>
      <w:r w:rsidR="002A5B66">
        <w:t xml:space="preserve">d </w:t>
      </w:r>
      <w:r w:rsidR="00C90682">
        <w:t>33.137.960 m²</w:t>
      </w:r>
      <w:r w:rsidR="00E46C94">
        <w:t xml:space="preserve">, odnosno </w:t>
      </w:r>
      <w:r w:rsidR="00447268">
        <w:t xml:space="preserve">1,0 milijuna m² godišnje. </w:t>
      </w:r>
      <w:r w:rsidR="00077F38">
        <w:t xml:space="preserve">što je niže od prosječnih vrijednosti prirasta za razdoblje od 1996. do 2017., ali i više od prosjeka </w:t>
      </w:r>
      <w:r w:rsidR="00197DAB">
        <w:t xml:space="preserve">razdoblja </w:t>
      </w:r>
      <w:r w:rsidR="00160E3F">
        <w:t xml:space="preserve">2011 do 2017. </w:t>
      </w:r>
      <w:r w:rsidR="005F7349">
        <w:lastRenderedPageBreak/>
        <w:t xml:space="preserve">Istodobno, </w:t>
      </w:r>
      <w:r w:rsidR="00BD6FBF">
        <w:t xml:space="preserve">fond zgrada je opterećen i privremeno napuštenim stanovima te </w:t>
      </w:r>
      <w:r w:rsidR="00830DF0">
        <w:t xml:space="preserve">će </w:t>
      </w:r>
      <w:r w:rsidR="00BD6FBF">
        <w:t>uključujući i tu površinu iznosi</w:t>
      </w:r>
      <w:r w:rsidR="009838B1">
        <w:t>t</w:t>
      </w:r>
      <w:r w:rsidR="00830DF0">
        <w:t>i</w:t>
      </w:r>
      <w:r w:rsidR="009838B1">
        <w:t xml:space="preserve"> </w:t>
      </w:r>
      <w:r w:rsidR="00BD6FBF" w:rsidRPr="00BD6FBF">
        <w:t>189.646.889</w:t>
      </w:r>
      <w:r w:rsidR="00BD6FBF">
        <w:t xml:space="preserve"> m² stambenih zgrada u 2050. </w:t>
      </w:r>
      <w:r w:rsidR="008A77C1">
        <w:t>g</w:t>
      </w:r>
      <w:r w:rsidR="00BD6FBF">
        <w:t xml:space="preserve">odini. </w:t>
      </w:r>
    </w:p>
    <w:p w14:paraId="4A77F035" w14:textId="560A69BB" w:rsidR="00AE3F9E" w:rsidRDefault="00160E3F" w:rsidP="00AA3115">
      <w:pPr>
        <w:rPr>
          <w:lang w:eastAsia="hr-HR"/>
        </w:rPr>
      </w:pPr>
      <w:r>
        <w:t xml:space="preserve">Promjene u nestambenom fondu zgrada </w:t>
      </w:r>
      <w:r w:rsidR="00F05118">
        <w:t>djelomično prate aktivnost u stambenom sektoru</w:t>
      </w:r>
      <w:r w:rsidR="00755249">
        <w:t xml:space="preserve"> – prvenstveno zbog povećane gospodarske</w:t>
      </w:r>
      <w:r w:rsidR="00FD1855">
        <w:t xml:space="preserve"> </w:t>
      </w:r>
      <w:r w:rsidR="00755249">
        <w:t>aktivnosti</w:t>
      </w:r>
      <w:r w:rsidR="00FD1855">
        <w:t xml:space="preserve">, ali nisu direktno usporedive. </w:t>
      </w:r>
      <w:r w:rsidR="00D46989">
        <w:t xml:space="preserve">Modeliranje fonda nestambenih zgrada kreće od procjene stanja nestambenog fonda zgrada </w:t>
      </w:r>
      <w:r w:rsidR="00A927A2">
        <w:t xml:space="preserve">2011. u </w:t>
      </w:r>
      <w:r w:rsidR="00FF1343">
        <w:t xml:space="preserve">tekstu </w:t>
      </w:r>
      <w:r w:rsidR="00F37244">
        <w:t>D</w:t>
      </w:r>
      <w:r w:rsidR="00A927A2">
        <w:t>ugoročn</w:t>
      </w:r>
      <w:r w:rsidR="00AE25DB">
        <w:t xml:space="preserve">e </w:t>
      </w:r>
      <w:r w:rsidR="00A927A2">
        <w:t>strategij</w:t>
      </w:r>
      <w:r w:rsidR="00AE25DB">
        <w:t xml:space="preserve">e </w:t>
      </w:r>
      <w:r w:rsidR="00156B4F" w:rsidRPr="00156B4F">
        <w:t>za poticanje ulaganja u obnovu nacionalnog fonda zgrada Republike Hrvatske</w:t>
      </w:r>
      <w:r w:rsidR="00D81717">
        <w:rPr>
          <w:lang w:eastAsia="hr-HR"/>
        </w:rPr>
        <w:t xml:space="preserve">, </w:t>
      </w:r>
      <w:r w:rsidR="00EB55DE">
        <w:rPr>
          <w:lang w:eastAsia="hr-HR"/>
        </w:rPr>
        <w:t xml:space="preserve">prema kojem </w:t>
      </w:r>
      <w:r w:rsidR="009E3EA1">
        <w:rPr>
          <w:lang w:eastAsia="hr-HR"/>
        </w:rPr>
        <w:t xml:space="preserve">je u RH 2011. bilo </w:t>
      </w:r>
      <w:r w:rsidR="00E93658" w:rsidRPr="00E93658">
        <w:rPr>
          <w:lang w:eastAsia="hr-HR"/>
        </w:rPr>
        <w:t xml:space="preserve">80.196 </w:t>
      </w:r>
      <w:r w:rsidR="00947CC1">
        <w:rPr>
          <w:lang w:eastAsia="hr-HR"/>
        </w:rPr>
        <w:t xml:space="preserve">javnih nestambenih zgrada ukupne </w:t>
      </w:r>
      <w:r w:rsidR="00E93658">
        <w:rPr>
          <w:lang w:eastAsia="hr-HR"/>
        </w:rPr>
        <w:t xml:space="preserve">površine </w:t>
      </w:r>
      <w:r w:rsidR="004F1270">
        <w:rPr>
          <w:lang w:eastAsia="hr-HR"/>
        </w:rPr>
        <w:t>13.801.902 m², te</w:t>
      </w:r>
      <w:r w:rsidR="00F849BD">
        <w:rPr>
          <w:lang w:eastAsia="hr-HR"/>
        </w:rPr>
        <w:t xml:space="preserve"> </w:t>
      </w:r>
      <w:r w:rsidR="00F849BD" w:rsidRPr="00F849BD">
        <w:rPr>
          <w:lang w:eastAsia="hr-HR"/>
        </w:rPr>
        <w:t>44.728</w:t>
      </w:r>
      <w:r w:rsidR="00E81D31">
        <w:rPr>
          <w:lang w:eastAsia="hr-HR"/>
        </w:rPr>
        <w:t xml:space="preserve"> </w:t>
      </w:r>
      <w:r w:rsidR="00F849BD">
        <w:rPr>
          <w:lang w:eastAsia="hr-HR"/>
        </w:rPr>
        <w:t>nestam</w:t>
      </w:r>
      <w:r w:rsidR="00E81D31">
        <w:rPr>
          <w:lang w:eastAsia="hr-HR"/>
        </w:rPr>
        <w:t>benih</w:t>
      </w:r>
      <w:r w:rsidR="00F849BD" w:rsidRPr="00F849BD">
        <w:rPr>
          <w:lang w:eastAsia="hr-HR"/>
        </w:rPr>
        <w:t xml:space="preserve"> </w:t>
      </w:r>
      <w:r w:rsidR="00D44839">
        <w:rPr>
          <w:lang w:eastAsia="hr-HR"/>
        </w:rPr>
        <w:t xml:space="preserve">komercijalnih </w:t>
      </w:r>
      <w:r w:rsidR="00F849BD">
        <w:rPr>
          <w:lang w:eastAsia="hr-HR"/>
        </w:rPr>
        <w:t>zgrada ukupne površine</w:t>
      </w:r>
      <w:r w:rsidR="004F1270">
        <w:rPr>
          <w:lang w:eastAsia="hr-HR"/>
        </w:rPr>
        <w:t xml:space="preserve"> </w:t>
      </w:r>
      <w:r w:rsidR="00CB26EB">
        <w:rPr>
          <w:lang w:eastAsia="hr-HR"/>
        </w:rPr>
        <w:t>36.540.</w:t>
      </w:r>
      <w:r w:rsidR="00D057E1">
        <w:rPr>
          <w:lang w:eastAsia="hr-HR"/>
        </w:rPr>
        <w:t>459 m²</w:t>
      </w:r>
      <w:r w:rsidR="00D44839">
        <w:rPr>
          <w:lang w:eastAsia="hr-HR"/>
        </w:rPr>
        <w:t xml:space="preserve">. </w:t>
      </w:r>
      <w:r w:rsidR="00AA3115">
        <w:rPr>
          <w:lang w:eastAsia="hr-HR"/>
        </w:rPr>
        <w:t xml:space="preserve">Prema izdanim građevinskim dozvolama </w:t>
      </w:r>
      <w:r w:rsidR="00992173">
        <w:rPr>
          <w:lang w:eastAsia="hr-HR"/>
        </w:rPr>
        <w:t xml:space="preserve">za nestambene zgrade u razdoblju od 2002. do 2018. godine, </w:t>
      </w:r>
      <w:r w:rsidR="00B93410">
        <w:rPr>
          <w:lang w:eastAsia="hr-HR"/>
        </w:rPr>
        <w:t xml:space="preserve">vidljiv je trend pada broja novih </w:t>
      </w:r>
      <w:r w:rsidR="00F318C2">
        <w:rPr>
          <w:lang w:eastAsia="hr-HR"/>
        </w:rPr>
        <w:t xml:space="preserve">površina nestambenih zgrada. </w:t>
      </w:r>
      <w:r w:rsidR="00D81717">
        <w:rPr>
          <w:lang w:eastAsia="hr-HR"/>
        </w:rPr>
        <w:t>Linearna regresija</w:t>
      </w:r>
      <w:r w:rsidR="00055953">
        <w:rPr>
          <w:lang w:eastAsia="hr-HR"/>
        </w:rPr>
        <w:t xml:space="preserve"> za 2050. </w:t>
      </w:r>
      <w:r w:rsidR="00DF4A89">
        <w:rPr>
          <w:lang w:eastAsia="hr-HR"/>
        </w:rPr>
        <w:t xml:space="preserve">rezultira negativnom </w:t>
      </w:r>
      <w:r w:rsidR="00246E52">
        <w:rPr>
          <w:lang w:eastAsia="hr-HR"/>
        </w:rPr>
        <w:t>vrijednošću</w:t>
      </w:r>
      <w:r w:rsidR="00DF4A89">
        <w:rPr>
          <w:lang w:eastAsia="hr-HR"/>
        </w:rPr>
        <w:t>, što nije realni scenarij</w:t>
      </w:r>
      <w:r w:rsidR="00553F68">
        <w:rPr>
          <w:lang w:eastAsia="hr-HR"/>
        </w:rPr>
        <w:t>, jer</w:t>
      </w:r>
      <w:r w:rsidR="00AE3F9E">
        <w:rPr>
          <w:lang w:eastAsia="hr-HR"/>
        </w:rPr>
        <w:t xml:space="preserve"> </w:t>
      </w:r>
      <w:r w:rsidR="00553F68">
        <w:rPr>
          <w:lang w:eastAsia="hr-HR"/>
        </w:rPr>
        <w:t>je z</w:t>
      </w:r>
      <w:r w:rsidR="0094118F">
        <w:rPr>
          <w:lang w:eastAsia="hr-HR"/>
        </w:rPr>
        <w:t>bog samog održavanja fonda nestambenih zgrada i zamjene dotrajalih</w:t>
      </w:r>
      <w:r w:rsidR="004654E4">
        <w:rPr>
          <w:lang w:eastAsia="hr-HR"/>
        </w:rPr>
        <w:t xml:space="preserve"> uz </w:t>
      </w:r>
      <w:r w:rsidR="008D4E1F">
        <w:rPr>
          <w:lang w:eastAsia="hr-HR"/>
        </w:rPr>
        <w:t>životni vijek nestambenih zgrada od 20 godina</w:t>
      </w:r>
      <w:r w:rsidR="0094118F">
        <w:rPr>
          <w:lang w:eastAsia="hr-HR"/>
        </w:rPr>
        <w:t xml:space="preserve">, </w:t>
      </w:r>
      <w:r w:rsidR="003C4E91">
        <w:rPr>
          <w:lang w:eastAsia="hr-HR"/>
        </w:rPr>
        <w:t>nužna stopa</w:t>
      </w:r>
      <w:r w:rsidR="00A57829">
        <w:rPr>
          <w:lang w:eastAsia="hr-HR"/>
        </w:rPr>
        <w:t xml:space="preserve"> gradnje</w:t>
      </w:r>
      <w:r w:rsidR="003C4E91">
        <w:rPr>
          <w:lang w:eastAsia="hr-HR"/>
        </w:rPr>
        <w:t xml:space="preserve"> od </w:t>
      </w:r>
      <w:r w:rsidR="00182FD3">
        <w:rPr>
          <w:lang w:eastAsia="hr-HR"/>
        </w:rPr>
        <w:t>cca 1,5 mil. m² godišnje, što čini cca 3% fonda nestambenih zgrada</w:t>
      </w:r>
      <w:r w:rsidR="00735800">
        <w:rPr>
          <w:lang w:eastAsia="hr-HR"/>
        </w:rPr>
        <w:t xml:space="preserve"> godišnje, </w:t>
      </w:r>
      <w:r w:rsidR="001A10A9">
        <w:rPr>
          <w:lang w:eastAsia="hr-HR"/>
        </w:rPr>
        <w:t xml:space="preserve">a odgovara prosječnoj izgrađenoj površini nestambenih zgrada u razdoblju od 2002. do 2018. godine. </w:t>
      </w:r>
      <w:r w:rsidR="00681940">
        <w:rPr>
          <w:lang w:eastAsia="hr-HR"/>
        </w:rPr>
        <w:t>U</w:t>
      </w:r>
      <w:r w:rsidR="00BA1F95">
        <w:rPr>
          <w:lang w:eastAsia="hr-HR"/>
        </w:rPr>
        <w:t xml:space="preserve">sporenje u </w:t>
      </w:r>
      <w:r w:rsidR="00244945">
        <w:rPr>
          <w:lang w:eastAsia="hr-HR"/>
        </w:rPr>
        <w:t>rastu</w:t>
      </w:r>
      <w:r w:rsidR="00BA1F95">
        <w:rPr>
          <w:lang w:eastAsia="hr-HR"/>
        </w:rPr>
        <w:t xml:space="preserve"> površina novih nestambenih zgrada </w:t>
      </w:r>
      <w:r w:rsidR="00D67A19">
        <w:rPr>
          <w:lang w:eastAsia="hr-HR"/>
        </w:rPr>
        <w:t xml:space="preserve">ne </w:t>
      </w:r>
      <w:r w:rsidR="00FC04F7">
        <w:rPr>
          <w:lang w:eastAsia="hr-HR"/>
        </w:rPr>
        <w:t>može</w:t>
      </w:r>
      <w:r w:rsidR="00830DF0">
        <w:rPr>
          <w:lang w:eastAsia="hr-HR"/>
        </w:rPr>
        <w:t xml:space="preserve"> se</w:t>
      </w:r>
      <w:r w:rsidR="00FC04F7">
        <w:rPr>
          <w:lang w:eastAsia="hr-HR"/>
        </w:rPr>
        <w:t xml:space="preserve"> promatrati kao </w:t>
      </w:r>
      <w:r w:rsidR="009F317F">
        <w:rPr>
          <w:lang w:eastAsia="hr-HR"/>
        </w:rPr>
        <w:t>dugoročni</w:t>
      </w:r>
      <w:r w:rsidR="00794552">
        <w:rPr>
          <w:lang w:eastAsia="hr-HR"/>
        </w:rPr>
        <w:t xml:space="preserve"> trend, jer </w:t>
      </w:r>
      <w:r w:rsidR="00A66A10">
        <w:rPr>
          <w:lang w:eastAsia="hr-HR"/>
        </w:rPr>
        <w:t xml:space="preserve">je </w:t>
      </w:r>
      <w:r w:rsidR="00794552">
        <w:rPr>
          <w:lang w:eastAsia="hr-HR"/>
        </w:rPr>
        <w:t xml:space="preserve">povećana ekonomska aktivnost preduvjet energetske obnove zgrada, a za </w:t>
      </w:r>
      <w:r w:rsidR="00A66A10">
        <w:rPr>
          <w:lang w:eastAsia="hr-HR"/>
        </w:rPr>
        <w:t xml:space="preserve">njeno </w:t>
      </w:r>
      <w:r w:rsidR="00B21553">
        <w:rPr>
          <w:lang w:eastAsia="hr-HR"/>
        </w:rPr>
        <w:t xml:space="preserve">povećanje </w:t>
      </w:r>
      <w:r w:rsidR="00794552">
        <w:rPr>
          <w:lang w:eastAsia="hr-HR"/>
        </w:rPr>
        <w:t xml:space="preserve">je potrebno povećanje i prilagodba prostora novim gospodarskim aktivnostima. </w:t>
      </w:r>
      <w:r w:rsidR="002B76DA">
        <w:rPr>
          <w:lang w:eastAsia="hr-HR"/>
        </w:rPr>
        <w:t xml:space="preserve">Kod nestambenih zgrada su karakteristične velike investicije, koje </w:t>
      </w:r>
      <w:r w:rsidR="00090BBE">
        <w:rPr>
          <w:lang w:eastAsia="hr-HR"/>
        </w:rPr>
        <w:t xml:space="preserve">pojedinačno mogu znatno narušiti sliku trenda kretanja površine zgrada. </w:t>
      </w:r>
      <w:r w:rsidR="000F75FA">
        <w:rPr>
          <w:lang w:eastAsia="hr-HR"/>
        </w:rPr>
        <w:t xml:space="preserve">Zbog toga, buduće kretanje nestambenog fonda zgrada je preuzeto prema parametrima specifične površine nestambenih zgrada po zaposlenom iz </w:t>
      </w:r>
      <w:r w:rsidR="000F75FA" w:rsidRPr="000F75FA">
        <w:rPr>
          <w:lang w:eastAsia="hr-HR"/>
        </w:rPr>
        <w:t>Strategije energetskog razvoja Republike Hrvatske do 2030. s pogledom na 2050. godinu</w:t>
      </w:r>
      <w:r w:rsidR="000F75FA">
        <w:rPr>
          <w:lang w:eastAsia="hr-HR"/>
        </w:rPr>
        <w:t xml:space="preserve"> </w:t>
      </w:r>
      <w:r w:rsidR="000F75FA" w:rsidRPr="000F75FA">
        <w:rPr>
          <w:lang w:eastAsia="hr-HR"/>
        </w:rPr>
        <w:fldChar w:fldCharType="begin"/>
      </w:r>
      <w:r w:rsidR="00BD0F46">
        <w:rPr>
          <w:lang w:eastAsia="hr-HR"/>
        </w:rPr>
        <w:instrText xml:space="preserve">CITATION Nac19 \l 1033 </w:instrText>
      </w:r>
      <w:r w:rsidR="000F75FA" w:rsidRPr="000F75FA">
        <w:rPr>
          <w:lang w:eastAsia="hr-HR"/>
        </w:rPr>
        <w:fldChar w:fldCharType="separate"/>
      </w:r>
      <w:r w:rsidR="002D258B">
        <w:rPr>
          <w:noProof/>
          <w:lang w:eastAsia="hr-HR"/>
        </w:rPr>
        <w:t xml:space="preserve"> </w:t>
      </w:r>
      <w:r w:rsidR="002D258B" w:rsidRPr="002D258B">
        <w:rPr>
          <w:noProof/>
          <w:lang w:eastAsia="hr-HR"/>
        </w:rPr>
        <w:t>(Vlada RH, 2020.)</w:t>
      </w:r>
      <w:r w:rsidR="000F75FA" w:rsidRPr="000F75FA">
        <w:rPr>
          <w:lang w:eastAsia="hr-HR"/>
        </w:rPr>
        <w:fldChar w:fldCharType="end"/>
      </w:r>
      <w:r w:rsidR="00830DF0">
        <w:rPr>
          <w:lang w:eastAsia="hr-HR"/>
        </w:rPr>
        <w:t>,</w:t>
      </w:r>
      <w:r w:rsidR="00A66A10">
        <w:rPr>
          <w:lang w:eastAsia="hr-HR"/>
        </w:rPr>
        <w:t xml:space="preserve"> prema kojoj će</w:t>
      </w:r>
      <w:r w:rsidR="001A2C35">
        <w:rPr>
          <w:lang w:eastAsia="hr-HR"/>
        </w:rPr>
        <w:t xml:space="preserve"> po </w:t>
      </w:r>
      <w:r w:rsidR="00A03A94">
        <w:rPr>
          <w:lang w:eastAsia="hr-HR"/>
        </w:rPr>
        <w:t>stanovniku u 20</w:t>
      </w:r>
      <w:r w:rsidR="00BF6967">
        <w:rPr>
          <w:lang w:eastAsia="hr-HR"/>
        </w:rPr>
        <w:t>50</w:t>
      </w:r>
      <w:r w:rsidR="00A03A94">
        <w:rPr>
          <w:lang w:eastAsia="hr-HR"/>
        </w:rPr>
        <w:t>. godini biti 15 m² nestambenih zgrada</w:t>
      </w:r>
      <w:r w:rsidR="007363B6">
        <w:rPr>
          <w:lang w:eastAsia="hr-HR"/>
        </w:rPr>
        <w:t xml:space="preserve">, što predstavlja pad površine u odnosu na današnju površinu nestambenih zgrada, uz značajnu izmjenu strukture </w:t>
      </w:r>
      <w:r w:rsidR="00216D4C">
        <w:rPr>
          <w:lang w:eastAsia="hr-HR"/>
        </w:rPr>
        <w:t>nestambenih zgrada</w:t>
      </w:r>
      <w:r w:rsidR="000F75FA">
        <w:rPr>
          <w:lang w:eastAsia="hr-HR"/>
        </w:rPr>
        <w:t>.</w:t>
      </w:r>
    </w:p>
    <w:p w14:paraId="7647014F" w14:textId="77777777" w:rsidR="00C47FCC" w:rsidRDefault="002508DB" w:rsidP="009C4091">
      <w:pPr>
        <w:keepNext/>
      </w:pPr>
      <w:r w:rsidRPr="00283F5D">
        <w:rPr>
          <w:noProof/>
          <w:lang w:eastAsia="hr-HR"/>
        </w:rPr>
        <w:drawing>
          <wp:inline distT="0" distB="0" distL="0" distR="0" wp14:anchorId="4939ECFD" wp14:editId="16D3B8BC">
            <wp:extent cx="5942965" cy="2844800"/>
            <wp:effectExtent l="0" t="0" r="635" b="12700"/>
            <wp:docPr id="8"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0A2EA9" w14:textId="73F64342" w:rsidR="00C47FCC" w:rsidRDefault="00C47FCC" w:rsidP="00C47FCC">
      <w:pPr>
        <w:pStyle w:val="Opisslike"/>
        <w:rPr>
          <w:noProof/>
        </w:rPr>
      </w:pPr>
      <w:bookmarkStart w:id="27" w:name="_Toc40089002"/>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7</w:t>
      </w:r>
      <w:r w:rsidR="00A50909">
        <w:rPr>
          <w:noProof/>
        </w:rPr>
        <w:fldChar w:fldCharType="end"/>
      </w:r>
      <w:r>
        <w:rPr>
          <w:noProof/>
        </w:rPr>
        <w:t xml:space="preserve"> Godišnja promjena površine nestambenih zgrada prema izdanim građevinskim dozvolama 2002. do 2018. godine. s predviđanjem do 2050.</w:t>
      </w:r>
      <w:bookmarkEnd w:id="27"/>
    </w:p>
    <w:p w14:paraId="2AACBFB8" w14:textId="77777777" w:rsidR="007C28FE" w:rsidRDefault="007C28FE" w:rsidP="007C28FE">
      <w:r>
        <w:lastRenderedPageBreak/>
        <w:t>Očekivana ukupna površina nestambenih zgrada u 2050. godini iznosi 15 m²/stanovniku odnosno 66.732.712 m² bruto površine s omjerom bruto</w:t>
      </w:r>
      <w:r w:rsidR="00A03A94">
        <w:t xml:space="preserve"> površine</w:t>
      </w:r>
      <w:r>
        <w:t xml:space="preserve"> </w:t>
      </w:r>
      <w:r w:rsidR="00A03A94">
        <w:t xml:space="preserve">u odnosu na </w:t>
      </w:r>
      <w:r>
        <w:t xml:space="preserve">neto </w:t>
      </w:r>
      <w:r w:rsidR="00A03A94">
        <w:t xml:space="preserve">grijanu površinu </w:t>
      </w:r>
      <w:r>
        <w:t>1,35</w:t>
      </w:r>
      <w:r w:rsidR="00A03A94">
        <w:t>/1</w:t>
      </w:r>
      <w:r>
        <w:t xml:space="preserve">, odnosno 49.431.639 m² grijane površine zgrada. </w:t>
      </w:r>
    </w:p>
    <w:p w14:paraId="4043C3C5" w14:textId="17B24648" w:rsidR="001F1C60" w:rsidRDefault="001F1C60" w:rsidP="008C7825">
      <w:pPr>
        <w:pStyle w:val="Opisslike"/>
        <w:keepNext/>
      </w:pPr>
      <w:bookmarkStart w:id="28" w:name="_Toc40089019"/>
      <w:r>
        <w:t xml:space="preserve">Tablica </w:t>
      </w:r>
      <w:r w:rsidR="00A50909">
        <w:fldChar w:fldCharType="begin"/>
      </w:r>
      <w:r w:rsidR="00A50909">
        <w:instrText xml:space="preserve"> SEQ Tablica \* ARABIC </w:instrText>
      </w:r>
      <w:r w:rsidR="00A50909">
        <w:fldChar w:fldCharType="separate"/>
      </w:r>
      <w:r w:rsidR="00CE61F3">
        <w:rPr>
          <w:noProof/>
        </w:rPr>
        <w:t>2</w:t>
      </w:r>
      <w:r w:rsidR="00A50909">
        <w:rPr>
          <w:noProof/>
        </w:rPr>
        <w:fldChar w:fldCharType="end"/>
      </w:r>
      <w:r>
        <w:t xml:space="preserve"> Projekcija ukupne površine stambenih zgrada u 2030., 2040. i 2050. godini</w:t>
      </w:r>
      <w:r w:rsidR="002D6E7D">
        <w:t xml:space="preserve"> </w:t>
      </w:r>
      <w:r w:rsidR="00F7387D">
        <w:t>u m²</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26"/>
        <w:gridCol w:w="2127"/>
        <w:gridCol w:w="2119"/>
      </w:tblGrid>
      <w:tr w:rsidR="001F1C60" w:rsidRPr="002D6E7D" w14:paraId="227F69B1" w14:textId="77777777" w:rsidTr="008C7825">
        <w:trPr>
          <w:trHeight w:val="288"/>
        </w:trPr>
        <w:tc>
          <w:tcPr>
            <w:tcW w:w="2972" w:type="dxa"/>
            <w:noWrap/>
            <w:vAlign w:val="bottom"/>
            <w:hideMark/>
          </w:tcPr>
          <w:p w14:paraId="02BA32D0" w14:textId="77777777" w:rsidR="00EC0F09" w:rsidRPr="008C7825" w:rsidRDefault="00EC0F09" w:rsidP="00EC0F09">
            <w:pPr>
              <w:tabs>
                <w:tab w:val="clear" w:pos="431"/>
              </w:tabs>
              <w:spacing w:after="0" w:line="240" w:lineRule="auto"/>
              <w:ind w:left="0"/>
              <w:jc w:val="left"/>
              <w:rPr>
                <w:rFonts w:ascii="Times New Roman" w:hAnsi="Times New Roman" w:cs="Times New Roman"/>
                <w:b/>
                <w:bCs/>
                <w:szCs w:val="20"/>
                <w:lang w:eastAsia="hr-HR"/>
              </w:rPr>
            </w:pPr>
          </w:p>
        </w:tc>
        <w:tc>
          <w:tcPr>
            <w:tcW w:w="2126" w:type="dxa"/>
            <w:noWrap/>
            <w:vAlign w:val="bottom"/>
            <w:hideMark/>
          </w:tcPr>
          <w:p w14:paraId="3C3C0BA9" w14:textId="77777777" w:rsidR="00EC0F09" w:rsidRDefault="00EC0F09" w:rsidP="00334A49">
            <w:pPr>
              <w:tabs>
                <w:tab w:val="clear" w:pos="431"/>
              </w:tabs>
              <w:spacing w:after="0" w:line="240" w:lineRule="auto"/>
              <w:ind w:left="0"/>
              <w:jc w:val="center"/>
              <w:rPr>
                <w:rFonts w:ascii="Calibri" w:hAnsi="Calibri" w:cs="Calibri"/>
                <w:b/>
                <w:bCs/>
                <w:color w:val="000000"/>
                <w:szCs w:val="20"/>
                <w:lang w:eastAsia="hr-HR"/>
              </w:rPr>
            </w:pPr>
            <w:r w:rsidRPr="008C7825">
              <w:rPr>
                <w:rFonts w:ascii="Calibri" w:hAnsi="Calibri" w:cs="Calibri"/>
                <w:b/>
                <w:bCs/>
                <w:color w:val="000000"/>
                <w:szCs w:val="20"/>
                <w:lang w:eastAsia="hr-HR"/>
              </w:rPr>
              <w:t>2030</w:t>
            </w:r>
          </w:p>
          <w:p w14:paraId="669831C7" w14:textId="77777777" w:rsidR="00AC71EB" w:rsidRPr="008C7825" w:rsidRDefault="00AC71EB" w:rsidP="00334A49">
            <w:pPr>
              <w:tabs>
                <w:tab w:val="clear" w:pos="431"/>
              </w:tabs>
              <w:spacing w:after="0" w:line="240" w:lineRule="auto"/>
              <w:ind w:left="0"/>
              <w:jc w:val="center"/>
              <w:rPr>
                <w:rFonts w:ascii="Calibri" w:hAnsi="Calibri" w:cs="Calibri"/>
                <w:b/>
                <w:bCs/>
                <w:color w:val="000000"/>
                <w:szCs w:val="20"/>
                <w:lang w:eastAsia="hr-HR"/>
              </w:rPr>
            </w:pPr>
            <w:r>
              <w:rPr>
                <w:rFonts w:ascii="Calibri" w:hAnsi="Calibri" w:cs="Calibri"/>
                <w:b/>
                <w:bCs/>
                <w:color w:val="000000"/>
                <w:szCs w:val="20"/>
                <w:lang w:eastAsia="hr-HR"/>
              </w:rPr>
              <w:t>m²</w:t>
            </w:r>
          </w:p>
        </w:tc>
        <w:tc>
          <w:tcPr>
            <w:tcW w:w="2127" w:type="dxa"/>
            <w:noWrap/>
            <w:vAlign w:val="bottom"/>
            <w:hideMark/>
          </w:tcPr>
          <w:p w14:paraId="77BA98E6" w14:textId="77777777" w:rsidR="00EC0F09" w:rsidRDefault="00EC0F09" w:rsidP="00334A49">
            <w:pPr>
              <w:tabs>
                <w:tab w:val="clear" w:pos="431"/>
              </w:tabs>
              <w:spacing w:after="0" w:line="240" w:lineRule="auto"/>
              <w:ind w:left="0"/>
              <w:jc w:val="center"/>
              <w:rPr>
                <w:rFonts w:ascii="Calibri" w:hAnsi="Calibri" w:cs="Calibri"/>
                <w:b/>
                <w:bCs/>
                <w:color w:val="000000"/>
                <w:szCs w:val="20"/>
                <w:lang w:eastAsia="hr-HR"/>
              </w:rPr>
            </w:pPr>
            <w:r w:rsidRPr="008C7825">
              <w:rPr>
                <w:rFonts w:ascii="Calibri" w:hAnsi="Calibri" w:cs="Calibri"/>
                <w:b/>
                <w:bCs/>
                <w:color w:val="000000"/>
                <w:szCs w:val="20"/>
                <w:lang w:eastAsia="hr-HR"/>
              </w:rPr>
              <w:t>2040</w:t>
            </w:r>
          </w:p>
          <w:p w14:paraId="4C88A830" w14:textId="77777777" w:rsidR="00AC71EB" w:rsidRPr="008C7825" w:rsidRDefault="00AC71EB" w:rsidP="00334A49">
            <w:pPr>
              <w:tabs>
                <w:tab w:val="clear" w:pos="431"/>
              </w:tabs>
              <w:spacing w:after="0" w:line="240" w:lineRule="auto"/>
              <w:ind w:left="0"/>
              <w:jc w:val="center"/>
              <w:rPr>
                <w:rFonts w:ascii="Calibri" w:hAnsi="Calibri" w:cs="Calibri"/>
                <w:b/>
                <w:bCs/>
                <w:color w:val="000000"/>
                <w:szCs w:val="20"/>
                <w:lang w:eastAsia="hr-HR"/>
              </w:rPr>
            </w:pPr>
            <w:r>
              <w:rPr>
                <w:rFonts w:ascii="Calibri" w:hAnsi="Calibri" w:cs="Calibri"/>
                <w:b/>
                <w:bCs/>
                <w:color w:val="000000"/>
                <w:szCs w:val="20"/>
                <w:lang w:eastAsia="hr-HR"/>
              </w:rPr>
              <w:t>m²</w:t>
            </w:r>
          </w:p>
        </w:tc>
        <w:tc>
          <w:tcPr>
            <w:tcW w:w="2119" w:type="dxa"/>
            <w:noWrap/>
            <w:vAlign w:val="bottom"/>
            <w:hideMark/>
          </w:tcPr>
          <w:p w14:paraId="31A9245D" w14:textId="77777777" w:rsidR="00EC0F09" w:rsidRDefault="00EC0F09" w:rsidP="00334A49">
            <w:pPr>
              <w:tabs>
                <w:tab w:val="clear" w:pos="431"/>
              </w:tabs>
              <w:spacing w:after="0" w:line="240" w:lineRule="auto"/>
              <w:ind w:left="0"/>
              <w:jc w:val="center"/>
              <w:rPr>
                <w:rFonts w:ascii="Calibri" w:hAnsi="Calibri" w:cs="Calibri"/>
                <w:b/>
                <w:bCs/>
                <w:color w:val="000000"/>
                <w:szCs w:val="20"/>
                <w:lang w:eastAsia="hr-HR"/>
              </w:rPr>
            </w:pPr>
            <w:r w:rsidRPr="008C7825">
              <w:rPr>
                <w:rFonts w:ascii="Calibri" w:hAnsi="Calibri" w:cs="Calibri"/>
                <w:b/>
                <w:bCs/>
                <w:color w:val="000000"/>
                <w:szCs w:val="20"/>
                <w:lang w:eastAsia="hr-HR"/>
              </w:rPr>
              <w:t>2050</w:t>
            </w:r>
          </w:p>
          <w:p w14:paraId="40E4BEFB" w14:textId="77777777" w:rsidR="00AC71EB" w:rsidRPr="008C7825" w:rsidRDefault="00AC71EB" w:rsidP="00334A49">
            <w:pPr>
              <w:tabs>
                <w:tab w:val="clear" w:pos="431"/>
              </w:tabs>
              <w:spacing w:after="0" w:line="240" w:lineRule="auto"/>
              <w:ind w:left="0"/>
              <w:jc w:val="center"/>
              <w:rPr>
                <w:rFonts w:ascii="Calibri" w:hAnsi="Calibri" w:cs="Calibri"/>
                <w:b/>
                <w:bCs/>
                <w:color w:val="000000"/>
                <w:szCs w:val="20"/>
                <w:lang w:eastAsia="hr-HR"/>
              </w:rPr>
            </w:pPr>
            <w:r>
              <w:rPr>
                <w:rFonts w:ascii="Calibri" w:hAnsi="Calibri" w:cs="Calibri"/>
                <w:b/>
                <w:bCs/>
                <w:color w:val="000000"/>
                <w:szCs w:val="20"/>
                <w:lang w:eastAsia="hr-HR"/>
              </w:rPr>
              <w:t>m²</w:t>
            </w:r>
          </w:p>
        </w:tc>
      </w:tr>
      <w:tr w:rsidR="001F1C60" w:rsidRPr="00EC0F09" w14:paraId="7637ADB2" w14:textId="77777777" w:rsidTr="008C7825">
        <w:trPr>
          <w:trHeight w:val="288"/>
        </w:trPr>
        <w:tc>
          <w:tcPr>
            <w:tcW w:w="2972" w:type="dxa"/>
            <w:noWrap/>
            <w:vAlign w:val="bottom"/>
            <w:hideMark/>
          </w:tcPr>
          <w:p w14:paraId="0D068239" w14:textId="77777777" w:rsidR="00EC0F09" w:rsidRPr="008C7825" w:rsidRDefault="00EC0F09" w:rsidP="00EC0F09">
            <w:pPr>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višestambene</w:t>
            </w:r>
          </w:p>
        </w:tc>
        <w:tc>
          <w:tcPr>
            <w:tcW w:w="2126" w:type="dxa"/>
            <w:noWrap/>
            <w:vAlign w:val="bottom"/>
            <w:hideMark/>
          </w:tcPr>
          <w:p w14:paraId="4DBE6CCB" w14:textId="77777777" w:rsidR="00EC0F09" w:rsidRPr="008C7825" w:rsidRDefault="00EC0F09" w:rsidP="00EC0F09">
            <w:pPr>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64.160.346</w:t>
            </w:r>
          </w:p>
        </w:tc>
        <w:tc>
          <w:tcPr>
            <w:tcW w:w="2127" w:type="dxa"/>
            <w:noWrap/>
            <w:vAlign w:val="bottom"/>
            <w:hideMark/>
          </w:tcPr>
          <w:p w14:paraId="1D608868" w14:textId="77777777" w:rsidR="00EC0F09" w:rsidRPr="008C7825" w:rsidRDefault="00EC0F09" w:rsidP="00EC0F09">
            <w:pPr>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68.605.285</w:t>
            </w:r>
          </w:p>
        </w:tc>
        <w:tc>
          <w:tcPr>
            <w:tcW w:w="2119" w:type="dxa"/>
            <w:noWrap/>
            <w:vAlign w:val="bottom"/>
            <w:hideMark/>
          </w:tcPr>
          <w:p w14:paraId="1B5DBD66" w14:textId="77777777" w:rsidR="00EC0F09" w:rsidRPr="008C7825" w:rsidRDefault="00EC0F09" w:rsidP="00EC0F09">
            <w:pPr>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73.180.074</w:t>
            </w:r>
          </w:p>
        </w:tc>
      </w:tr>
      <w:tr w:rsidR="001F1C60" w:rsidRPr="00200C13" w14:paraId="0DB6E0EB" w14:textId="77777777" w:rsidTr="008C7825">
        <w:trPr>
          <w:trHeight w:val="288"/>
        </w:trPr>
        <w:tc>
          <w:tcPr>
            <w:tcW w:w="2972" w:type="dxa"/>
            <w:noWrap/>
            <w:vAlign w:val="bottom"/>
            <w:hideMark/>
          </w:tcPr>
          <w:p w14:paraId="510F75FB" w14:textId="77777777" w:rsidR="00EC0F09" w:rsidRPr="00200C13" w:rsidRDefault="00EC0F09" w:rsidP="00EC0F09">
            <w:pPr>
              <w:tabs>
                <w:tab w:val="clear" w:pos="431"/>
              </w:tabs>
              <w:spacing w:after="0" w:line="240" w:lineRule="auto"/>
              <w:ind w:left="0"/>
              <w:jc w:val="left"/>
              <w:rPr>
                <w:rFonts w:ascii="Calibri" w:hAnsi="Calibri" w:cs="Calibri"/>
                <w:color w:val="000000"/>
                <w:szCs w:val="20"/>
                <w:lang w:eastAsia="hr-HR"/>
              </w:rPr>
            </w:pPr>
            <w:r w:rsidRPr="00200C13">
              <w:rPr>
                <w:rFonts w:ascii="Calibri" w:hAnsi="Calibri" w:cs="Calibri"/>
                <w:color w:val="000000"/>
                <w:szCs w:val="20"/>
                <w:lang w:eastAsia="hr-HR"/>
              </w:rPr>
              <w:t>obiteljske</w:t>
            </w:r>
          </w:p>
        </w:tc>
        <w:tc>
          <w:tcPr>
            <w:tcW w:w="2126" w:type="dxa"/>
            <w:noWrap/>
            <w:vAlign w:val="bottom"/>
            <w:hideMark/>
          </w:tcPr>
          <w:p w14:paraId="592E02D0" w14:textId="77777777" w:rsidR="00EC0F09" w:rsidRPr="00200C13" w:rsidRDefault="00EC0F09" w:rsidP="00EC0F09">
            <w:pPr>
              <w:tabs>
                <w:tab w:val="clear" w:pos="431"/>
              </w:tabs>
              <w:spacing w:after="0" w:line="240" w:lineRule="auto"/>
              <w:ind w:left="0"/>
              <w:jc w:val="right"/>
              <w:rPr>
                <w:rFonts w:ascii="Calibri" w:hAnsi="Calibri" w:cs="Calibri"/>
                <w:color w:val="000000"/>
                <w:szCs w:val="20"/>
                <w:lang w:eastAsia="hr-HR"/>
              </w:rPr>
            </w:pPr>
            <w:r w:rsidRPr="00200C13">
              <w:rPr>
                <w:rFonts w:ascii="Calibri" w:hAnsi="Calibri" w:cs="Calibri"/>
                <w:color w:val="000000"/>
                <w:szCs w:val="20"/>
                <w:lang w:eastAsia="hr-HR"/>
              </w:rPr>
              <w:t>103.288.933</w:t>
            </w:r>
          </w:p>
        </w:tc>
        <w:tc>
          <w:tcPr>
            <w:tcW w:w="2127" w:type="dxa"/>
            <w:noWrap/>
            <w:vAlign w:val="bottom"/>
            <w:hideMark/>
          </w:tcPr>
          <w:p w14:paraId="552EBD3A" w14:textId="77777777" w:rsidR="00EC0F09" w:rsidRPr="00200C13" w:rsidRDefault="00EC0F09" w:rsidP="00EC0F09">
            <w:pPr>
              <w:tabs>
                <w:tab w:val="clear" w:pos="431"/>
              </w:tabs>
              <w:spacing w:after="0" w:line="240" w:lineRule="auto"/>
              <w:ind w:left="0"/>
              <w:jc w:val="right"/>
              <w:rPr>
                <w:rFonts w:ascii="Calibri" w:hAnsi="Calibri" w:cs="Calibri"/>
                <w:color w:val="000000"/>
                <w:szCs w:val="20"/>
                <w:lang w:eastAsia="hr-HR"/>
              </w:rPr>
            </w:pPr>
            <w:r w:rsidRPr="00200C13">
              <w:rPr>
                <w:rFonts w:ascii="Calibri" w:hAnsi="Calibri" w:cs="Calibri"/>
                <w:color w:val="000000"/>
                <w:szCs w:val="20"/>
                <w:lang w:eastAsia="hr-HR"/>
              </w:rPr>
              <w:t>110.444.645</w:t>
            </w:r>
          </w:p>
        </w:tc>
        <w:tc>
          <w:tcPr>
            <w:tcW w:w="2119" w:type="dxa"/>
            <w:noWrap/>
            <w:vAlign w:val="bottom"/>
            <w:hideMark/>
          </w:tcPr>
          <w:p w14:paraId="7D1E47D6" w14:textId="77777777" w:rsidR="00EC0F09" w:rsidRPr="00200C13" w:rsidRDefault="00EC0F09" w:rsidP="00EC0F09">
            <w:pPr>
              <w:tabs>
                <w:tab w:val="clear" w:pos="431"/>
              </w:tabs>
              <w:spacing w:after="0" w:line="240" w:lineRule="auto"/>
              <w:ind w:left="0"/>
              <w:jc w:val="right"/>
              <w:rPr>
                <w:rFonts w:ascii="Calibri" w:hAnsi="Calibri" w:cs="Calibri"/>
                <w:color w:val="000000"/>
                <w:szCs w:val="20"/>
                <w:lang w:eastAsia="hr-HR"/>
              </w:rPr>
            </w:pPr>
            <w:r w:rsidRPr="00200C13">
              <w:rPr>
                <w:rFonts w:ascii="Calibri" w:hAnsi="Calibri" w:cs="Calibri"/>
                <w:color w:val="000000"/>
                <w:szCs w:val="20"/>
                <w:lang w:eastAsia="hr-HR"/>
              </w:rPr>
              <w:t>117.809.397</w:t>
            </w:r>
          </w:p>
        </w:tc>
      </w:tr>
      <w:tr w:rsidR="00200C13" w:rsidRPr="00200C13" w14:paraId="75902A16" w14:textId="77777777" w:rsidTr="00200C13">
        <w:trPr>
          <w:trHeight w:val="288"/>
        </w:trPr>
        <w:tc>
          <w:tcPr>
            <w:tcW w:w="2972" w:type="dxa"/>
            <w:noWrap/>
            <w:vAlign w:val="bottom"/>
            <w:hideMark/>
          </w:tcPr>
          <w:p w14:paraId="3BDF5ABB" w14:textId="77777777" w:rsidR="00200C13" w:rsidRPr="00200C13" w:rsidRDefault="00200C13" w:rsidP="00826D9B">
            <w:pPr>
              <w:tabs>
                <w:tab w:val="clear" w:pos="431"/>
              </w:tabs>
              <w:spacing w:after="0" w:line="240" w:lineRule="auto"/>
              <w:ind w:left="0"/>
              <w:jc w:val="left"/>
              <w:rPr>
                <w:rFonts w:ascii="Calibri" w:hAnsi="Calibri" w:cs="Calibri"/>
                <w:b/>
                <w:bCs/>
                <w:color w:val="000000"/>
                <w:szCs w:val="20"/>
                <w:lang w:eastAsia="hr-HR"/>
              </w:rPr>
            </w:pPr>
            <w:r w:rsidRPr="00200C13">
              <w:rPr>
                <w:rFonts w:ascii="Calibri" w:hAnsi="Calibri" w:cs="Calibri"/>
                <w:b/>
                <w:bCs/>
                <w:color w:val="000000"/>
                <w:szCs w:val="20"/>
                <w:lang w:eastAsia="hr-HR"/>
              </w:rPr>
              <w:t>stambene ukupno</w:t>
            </w:r>
          </w:p>
        </w:tc>
        <w:tc>
          <w:tcPr>
            <w:tcW w:w="2126" w:type="dxa"/>
            <w:noWrap/>
            <w:vAlign w:val="bottom"/>
            <w:hideMark/>
          </w:tcPr>
          <w:p w14:paraId="02A89D17" w14:textId="77777777" w:rsidR="00200C13" w:rsidRPr="00200C13" w:rsidRDefault="00200C13" w:rsidP="00826D9B">
            <w:pPr>
              <w:tabs>
                <w:tab w:val="clear" w:pos="431"/>
              </w:tabs>
              <w:spacing w:after="0" w:line="240" w:lineRule="auto"/>
              <w:ind w:left="0"/>
              <w:jc w:val="right"/>
              <w:rPr>
                <w:rFonts w:ascii="Calibri" w:hAnsi="Calibri" w:cs="Calibri"/>
                <w:b/>
                <w:bCs/>
                <w:color w:val="000000"/>
                <w:szCs w:val="20"/>
                <w:lang w:eastAsia="hr-HR"/>
              </w:rPr>
            </w:pPr>
            <w:r w:rsidRPr="00200C13">
              <w:rPr>
                <w:rFonts w:ascii="Calibri" w:hAnsi="Calibri" w:cs="Calibri"/>
                <w:b/>
                <w:bCs/>
                <w:color w:val="000000"/>
                <w:szCs w:val="20"/>
                <w:lang w:eastAsia="hr-HR"/>
              </w:rPr>
              <w:t>166.272.175</w:t>
            </w:r>
          </w:p>
        </w:tc>
        <w:tc>
          <w:tcPr>
            <w:tcW w:w="2127" w:type="dxa"/>
            <w:noWrap/>
            <w:vAlign w:val="bottom"/>
            <w:hideMark/>
          </w:tcPr>
          <w:p w14:paraId="199F3713" w14:textId="77777777" w:rsidR="00200C13" w:rsidRPr="00200C13" w:rsidRDefault="00200C13" w:rsidP="00826D9B">
            <w:pPr>
              <w:tabs>
                <w:tab w:val="clear" w:pos="431"/>
              </w:tabs>
              <w:spacing w:after="0" w:line="240" w:lineRule="auto"/>
              <w:ind w:left="0"/>
              <w:jc w:val="right"/>
              <w:rPr>
                <w:rFonts w:ascii="Calibri" w:hAnsi="Calibri" w:cs="Calibri"/>
                <w:b/>
                <w:bCs/>
                <w:color w:val="000000"/>
                <w:szCs w:val="20"/>
                <w:lang w:eastAsia="hr-HR"/>
              </w:rPr>
            </w:pPr>
            <w:r w:rsidRPr="00200C13">
              <w:rPr>
                <w:rFonts w:ascii="Calibri" w:hAnsi="Calibri" w:cs="Calibri"/>
                <w:b/>
                <w:bCs/>
                <w:color w:val="000000"/>
                <w:szCs w:val="20"/>
                <w:lang w:eastAsia="hr-HR"/>
              </w:rPr>
              <w:t>177.791.278</w:t>
            </w:r>
          </w:p>
        </w:tc>
        <w:tc>
          <w:tcPr>
            <w:tcW w:w="2119" w:type="dxa"/>
            <w:noWrap/>
            <w:vAlign w:val="bottom"/>
            <w:hideMark/>
          </w:tcPr>
          <w:p w14:paraId="0C10A4D5" w14:textId="77777777" w:rsidR="00200C13" w:rsidRPr="00200C13" w:rsidRDefault="00200C13" w:rsidP="00826D9B">
            <w:pPr>
              <w:tabs>
                <w:tab w:val="clear" w:pos="431"/>
              </w:tabs>
              <w:spacing w:after="0" w:line="240" w:lineRule="auto"/>
              <w:ind w:left="0"/>
              <w:jc w:val="right"/>
              <w:rPr>
                <w:rFonts w:ascii="Calibri" w:hAnsi="Calibri" w:cs="Calibri"/>
                <w:b/>
                <w:bCs/>
                <w:color w:val="000000"/>
                <w:szCs w:val="20"/>
                <w:lang w:eastAsia="hr-HR"/>
              </w:rPr>
            </w:pPr>
            <w:r w:rsidRPr="00200C13">
              <w:rPr>
                <w:rFonts w:ascii="Calibri" w:hAnsi="Calibri" w:cs="Calibri"/>
                <w:b/>
                <w:bCs/>
                <w:color w:val="000000"/>
                <w:szCs w:val="20"/>
                <w:lang w:eastAsia="hr-HR"/>
              </w:rPr>
              <w:t>189.646.889</w:t>
            </w:r>
          </w:p>
        </w:tc>
      </w:tr>
    </w:tbl>
    <w:p w14:paraId="36AB7C5D" w14:textId="77777777" w:rsidR="002A3D44" w:rsidRDefault="002A3D44" w:rsidP="007C28FE"/>
    <w:p w14:paraId="6BCEC4B0" w14:textId="204D46A5" w:rsidR="00B66C33" w:rsidRDefault="00B66C33" w:rsidP="008C7825">
      <w:pPr>
        <w:pStyle w:val="Opisslike"/>
        <w:keepNext/>
      </w:pPr>
      <w:bookmarkStart w:id="29" w:name="_Toc40089020"/>
      <w:r>
        <w:t xml:space="preserve">Tablica </w:t>
      </w:r>
      <w:r w:rsidR="00A50909">
        <w:fldChar w:fldCharType="begin"/>
      </w:r>
      <w:r w:rsidR="00A50909">
        <w:instrText xml:space="preserve"> SEQ Tablica \* ARABIC </w:instrText>
      </w:r>
      <w:r w:rsidR="00A50909">
        <w:fldChar w:fldCharType="separate"/>
      </w:r>
      <w:r w:rsidR="00CE61F3">
        <w:rPr>
          <w:noProof/>
        </w:rPr>
        <w:t>3</w:t>
      </w:r>
      <w:r w:rsidR="00A50909">
        <w:rPr>
          <w:noProof/>
        </w:rPr>
        <w:fldChar w:fldCharType="end"/>
      </w:r>
      <w:r>
        <w:t xml:space="preserve"> </w:t>
      </w:r>
      <w:r w:rsidRPr="00242CB1">
        <w:t>Projekcija površine nestambenih zgrada u 2030., 2040. i 2050. godini</w:t>
      </w:r>
      <w:bookmarkEnd w:id="29"/>
    </w:p>
    <w:tbl>
      <w:tblPr>
        <w:tblStyle w:val="Reetkatablice"/>
        <w:tblW w:w="5000" w:type="pct"/>
        <w:tblLook w:val="04A0" w:firstRow="1" w:lastRow="0" w:firstColumn="1" w:lastColumn="0" w:noHBand="0" w:noVBand="1"/>
      </w:tblPr>
      <w:tblGrid>
        <w:gridCol w:w="3029"/>
        <w:gridCol w:w="2105"/>
        <w:gridCol w:w="2105"/>
        <w:gridCol w:w="2105"/>
      </w:tblGrid>
      <w:tr w:rsidR="00B66C33" w:rsidRPr="002D6E7D" w14:paraId="2A6182A6" w14:textId="77777777" w:rsidTr="00334A49">
        <w:trPr>
          <w:trHeight w:val="288"/>
          <w:tblHeader/>
        </w:trPr>
        <w:tc>
          <w:tcPr>
            <w:tcW w:w="3029" w:type="dxa"/>
            <w:noWrap/>
            <w:hideMark/>
          </w:tcPr>
          <w:p w14:paraId="765C8A06" w14:textId="77777777" w:rsidR="00B66C33" w:rsidRPr="008C7825" w:rsidRDefault="00B66C33" w:rsidP="00B66C33">
            <w:pPr>
              <w:rPr>
                <w:rFonts w:asciiTheme="minorHAnsi" w:hAnsiTheme="minorHAnsi" w:cs="Calibri"/>
                <w:b/>
                <w:bCs/>
                <w:szCs w:val="20"/>
              </w:rPr>
            </w:pPr>
          </w:p>
        </w:tc>
        <w:tc>
          <w:tcPr>
            <w:tcW w:w="2105" w:type="dxa"/>
            <w:noWrap/>
            <w:hideMark/>
          </w:tcPr>
          <w:p w14:paraId="5727EC35" w14:textId="77777777" w:rsidR="00B66C33" w:rsidRDefault="00B66C33" w:rsidP="008C7825">
            <w:pPr>
              <w:jc w:val="center"/>
              <w:rPr>
                <w:rFonts w:asciiTheme="minorHAnsi" w:hAnsiTheme="minorHAnsi" w:cs="Calibri"/>
                <w:b/>
                <w:bCs/>
                <w:szCs w:val="20"/>
              </w:rPr>
            </w:pPr>
            <w:r w:rsidRPr="008C7825">
              <w:rPr>
                <w:rFonts w:asciiTheme="minorHAnsi" w:hAnsiTheme="minorHAnsi" w:cs="Calibri"/>
                <w:b/>
                <w:bCs/>
                <w:szCs w:val="20"/>
              </w:rPr>
              <w:t>2030</w:t>
            </w:r>
          </w:p>
          <w:p w14:paraId="319D99FA" w14:textId="77777777" w:rsidR="00AC71EB" w:rsidRPr="008C7825" w:rsidRDefault="00AC71EB" w:rsidP="008C7825">
            <w:pPr>
              <w:jc w:val="center"/>
              <w:rPr>
                <w:rFonts w:asciiTheme="minorHAnsi" w:hAnsiTheme="minorHAnsi" w:cs="Calibri"/>
                <w:b/>
                <w:bCs/>
                <w:szCs w:val="20"/>
              </w:rPr>
            </w:pPr>
            <w:r>
              <w:rPr>
                <w:rFonts w:asciiTheme="minorHAnsi" w:hAnsiTheme="minorHAnsi" w:cs="Calibri"/>
                <w:b/>
                <w:bCs/>
                <w:szCs w:val="20"/>
              </w:rPr>
              <w:t>m²</w:t>
            </w:r>
          </w:p>
        </w:tc>
        <w:tc>
          <w:tcPr>
            <w:tcW w:w="2105" w:type="dxa"/>
            <w:noWrap/>
            <w:hideMark/>
          </w:tcPr>
          <w:p w14:paraId="0628D4CE" w14:textId="77777777" w:rsidR="00B66C33" w:rsidRDefault="00B66C33" w:rsidP="008C7825">
            <w:pPr>
              <w:jc w:val="center"/>
              <w:rPr>
                <w:rFonts w:asciiTheme="minorHAnsi" w:hAnsiTheme="minorHAnsi" w:cs="Calibri"/>
                <w:b/>
                <w:bCs/>
                <w:szCs w:val="20"/>
              </w:rPr>
            </w:pPr>
            <w:r w:rsidRPr="008C7825">
              <w:rPr>
                <w:rFonts w:asciiTheme="minorHAnsi" w:hAnsiTheme="minorHAnsi" w:cs="Calibri"/>
                <w:b/>
                <w:bCs/>
                <w:szCs w:val="20"/>
              </w:rPr>
              <w:t>2040</w:t>
            </w:r>
          </w:p>
          <w:p w14:paraId="6778932A" w14:textId="77777777" w:rsidR="00AC71EB" w:rsidRPr="008C7825" w:rsidRDefault="00842C3B" w:rsidP="008C7825">
            <w:pPr>
              <w:jc w:val="center"/>
              <w:rPr>
                <w:rFonts w:asciiTheme="minorHAnsi" w:hAnsiTheme="minorHAnsi" w:cs="Calibri"/>
                <w:b/>
                <w:bCs/>
                <w:szCs w:val="20"/>
              </w:rPr>
            </w:pPr>
            <w:r>
              <w:rPr>
                <w:rFonts w:asciiTheme="minorHAnsi" w:hAnsiTheme="minorHAnsi" w:cs="Calibri"/>
                <w:b/>
                <w:bCs/>
                <w:szCs w:val="20"/>
              </w:rPr>
              <w:t>m</w:t>
            </w:r>
            <w:r w:rsidR="00AC71EB">
              <w:rPr>
                <w:rFonts w:asciiTheme="minorHAnsi" w:hAnsiTheme="minorHAnsi" w:cs="Calibri"/>
                <w:b/>
                <w:bCs/>
                <w:szCs w:val="20"/>
              </w:rPr>
              <w:t>²</w:t>
            </w:r>
          </w:p>
        </w:tc>
        <w:tc>
          <w:tcPr>
            <w:tcW w:w="2105" w:type="dxa"/>
            <w:noWrap/>
            <w:hideMark/>
          </w:tcPr>
          <w:p w14:paraId="17B2922B" w14:textId="77777777" w:rsidR="00B66C33" w:rsidRDefault="00B66C33" w:rsidP="008C7825">
            <w:pPr>
              <w:jc w:val="center"/>
              <w:rPr>
                <w:rFonts w:asciiTheme="minorHAnsi" w:hAnsiTheme="minorHAnsi" w:cs="Calibri"/>
                <w:b/>
                <w:bCs/>
                <w:szCs w:val="20"/>
              </w:rPr>
            </w:pPr>
            <w:r w:rsidRPr="008C7825">
              <w:rPr>
                <w:rFonts w:asciiTheme="minorHAnsi" w:hAnsiTheme="minorHAnsi" w:cs="Calibri"/>
                <w:b/>
                <w:bCs/>
                <w:szCs w:val="20"/>
              </w:rPr>
              <w:t>2050</w:t>
            </w:r>
          </w:p>
          <w:p w14:paraId="389E4247" w14:textId="77777777" w:rsidR="00842C3B" w:rsidRPr="008C7825" w:rsidRDefault="00842C3B" w:rsidP="008C7825">
            <w:pPr>
              <w:jc w:val="center"/>
              <w:rPr>
                <w:rFonts w:asciiTheme="minorHAnsi" w:hAnsiTheme="minorHAnsi" w:cs="Calibri"/>
                <w:b/>
                <w:bCs/>
                <w:szCs w:val="20"/>
              </w:rPr>
            </w:pPr>
            <w:r>
              <w:rPr>
                <w:rFonts w:asciiTheme="minorHAnsi" w:hAnsiTheme="minorHAnsi" w:cs="Calibri"/>
                <w:b/>
                <w:bCs/>
                <w:szCs w:val="20"/>
              </w:rPr>
              <w:t>m²</w:t>
            </w:r>
          </w:p>
        </w:tc>
      </w:tr>
      <w:tr w:rsidR="00B66C33" w:rsidRPr="00924F6D" w14:paraId="3247193B" w14:textId="77777777" w:rsidTr="008C7825">
        <w:trPr>
          <w:trHeight w:val="288"/>
        </w:trPr>
        <w:tc>
          <w:tcPr>
            <w:tcW w:w="3029" w:type="dxa"/>
            <w:noWrap/>
            <w:hideMark/>
          </w:tcPr>
          <w:p w14:paraId="79DDE082"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uredska</w:t>
            </w:r>
          </w:p>
        </w:tc>
        <w:tc>
          <w:tcPr>
            <w:tcW w:w="2105" w:type="dxa"/>
            <w:noWrap/>
            <w:hideMark/>
          </w:tcPr>
          <w:p w14:paraId="4FFAE2FF"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10.309.712</w:t>
            </w:r>
          </w:p>
        </w:tc>
        <w:tc>
          <w:tcPr>
            <w:tcW w:w="2105" w:type="dxa"/>
            <w:noWrap/>
            <w:hideMark/>
          </w:tcPr>
          <w:p w14:paraId="66E32F92"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10.831.614</w:t>
            </w:r>
          </w:p>
        </w:tc>
        <w:tc>
          <w:tcPr>
            <w:tcW w:w="2105" w:type="dxa"/>
            <w:noWrap/>
            <w:hideMark/>
          </w:tcPr>
          <w:p w14:paraId="34A4D333"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11.082.926</w:t>
            </w:r>
          </w:p>
        </w:tc>
      </w:tr>
      <w:tr w:rsidR="00B66C33" w:rsidRPr="00924F6D" w14:paraId="0A1EA814" w14:textId="77777777" w:rsidTr="008C7825">
        <w:trPr>
          <w:trHeight w:val="288"/>
        </w:trPr>
        <w:tc>
          <w:tcPr>
            <w:tcW w:w="3029" w:type="dxa"/>
            <w:noWrap/>
            <w:hideMark/>
          </w:tcPr>
          <w:p w14:paraId="6C9FADC5"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obrazovne</w:t>
            </w:r>
          </w:p>
        </w:tc>
        <w:tc>
          <w:tcPr>
            <w:tcW w:w="2105" w:type="dxa"/>
            <w:noWrap/>
            <w:hideMark/>
          </w:tcPr>
          <w:p w14:paraId="44DA4764"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6.236.465</w:t>
            </w:r>
          </w:p>
        </w:tc>
        <w:tc>
          <w:tcPr>
            <w:tcW w:w="2105" w:type="dxa"/>
            <w:noWrap/>
            <w:hideMark/>
          </w:tcPr>
          <w:p w14:paraId="04F1A5AB"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6.552.169</w:t>
            </w:r>
          </w:p>
        </w:tc>
        <w:tc>
          <w:tcPr>
            <w:tcW w:w="2105" w:type="dxa"/>
            <w:noWrap/>
            <w:hideMark/>
          </w:tcPr>
          <w:p w14:paraId="456D3889"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6.704.190</w:t>
            </w:r>
          </w:p>
        </w:tc>
      </w:tr>
      <w:tr w:rsidR="00B66C33" w:rsidRPr="00924F6D" w14:paraId="62AB3251" w14:textId="77777777" w:rsidTr="008C7825">
        <w:trPr>
          <w:trHeight w:val="288"/>
        </w:trPr>
        <w:tc>
          <w:tcPr>
            <w:tcW w:w="3029" w:type="dxa"/>
            <w:noWrap/>
            <w:hideMark/>
          </w:tcPr>
          <w:p w14:paraId="5522C59B"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hoteli i restorani</w:t>
            </w:r>
          </w:p>
        </w:tc>
        <w:tc>
          <w:tcPr>
            <w:tcW w:w="2105" w:type="dxa"/>
            <w:noWrap/>
            <w:hideMark/>
          </w:tcPr>
          <w:p w14:paraId="3203A9F2"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4.650.511</w:t>
            </w:r>
          </w:p>
        </w:tc>
        <w:tc>
          <w:tcPr>
            <w:tcW w:w="2105" w:type="dxa"/>
            <w:noWrap/>
            <w:hideMark/>
          </w:tcPr>
          <w:p w14:paraId="519B6C33"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4.885.930</w:t>
            </w:r>
          </w:p>
        </w:tc>
        <w:tc>
          <w:tcPr>
            <w:tcW w:w="2105" w:type="dxa"/>
            <w:noWrap/>
            <w:hideMark/>
          </w:tcPr>
          <w:p w14:paraId="5292BEB6"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4.999.292</w:t>
            </w:r>
          </w:p>
        </w:tc>
      </w:tr>
      <w:tr w:rsidR="00B66C33" w:rsidRPr="00924F6D" w14:paraId="111D2463" w14:textId="77777777" w:rsidTr="008C7825">
        <w:trPr>
          <w:trHeight w:val="288"/>
        </w:trPr>
        <w:tc>
          <w:tcPr>
            <w:tcW w:w="3029" w:type="dxa"/>
            <w:noWrap/>
            <w:hideMark/>
          </w:tcPr>
          <w:p w14:paraId="5CB64456"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bolnice</w:t>
            </w:r>
          </w:p>
        </w:tc>
        <w:tc>
          <w:tcPr>
            <w:tcW w:w="2105" w:type="dxa"/>
            <w:noWrap/>
            <w:hideMark/>
          </w:tcPr>
          <w:p w14:paraId="57687B32"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3.280.271</w:t>
            </w:r>
          </w:p>
        </w:tc>
        <w:tc>
          <w:tcPr>
            <w:tcW w:w="2105" w:type="dxa"/>
            <w:noWrap/>
            <w:hideMark/>
          </w:tcPr>
          <w:p w14:paraId="5E4B12D7"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3.446.326</w:t>
            </w:r>
          </w:p>
        </w:tc>
        <w:tc>
          <w:tcPr>
            <w:tcW w:w="2105" w:type="dxa"/>
            <w:noWrap/>
            <w:hideMark/>
          </w:tcPr>
          <w:p w14:paraId="011EAE9B"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3.526.286</w:t>
            </w:r>
          </w:p>
        </w:tc>
      </w:tr>
      <w:tr w:rsidR="00B66C33" w:rsidRPr="00924F6D" w14:paraId="74AE7086" w14:textId="77777777" w:rsidTr="008C7825">
        <w:trPr>
          <w:trHeight w:val="288"/>
        </w:trPr>
        <w:tc>
          <w:tcPr>
            <w:tcW w:w="3029" w:type="dxa"/>
            <w:noWrap/>
            <w:hideMark/>
          </w:tcPr>
          <w:p w14:paraId="2609A6A9"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sportske dvorane</w:t>
            </w:r>
          </w:p>
        </w:tc>
        <w:tc>
          <w:tcPr>
            <w:tcW w:w="2105" w:type="dxa"/>
            <w:noWrap/>
            <w:hideMark/>
          </w:tcPr>
          <w:p w14:paraId="5B4B6551"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462.823</w:t>
            </w:r>
          </w:p>
        </w:tc>
        <w:tc>
          <w:tcPr>
            <w:tcW w:w="2105" w:type="dxa"/>
            <w:noWrap/>
            <w:hideMark/>
          </w:tcPr>
          <w:p w14:paraId="767AB44B"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486.252</w:t>
            </w:r>
          </w:p>
        </w:tc>
        <w:tc>
          <w:tcPr>
            <w:tcW w:w="2105" w:type="dxa"/>
            <w:noWrap/>
            <w:hideMark/>
          </w:tcPr>
          <w:p w14:paraId="5C639DED"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497.534</w:t>
            </w:r>
          </w:p>
        </w:tc>
      </w:tr>
      <w:tr w:rsidR="00B66C33" w:rsidRPr="00924F6D" w14:paraId="174395A0" w14:textId="77777777" w:rsidTr="008C7825">
        <w:trPr>
          <w:trHeight w:val="288"/>
        </w:trPr>
        <w:tc>
          <w:tcPr>
            <w:tcW w:w="3029" w:type="dxa"/>
            <w:noWrap/>
            <w:hideMark/>
          </w:tcPr>
          <w:p w14:paraId="631FC64E"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trgovina</w:t>
            </w:r>
          </w:p>
        </w:tc>
        <w:tc>
          <w:tcPr>
            <w:tcW w:w="2105" w:type="dxa"/>
            <w:noWrap/>
            <w:hideMark/>
          </w:tcPr>
          <w:p w14:paraId="55078177"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12.833.465</w:t>
            </w:r>
          </w:p>
        </w:tc>
        <w:tc>
          <w:tcPr>
            <w:tcW w:w="2105" w:type="dxa"/>
            <w:noWrap/>
            <w:hideMark/>
          </w:tcPr>
          <w:p w14:paraId="1BFE97FC"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13.483.125</w:t>
            </w:r>
          </w:p>
        </w:tc>
        <w:tc>
          <w:tcPr>
            <w:tcW w:w="2105" w:type="dxa"/>
            <w:noWrap/>
            <w:hideMark/>
          </w:tcPr>
          <w:p w14:paraId="11196BA7"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13.795.956</w:t>
            </w:r>
          </w:p>
        </w:tc>
      </w:tr>
      <w:tr w:rsidR="00B66C33" w:rsidRPr="00924F6D" w14:paraId="3CC79FA8" w14:textId="77777777" w:rsidTr="008C7825">
        <w:trPr>
          <w:trHeight w:val="288"/>
        </w:trPr>
        <w:tc>
          <w:tcPr>
            <w:tcW w:w="3029" w:type="dxa"/>
            <w:noWrap/>
            <w:hideMark/>
          </w:tcPr>
          <w:p w14:paraId="16CFD832"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ostalo</w:t>
            </w:r>
          </w:p>
        </w:tc>
        <w:tc>
          <w:tcPr>
            <w:tcW w:w="2105" w:type="dxa"/>
            <w:noWrap/>
            <w:hideMark/>
          </w:tcPr>
          <w:p w14:paraId="3EA5AB10"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24.303.780</w:t>
            </w:r>
          </w:p>
        </w:tc>
        <w:tc>
          <w:tcPr>
            <w:tcW w:w="2105" w:type="dxa"/>
            <w:noWrap/>
            <w:hideMark/>
          </w:tcPr>
          <w:p w14:paraId="74A067CA"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25.534.093</w:t>
            </w:r>
          </w:p>
        </w:tc>
        <w:tc>
          <w:tcPr>
            <w:tcW w:w="2105" w:type="dxa"/>
            <w:noWrap/>
            <w:hideMark/>
          </w:tcPr>
          <w:p w14:paraId="48BAAE90"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26.126.528</w:t>
            </w:r>
          </w:p>
        </w:tc>
      </w:tr>
      <w:tr w:rsidR="00B66C33" w:rsidRPr="00924F6D" w14:paraId="4045E2B9" w14:textId="77777777" w:rsidTr="008C7825">
        <w:trPr>
          <w:trHeight w:val="288"/>
        </w:trPr>
        <w:tc>
          <w:tcPr>
            <w:tcW w:w="3029" w:type="dxa"/>
            <w:noWrap/>
            <w:hideMark/>
          </w:tcPr>
          <w:p w14:paraId="5144C599" w14:textId="77777777" w:rsidR="00B66C33" w:rsidRPr="008C7825" w:rsidRDefault="00200C13" w:rsidP="00B66C33">
            <w:pPr>
              <w:rPr>
                <w:rFonts w:asciiTheme="minorHAnsi" w:hAnsiTheme="minorHAnsi" w:cs="Calibri"/>
                <w:b/>
                <w:bCs/>
                <w:szCs w:val="20"/>
              </w:rPr>
            </w:pPr>
            <w:r>
              <w:rPr>
                <w:rFonts w:asciiTheme="minorHAnsi" w:hAnsiTheme="minorHAnsi" w:cs="Calibri"/>
                <w:b/>
                <w:bCs/>
                <w:szCs w:val="20"/>
              </w:rPr>
              <w:t xml:space="preserve">nestambene </w:t>
            </w:r>
            <w:r w:rsidR="00B66C33" w:rsidRPr="008C7825">
              <w:rPr>
                <w:rFonts w:asciiTheme="minorHAnsi" w:hAnsiTheme="minorHAnsi" w:cs="Calibri"/>
                <w:b/>
                <w:bCs/>
                <w:szCs w:val="20"/>
              </w:rPr>
              <w:t>ukupno</w:t>
            </w:r>
          </w:p>
        </w:tc>
        <w:tc>
          <w:tcPr>
            <w:tcW w:w="2105" w:type="dxa"/>
            <w:noWrap/>
            <w:hideMark/>
          </w:tcPr>
          <w:p w14:paraId="565D690E" w14:textId="77777777" w:rsidR="00B66C33" w:rsidRPr="008C7825" w:rsidRDefault="00B66C33" w:rsidP="008C7825">
            <w:pPr>
              <w:jc w:val="right"/>
              <w:rPr>
                <w:rFonts w:asciiTheme="minorHAnsi" w:hAnsiTheme="minorHAnsi" w:cs="Calibri"/>
                <w:b/>
                <w:bCs/>
                <w:szCs w:val="20"/>
              </w:rPr>
            </w:pPr>
            <w:r w:rsidRPr="008C7825">
              <w:rPr>
                <w:rFonts w:asciiTheme="minorHAnsi" w:hAnsiTheme="minorHAnsi" w:cs="Calibri"/>
                <w:b/>
                <w:bCs/>
                <w:szCs w:val="20"/>
              </w:rPr>
              <w:t>62.077.026</w:t>
            </w:r>
          </w:p>
        </w:tc>
        <w:tc>
          <w:tcPr>
            <w:tcW w:w="2105" w:type="dxa"/>
            <w:noWrap/>
            <w:hideMark/>
          </w:tcPr>
          <w:p w14:paraId="58941C32" w14:textId="77777777" w:rsidR="00B66C33" w:rsidRPr="008C7825" w:rsidRDefault="00B66C33" w:rsidP="008C7825">
            <w:pPr>
              <w:jc w:val="right"/>
              <w:rPr>
                <w:rFonts w:asciiTheme="minorHAnsi" w:hAnsiTheme="minorHAnsi" w:cs="Calibri"/>
                <w:b/>
                <w:bCs/>
                <w:szCs w:val="20"/>
              </w:rPr>
            </w:pPr>
            <w:r w:rsidRPr="008C7825">
              <w:rPr>
                <w:rFonts w:asciiTheme="minorHAnsi" w:hAnsiTheme="minorHAnsi" w:cs="Calibri"/>
                <w:b/>
                <w:bCs/>
                <w:szCs w:val="20"/>
              </w:rPr>
              <w:t>65.219.509</w:t>
            </w:r>
          </w:p>
        </w:tc>
        <w:tc>
          <w:tcPr>
            <w:tcW w:w="2105" w:type="dxa"/>
            <w:noWrap/>
            <w:hideMark/>
          </w:tcPr>
          <w:p w14:paraId="450A8966" w14:textId="77777777" w:rsidR="00B66C33" w:rsidRPr="008C7825" w:rsidRDefault="00B66C33" w:rsidP="008C7825">
            <w:pPr>
              <w:keepNext/>
              <w:jc w:val="right"/>
              <w:rPr>
                <w:rFonts w:asciiTheme="minorHAnsi" w:hAnsiTheme="minorHAnsi" w:cs="Calibri"/>
                <w:b/>
                <w:bCs/>
                <w:szCs w:val="20"/>
              </w:rPr>
            </w:pPr>
            <w:r w:rsidRPr="008C7825">
              <w:rPr>
                <w:rFonts w:asciiTheme="minorHAnsi" w:hAnsiTheme="minorHAnsi" w:cs="Calibri"/>
                <w:b/>
                <w:bCs/>
                <w:szCs w:val="20"/>
              </w:rPr>
              <w:t>66.732.712</w:t>
            </w:r>
          </w:p>
        </w:tc>
      </w:tr>
    </w:tbl>
    <w:p w14:paraId="5417B6C9" w14:textId="77777777" w:rsidR="00587B0C" w:rsidRDefault="00587B0C" w:rsidP="00AA3115">
      <w:pPr>
        <w:rPr>
          <w:highlight w:val="yellow"/>
          <w:lang w:eastAsia="hr-HR"/>
        </w:rPr>
      </w:pPr>
    </w:p>
    <w:p w14:paraId="2CCC2638" w14:textId="6887031F" w:rsidR="00AA7FAD" w:rsidRPr="00992029" w:rsidRDefault="00544112" w:rsidP="00AA3115">
      <w:pPr>
        <w:rPr>
          <w:lang w:eastAsia="hr-HR"/>
        </w:rPr>
      </w:pPr>
      <w:r w:rsidRPr="00992029">
        <w:rPr>
          <w:lang w:eastAsia="hr-HR"/>
        </w:rPr>
        <w:t>Buduća struktura</w:t>
      </w:r>
      <w:r w:rsidR="00F85F94" w:rsidRPr="00992029">
        <w:rPr>
          <w:lang w:eastAsia="hr-HR"/>
        </w:rPr>
        <w:t xml:space="preserve"> fonda zgrada </w:t>
      </w:r>
      <w:r w:rsidRPr="00992029">
        <w:rPr>
          <w:lang w:eastAsia="hr-HR"/>
        </w:rPr>
        <w:t>najviše</w:t>
      </w:r>
      <w:r w:rsidR="00F85F94" w:rsidRPr="00992029">
        <w:rPr>
          <w:lang w:eastAsia="hr-HR"/>
        </w:rPr>
        <w:t xml:space="preserve"> ovisi o distribuciji ulaganja </w:t>
      </w:r>
      <w:r w:rsidR="0012617D" w:rsidRPr="00992029">
        <w:rPr>
          <w:lang w:eastAsia="hr-HR"/>
        </w:rPr>
        <w:t xml:space="preserve">u budućem razdoblju </w:t>
      </w:r>
      <w:r w:rsidR="00CA40F0" w:rsidRPr="00992029">
        <w:rPr>
          <w:lang w:eastAsia="hr-HR"/>
        </w:rPr>
        <w:t xml:space="preserve">– </w:t>
      </w:r>
      <w:r w:rsidR="003A1C68" w:rsidRPr="00992029">
        <w:rPr>
          <w:lang w:eastAsia="hr-HR"/>
        </w:rPr>
        <w:t xml:space="preserve">kontinuitet novogradnje zbog stalne potražnje za novim stambenim i poslovnim prostorom </w:t>
      </w:r>
      <w:r w:rsidR="007A00E3" w:rsidRPr="00992029">
        <w:rPr>
          <w:lang w:eastAsia="hr-HR"/>
        </w:rPr>
        <w:t>će biti održan, s mogućim</w:t>
      </w:r>
      <w:r w:rsidR="00205FB8" w:rsidRPr="00992029">
        <w:rPr>
          <w:lang w:eastAsia="hr-HR"/>
        </w:rPr>
        <w:t xml:space="preserve"> </w:t>
      </w:r>
      <w:r w:rsidR="00A378B4" w:rsidRPr="00992029">
        <w:rPr>
          <w:lang w:eastAsia="hr-HR"/>
        </w:rPr>
        <w:t>periodičkim</w:t>
      </w:r>
      <w:r w:rsidR="00205FB8" w:rsidRPr="00992029">
        <w:rPr>
          <w:lang w:eastAsia="hr-HR"/>
        </w:rPr>
        <w:t xml:space="preserve"> promjenama </w:t>
      </w:r>
      <w:r w:rsidR="00A378B4" w:rsidRPr="00992029">
        <w:rPr>
          <w:lang w:eastAsia="hr-HR"/>
        </w:rPr>
        <w:t>intenziteta</w:t>
      </w:r>
      <w:r w:rsidR="00713C24" w:rsidRPr="00992029">
        <w:rPr>
          <w:lang w:eastAsia="hr-HR"/>
        </w:rPr>
        <w:t xml:space="preserve">. </w:t>
      </w:r>
      <w:r w:rsidR="00AA7FAD" w:rsidRPr="00992029">
        <w:rPr>
          <w:lang w:eastAsia="hr-HR"/>
        </w:rPr>
        <w:t>U proteklom razdoblju</w:t>
      </w:r>
      <w:r w:rsidR="00574B62" w:rsidRPr="00992029">
        <w:rPr>
          <w:lang w:eastAsia="hr-HR"/>
        </w:rPr>
        <w:t xml:space="preserve"> vidljivo je kako određeni minimalni </w:t>
      </w:r>
      <w:r w:rsidR="00054513" w:rsidRPr="00992029">
        <w:rPr>
          <w:lang w:eastAsia="hr-HR"/>
        </w:rPr>
        <w:t>intenzitet novogradnje ostaje sačuvan čak i u izuzetnim gospodarskim i financijskim prilikam</w:t>
      </w:r>
      <w:r w:rsidR="00A40CAE" w:rsidRPr="00992029">
        <w:rPr>
          <w:lang w:eastAsia="hr-HR"/>
        </w:rPr>
        <w:t xml:space="preserve">a. Također, </w:t>
      </w:r>
      <w:r w:rsidR="007D308E" w:rsidRPr="00992029">
        <w:rPr>
          <w:lang w:eastAsia="hr-HR"/>
        </w:rPr>
        <w:t>vidljivo je kako kreditna ekspanzija koja nije praćena odgovarajućom politikom koja bi usmjeravala investicij</w:t>
      </w:r>
      <w:r w:rsidR="0063058D" w:rsidRPr="00992029">
        <w:rPr>
          <w:lang w:eastAsia="hr-HR"/>
        </w:rPr>
        <w:t>e</w:t>
      </w:r>
      <w:r w:rsidR="007D308E" w:rsidRPr="00992029">
        <w:rPr>
          <w:lang w:eastAsia="hr-HR"/>
        </w:rPr>
        <w:t xml:space="preserve"> može dovesti do stvaranja </w:t>
      </w:r>
      <w:r w:rsidR="007C4961" w:rsidRPr="00992029">
        <w:rPr>
          <w:lang w:eastAsia="hr-HR"/>
        </w:rPr>
        <w:t>investicijskog „balona“</w:t>
      </w:r>
      <w:r w:rsidR="007D308E" w:rsidRPr="00992029">
        <w:rPr>
          <w:lang w:eastAsia="hr-HR"/>
        </w:rPr>
        <w:t xml:space="preserve"> i </w:t>
      </w:r>
      <w:r w:rsidR="007C4961" w:rsidRPr="00992029">
        <w:rPr>
          <w:lang w:eastAsia="hr-HR"/>
        </w:rPr>
        <w:t xml:space="preserve">njegovog kasnijeg pucanja. </w:t>
      </w:r>
    </w:p>
    <w:p w14:paraId="2EE30D15" w14:textId="77777777" w:rsidR="009A20BF" w:rsidRPr="00992029" w:rsidRDefault="003D1D48" w:rsidP="00AA3115">
      <w:pPr>
        <w:rPr>
          <w:lang w:eastAsia="hr-HR"/>
        </w:rPr>
      </w:pPr>
      <w:r w:rsidRPr="00992029">
        <w:rPr>
          <w:lang w:eastAsia="hr-HR"/>
        </w:rPr>
        <w:t>Intenzitet obnove zgrada, bez politika koje usmjerava</w:t>
      </w:r>
      <w:r w:rsidR="004F02E6" w:rsidRPr="00992029">
        <w:rPr>
          <w:lang w:eastAsia="hr-HR"/>
        </w:rPr>
        <w:t>ju</w:t>
      </w:r>
      <w:r w:rsidRPr="00992029">
        <w:rPr>
          <w:lang w:eastAsia="hr-HR"/>
        </w:rPr>
        <w:t xml:space="preserve"> </w:t>
      </w:r>
      <w:r w:rsidR="009F3D5C" w:rsidRPr="00992029">
        <w:rPr>
          <w:lang w:eastAsia="hr-HR"/>
        </w:rPr>
        <w:t>investicije prema obnovi i očuvanju postojećeg fonda zgrada je u pravilu nizak</w:t>
      </w:r>
      <w:r w:rsidR="00B2330A" w:rsidRPr="00992029">
        <w:rPr>
          <w:lang w:eastAsia="hr-HR"/>
        </w:rPr>
        <w:t xml:space="preserve">. Inicijalni motiv gradnje je zadovoljavanje neposredne i očekivane potrebe za prostorom, </w:t>
      </w:r>
      <w:r w:rsidR="007403A3" w:rsidRPr="00992029">
        <w:rPr>
          <w:lang w:eastAsia="hr-HR"/>
        </w:rPr>
        <w:t xml:space="preserve">što usmjerava investiciju na gradnju novih zgrada. Tek </w:t>
      </w:r>
      <w:r w:rsidR="008D11D7" w:rsidRPr="00992029">
        <w:rPr>
          <w:lang w:eastAsia="hr-HR"/>
        </w:rPr>
        <w:t xml:space="preserve">aktivnim </w:t>
      </w:r>
      <w:r w:rsidR="009D0DD7" w:rsidRPr="00992029">
        <w:rPr>
          <w:lang w:eastAsia="hr-HR"/>
        </w:rPr>
        <w:t>usmjeravanjem investicija na</w:t>
      </w:r>
      <w:r w:rsidR="00F53FC8" w:rsidRPr="00992029">
        <w:rPr>
          <w:lang w:eastAsia="hr-HR"/>
        </w:rPr>
        <w:t xml:space="preserve"> povećanje </w:t>
      </w:r>
      <w:r w:rsidR="00CA327E" w:rsidRPr="00992029">
        <w:rPr>
          <w:lang w:eastAsia="hr-HR"/>
        </w:rPr>
        <w:t xml:space="preserve">stope obnove zgrada moguće je utjecati na </w:t>
      </w:r>
      <w:r w:rsidR="008B5A42" w:rsidRPr="00992029">
        <w:rPr>
          <w:lang w:eastAsia="hr-HR"/>
        </w:rPr>
        <w:t>intenzitet</w:t>
      </w:r>
      <w:r w:rsidR="00CA327E" w:rsidRPr="00992029">
        <w:rPr>
          <w:lang w:eastAsia="hr-HR"/>
        </w:rPr>
        <w:t xml:space="preserve"> obnove zgrada</w:t>
      </w:r>
      <w:r w:rsidR="009D0DD7" w:rsidRPr="00992029">
        <w:rPr>
          <w:lang w:eastAsia="hr-HR"/>
        </w:rPr>
        <w:t xml:space="preserve"> i odnos novogradnje u odnosu na </w:t>
      </w:r>
      <w:r w:rsidR="008D11D7" w:rsidRPr="00992029">
        <w:rPr>
          <w:lang w:eastAsia="hr-HR"/>
        </w:rPr>
        <w:t>rekonstrukciju zgrada</w:t>
      </w:r>
      <w:r w:rsidR="00CA327E" w:rsidRPr="00992029">
        <w:rPr>
          <w:lang w:eastAsia="hr-HR"/>
        </w:rPr>
        <w:t xml:space="preserve">. </w:t>
      </w:r>
      <w:r w:rsidR="007B2B0A" w:rsidRPr="00992029">
        <w:rPr>
          <w:lang w:eastAsia="hr-HR"/>
        </w:rPr>
        <w:t>Obnova zgrada</w:t>
      </w:r>
      <w:r w:rsidR="0061495E" w:rsidRPr="00992029">
        <w:rPr>
          <w:lang w:eastAsia="hr-HR"/>
        </w:rPr>
        <w:t xml:space="preserve"> </w:t>
      </w:r>
      <w:r w:rsidR="001D4CBD" w:rsidRPr="00992029">
        <w:rPr>
          <w:lang w:eastAsia="hr-HR"/>
        </w:rPr>
        <w:t xml:space="preserve">formalno </w:t>
      </w:r>
      <w:r w:rsidR="007B2B0A" w:rsidRPr="00992029">
        <w:rPr>
          <w:lang w:eastAsia="hr-HR"/>
        </w:rPr>
        <w:t>obuhvaća</w:t>
      </w:r>
      <w:r w:rsidR="001D4CBD" w:rsidRPr="00992029">
        <w:rPr>
          <w:lang w:eastAsia="hr-HR"/>
        </w:rPr>
        <w:t xml:space="preserve"> zgrade koje se rekonstruiraju i</w:t>
      </w:r>
      <w:r w:rsidR="007B2B0A" w:rsidRPr="00992029">
        <w:rPr>
          <w:lang w:eastAsia="hr-HR"/>
        </w:rPr>
        <w:t xml:space="preserve">/ili </w:t>
      </w:r>
      <w:r w:rsidR="001D4CBD" w:rsidRPr="00992029">
        <w:rPr>
          <w:lang w:eastAsia="hr-HR"/>
        </w:rPr>
        <w:t xml:space="preserve">energetski </w:t>
      </w:r>
      <w:r w:rsidR="007B2B0A" w:rsidRPr="00992029">
        <w:rPr>
          <w:lang w:eastAsia="hr-HR"/>
        </w:rPr>
        <w:t>obnavljaju, te zgrade koje se grade na lokacijama postojećih zgrada zbog kojih se postojeće zgrade uklanjaju</w:t>
      </w:r>
      <w:r w:rsidR="00EA701F" w:rsidRPr="00992029">
        <w:rPr>
          <w:lang w:eastAsia="hr-HR"/>
        </w:rPr>
        <w:t xml:space="preserve"> (zamjenska gradnja)</w:t>
      </w:r>
      <w:r w:rsidR="00657AEE" w:rsidRPr="00992029">
        <w:rPr>
          <w:lang w:eastAsia="hr-HR"/>
        </w:rPr>
        <w:t xml:space="preserve">. Zamjenske zgrade u pogledu praćenja stope obnove je teško identificirati, jer </w:t>
      </w:r>
      <w:r w:rsidR="00600D81" w:rsidRPr="00992029">
        <w:rPr>
          <w:lang w:eastAsia="hr-HR"/>
        </w:rPr>
        <w:t>u pravilu dolazi do promjene namjene i veličine zgrada, a</w:t>
      </w:r>
      <w:r w:rsidR="009A20BF" w:rsidRPr="00992029">
        <w:rPr>
          <w:lang w:eastAsia="hr-HR"/>
        </w:rPr>
        <w:t xml:space="preserve"> formalno se ne povezuju s energetskom obnovom. </w:t>
      </w:r>
    </w:p>
    <w:p w14:paraId="5779B731" w14:textId="1E8FB473" w:rsidR="00AA3115" w:rsidRPr="00992029" w:rsidRDefault="00202D31" w:rsidP="00AA3115">
      <w:pPr>
        <w:rPr>
          <w:lang w:eastAsia="hr-HR"/>
        </w:rPr>
      </w:pPr>
      <w:r w:rsidRPr="00992029">
        <w:rPr>
          <w:lang w:eastAsia="hr-HR"/>
        </w:rPr>
        <w:t xml:space="preserve">U </w:t>
      </w:r>
      <w:r w:rsidR="009A20BF" w:rsidRPr="00992029">
        <w:rPr>
          <w:lang w:eastAsia="hr-HR"/>
        </w:rPr>
        <w:t>ukupnom fondu</w:t>
      </w:r>
      <w:r w:rsidRPr="00992029">
        <w:rPr>
          <w:lang w:eastAsia="hr-HR"/>
        </w:rPr>
        <w:t xml:space="preserve"> zgrada postoji i </w:t>
      </w:r>
      <w:r w:rsidR="000A3B09" w:rsidRPr="00992029">
        <w:rPr>
          <w:lang w:eastAsia="hr-HR"/>
        </w:rPr>
        <w:t xml:space="preserve">dio zgrada koje </w:t>
      </w:r>
      <w:r w:rsidR="00051CF2" w:rsidRPr="00992029">
        <w:rPr>
          <w:lang w:eastAsia="hr-HR"/>
        </w:rPr>
        <w:t xml:space="preserve">formalno nisu </w:t>
      </w:r>
      <w:r w:rsidR="009C757F" w:rsidRPr="00992029">
        <w:rPr>
          <w:lang w:eastAsia="hr-HR"/>
        </w:rPr>
        <w:t xml:space="preserve">napuštene, </w:t>
      </w:r>
      <w:r w:rsidR="008B5A42" w:rsidRPr="00992029">
        <w:rPr>
          <w:lang w:eastAsia="hr-HR"/>
        </w:rPr>
        <w:t>ali u stvarnosti ne sudjeluju u potrošnji energije u zgradama</w:t>
      </w:r>
      <w:r w:rsidR="00941BD6" w:rsidRPr="00992029">
        <w:rPr>
          <w:lang w:eastAsia="hr-HR"/>
        </w:rPr>
        <w:t>.</w:t>
      </w:r>
      <w:r w:rsidR="00E4244D" w:rsidRPr="00992029">
        <w:rPr>
          <w:lang w:eastAsia="hr-HR"/>
        </w:rPr>
        <w:t xml:space="preserve"> </w:t>
      </w:r>
      <w:r w:rsidR="00E803EB" w:rsidRPr="00992029">
        <w:rPr>
          <w:lang w:eastAsia="hr-HR"/>
        </w:rPr>
        <w:t xml:space="preserve">Tretman takvih zgrada, koje su kao privremeno napuštene </w:t>
      </w:r>
      <w:r w:rsidR="00E803EB" w:rsidRPr="00992029">
        <w:rPr>
          <w:lang w:eastAsia="hr-HR"/>
        </w:rPr>
        <w:lastRenderedPageBreak/>
        <w:t>isk</w:t>
      </w:r>
      <w:r w:rsidR="00A95868" w:rsidRPr="00992029">
        <w:rPr>
          <w:lang w:eastAsia="hr-HR"/>
        </w:rPr>
        <w:t>ljučene iz neposredne potrošnje</w:t>
      </w:r>
      <w:r w:rsidR="00830DF0">
        <w:rPr>
          <w:lang w:eastAsia="hr-HR"/>
        </w:rPr>
        <w:t xml:space="preserve"> energije</w:t>
      </w:r>
      <w:r w:rsidR="00A95868" w:rsidRPr="00992029">
        <w:rPr>
          <w:lang w:eastAsia="hr-HR"/>
        </w:rPr>
        <w:t>, u pogledu obnove je važan zbog ukupnog opsega rekonstrukcije zgrada.</w:t>
      </w:r>
      <w:r w:rsidR="009F5F97" w:rsidRPr="00992029">
        <w:rPr>
          <w:lang w:eastAsia="hr-HR"/>
        </w:rPr>
        <w:t xml:space="preserve"> Kako ne sudjeluju u potrošnji energije, energetskom obnovom takve zgrade ne ostvaruju nikakve uštede, </w:t>
      </w:r>
      <w:r w:rsidR="00841F96" w:rsidRPr="00992029">
        <w:rPr>
          <w:lang w:eastAsia="hr-HR"/>
        </w:rPr>
        <w:t xml:space="preserve">te nisu ni uključene u modeliranje kretanja fonda do 2050. godine. </w:t>
      </w:r>
      <w:r w:rsidR="00541C98" w:rsidRPr="00992029">
        <w:rPr>
          <w:lang w:eastAsia="hr-HR"/>
        </w:rPr>
        <w:t xml:space="preserve">Privremeno napuštanje zgrada predstavlja znatno opterećenje na infrastrukturu </w:t>
      </w:r>
      <w:r w:rsidR="00B170A9" w:rsidRPr="00992029">
        <w:rPr>
          <w:lang w:eastAsia="hr-HR"/>
        </w:rPr>
        <w:t>– ili smanjenjem intenziteta korištenja infrastrukture, ili potpunim napuštanjem infrastrukture</w:t>
      </w:r>
      <w:r w:rsidR="00095217" w:rsidRPr="00992029">
        <w:rPr>
          <w:lang w:eastAsia="hr-HR"/>
        </w:rPr>
        <w:t xml:space="preserve">, ali je činjenica koja se događa u prostoru. </w:t>
      </w:r>
      <w:r w:rsidR="00CD6C22" w:rsidRPr="00992029">
        <w:rPr>
          <w:lang w:eastAsia="hr-HR"/>
        </w:rPr>
        <w:t xml:space="preserve">Stoga, uz praćenje promjena fonda u pogledu povećanja površine zgrada </w:t>
      </w:r>
      <w:r w:rsidR="00252110" w:rsidRPr="00992029">
        <w:rPr>
          <w:lang w:eastAsia="hr-HR"/>
        </w:rPr>
        <w:t xml:space="preserve">novogradnjom, kao i površine rekonstruiranih zgrada, </w:t>
      </w:r>
      <w:r w:rsidR="004C313E" w:rsidRPr="00992029">
        <w:rPr>
          <w:lang w:eastAsia="hr-HR"/>
        </w:rPr>
        <w:t>potrebno je uvesti i</w:t>
      </w:r>
      <w:r w:rsidR="00E4244D" w:rsidRPr="00992029">
        <w:rPr>
          <w:lang w:eastAsia="hr-HR"/>
        </w:rPr>
        <w:t xml:space="preserve"> model praćenja promjena u prostoru – ne </w:t>
      </w:r>
      <w:r w:rsidR="00C401EC" w:rsidRPr="00992029">
        <w:rPr>
          <w:lang w:eastAsia="hr-HR"/>
        </w:rPr>
        <w:t xml:space="preserve">samo </w:t>
      </w:r>
      <w:r w:rsidR="00E4244D" w:rsidRPr="00992029">
        <w:rPr>
          <w:lang w:eastAsia="hr-HR"/>
        </w:rPr>
        <w:t xml:space="preserve">gradnja i zaposjedanje novog prostora, već i napuštanje prostora. </w:t>
      </w:r>
    </w:p>
    <w:p w14:paraId="7375C776" w14:textId="1D257D11" w:rsidR="00CD0BBE" w:rsidRPr="00992029" w:rsidRDefault="00C401EC" w:rsidP="00E4244D">
      <w:pPr>
        <w:rPr>
          <w:lang w:eastAsia="hr-HR"/>
        </w:rPr>
      </w:pPr>
      <w:r w:rsidRPr="00992029">
        <w:rPr>
          <w:lang w:eastAsia="hr-HR"/>
        </w:rPr>
        <w:t>U</w:t>
      </w:r>
      <w:r w:rsidR="00E4244D" w:rsidRPr="00992029">
        <w:rPr>
          <w:lang w:eastAsia="hr-HR"/>
        </w:rPr>
        <w:t xml:space="preserve"> analizi strukture fonda uveden </w:t>
      </w:r>
      <w:r w:rsidRPr="00992029">
        <w:rPr>
          <w:lang w:eastAsia="hr-HR"/>
        </w:rPr>
        <w:t xml:space="preserve">je </w:t>
      </w:r>
      <w:r w:rsidR="00E4244D" w:rsidRPr="00992029">
        <w:rPr>
          <w:lang w:eastAsia="hr-HR"/>
        </w:rPr>
        <w:t xml:space="preserve">pojam demolacije (napuštanja) fonda, kojim se određuje postotak fonda </w:t>
      </w:r>
      <w:r w:rsidR="007355F1" w:rsidRPr="00992029">
        <w:rPr>
          <w:lang w:eastAsia="hr-HR"/>
        </w:rPr>
        <w:t>koji</w:t>
      </w:r>
      <w:r w:rsidR="00E4244D" w:rsidRPr="00992029">
        <w:rPr>
          <w:lang w:eastAsia="hr-HR"/>
        </w:rPr>
        <w:t xml:space="preserve"> </w:t>
      </w:r>
      <w:r w:rsidR="0059132E" w:rsidRPr="00992029">
        <w:rPr>
          <w:lang w:eastAsia="hr-HR"/>
        </w:rPr>
        <w:t>izlazi</w:t>
      </w:r>
      <w:r w:rsidR="00E4244D" w:rsidRPr="00992029">
        <w:rPr>
          <w:lang w:eastAsia="hr-HR"/>
        </w:rPr>
        <w:t xml:space="preserve"> iz </w:t>
      </w:r>
      <w:r w:rsidR="006B1127" w:rsidRPr="00992029">
        <w:rPr>
          <w:lang w:eastAsia="hr-HR"/>
        </w:rPr>
        <w:t>upotrebe</w:t>
      </w:r>
      <w:r w:rsidR="00E4244D" w:rsidRPr="00992029">
        <w:rPr>
          <w:lang w:eastAsia="hr-HR"/>
        </w:rPr>
        <w:t>, bilo rušenjem, privremenim napuštanjem, ili neregistriranim napuštanjem zgrada koje su formalno još uvijek u funkciji. Stopa demolacije je veća od registriranog rušenja i prenamjene kroz statističke podatke u građevinarstvu</w:t>
      </w:r>
      <w:r w:rsidR="00F96655">
        <w:rPr>
          <w:lang w:eastAsia="hr-HR"/>
        </w:rPr>
        <w:t>,</w:t>
      </w:r>
      <w:r w:rsidR="00E4244D" w:rsidRPr="00992029">
        <w:rPr>
          <w:lang w:eastAsia="hr-HR"/>
        </w:rPr>
        <w:t xml:space="preserve"> </w:t>
      </w:r>
      <w:r w:rsidR="00F96655">
        <w:rPr>
          <w:lang w:eastAsia="hr-HR"/>
        </w:rPr>
        <w:t xml:space="preserve">jer </w:t>
      </w:r>
      <w:r w:rsidR="00977675" w:rsidRPr="00992029">
        <w:rPr>
          <w:lang w:eastAsia="hr-HR"/>
        </w:rPr>
        <w:t>pokazuje udio stvarno srušenih, privremeno napuštenih i napuštenih zgrada u odnosu na veličinu fonda</w:t>
      </w:r>
      <w:r w:rsidR="00717EC1" w:rsidRPr="00992029">
        <w:rPr>
          <w:lang w:eastAsia="hr-HR"/>
        </w:rPr>
        <w:t xml:space="preserve"> novogradnje</w:t>
      </w:r>
      <w:r w:rsidR="00977675" w:rsidRPr="00992029">
        <w:rPr>
          <w:lang w:eastAsia="hr-HR"/>
        </w:rPr>
        <w:t xml:space="preserve">. </w:t>
      </w:r>
      <w:r w:rsidR="00D46AD4" w:rsidRPr="00992029">
        <w:rPr>
          <w:lang w:eastAsia="hr-HR"/>
        </w:rPr>
        <w:t xml:space="preserve">Demolaciju je zbog prirode podatka – </w:t>
      </w:r>
      <w:r w:rsidR="0095045E" w:rsidRPr="00992029">
        <w:rPr>
          <w:lang w:eastAsia="hr-HR"/>
        </w:rPr>
        <w:t xml:space="preserve">način </w:t>
      </w:r>
      <w:r w:rsidR="0078452E" w:rsidRPr="00992029">
        <w:rPr>
          <w:lang w:eastAsia="hr-HR"/>
        </w:rPr>
        <w:t>korištenj</w:t>
      </w:r>
      <w:r w:rsidR="0095045E" w:rsidRPr="00992029">
        <w:rPr>
          <w:lang w:eastAsia="hr-HR"/>
        </w:rPr>
        <w:t>a</w:t>
      </w:r>
      <w:r w:rsidR="0078452E" w:rsidRPr="00992029">
        <w:rPr>
          <w:lang w:eastAsia="hr-HR"/>
        </w:rPr>
        <w:t xml:space="preserve"> – teško pratiti uobičajenim metodama. Fizičk</w:t>
      </w:r>
      <w:r w:rsidR="005912D3" w:rsidRPr="00992029">
        <w:rPr>
          <w:lang w:eastAsia="hr-HR"/>
        </w:rPr>
        <w:t>a</w:t>
      </w:r>
      <w:r w:rsidR="0078452E" w:rsidRPr="00992029">
        <w:rPr>
          <w:lang w:eastAsia="hr-HR"/>
        </w:rPr>
        <w:t xml:space="preserve"> demolacij</w:t>
      </w:r>
      <w:r w:rsidR="005912D3" w:rsidRPr="00992029">
        <w:rPr>
          <w:lang w:eastAsia="hr-HR"/>
        </w:rPr>
        <w:t>a</w:t>
      </w:r>
      <w:r w:rsidR="0078452E" w:rsidRPr="00992029">
        <w:rPr>
          <w:lang w:eastAsia="hr-HR"/>
        </w:rPr>
        <w:t xml:space="preserve"> (rušenje zgrada) </w:t>
      </w:r>
      <w:r w:rsidR="005912D3" w:rsidRPr="00992029">
        <w:rPr>
          <w:lang w:eastAsia="hr-HR"/>
        </w:rPr>
        <w:t>se prati kroz statističku informaciju o srušenim zgrada</w:t>
      </w:r>
      <w:r w:rsidR="00E44CCC" w:rsidRPr="00992029">
        <w:rPr>
          <w:lang w:eastAsia="hr-HR"/>
        </w:rPr>
        <w:t>ma</w:t>
      </w:r>
      <w:r w:rsidR="00E365CA" w:rsidRPr="00992029">
        <w:rPr>
          <w:lang w:eastAsia="hr-HR"/>
        </w:rPr>
        <w:t>, dok je fu</w:t>
      </w:r>
      <w:r w:rsidR="00E44CCC" w:rsidRPr="00992029">
        <w:rPr>
          <w:lang w:eastAsia="hr-HR"/>
        </w:rPr>
        <w:t xml:space="preserve">nkcionalna demolacija uslijed napuštanja zgrada </w:t>
      </w:r>
      <w:r w:rsidR="00167E8A" w:rsidRPr="00992029">
        <w:rPr>
          <w:lang w:eastAsia="hr-HR"/>
        </w:rPr>
        <w:t xml:space="preserve">dohvatljiva na razini popisa stanovništva. Uspostavljanjem registra zgrada </w:t>
      </w:r>
      <w:r w:rsidR="00853CF3" w:rsidRPr="00992029">
        <w:rPr>
          <w:lang w:eastAsia="hr-HR"/>
        </w:rPr>
        <w:t>o</w:t>
      </w:r>
      <w:r w:rsidR="00144427" w:rsidRPr="00992029">
        <w:rPr>
          <w:lang w:eastAsia="hr-HR"/>
        </w:rPr>
        <w:t>moguć</w:t>
      </w:r>
      <w:r w:rsidR="00853CF3" w:rsidRPr="00992029">
        <w:rPr>
          <w:lang w:eastAsia="hr-HR"/>
        </w:rPr>
        <w:t>ilo bi se</w:t>
      </w:r>
      <w:r w:rsidR="00144427" w:rsidRPr="00992029">
        <w:rPr>
          <w:lang w:eastAsia="hr-HR"/>
        </w:rPr>
        <w:t xml:space="preserve"> preklapanje podataka o kretanju stanovništva, korištenju zgrada i njihov</w:t>
      </w:r>
      <w:r w:rsidR="000A50AE" w:rsidRPr="00992029">
        <w:rPr>
          <w:lang w:eastAsia="hr-HR"/>
        </w:rPr>
        <w:t xml:space="preserve">om statusu u prostoru. Do uspostave registra, </w:t>
      </w:r>
      <w:r w:rsidR="00740AA6" w:rsidRPr="00992029">
        <w:rPr>
          <w:lang w:eastAsia="hr-HR"/>
        </w:rPr>
        <w:t>za koji je preduvjet digitalizacija i povezivanje katastarskih</w:t>
      </w:r>
      <w:r w:rsidR="00513B8C" w:rsidRPr="00992029">
        <w:rPr>
          <w:lang w:eastAsia="hr-HR"/>
        </w:rPr>
        <w:t xml:space="preserve"> podataka, zemljišnih knjiga, praćenja stanja u prostoru kroz ISP</w:t>
      </w:r>
      <w:r w:rsidR="00D334F4" w:rsidRPr="00992029">
        <w:rPr>
          <w:lang w:eastAsia="hr-HR"/>
        </w:rPr>
        <w:t>U i energetskih certifikata demolaci</w:t>
      </w:r>
      <w:r w:rsidR="00CD0BBE" w:rsidRPr="00992029">
        <w:rPr>
          <w:lang w:eastAsia="hr-HR"/>
        </w:rPr>
        <w:t xml:space="preserve">ja će se utvrditi na temelju modelskih i anketnih podataka. </w:t>
      </w:r>
    </w:p>
    <w:p w14:paraId="16824280" w14:textId="77777777" w:rsidR="00200C13" w:rsidRDefault="00200C13" w:rsidP="00564306">
      <w:pPr>
        <w:rPr>
          <w:lang w:eastAsia="hr-HR"/>
        </w:rPr>
      </w:pPr>
      <w:r w:rsidRPr="00992029">
        <w:rPr>
          <w:lang w:eastAsia="hr-HR"/>
        </w:rPr>
        <w:t xml:space="preserve">Očekivana stopa demolacije </w:t>
      </w:r>
      <w:r w:rsidR="00690086" w:rsidRPr="00992029">
        <w:rPr>
          <w:lang w:eastAsia="hr-HR"/>
        </w:rPr>
        <w:t xml:space="preserve">u RH je izuzetno visoka, te </w:t>
      </w:r>
      <w:r w:rsidR="005B083D" w:rsidRPr="00992029">
        <w:rPr>
          <w:lang w:eastAsia="hr-HR"/>
        </w:rPr>
        <w:t xml:space="preserve">će </w:t>
      </w:r>
      <w:r w:rsidR="00690086" w:rsidRPr="00992029">
        <w:rPr>
          <w:lang w:eastAsia="hr-HR"/>
        </w:rPr>
        <w:t xml:space="preserve">znatan dio novogradnje </w:t>
      </w:r>
      <w:r w:rsidR="005B083D" w:rsidRPr="00992029">
        <w:rPr>
          <w:lang w:eastAsia="hr-HR"/>
        </w:rPr>
        <w:t xml:space="preserve">u budućem razdoblju </w:t>
      </w:r>
      <w:r w:rsidR="00A03A94" w:rsidRPr="00992029">
        <w:rPr>
          <w:lang w:eastAsia="hr-HR"/>
        </w:rPr>
        <w:t xml:space="preserve">biti </w:t>
      </w:r>
      <w:r w:rsidR="004F2527" w:rsidRPr="00992029">
        <w:rPr>
          <w:lang w:eastAsia="hr-HR"/>
        </w:rPr>
        <w:t xml:space="preserve">fond koji </w:t>
      </w:r>
      <w:r w:rsidR="00A03A94" w:rsidRPr="00992029">
        <w:rPr>
          <w:lang w:eastAsia="hr-HR"/>
        </w:rPr>
        <w:t>na sebe preuzima</w:t>
      </w:r>
      <w:r w:rsidR="004F2527" w:rsidRPr="00992029">
        <w:rPr>
          <w:lang w:eastAsia="hr-HR"/>
        </w:rPr>
        <w:t xml:space="preserve"> funkciju napuštenih, privremeno napuštenih i srušenih zgrada.</w:t>
      </w:r>
      <w:r w:rsidR="00616B85" w:rsidRPr="00992029">
        <w:rPr>
          <w:lang w:eastAsia="hr-HR"/>
        </w:rPr>
        <w:t xml:space="preserve"> Stopa demolacije u modelu predviđanja budućeg fonda zgrada do 2050. godine iznosi </w:t>
      </w:r>
      <w:r w:rsidR="00B00681" w:rsidRPr="00992029">
        <w:rPr>
          <w:lang w:eastAsia="hr-HR"/>
        </w:rPr>
        <w:t>40% do 202</w:t>
      </w:r>
      <w:r w:rsidR="00B87B62" w:rsidRPr="00992029">
        <w:rPr>
          <w:lang w:eastAsia="hr-HR"/>
        </w:rPr>
        <w:t>5.</w:t>
      </w:r>
      <w:r w:rsidR="00B00681" w:rsidRPr="00992029">
        <w:rPr>
          <w:lang w:eastAsia="hr-HR"/>
        </w:rPr>
        <w:t>,</w:t>
      </w:r>
      <w:r w:rsidR="00B53746" w:rsidRPr="00992029">
        <w:rPr>
          <w:lang w:eastAsia="hr-HR"/>
        </w:rPr>
        <w:t xml:space="preserve"> 50% do 2030. i 60% do </w:t>
      </w:r>
      <w:r w:rsidR="00156E4A" w:rsidRPr="00992029">
        <w:rPr>
          <w:lang w:eastAsia="hr-HR"/>
        </w:rPr>
        <w:t>2050. godine</w:t>
      </w:r>
      <w:r w:rsidR="00A662BC" w:rsidRPr="00992029">
        <w:rPr>
          <w:lang w:eastAsia="hr-HR"/>
        </w:rPr>
        <w:t xml:space="preserve">, što iznosi </w:t>
      </w:r>
      <w:r w:rsidR="00585A7F" w:rsidRPr="00992029">
        <w:rPr>
          <w:lang w:eastAsia="hr-HR"/>
        </w:rPr>
        <w:t xml:space="preserve">5.797.137 m² do 2030. godine, </w:t>
      </w:r>
      <w:r w:rsidR="00201412" w:rsidRPr="00992029">
        <w:rPr>
          <w:lang w:eastAsia="hr-HR"/>
        </w:rPr>
        <w:t xml:space="preserve">7.255.439 m² do 2040., te </w:t>
      </w:r>
      <w:r w:rsidR="00CF2598" w:rsidRPr="00992029">
        <w:rPr>
          <w:lang w:eastAsia="hr-HR"/>
        </w:rPr>
        <w:t>7.113.</w:t>
      </w:r>
      <w:r w:rsidR="00E54980" w:rsidRPr="00992029">
        <w:rPr>
          <w:lang w:eastAsia="hr-HR"/>
        </w:rPr>
        <w:t xml:space="preserve">045 m² do 2050. godine. </w:t>
      </w:r>
      <w:r w:rsidR="00FD1386" w:rsidRPr="00992029">
        <w:rPr>
          <w:lang w:eastAsia="hr-HR"/>
        </w:rPr>
        <w:t xml:space="preserve">Budući da zgrade </w:t>
      </w:r>
      <w:r w:rsidR="007E23BA" w:rsidRPr="00992029">
        <w:rPr>
          <w:lang w:eastAsia="hr-HR"/>
        </w:rPr>
        <w:t xml:space="preserve">obuhvaćene stopom demolacije </w:t>
      </w:r>
      <w:r w:rsidR="00AC57E1" w:rsidRPr="00992029">
        <w:rPr>
          <w:lang w:eastAsia="hr-HR"/>
        </w:rPr>
        <w:t xml:space="preserve">u statističkim podacima ne ulaze u rekonstrukciju, već novogradnju, </w:t>
      </w:r>
      <w:r w:rsidR="00EB7AF7" w:rsidRPr="00992029">
        <w:rPr>
          <w:lang w:eastAsia="hr-HR"/>
        </w:rPr>
        <w:t xml:space="preserve">ne utječu na registriranu stopu obnove, iako u pogledu poboljšanja fonda zgrada </w:t>
      </w:r>
      <w:r w:rsidR="00564306" w:rsidRPr="00992029">
        <w:rPr>
          <w:lang w:eastAsia="hr-HR"/>
        </w:rPr>
        <w:t>sudjeluju kao zgrade</w:t>
      </w:r>
      <w:r w:rsidR="00404763" w:rsidRPr="00992029">
        <w:rPr>
          <w:lang w:eastAsia="hr-HR"/>
        </w:rPr>
        <w:t xml:space="preserve"> </w:t>
      </w:r>
      <w:r w:rsidR="00011038" w:rsidRPr="00992029">
        <w:rPr>
          <w:lang w:eastAsia="hr-HR"/>
        </w:rPr>
        <w:t xml:space="preserve">koje ispunjavaju </w:t>
      </w:r>
      <w:r w:rsidR="00404763" w:rsidRPr="00992029">
        <w:rPr>
          <w:lang w:eastAsia="hr-HR"/>
        </w:rPr>
        <w:t>razinu zahtjeva novogradnje - nZEB</w:t>
      </w:r>
      <w:r w:rsidR="00564306" w:rsidRPr="00992029">
        <w:rPr>
          <w:lang w:eastAsia="hr-HR"/>
        </w:rPr>
        <w:t>.</w:t>
      </w:r>
      <w:r w:rsidR="00564306">
        <w:rPr>
          <w:lang w:eastAsia="hr-HR"/>
        </w:rPr>
        <w:t xml:space="preserve"> </w:t>
      </w:r>
      <w:r w:rsidR="00B00681">
        <w:rPr>
          <w:lang w:eastAsia="hr-HR"/>
        </w:rPr>
        <w:t xml:space="preserve"> </w:t>
      </w:r>
    </w:p>
    <w:p w14:paraId="1E3DE365" w14:textId="3E7E4646" w:rsidR="00B32C70" w:rsidRDefault="00B32C70" w:rsidP="00B32C70">
      <w:pPr>
        <w:pStyle w:val="Opisslike"/>
        <w:keepNext/>
      </w:pPr>
      <w:bookmarkStart w:id="30" w:name="_Toc40089021"/>
      <w:r>
        <w:t xml:space="preserve">Tablica </w:t>
      </w:r>
      <w:r w:rsidR="00A50909">
        <w:fldChar w:fldCharType="begin"/>
      </w:r>
      <w:r w:rsidR="00A50909">
        <w:instrText xml:space="preserve"> SEQ Tablica \* ARABIC </w:instrText>
      </w:r>
      <w:r w:rsidR="00A50909">
        <w:fldChar w:fldCharType="separate"/>
      </w:r>
      <w:r w:rsidR="00CE61F3">
        <w:rPr>
          <w:noProof/>
        </w:rPr>
        <w:t>4</w:t>
      </w:r>
      <w:r w:rsidR="00A50909">
        <w:rPr>
          <w:noProof/>
        </w:rPr>
        <w:fldChar w:fldCharType="end"/>
      </w:r>
      <w:r>
        <w:t xml:space="preserve"> U</w:t>
      </w:r>
      <w:r w:rsidRPr="00B97C6A">
        <w:t>kupna očekivana površina zgrada koje se obnavljaju do 2050. godine u 2030., 2040. i 2050.</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26"/>
        <w:gridCol w:w="2127"/>
        <w:gridCol w:w="2119"/>
      </w:tblGrid>
      <w:tr w:rsidR="004F4E96" w:rsidRPr="002D6E7D" w14:paraId="47A41330" w14:textId="77777777" w:rsidTr="00826D9B">
        <w:trPr>
          <w:trHeight w:val="288"/>
        </w:trPr>
        <w:tc>
          <w:tcPr>
            <w:tcW w:w="2972" w:type="dxa"/>
            <w:noWrap/>
            <w:vAlign w:val="bottom"/>
            <w:hideMark/>
          </w:tcPr>
          <w:p w14:paraId="47496AB0" w14:textId="77777777" w:rsidR="004F4E96" w:rsidRPr="008C7825" w:rsidRDefault="004F4E96" w:rsidP="00826D9B">
            <w:pPr>
              <w:tabs>
                <w:tab w:val="clear" w:pos="431"/>
              </w:tabs>
              <w:spacing w:after="0" w:line="240" w:lineRule="auto"/>
              <w:ind w:left="0"/>
              <w:jc w:val="left"/>
              <w:rPr>
                <w:rFonts w:ascii="Times New Roman" w:hAnsi="Times New Roman" w:cs="Times New Roman"/>
                <w:b/>
                <w:bCs/>
                <w:szCs w:val="20"/>
                <w:lang w:eastAsia="hr-HR"/>
              </w:rPr>
            </w:pPr>
          </w:p>
        </w:tc>
        <w:tc>
          <w:tcPr>
            <w:tcW w:w="2126" w:type="dxa"/>
            <w:noWrap/>
            <w:vAlign w:val="bottom"/>
            <w:hideMark/>
          </w:tcPr>
          <w:p w14:paraId="668EC956" w14:textId="77777777" w:rsidR="004F4E96" w:rsidRPr="008C7825" w:rsidRDefault="004F4E96" w:rsidP="00826D9B">
            <w:pPr>
              <w:tabs>
                <w:tab w:val="clear" w:pos="431"/>
              </w:tabs>
              <w:spacing w:after="0" w:line="240" w:lineRule="auto"/>
              <w:ind w:left="0"/>
              <w:jc w:val="right"/>
              <w:rPr>
                <w:rFonts w:ascii="Calibri" w:hAnsi="Calibri" w:cs="Calibri"/>
                <w:b/>
                <w:bCs/>
                <w:color w:val="000000"/>
                <w:szCs w:val="20"/>
                <w:lang w:eastAsia="hr-HR"/>
              </w:rPr>
            </w:pPr>
            <w:r w:rsidRPr="008C7825">
              <w:rPr>
                <w:rFonts w:ascii="Calibri" w:hAnsi="Calibri" w:cs="Calibri"/>
                <w:b/>
                <w:bCs/>
                <w:color w:val="000000"/>
                <w:szCs w:val="20"/>
                <w:lang w:eastAsia="hr-HR"/>
              </w:rPr>
              <w:t>2030</w:t>
            </w:r>
          </w:p>
        </w:tc>
        <w:tc>
          <w:tcPr>
            <w:tcW w:w="2127" w:type="dxa"/>
            <w:noWrap/>
            <w:vAlign w:val="bottom"/>
            <w:hideMark/>
          </w:tcPr>
          <w:p w14:paraId="0ECEDB8F" w14:textId="77777777" w:rsidR="004F4E96" w:rsidRPr="008C7825" w:rsidRDefault="004F4E96" w:rsidP="00826D9B">
            <w:pPr>
              <w:tabs>
                <w:tab w:val="clear" w:pos="431"/>
              </w:tabs>
              <w:spacing w:after="0" w:line="240" w:lineRule="auto"/>
              <w:ind w:left="0"/>
              <w:jc w:val="right"/>
              <w:rPr>
                <w:rFonts w:ascii="Calibri" w:hAnsi="Calibri" w:cs="Calibri"/>
                <w:b/>
                <w:bCs/>
                <w:color w:val="000000"/>
                <w:szCs w:val="20"/>
                <w:lang w:eastAsia="hr-HR"/>
              </w:rPr>
            </w:pPr>
            <w:r w:rsidRPr="008C7825">
              <w:rPr>
                <w:rFonts w:ascii="Calibri" w:hAnsi="Calibri" w:cs="Calibri"/>
                <w:b/>
                <w:bCs/>
                <w:color w:val="000000"/>
                <w:szCs w:val="20"/>
                <w:lang w:eastAsia="hr-HR"/>
              </w:rPr>
              <w:t>2040</w:t>
            </w:r>
          </w:p>
        </w:tc>
        <w:tc>
          <w:tcPr>
            <w:tcW w:w="2119" w:type="dxa"/>
            <w:noWrap/>
            <w:vAlign w:val="bottom"/>
            <w:hideMark/>
          </w:tcPr>
          <w:p w14:paraId="30C9C555" w14:textId="77777777" w:rsidR="004F4E96" w:rsidRPr="008C7825" w:rsidRDefault="004F4E96" w:rsidP="00826D9B">
            <w:pPr>
              <w:tabs>
                <w:tab w:val="clear" w:pos="431"/>
              </w:tabs>
              <w:spacing w:after="0" w:line="240" w:lineRule="auto"/>
              <w:ind w:left="0"/>
              <w:jc w:val="right"/>
              <w:rPr>
                <w:rFonts w:ascii="Calibri" w:hAnsi="Calibri" w:cs="Calibri"/>
                <w:b/>
                <w:bCs/>
                <w:color w:val="000000"/>
                <w:szCs w:val="20"/>
                <w:lang w:eastAsia="hr-HR"/>
              </w:rPr>
            </w:pPr>
            <w:r w:rsidRPr="008C7825">
              <w:rPr>
                <w:rFonts w:ascii="Calibri" w:hAnsi="Calibri" w:cs="Calibri"/>
                <w:b/>
                <w:bCs/>
                <w:color w:val="000000"/>
                <w:szCs w:val="20"/>
                <w:lang w:eastAsia="hr-HR"/>
              </w:rPr>
              <w:t>2050</w:t>
            </w:r>
          </w:p>
        </w:tc>
      </w:tr>
      <w:tr w:rsidR="00CF535F" w:rsidRPr="00EC0F09" w14:paraId="656587BE" w14:textId="77777777" w:rsidTr="00826D9B">
        <w:trPr>
          <w:trHeight w:val="253"/>
        </w:trPr>
        <w:tc>
          <w:tcPr>
            <w:tcW w:w="2972" w:type="dxa"/>
            <w:noWrap/>
            <w:vAlign w:val="bottom"/>
            <w:hideMark/>
          </w:tcPr>
          <w:p w14:paraId="7C80F2F3" w14:textId="77777777" w:rsidR="00CF535F" w:rsidRPr="008C7825" w:rsidRDefault="00CF535F" w:rsidP="00CF535F">
            <w:pPr>
              <w:tabs>
                <w:tab w:val="clear" w:pos="431"/>
              </w:tabs>
              <w:spacing w:after="0" w:line="240" w:lineRule="auto"/>
              <w:ind w:left="0"/>
              <w:jc w:val="left"/>
              <w:rPr>
                <w:rFonts w:ascii="Calibri" w:hAnsi="Calibri" w:cs="Calibri"/>
                <w:color w:val="000000"/>
                <w:szCs w:val="20"/>
                <w:lang w:eastAsia="hr-HR"/>
              </w:rPr>
            </w:pPr>
            <w:r>
              <w:rPr>
                <w:rFonts w:ascii="Calibri" w:hAnsi="Calibri" w:cs="Calibri"/>
                <w:color w:val="000000"/>
                <w:szCs w:val="20"/>
                <w:lang w:eastAsia="hr-HR"/>
              </w:rPr>
              <w:t>obnova</w:t>
            </w:r>
            <w:r w:rsidR="00BF664B">
              <w:rPr>
                <w:rFonts w:ascii="Calibri" w:hAnsi="Calibri" w:cs="Calibri"/>
                <w:color w:val="000000"/>
                <w:szCs w:val="20"/>
                <w:lang w:eastAsia="hr-HR"/>
              </w:rPr>
              <w:t xml:space="preserve"> stambenih zgrada</w:t>
            </w:r>
          </w:p>
        </w:tc>
        <w:tc>
          <w:tcPr>
            <w:tcW w:w="2126" w:type="dxa"/>
            <w:noWrap/>
            <w:hideMark/>
          </w:tcPr>
          <w:p w14:paraId="79F53E4C" w14:textId="77777777" w:rsidR="00CF535F" w:rsidRPr="008C7825" w:rsidRDefault="00CF535F" w:rsidP="00CF535F">
            <w:pPr>
              <w:tabs>
                <w:tab w:val="clear" w:pos="431"/>
              </w:tabs>
              <w:spacing w:after="0" w:line="240" w:lineRule="auto"/>
              <w:ind w:left="0"/>
              <w:jc w:val="right"/>
              <w:rPr>
                <w:rFonts w:ascii="Calibri" w:hAnsi="Calibri" w:cs="Calibri"/>
                <w:color w:val="000000"/>
                <w:szCs w:val="20"/>
                <w:lang w:eastAsia="hr-HR"/>
              </w:rPr>
            </w:pPr>
            <w:r w:rsidRPr="00CF535F">
              <w:rPr>
                <w:rFonts w:ascii="Calibri" w:hAnsi="Calibri" w:cs="Calibri"/>
                <w:color w:val="000000"/>
                <w:szCs w:val="20"/>
                <w:lang w:eastAsia="hr-HR"/>
              </w:rPr>
              <w:t>8,71</w:t>
            </w:r>
            <w:r>
              <w:rPr>
                <w:rFonts w:ascii="Calibri" w:hAnsi="Calibri" w:cs="Calibri"/>
                <w:color w:val="000000"/>
                <w:szCs w:val="20"/>
                <w:lang w:eastAsia="hr-HR"/>
              </w:rPr>
              <w:t xml:space="preserve"> mil. m²</w:t>
            </w:r>
          </w:p>
        </w:tc>
        <w:tc>
          <w:tcPr>
            <w:tcW w:w="2127" w:type="dxa"/>
            <w:noWrap/>
            <w:hideMark/>
          </w:tcPr>
          <w:p w14:paraId="5063EAB6" w14:textId="77777777" w:rsidR="00CF535F" w:rsidRPr="008C7825" w:rsidRDefault="00CF535F" w:rsidP="00CF535F">
            <w:pPr>
              <w:tabs>
                <w:tab w:val="clear" w:pos="431"/>
              </w:tabs>
              <w:spacing w:after="0" w:line="240" w:lineRule="auto"/>
              <w:ind w:left="0"/>
              <w:jc w:val="right"/>
              <w:rPr>
                <w:rFonts w:ascii="Calibri" w:hAnsi="Calibri" w:cs="Calibri"/>
                <w:color w:val="000000"/>
                <w:szCs w:val="20"/>
                <w:lang w:eastAsia="hr-HR"/>
              </w:rPr>
            </w:pPr>
            <w:r w:rsidRPr="00CF535F">
              <w:rPr>
                <w:rFonts w:ascii="Calibri" w:hAnsi="Calibri" w:cs="Calibri"/>
                <w:color w:val="000000"/>
                <w:szCs w:val="20"/>
                <w:lang w:eastAsia="hr-HR"/>
              </w:rPr>
              <w:t>9,11</w:t>
            </w:r>
            <w:r>
              <w:rPr>
                <w:rFonts w:ascii="Calibri" w:hAnsi="Calibri" w:cs="Calibri"/>
                <w:color w:val="000000"/>
                <w:szCs w:val="20"/>
                <w:lang w:eastAsia="hr-HR"/>
              </w:rPr>
              <w:t xml:space="preserve"> mil. m²</w:t>
            </w:r>
          </w:p>
        </w:tc>
        <w:tc>
          <w:tcPr>
            <w:tcW w:w="2119" w:type="dxa"/>
            <w:noWrap/>
            <w:hideMark/>
          </w:tcPr>
          <w:p w14:paraId="243020C2" w14:textId="77777777" w:rsidR="00CF535F" w:rsidRPr="008C7825" w:rsidRDefault="00CF535F" w:rsidP="00CF535F">
            <w:pPr>
              <w:tabs>
                <w:tab w:val="clear" w:pos="431"/>
              </w:tabs>
              <w:spacing w:after="0" w:line="240" w:lineRule="auto"/>
              <w:ind w:left="0"/>
              <w:jc w:val="right"/>
              <w:rPr>
                <w:rFonts w:ascii="Calibri" w:hAnsi="Calibri" w:cs="Calibri"/>
                <w:color w:val="000000"/>
                <w:szCs w:val="20"/>
                <w:lang w:eastAsia="hr-HR"/>
              </w:rPr>
            </w:pPr>
            <w:r w:rsidRPr="00CF535F">
              <w:rPr>
                <w:rFonts w:ascii="Calibri" w:hAnsi="Calibri" w:cs="Calibri"/>
                <w:color w:val="000000"/>
                <w:szCs w:val="20"/>
                <w:lang w:eastAsia="hr-HR"/>
              </w:rPr>
              <w:t>9,50</w:t>
            </w:r>
            <w:r>
              <w:rPr>
                <w:rFonts w:ascii="Calibri" w:hAnsi="Calibri" w:cs="Calibri"/>
                <w:color w:val="000000"/>
                <w:szCs w:val="20"/>
                <w:lang w:eastAsia="hr-HR"/>
              </w:rPr>
              <w:t xml:space="preserve"> mil. m²</w:t>
            </w:r>
          </w:p>
        </w:tc>
      </w:tr>
      <w:tr w:rsidR="004F4E96" w:rsidRPr="00200C13" w14:paraId="34D9A8FE" w14:textId="77777777" w:rsidTr="00826D9B">
        <w:trPr>
          <w:trHeight w:val="288"/>
        </w:trPr>
        <w:tc>
          <w:tcPr>
            <w:tcW w:w="2972" w:type="dxa"/>
            <w:noWrap/>
            <w:vAlign w:val="bottom"/>
            <w:hideMark/>
          </w:tcPr>
          <w:p w14:paraId="031578FE" w14:textId="77777777" w:rsidR="004F4E96" w:rsidRPr="00200C13" w:rsidRDefault="004F4E96" w:rsidP="00826D9B">
            <w:pPr>
              <w:tabs>
                <w:tab w:val="clear" w:pos="431"/>
              </w:tabs>
              <w:spacing w:after="0" w:line="240" w:lineRule="auto"/>
              <w:ind w:left="0"/>
              <w:jc w:val="left"/>
              <w:rPr>
                <w:rFonts w:ascii="Calibri" w:hAnsi="Calibri" w:cs="Calibri"/>
                <w:color w:val="000000"/>
                <w:szCs w:val="20"/>
                <w:lang w:eastAsia="hr-HR"/>
              </w:rPr>
            </w:pPr>
            <w:r>
              <w:rPr>
                <w:rFonts w:ascii="Calibri" w:hAnsi="Calibri" w:cs="Calibri"/>
                <w:color w:val="000000"/>
                <w:szCs w:val="20"/>
                <w:lang w:eastAsia="hr-HR"/>
              </w:rPr>
              <w:lastRenderedPageBreak/>
              <w:t>zamjenska gradnja</w:t>
            </w:r>
            <w:r w:rsidR="00BF664B">
              <w:rPr>
                <w:rFonts w:ascii="Calibri" w:hAnsi="Calibri" w:cs="Calibri"/>
                <w:color w:val="000000"/>
                <w:szCs w:val="20"/>
                <w:lang w:eastAsia="hr-HR"/>
              </w:rPr>
              <w:t xml:space="preserve"> stambenih zgrada</w:t>
            </w:r>
            <w:r w:rsidR="00CE54E1">
              <w:rPr>
                <w:rFonts w:ascii="Calibri" w:hAnsi="Calibri" w:cs="Calibri"/>
                <w:color w:val="000000"/>
                <w:szCs w:val="20"/>
                <w:lang w:eastAsia="hr-HR"/>
              </w:rPr>
              <w:t xml:space="preserve"> (fond zahvaćen demolacijom)</w:t>
            </w:r>
          </w:p>
        </w:tc>
        <w:tc>
          <w:tcPr>
            <w:tcW w:w="2126" w:type="dxa"/>
            <w:noWrap/>
            <w:vAlign w:val="bottom"/>
            <w:hideMark/>
          </w:tcPr>
          <w:p w14:paraId="69CF4A24" w14:textId="77777777" w:rsidR="004F4E96" w:rsidRPr="00200C13" w:rsidRDefault="007C6729" w:rsidP="00826D9B">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5,8</w:t>
            </w:r>
            <w:r w:rsidR="00357B2E">
              <w:rPr>
                <w:rFonts w:ascii="Calibri" w:hAnsi="Calibri" w:cs="Calibri"/>
                <w:color w:val="000000"/>
                <w:szCs w:val="20"/>
                <w:lang w:eastAsia="hr-HR"/>
              </w:rPr>
              <w:t>0 mil</w:t>
            </w:r>
            <w:r w:rsidR="00332310">
              <w:rPr>
                <w:rFonts w:ascii="Calibri" w:hAnsi="Calibri" w:cs="Calibri"/>
                <w:color w:val="000000"/>
                <w:szCs w:val="20"/>
                <w:lang w:eastAsia="hr-HR"/>
              </w:rPr>
              <w:t>.</w:t>
            </w:r>
            <w:r w:rsidR="00357B2E">
              <w:rPr>
                <w:rFonts w:ascii="Calibri" w:hAnsi="Calibri" w:cs="Calibri"/>
                <w:color w:val="000000"/>
                <w:szCs w:val="20"/>
                <w:lang w:eastAsia="hr-HR"/>
              </w:rPr>
              <w:t xml:space="preserve"> m²</w:t>
            </w:r>
            <w:r w:rsidR="00E031CB">
              <w:rPr>
                <w:rStyle w:val="Referencafusnote"/>
                <w:color w:val="000000"/>
                <w:szCs w:val="20"/>
                <w:lang w:eastAsia="hr-HR"/>
              </w:rPr>
              <w:footnoteReference w:id="2"/>
            </w:r>
          </w:p>
        </w:tc>
        <w:tc>
          <w:tcPr>
            <w:tcW w:w="2127" w:type="dxa"/>
            <w:noWrap/>
            <w:vAlign w:val="bottom"/>
            <w:hideMark/>
          </w:tcPr>
          <w:p w14:paraId="028CDF00" w14:textId="77777777" w:rsidR="004F4E96" w:rsidRPr="00200C13" w:rsidRDefault="000A1CDF" w:rsidP="00826D9B">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7,26 mil</w:t>
            </w:r>
            <w:r w:rsidR="00332310">
              <w:rPr>
                <w:rFonts w:ascii="Calibri" w:hAnsi="Calibri" w:cs="Calibri"/>
                <w:color w:val="000000"/>
                <w:szCs w:val="20"/>
                <w:lang w:eastAsia="hr-HR"/>
              </w:rPr>
              <w:t>.</w:t>
            </w:r>
            <w:r>
              <w:rPr>
                <w:rFonts w:ascii="Calibri" w:hAnsi="Calibri" w:cs="Calibri"/>
                <w:color w:val="000000"/>
                <w:szCs w:val="20"/>
                <w:lang w:eastAsia="hr-HR"/>
              </w:rPr>
              <w:t xml:space="preserve"> m²</w:t>
            </w:r>
          </w:p>
        </w:tc>
        <w:tc>
          <w:tcPr>
            <w:tcW w:w="2119" w:type="dxa"/>
            <w:noWrap/>
            <w:vAlign w:val="bottom"/>
            <w:hideMark/>
          </w:tcPr>
          <w:p w14:paraId="7153BF2A" w14:textId="77777777" w:rsidR="004F4E96" w:rsidRPr="00200C13" w:rsidRDefault="000A1CDF" w:rsidP="00826D9B">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7,11 mil</w:t>
            </w:r>
            <w:r w:rsidR="00332310">
              <w:rPr>
                <w:rFonts w:ascii="Calibri" w:hAnsi="Calibri" w:cs="Calibri"/>
                <w:color w:val="000000"/>
                <w:szCs w:val="20"/>
                <w:lang w:eastAsia="hr-HR"/>
              </w:rPr>
              <w:t>.</w:t>
            </w:r>
            <w:r>
              <w:rPr>
                <w:rFonts w:ascii="Calibri" w:hAnsi="Calibri" w:cs="Calibri"/>
                <w:color w:val="000000"/>
                <w:szCs w:val="20"/>
                <w:lang w:eastAsia="hr-HR"/>
              </w:rPr>
              <w:t xml:space="preserve"> m²</w:t>
            </w:r>
            <w:r w:rsidR="00BF664B">
              <w:rPr>
                <w:rFonts w:ascii="Calibri" w:hAnsi="Calibri" w:cs="Calibri"/>
                <w:color w:val="000000"/>
                <w:szCs w:val="20"/>
                <w:lang w:eastAsia="hr-HR"/>
              </w:rPr>
              <w:t xml:space="preserve"> </w:t>
            </w:r>
          </w:p>
        </w:tc>
      </w:tr>
      <w:tr w:rsidR="00A107DC" w:rsidRPr="00200C13" w14:paraId="058F29E2" w14:textId="77777777" w:rsidTr="00BF664B">
        <w:trPr>
          <w:trHeight w:val="288"/>
        </w:trPr>
        <w:tc>
          <w:tcPr>
            <w:tcW w:w="2972" w:type="dxa"/>
            <w:noWrap/>
            <w:vAlign w:val="bottom"/>
          </w:tcPr>
          <w:p w14:paraId="1D34F70F" w14:textId="77777777" w:rsidR="00A107DC" w:rsidRPr="00200C13" w:rsidRDefault="00A107DC" w:rsidP="00A107DC">
            <w:pPr>
              <w:tabs>
                <w:tab w:val="clear" w:pos="431"/>
              </w:tabs>
              <w:spacing w:after="0" w:line="240" w:lineRule="auto"/>
              <w:ind w:left="0"/>
              <w:jc w:val="left"/>
              <w:rPr>
                <w:rFonts w:ascii="Calibri" w:hAnsi="Calibri" w:cs="Calibri"/>
                <w:b/>
                <w:bCs/>
                <w:color w:val="000000"/>
                <w:szCs w:val="20"/>
                <w:lang w:eastAsia="hr-HR"/>
              </w:rPr>
            </w:pPr>
            <w:r>
              <w:rPr>
                <w:rFonts w:ascii="Calibri" w:hAnsi="Calibri" w:cs="Calibri"/>
                <w:color w:val="000000"/>
                <w:szCs w:val="20"/>
                <w:lang w:eastAsia="hr-HR"/>
              </w:rPr>
              <w:t>obnova nestambenih zgrada</w:t>
            </w:r>
          </w:p>
        </w:tc>
        <w:tc>
          <w:tcPr>
            <w:tcW w:w="2126" w:type="dxa"/>
            <w:noWrap/>
            <w:vAlign w:val="bottom"/>
          </w:tcPr>
          <w:p w14:paraId="13F6CBAD" w14:textId="77777777" w:rsidR="00A107DC" w:rsidRPr="00B32C70" w:rsidRDefault="00A107DC" w:rsidP="00A107DC">
            <w:pPr>
              <w:tabs>
                <w:tab w:val="clear" w:pos="431"/>
              </w:tabs>
              <w:spacing w:after="0" w:line="240" w:lineRule="auto"/>
              <w:ind w:left="0"/>
              <w:jc w:val="right"/>
              <w:rPr>
                <w:rFonts w:ascii="Calibri" w:hAnsi="Calibri" w:cs="Calibri"/>
                <w:color w:val="000000"/>
                <w:szCs w:val="20"/>
                <w:lang w:eastAsia="hr-HR"/>
              </w:rPr>
            </w:pPr>
            <w:r w:rsidRPr="00B32C70">
              <w:rPr>
                <w:rFonts w:ascii="Calibri" w:hAnsi="Calibri" w:cs="Calibri"/>
                <w:color w:val="000000"/>
                <w:szCs w:val="20"/>
                <w:lang w:eastAsia="hr-HR"/>
              </w:rPr>
              <w:t>1,61 mil. m²</w:t>
            </w:r>
          </w:p>
        </w:tc>
        <w:tc>
          <w:tcPr>
            <w:tcW w:w="2127" w:type="dxa"/>
            <w:noWrap/>
            <w:vAlign w:val="bottom"/>
          </w:tcPr>
          <w:p w14:paraId="7DF05B6C" w14:textId="77777777" w:rsidR="00A107DC" w:rsidRPr="00B32C70" w:rsidRDefault="0007596F" w:rsidP="00A107DC">
            <w:pPr>
              <w:tabs>
                <w:tab w:val="clear" w:pos="431"/>
              </w:tabs>
              <w:spacing w:after="0" w:line="240" w:lineRule="auto"/>
              <w:ind w:left="0"/>
              <w:jc w:val="right"/>
              <w:rPr>
                <w:rFonts w:ascii="Calibri" w:hAnsi="Calibri" w:cs="Calibri"/>
                <w:color w:val="000000"/>
                <w:szCs w:val="20"/>
                <w:lang w:eastAsia="hr-HR"/>
              </w:rPr>
            </w:pPr>
            <w:r w:rsidRPr="00B32C70">
              <w:rPr>
                <w:rFonts w:ascii="Calibri" w:hAnsi="Calibri" w:cs="Calibri"/>
                <w:color w:val="000000"/>
                <w:szCs w:val="20"/>
                <w:lang w:eastAsia="hr-HR"/>
              </w:rPr>
              <w:t>2,39</w:t>
            </w:r>
            <w:r w:rsidR="00A107DC" w:rsidRPr="00B32C70">
              <w:rPr>
                <w:rFonts w:ascii="Calibri" w:hAnsi="Calibri" w:cs="Calibri"/>
                <w:color w:val="000000"/>
                <w:szCs w:val="20"/>
                <w:lang w:eastAsia="hr-HR"/>
              </w:rPr>
              <w:t xml:space="preserve"> mil. m²</w:t>
            </w:r>
          </w:p>
        </w:tc>
        <w:tc>
          <w:tcPr>
            <w:tcW w:w="2119" w:type="dxa"/>
            <w:noWrap/>
            <w:vAlign w:val="bottom"/>
          </w:tcPr>
          <w:p w14:paraId="08F04B8E" w14:textId="77777777" w:rsidR="00A107DC" w:rsidRPr="00B32C70" w:rsidRDefault="00B32C70" w:rsidP="00A107DC">
            <w:pPr>
              <w:tabs>
                <w:tab w:val="clear" w:pos="431"/>
              </w:tabs>
              <w:spacing w:after="0" w:line="240" w:lineRule="auto"/>
              <w:ind w:left="0"/>
              <w:jc w:val="right"/>
              <w:rPr>
                <w:rFonts w:ascii="Calibri" w:hAnsi="Calibri" w:cs="Calibri"/>
                <w:color w:val="000000"/>
                <w:szCs w:val="20"/>
                <w:lang w:eastAsia="hr-HR"/>
              </w:rPr>
            </w:pPr>
            <w:r w:rsidRPr="00B32C70">
              <w:rPr>
                <w:rFonts w:ascii="Calibri" w:hAnsi="Calibri" w:cs="Calibri"/>
                <w:color w:val="000000"/>
                <w:szCs w:val="20"/>
                <w:lang w:eastAsia="hr-HR"/>
              </w:rPr>
              <w:t>3,18</w:t>
            </w:r>
            <w:r w:rsidR="00A107DC" w:rsidRPr="00B32C70">
              <w:rPr>
                <w:rFonts w:ascii="Calibri" w:hAnsi="Calibri" w:cs="Calibri"/>
                <w:color w:val="000000"/>
                <w:szCs w:val="20"/>
                <w:lang w:eastAsia="hr-HR"/>
              </w:rPr>
              <w:t xml:space="preserve"> mil. m²</w:t>
            </w:r>
          </w:p>
        </w:tc>
      </w:tr>
      <w:tr w:rsidR="00A107DC" w:rsidRPr="00200C13" w14:paraId="22300207" w14:textId="77777777" w:rsidTr="00BF664B">
        <w:trPr>
          <w:trHeight w:val="288"/>
        </w:trPr>
        <w:tc>
          <w:tcPr>
            <w:tcW w:w="2972" w:type="dxa"/>
            <w:noWrap/>
            <w:vAlign w:val="bottom"/>
          </w:tcPr>
          <w:p w14:paraId="6046656B" w14:textId="77777777" w:rsidR="00A107DC" w:rsidRDefault="00A107DC" w:rsidP="00A107DC">
            <w:pPr>
              <w:tabs>
                <w:tab w:val="clear" w:pos="431"/>
              </w:tabs>
              <w:spacing w:after="0" w:line="240" w:lineRule="auto"/>
              <w:ind w:left="0"/>
              <w:jc w:val="left"/>
              <w:rPr>
                <w:rFonts w:ascii="Calibri" w:hAnsi="Calibri" w:cs="Calibri"/>
                <w:color w:val="000000"/>
                <w:szCs w:val="20"/>
                <w:lang w:eastAsia="hr-HR"/>
              </w:rPr>
            </w:pPr>
            <w:r>
              <w:rPr>
                <w:rFonts w:ascii="Calibri" w:hAnsi="Calibri" w:cs="Calibri"/>
                <w:color w:val="000000"/>
                <w:szCs w:val="20"/>
                <w:lang w:eastAsia="hr-HR"/>
              </w:rPr>
              <w:t>zamjenska gradnja nestambenih zgrada (fond zahvaćen demolacijom)</w:t>
            </w:r>
          </w:p>
        </w:tc>
        <w:tc>
          <w:tcPr>
            <w:tcW w:w="2126" w:type="dxa"/>
            <w:noWrap/>
            <w:vAlign w:val="bottom"/>
          </w:tcPr>
          <w:p w14:paraId="07AD9B0F" w14:textId="77777777" w:rsidR="00A107DC" w:rsidRPr="004E4564" w:rsidRDefault="00A107DC" w:rsidP="00A107DC">
            <w:pPr>
              <w:tabs>
                <w:tab w:val="clear" w:pos="431"/>
              </w:tabs>
              <w:spacing w:after="0" w:line="240" w:lineRule="auto"/>
              <w:ind w:left="0"/>
              <w:jc w:val="right"/>
              <w:rPr>
                <w:rFonts w:ascii="Calibri" w:hAnsi="Calibri" w:cs="Calibri"/>
                <w:color w:val="000000"/>
                <w:szCs w:val="20"/>
                <w:lang w:eastAsia="hr-HR"/>
              </w:rPr>
            </w:pPr>
            <w:r w:rsidRPr="004E4564">
              <w:rPr>
                <w:rFonts w:ascii="Calibri" w:hAnsi="Calibri" w:cs="Calibri"/>
                <w:color w:val="000000"/>
                <w:szCs w:val="20"/>
                <w:lang w:eastAsia="hr-HR"/>
              </w:rPr>
              <w:t>3,27 mil. m²</w:t>
            </w:r>
          </w:p>
        </w:tc>
        <w:tc>
          <w:tcPr>
            <w:tcW w:w="2127" w:type="dxa"/>
            <w:noWrap/>
            <w:vAlign w:val="bottom"/>
          </w:tcPr>
          <w:p w14:paraId="2A22321E" w14:textId="77777777" w:rsidR="00A107DC" w:rsidRPr="004E4564" w:rsidRDefault="00A107DC" w:rsidP="00A107DC">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2,49 mil. m²</w:t>
            </w:r>
          </w:p>
        </w:tc>
        <w:tc>
          <w:tcPr>
            <w:tcW w:w="2119" w:type="dxa"/>
            <w:noWrap/>
            <w:vAlign w:val="bottom"/>
          </w:tcPr>
          <w:p w14:paraId="7CE96E0E" w14:textId="77777777" w:rsidR="00A107DC" w:rsidRPr="004E4564" w:rsidRDefault="00A107DC" w:rsidP="00A107DC">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1,694 mil. m²</w:t>
            </w:r>
          </w:p>
        </w:tc>
      </w:tr>
    </w:tbl>
    <w:p w14:paraId="26CA9299" w14:textId="77777777" w:rsidR="00B32C70" w:rsidRDefault="00B32C70" w:rsidP="00564306">
      <w:pPr>
        <w:rPr>
          <w:lang w:eastAsia="hr-HR"/>
        </w:rPr>
      </w:pPr>
    </w:p>
    <w:p w14:paraId="4466B912" w14:textId="77777777" w:rsidR="00A422E6" w:rsidRPr="001D75D5" w:rsidRDefault="00A422E6" w:rsidP="007649C2">
      <w:pPr>
        <w:pStyle w:val="Naslov20"/>
      </w:pPr>
      <w:bookmarkStart w:id="31" w:name="_Toc34052857"/>
      <w:bookmarkStart w:id="32" w:name="_Toc46163800"/>
      <w:r w:rsidRPr="001D75D5">
        <w:t>Pregled nacionalnog fonda zgrada prema razdoblju gradnje</w:t>
      </w:r>
      <w:bookmarkEnd w:id="31"/>
      <w:bookmarkEnd w:id="32"/>
      <w:r w:rsidRPr="001D75D5">
        <w:tab/>
      </w:r>
    </w:p>
    <w:p w14:paraId="33D6B7F0" w14:textId="559747CC" w:rsidR="00C4766B" w:rsidRDefault="00830DF0">
      <w:pPr>
        <w:rPr>
          <w:lang w:eastAsia="hr-HR"/>
        </w:rPr>
      </w:pPr>
      <w:r>
        <w:rPr>
          <w:lang w:eastAsia="hr-HR"/>
        </w:rPr>
        <w:t>K</w:t>
      </w:r>
      <w:r w:rsidR="004E0066">
        <w:rPr>
          <w:lang w:eastAsia="hr-HR"/>
        </w:rPr>
        <w:t xml:space="preserve">ako bi se dobila što točnija </w:t>
      </w:r>
      <w:r>
        <w:rPr>
          <w:lang w:eastAsia="hr-HR"/>
        </w:rPr>
        <w:t xml:space="preserve">informacija o </w:t>
      </w:r>
      <w:r w:rsidR="004E0066">
        <w:rPr>
          <w:lang w:eastAsia="hr-HR"/>
        </w:rPr>
        <w:t>starosti zgrada</w:t>
      </w:r>
      <w:r>
        <w:rPr>
          <w:lang w:eastAsia="hr-HR"/>
        </w:rPr>
        <w:t>, korišteni su različiti izvori podataka</w:t>
      </w:r>
      <w:r w:rsidR="004E0066">
        <w:rPr>
          <w:lang w:eastAsia="hr-HR"/>
        </w:rPr>
        <w:t xml:space="preserve">. Polazna točka analize su podaci </w:t>
      </w:r>
      <w:r w:rsidR="00810F47">
        <w:rPr>
          <w:lang w:eastAsia="hr-HR"/>
        </w:rPr>
        <w:t>popisa stan</w:t>
      </w:r>
      <w:r w:rsidR="005144F9">
        <w:rPr>
          <w:lang w:eastAsia="hr-HR"/>
        </w:rPr>
        <w:t>ov</w:t>
      </w:r>
      <w:r w:rsidR="00810F47">
        <w:rPr>
          <w:lang w:eastAsia="hr-HR"/>
        </w:rPr>
        <w:t>ništva 2011. godine, koji</w:t>
      </w:r>
      <w:r w:rsidR="005144F9">
        <w:rPr>
          <w:lang w:eastAsia="hr-HR"/>
        </w:rPr>
        <w:t>m</w:t>
      </w:r>
      <w:r w:rsidR="00810F47">
        <w:rPr>
          <w:lang w:eastAsia="hr-HR"/>
        </w:rPr>
        <w:t xml:space="preserve"> </w:t>
      </w:r>
      <w:r w:rsidR="005144F9">
        <w:rPr>
          <w:lang w:eastAsia="hr-HR"/>
        </w:rPr>
        <w:t xml:space="preserve">su obrađeni podaci o </w:t>
      </w:r>
      <w:r w:rsidR="0027270A">
        <w:rPr>
          <w:lang w:eastAsia="hr-HR"/>
        </w:rPr>
        <w:t xml:space="preserve">svim stanovima i nastanjenim </w:t>
      </w:r>
      <w:r w:rsidR="00011432">
        <w:rPr>
          <w:lang w:eastAsia="hr-HR"/>
        </w:rPr>
        <w:t xml:space="preserve">stanovima u razdobljima do 1919., od 1919. do 1945., 1946. do 1960., 1961. do 1970., 1971. do 1980., </w:t>
      </w:r>
      <w:r w:rsidR="008504C2">
        <w:rPr>
          <w:lang w:eastAsia="hr-HR"/>
        </w:rPr>
        <w:t xml:space="preserve">1981. do 1990., 1991. do 2000., </w:t>
      </w:r>
      <w:r w:rsidR="00EB2BB6">
        <w:rPr>
          <w:lang w:eastAsia="hr-HR"/>
        </w:rPr>
        <w:t>2001. do 2005., te 2006. i kasnije</w:t>
      </w:r>
      <w:r w:rsidR="00253567" w:rsidRPr="009C4091">
        <w:rPr>
          <w:lang w:eastAsia="hr-HR"/>
        </w:rPr>
        <w:fldChar w:fldCharType="begin"/>
      </w:r>
      <w:r w:rsidR="00253567" w:rsidRPr="009C4091">
        <w:rPr>
          <w:lang w:eastAsia="hr-HR"/>
        </w:rPr>
        <w:instrText xml:space="preserve"> CITATION Drž11 \l 1033 </w:instrText>
      </w:r>
      <w:r w:rsidR="00253567" w:rsidRPr="009C4091">
        <w:rPr>
          <w:lang w:eastAsia="hr-HR"/>
        </w:rPr>
        <w:fldChar w:fldCharType="separate"/>
      </w:r>
      <w:r w:rsidR="002D258B">
        <w:rPr>
          <w:noProof/>
          <w:lang w:eastAsia="hr-HR"/>
        </w:rPr>
        <w:t xml:space="preserve"> </w:t>
      </w:r>
      <w:r w:rsidR="002D258B" w:rsidRPr="002D258B">
        <w:rPr>
          <w:noProof/>
          <w:lang w:eastAsia="hr-HR"/>
        </w:rPr>
        <w:t>(Državni zavod za statistiku, 2011)</w:t>
      </w:r>
      <w:r w:rsidR="00253567" w:rsidRPr="009C4091">
        <w:rPr>
          <w:lang w:eastAsia="hr-HR"/>
        </w:rPr>
        <w:fldChar w:fldCharType="end"/>
      </w:r>
      <w:r w:rsidR="00BA1625">
        <w:rPr>
          <w:lang w:eastAsia="hr-HR"/>
        </w:rPr>
        <w:t xml:space="preserve">, </w:t>
      </w:r>
      <w:r w:rsidR="000745F6">
        <w:rPr>
          <w:lang w:eastAsia="hr-HR"/>
        </w:rPr>
        <w:t xml:space="preserve">dopunjeni </w:t>
      </w:r>
      <w:r w:rsidR="00BA1625">
        <w:rPr>
          <w:lang w:eastAsia="hr-HR"/>
        </w:rPr>
        <w:t>podacima o izdanim građevinskim dozvolama i srušenim stanovima</w:t>
      </w:r>
      <w:r w:rsidR="00B02AB4">
        <w:rPr>
          <w:lang w:eastAsia="hr-HR"/>
        </w:rPr>
        <w:t xml:space="preserve"> i zgradama u razdoblju od 2011 do 2018. godine. </w:t>
      </w:r>
      <w:r w:rsidR="00BA1625">
        <w:rPr>
          <w:lang w:eastAsia="hr-HR"/>
        </w:rPr>
        <w:t xml:space="preserve"> </w:t>
      </w:r>
      <w:r w:rsidR="008B4AFC">
        <w:rPr>
          <w:lang w:eastAsia="hr-HR"/>
        </w:rPr>
        <w:t>Ukupni f</w:t>
      </w:r>
      <w:r w:rsidR="00A75102">
        <w:rPr>
          <w:lang w:eastAsia="hr-HR"/>
        </w:rPr>
        <w:t xml:space="preserve">ond zgrada u 2018. godini je </w:t>
      </w:r>
      <w:r w:rsidR="00F72DE4" w:rsidRPr="00F72DE4">
        <w:rPr>
          <w:lang w:eastAsia="hr-HR"/>
        </w:rPr>
        <w:t>204.418.233</w:t>
      </w:r>
      <w:r w:rsidR="00A75102">
        <w:rPr>
          <w:lang w:eastAsia="hr-HR"/>
        </w:rPr>
        <w:t xml:space="preserve"> m², od čega je </w:t>
      </w:r>
      <w:r w:rsidR="0045731E" w:rsidRPr="0045731E">
        <w:rPr>
          <w:lang w:eastAsia="hr-HR"/>
        </w:rPr>
        <w:t>146.924.679</w:t>
      </w:r>
      <w:r w:rsidR="0045731E">
        <w:rPr>
          <w:lang w:eastAsia="hr-HR"/>
        </w:rPr>
        <w:t xml:space="preserve"> </w:t>
      </w:r>
      <w:r w:rsidR="00A75102">
        <w:rPr>
          <w:lang w:eastAsia="hr-HR"/>
        </w:rPr>
        <w:t xml:space="preserve">m² stambenih i </w:t>
      </w:r>
      <w:r w:rsidR="00DD6A27" w:rsidRPr="00DD6A27">
        <w:rPr>
          <w:lang w:eastAsia="hr-HR"/>
        </w:rPr>
        <w:t>57.493.554</w:t>
      </w:r>
      <w:r w:rsidR="00DD6A27">
        <w:rPr>
          <w:lang w:eastAsia="hr-HR"/>
        </w:rPr>
        <w:t xml:space="preserve"> </w:t>
      </w:r>
      <w:r w:rsidR="00A75102">
        <w:rPr>
          <w:lang w:eastAsia="hr-HR"/>
        </w:rPr>
        <w:t xml:space="preserve">m² nestambenih zgrada. </w:t>
      </w:r>
    </w:p>
    <w:p w14:paraId="4F5B4834" w14:textId="04C9C275" w:rsidR="00A75102" w:rsidRDefault="00A75102" w:rsidP="008C7825">
      <w:pPr>
        <w:pStyle w:val="Opisslike"/>
        <w:keepNext/>
      </w:pPr>
      <w:bookmarkStart w:id="33" w:name="_Toc40089022"/>
      <w:r>
        <w:t xml:space="preserve">Tablica </w:t>
      </w:r>
      <w:r w:rsidR="00A50909">
        <w:fldChar w:fldCharType="begin"/>
      </w:r>
      <w:r w:rsidR="00A50909">
        <w:instrText xml:space="preserve"> SEQ Tablica \* ARABIC</w:instrText>
      </w:r>
      <w:r w:rsidR="00A50909">
        <w:instrText xml:space="preserve"> </w:instrText>
      </w:r>
      <w:r w:rsidR="00A50909">
        <w:fldChar w:fldCharType="separate"/>
      </w:r>
      <w:r w:rsidR="00CE61F3">
        <w:rPr>
          <w:noProof/>
        </w:rPr>
        <w:t>5</w:t>
      </w:r>
      <w:r w:rsidR="00A50909">
        <w:rPr>
          <w:noProof/>
        </w:rPr>
        <w:fldChar w:fldCharType="end"/>
      </w:r>
      <w:r>
        <w:t xml:space="preserve"> Stambeni fond RH prema godini izgradnje</w:t>
      </w:r>
      <w:r w:rsidR="0027270A">
        <w:t xml:space="preserve"> (sve zgrade)</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463"/>
        <w:gridCol w:w="2025"/>
        <w:gridCol w:w="1756"/>
        <w:gridCol w:w="1756"/>
      </w:tblGrid>
      <w:tr w:rsidR="00E806C8" w:rsidRPr="006A0C5E" w14:paraId="7FCF0968" w14:textId="77777777" w:rsidTr="00E806C8">
        <w:trPr>
          <w:trHeight w:val="300"/>
        </w:trPr>
        <w:tc>
          <w:tcPr>
            <w:tcW w:w="2344" w:type="dxa"/>
            <w:vMerge w:val="restart"/>
            <w:noWrap/>
            <w:vAlign w:val="bottom"/>
            <w:hideMark/>
          </w:tcPr>
          <w:p w14:paraId="7BEDE0CF" w14:textId="77777777" w:rsidR="00E806C8" w:rsidRPr="008C7825" w:rsidRDefault="00E806C8" w:rsidP="00A75102">
            <w:pPr>
              <w:tabs>
                <w:tab w:val="clear" w:pos="431"/>
              </w:tabs>
              <w:spacing w:after="0" w:line="240" w:lineRule="auto"/>
              <w:ind w:left="0"/>
              <w:jc w:val="left"/>
              <w:rPr>
                <w:rFonts w:asciiTheme="minorHAnsi" w:hAnsiTheme="minorHAnsi" w:cs="Calibri"/>
                <w:szCs w:val="20"/>
                <w:lang w:eastAsia="hr-HR"/>
              </w:rPr>
            </w:pPr>
          </w:p>
        </w:tc>
        <w:tc>
          <w:tcPr>
            <w:tcW w:w="3488" w:type="dxa"/>
            <w:gridSpan w:val="2"/>
            <w:noWrap/>
            <w:vAlign w:val="bottom"/>
            <w:hideMark/>
          </w:tcPr>
          <w:p w14:paraId="6FD650F2" w14:textId="77777777" w:rsidR="00E806C8" w:rsidRPr="008C7825" w:rsidRDefault="00E806C8" w:rsidP="008C7825">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višestambene</w:t>
            </w:r>
          </w:p>
        </w:tc>
        <w:tc>
          <w:tcPr>
            <w:tcW w:w="3512" w:type="dxa"/>
            <w:gridSpan w:val="2"/>
            <w:noWrap/>
            <w:vAlign w:val="bottom"/>
            <w:hideMark/>
          </w:tcPr>
          <w:p w14:paraId="0BEC358D" w14:textId="77777777" w:rsidR="00E806C8" w:rsidRPr="008C7825" w:rsidRDefault="00E806C8" w:rsidP="008C7825">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obiteljske</w:t>
            </w:r>
          </w:p>
        </w:tc>
      </w:tr>
      <w:tr w:rsidR="00E806C8" w:rsidRPr="006A0C5E" w14:paraId="06A32C23" w14:textId="77777777" w:rsidTr="00E806C8">
        <w:trPr>
          <w:trHeight w:val="300"/>
        </w:trPr>
        <w:tc>
          <w:tcPr>
            <w:tcW w:w="2344" w:type="dxa"/>
            <w:vMerge/>
            <w:noWrap/>
            <w:vAlign w:val="bottom"/>
            <w:hideMark/>
          </w:tcPr>
          <w:p w14:paraId="44A8DAE9" w14:textId="77777777" w:rsidR="00E806C8" w:rsidRPr="008C7825" w:rsidRDefault="00E806C8" w:rsidP="00A75102">
            <w:pPr>
              <w:tabs>
                <w:tab w:val="clear" w:pos="431"/>
              </w:tabs>
              <w:spacing w:after="0" w:line="240" w:lineRule="auto"/>
              <w:ind w:left="0"/>
              <w:jc w:val="left"/>
              <w:rPr>
                <w:rFonts w:asciiTheme="minorHAnsi" w:hAnsiTheme="minorHAnsi" w:cs="Calibri"/>
                <w:szCs w:val="20"/>
                <w:lang w:eastAsia="hr-HR"/>
              </w:rPr>
            </w:pPr>
          </w:p>
        </w:tc>
        <w:tc>
          <w:tcPr>
            <w:tcW w:w="1463" w:type="dxa"/>
            <w:noWrap/>
            <w:hideMark/>
          </w:tcPr>
          <w:p w14:paraId="1CE2E780" w14:textId="77777777" w:rsidR="00E806C8" w:rsidRPr="008C7825" w:rsidRDefault="00641221" w:rsidP="00A75102">
            <w:pPr>
              <w:tabs>
                <w:tab w:val="clear" w:pos="431"/>
              </w:tabs>
              <w:spacing w:after="0" w:line="240" w:lineRule="auto"/>
              <w:ind w:left="0"/>
              <w:jc w:val="center"/>
              <w:rPr>
                <w:rFonts w:asciiTheme="minorHAnsi" w:hAnsiTheme="minorHAnsi" w:cs="Calibri"/>
                <w:color w:val="000000"/>
                <w:szCs w:val="20"/>
                <w:lang w:eastAsia="hr-HR"/>
              </w:rPr>
            </w:pPr>
            <w:r>
              <w:rPr>
                <w:rFonts w:asciiTheme="minorHAnsi" w:hAnsiTheme="minorHAnsi" w:cs="Calibri"/>
                <w:color w:val="000000"/>
                <w:szCs w:val="20"/>
                <w:lang w:eastAsia="hr-HR"/>
              </w:rPr>
              <w:t>broj zgrada</w:t>
            </w:r>
          </w:p>
        </w:tc>
        <w:tc>
          <w:tcPr>
            <w:tcW w:w="2025" w:type="dxa"/>
            <w:noWrap/>
            <w:hideMark/>
          </w:tcPr>
          <w:p w14:paraId="47D7DE95" w14:textId="77777777" w:rsidR="00E806C8" w:rsidRPr="008C7825" w:rsidRDefault="00641221" w:rsidP="00A75102">
            <w:pPr>
              <w:tabs>
                <w:tab w:val="clear" w:pos="431"/>
              </w:tabs>
              <w:spacing w:after="0" w:line="240" w:lineRule="auto"/>
              <w:ind w:left="0"/>
              <w:jc w:val="center"/>
              <w:rPr>
                <w:rFonts w:asciiTheme="minorHAnsi" w:hAnsiTheme="minorHAnsi" w:cs="Calibri"/>
                <w:color w:val="000000"/>
                <w:szCs w:val="20"/>
                <w:lang w:eastAsia="hr-HR"/>
              </w:rPr>
            </w:pPr>
            <w:r>
              <w:rPr>
                <w:rFonts w:asciiTheme="minorHAnsi" w:hAnsiTheme="minorHAnsi" w:cs="Calibri"/>
                <w:color w:val="000000"/>
                <w:szCs w:val="20"/>
                <w:lang w:eastAsia="hr-HR"/>
              </w:rPr>
              <w:t>površina</w:t>
            </w:r>
          </w:p>
        </w:tc>
        <w:tc>
          <w:tcPr>
            <w:tcW w:w="1756" w:type="dxa"/>
            <w:noWrap/>
            <w:hideMark/>
          </w:tcPr>
          <w:p w14:paraId="3F82E61A" w14:textId="77777777" w:rsidR="00E806C8" w:rsidRPr="008C7825" w:rsidRDefault="00641221" w:rsidP="00A75102">
            <w:pPr>
              <w:tabs>
                <w:tab w:val="clear" w:pos="431"/>
              </w:tabs>
              <w:spacing w:after="0" w:line="240" w:lineRule="auto"/>
              <w:ind w:left="0"/>
              <w:jc w:val="center"/>
              <w:rPr>
                <w:rFonts w:asciiTheme="minorHAnsi" w:hAnsiTheme="minorHAnsi" w:cs="Calibri"/>
                <w:color w:val="000000"/>
                <w:szCs w:val="20"/>
                <w:lang w:eastAsia="hr-HR"/>
              </w:rPr>
            </w:pPr>
            <w:r>
              <w:rPr>
                <w:rFonts w:asciiTheme="minorHAnsi" w:hAnsiTheme="minorHAnsi" w:cs="Calibri"/>
                <w:color w:val="000000"/>
                <w:szCs w:val="20"/>
                <w:lang w:eastAsia="hr-HR"/>
              </w:rPr>
              <w:t>broj zgrada</w:t>
            </w:r>
          </w:p>
        </w:tc>
        <w:tc>
          <w:tcPr>
            <w:tcW w:w="1756" w:type="dxa"/>
            <w:noWrap/>
            <w:hideMark/>
          </w:tcPr>
          <w:p w14:paraId="1BC24379" w14:textId="77777777" w:rsidR="00E806C8" w:rsidRPr="008C7825" w:rsidRDefault="00641221" w:rsidP="00A75102">
            <w:pPr>
              <w:tabs>
                <w:tab w:val="clear" w:pos="431"/>
              </w:tabs>
              <w:spacing w:after="0" w:line="240" w:lineRule="auto"/>
              <w:ind w:left="0"/>
              <w:jc w:val="center"/>
              <w:rPr>
                <w:rFonts w:asciiTheme="minorHAnsi" w:hAnsiTheme="minorHAnsi" w:cs="Calibri"/>
                <w:color w:val="000000"/>
                <w:szCs w:val="20"/>
                <w:lang w:eastAsia="hr-HR"/>
              </w:rPr>
            </w:pPr>
            <w:r>
              <w:rPr>
                <w:rFonts w:asciiTheme="minorHAnsi" w:hAnsiTheme="minorHAnsi" w:cs="Calibri"/>
                <w:color w:val="000000"/>
                <w:szCs w:val="20"/>
                <w:lang w:eastAsia="hr-HR"/>
              </w:rPr>
              <w:t>površina</w:t>
            </w:r>
          </w:p>
        </w:tc>
      </w:tr>
      <w:tr w:rsidR="00E806C8" w:rsidRPr="006A0C5E" w14:paraId="03348E79" w14:textId="77777777" w:rsidTr="00E806C8">
        <w:trPr>
          <w:trHeight w:val="300"/>
        </w:trPr>
        <w:tc>
          <w:tcPr>
            <w:tcW w:w="2344" w:type="dxa"/>
            <w:vMerge/>
            <w:noWrap/>
            <w:vAlign w:val="bottom"/>
            <w:hideMark/>
          </w:tcPr>
          <w:p w14:paraId="3CE0F084"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p>
        </w:tc>
        <w:tc>
          <w:tcPr>
            <w:tcW w:w="1463" w:type="dxa"/>
            <w:noWrap/>
            <w:hideMark/>
          </w:tcPr>
          <w:p w14:paraId="1C77BB77"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w:t>
            </w:r>
          </w:p>
        </w:tc>
        <w:tc>
          <w:tcPr>
            <w:tcW w:w="2025" w:type="dxa"/>
            <w:noWrap/>
            <w:hideMark/>
          </w:tcPr>
          <w:p w14:paraId="385F90F5"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m²</w:t>
            </w:r>
          </w:p>
        </w:tc>
        <w:tc>
          <w:tcPr>
            <w:tcW w:w="1756" w:type="dxa"/>
            <w:noWrap/>
            <w:hideMark/>
          </w:tcPr>
          <w:p w14:paraId="4548E0D8"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w:t>
            </w:r>
          </w:p>
        </w:tc>
        <w:tc>
          <w:tcPr>
            <w:tcW w:w="1756" w:type="dxa"/>
            <w:noWrap/>
            <w:hideMark/>
          </w:tcPr>
          <w:p w14:paraId="17E69025"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m²</w:t>
            </w:r>
          </w:p>
        </w:tc>
      </w:tr>
      <w:tr w:rsidR="00A75102" w:rsidRPr="006A0C5E" w14:paraId="46329A84" w14:textId="77777777" w:rsidTr="008C7825">
        <w:trPr>
          <w:trHeight w:val="300"/>
        </w:trPr>
        <w:tc>
          <w:tcPr>
            <w:tcW w:w="2344" w:type="dxa"/>
            <w:noWrap/>
            <w:vAlign w:val="bottom"/>
            <w:hideMark/>
          </w:tcPr>
          <w:p w14:paraId="124A5FD2" w14:textId="77777777" w:rsidR="00A75102" w:rsidRPr="008C7825" w:rsidRDefault="00A75102" w:rsidP="00A75102">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do 1941.</w:t>
            </w:r>
          </w:p>
        </w:tc>
        <w:tc>
          <w:tcPr>
            <w:tcW w:w="1463" w:type="dxa"/>
            <w:noWrap/>
            <w:vAlign w:val="bottom"/>
            <w:hideMark/>
          </w:tcPr>
          <w:p w14:paraId="4A4AC70B"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37.201</w:t>
            </w:r>
          </w:p>
        </w:tc>
        <w:tc>
          <w:tcPr>
            <w:tcW w:w="2025" w:type="dxa"/>
            <w:noWrap/>
            <w:vAlign w:val="bottom"/>
            <w:hideMark/>
          </w:tcPr>
          <w:p w14:paraId="31C2D3FA"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5.830.983</w:t>
            </w:r>
          </w:p>
        </w:tc>
        <w:tc>
          <w:tcPr>
            <w:tcW w:w="1756" w:type="dxa"/>
            <w:noWrap/>
            <w:vAlign w:val="bottom"/>
            <w:hideMark/>
          </w:tcPr>
          <w:p w14:paraId="1A4AF5A4"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64.391</w:t>
            </w:r>
          </w:p>
        </w:tc>
        <w:tc>
          <w:tcPr>
            <w:tcW w:w="1756" w:type="dxa"/>
            <w:noWrap/>
            <w:vAlign w:val="bottom"/>
            <w:hideMark/>
          </w:tcPr>
          <w:p w14:paraId="48BE438F"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10.092.805</w:t>
            </w:r>
          </w:p>
        </w:tc>
      </w:tr>
      <w:tr w:rsidR="00A75102" w:rsidRPr="006A0C5E" w14:paraId="371BE12C" w14:textId="77777777" w:rsidTr="008C7825">
        <w:trPr>
          <w:trHeight w:val="300"/>
        </w:trPr>
        <w:tc>
          <w:tcPr>
            <w:tcW w:w="2344" w:type="dxa"/>
            <w:noWrap/>
            <w:vAlign w:val="bottom"/>
            <w:hideMark/>
          </w:tcPr>
          <w:p w14:paraId="1E5EA46E" w14:textId="77777777" w:rsidR="00A75102" w:rsidRPr="008C7825" w:rsidRDefault="00A75102" w:rsidP="00A75102">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1941. - 1970.</w:t>
            </w:r>
          </w:p>
        </w:tc>
        <w:tc>
          <w:tcPr>
            <w:tcW w:w="1463" w:type="dxa"/>
            <w:noWrap/>
            <w:vAlign w:val="bottom"/>
            <w:hideMark/>
          </w:tcPr>
          <w:p w14:paraId="2FD6C7B5"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85.959</w:t>
            </w:r>
          </w:p>
        </w:tc>
        <w:tc>
          <w:tcPr>
            <w:tcW w:w="2025" w:type="dxa"/>
            <w:noWrap/>
            <w:vAlign w:val="bottom"/>
            <w:hideMark/>
          </w:tcPr>
          <w:p w14:paraId="5DB849FC"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13.473.337</w:t>
            </w:r>
          </w:p>
        </w:tc>
        <w:tc>
          <w:tcPr>
            <w:tcW w:w="1756" w:type="dxa"/>
            <w:noWrap/>
            <w:vAlign w:val="bottom"/>
            <w:hideMark/>
          </w:tcPr>
          <w:p w14:paraId="01FB4395"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151.507</w:t>
            </w:r>
          </w:p>
        </w:tc>
        <w:tc>
          <w:tcPr>
            <w:tcW w:w="1756" w:type="dxa"/>
            <w:noWrap/>
            <w:vAlign w:val="bottom"/>
            <w:hideMark/>
          </w:tcPr>
          <w:p w14:paraId="1F5C6859"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23.747.572</w:t>
            </w:r>
          </w:p>
        </w:tc>
      </w:tr>
      <w:tr w:rsidR="00A75102" w:rsidRPr="006A0C5E" w14:paraId="7ECDD166" w14:textId="77777777" w:rsidTr="008C7825">
        <w:trPr>
          <w:trHeight w:val="300"/>
        </w:trPr>
        <w:tc>
          <w:tcPr>
            <w:tcW w:w="2344" w:type="dxa"/>
            <w:noWrap/>
            <w:vAlign w:val="bottom"/>
            <w:hideMark/>
          </w:tcPr>
          <w:p w14:paraId="439A205D" w14:textId="77777777" w:rsidR="00A75102" w:rsidRPr="008C7825" w:rsidRDefault="00A75102" w:rsidP="00A75102">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1971. - 1980.</w:t>
            </w:r>
          </w:p>
        </w:tc>
        <w:tc>
          <w:tcPr>
            <w:tcW w:w="1463" w:type="dxa"/>
            <w:noWrap/>
            <w:vAlign w:val="bottom"/>
            <w:hideMark/>
          </w:tcPr>
          <w:p w14:paraId="0AD85F4A"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59.882</w:t>
            </w:r>
          </w:p>
        </w:tc>
        <w:tc>
          <w:tcPr>
            <w:tcW w:w="2025" w:type="dxa"/>
            <w:noWrap/>
            <w:vAlign w:val="bottom"/>
            <w:hideMark/>
          </w:tcPr>
          <w:p w14:paraId="29CC42A5"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10.398.113</w:t>
            </w:r>
          </w:p>
        </w:tc>
        <w:tc>
          <w:tcPr>
            <w:tcW w:w="1756" w:type="dxa"/>
            <w:noWrap/>
            <w:vAlign w:val="bottom"/>
            <w:hideMark/>
          </w:tcPr>
          <w:p w14:paraId="1C258697"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93.109</w:t>
            </w:r>
          </w:p>
        </w:tc>
        <w:tc>
          <w:tcPr>
            <w:tcW w:w="1756" w:type="dxa"/>
            <w:noWrap/>
            <w:vAlign w:val="bottom"/>
            <w:hideMark/>
          </w:tcPr>
          <w:p w14:paraId="66A90FBE"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16.167.887</w:t>
            </w:r>
          </w:p>
        </w:tc>
      </w:tr>
      <w:tr w:rsidR="00A75102" w:rsidRPr="006A0C5E" w14:paraId="30FE627C" w14:textId="77777777" w:rsidTr="008C7825">
        <w:trPr>
          <w:trHeight w:val="300"/>
        </w:trPr>
        <w:tc>
          <w:tcPr>
            <w:tcW w:w="2344" w:type="dxa"/>
            <w:noWrap/>
            <w:vAlign w:val="bottom"/>
            <w:hideMark/>
          </w:tcPr>
          <w:p w14:paraId="38E72D0B" w14:textId="77777777" w:rsidR="00A75102" w:rsidRPr="008C7825" w:rsidRDefault="00A75102" w:rsidP="00A75102">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1981. - 1987.</w:t>
            </w:r>
          </w:p>
        </w:tc>
        <w:tc>
          <w:tcPr>
            <w:tcW w:w="1463" w:type="dxa"/>
            <w:noWrap/>
            <w:vAlign w:val="bottom"/>
            <w:hideMark/>
          </w:tcPr>
          <w:p w14:paraId="17B7C38F"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44.434</w:t>
            </w:r>
          </w:p>
        </w:tc>
        <w:tc>
          <w:tcPr>
            <w:tcW w:w="2025" w:type="dxa"/>
            <w:noWrap/>
            <w:vAlign w:val="bottom"/>
            <w:hideMark/>
          </w:tcPr>
          <w:p w14:paraId="7FD60024"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9.401.527</w:t>
            </w:r>
          </w:p>
        </w:tc>
        <w:tc>
          <w:tcPr>
            <w:tcW w:w="1756" w:type="dxa"/>
            <w:noWrap/>
            <w:vAlign w:val="bottom"/>
            <w:hideMark/>
          </w:tcPr>
          <w:p w14:paraId="4FD051F3"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68.348</w:t>
            </w:r>
          </w:p>
        </w:tc>
        <w:tc>
          <w:tcPr>
            <w:tcW w:w="1756" w:type="dxa"/>
            <w:noWrap/>
            <w:vAlign w:val="bottom"/>
            <w:hideMark/>
          </w:tcPr>
          <w:p w14:paraId="05E4AE46"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14.461.473</w:t>
            </w:r>
          </w:p>
        </w:tc>
      </w:tr>
      <w:tr w:rsidR="00A75102" w:rsidRPr="006A0C5E" w14:paraId="21074BCB" w14:textId="77777777" w:rsidTr="008C7825">
        <w:trPr>
          <w:trHeight w:val="300"/>
        </w:trPr>
        <w:tc>
          <w:tcPr>
            <w:tcW w:w="2344" w:type="dxa"/>
            <w:noWrap/>
            <w:vAlign w:val="bottom"/>
            <w:hideMark/>
          </w:tcPr>
          <w:p w14:paraId="2A150B96" w14:textId="77777777" w:rsidR="00A75102" w:rsidRPr="008C7825" w:rsidRDefault="00A75102" w:rsidP="00A75102">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1988. - 2005.</w:t>
            </w:r>
          </w:p>
        </w:tc>
        <w:tc>
          <w:tcPr>
            <w:tcW w:w="1463" w:type="dxa"/>
            <w:noWrap/>
            <w:vAlign w:val="bottom"/>
            <w:hideMark/>
          </w:tcPr>
          <w:p w14:paraId="046A397C"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38.358</w:t>
            </w:r>
          </w:p>
        </w:tc>
        <w:tc>
          <w:tcPr>
            <w:tcW w:w="2025" w:type="dxa"/>
            <w:noWrap/>
            <w:vAlign w:val="bottom"/>
            <w:hideMark/>
          </w:tcPr>
          <w:p w14:paraId="7A2C022A"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8.177.401</w:t>
            </w:r>
          </w:p>
        </w:tc>
        <w:tc>
          <w:tcPr>
            <w:tcW w:w="1756" w:type="dxa"/>
            <w:noWrap/>
            <w:vAlign w:val="bottom"/>
            <w:hideMark/>
          </w:tcPr>
          <w:p w14:paraId="055C0756"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75.615</w:t>
            </w:r>
          </w:p>
        </w:tc>
        <w:tc>
          <w:tcPr>
            <w:tcW w:w="1756" w:type="dxa"/>
            <w:noWrap/>
            <w:vAlign w:val="bottom"/>
            <w:hideMark/>
          </w:tcPr>
          <w:p w14:paraId="36922E4F"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16.120.249</w:t>
            </w:r>
          </w:p>
        </w:tc>
      </w:tr>
      <w:tr w:rsidR="00A75102" w:rsidRPr="006A0C5E" w14:paraId="029E3496" w14:textId="77777777" w:rsidTr="008C7825">
        <w:trPr>
          <w:trHeight w:val="300"/>
        </w:trPr>
        <w:tc>
          <w:tcPr>
            <w:tcW w:w="2344" w:type="dxa"/>
            <w:noWrap/>
            <w:vAlign w:val="bottom"/>
            <w:hideMark/>
          </w:tcPr>
          <w:p w14:paraId="2FF35BFA" w14:textId="77777777" w:rsidR="00A75102" w:rsidRPr="008C7825" w:rsidRDefault="00A75102" w:rsidP="00A75102">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2006. – 2009.</w:t>
            </w:r>
          </w:p>
        </w:tc>
        <w:tc>
          <w:tcPr>
            <w:tcW w:w="1463" w:type="dxa"/>
            <w:noWrap/>
            <w:vAlign w:val="bottom"/>
            <w:hideMark/>
          </w:tcPr>
          <w:p w14:paraId="261C4643"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18.256</w:t>
            </w:r>
          </w:p>
        </w:tc>
        <w:tc>
          <w:tcPr>
            <w:tcW w:w="2025" w:type="dxa"/>
            <w:noWrap/>
            <w:vAlign w:val="bottom"/>
            <w:hideMark/>
          </w:tcPr>
          <w:p w14:paraId="25C033E9"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6.199.252</w:t>
            </w:r>
          </w:p>
        </w:tc>
        <w:tc>
          <w:tcPr>
            <w:tcW w:w="1756" w:type="dxa"/>
            <w:noWrap/>
            <w:vAlign w:val="bottom"/>
            <w:hideMark/>
          </w:tcPr>
          <w:p w14:paraId="599434A1"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13.762</w:t>
            </w:r>
          </w:p>
        </w:tc>
        <w:tc>
          <w:tcPr>
            <w:tcW w:w="1756" w:type="dxa"/>
            <w:noWrap/>
            <w:vAlign w:val="bottom"/>
            <w:hideMark/>
          </w:tcPr>
          <w:p w14:paraId="25B3ED2A"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4.673.079</w:t>
            </w:r>
          </w:p>
        </w:tc>
      </w:tr>
      <w:tr w:rsidR="00A75102" w:rsidRPr="006A0C5E" w14:paraId="1A2D5197" w14:textId="77777777" w:rsidTr="008C7825">
        <w:trPr>
          <w:trHeight w:val="300"/>
        </w:trPr>
        <w:tc>
          <w:tcPr>
            <w:tcW w:w="2344" w:type="dxa"/>
            <w:noWrap/>
            <w:vAlign w:val="bottom"/>
            <w:hideMark/>
          </w:tcPr>
          <w:p w14:paraId="0A54072F" w14:textId="77777777" w:rsidR="00A75102" w:rsidRPr="008C7825" w:rsidRDefault="00A75102" w:rsidP="00A75102">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2010. - 2011.</w:t>
            </w:r>
          </w:p>
        </w:tc>
        <w:tc>
          <w:tcPr>
            <w:tcW w:w="1463" w:type="dxa"/>
            <w:noWrap/>
            <w:vAlign w:val="bottom"/>
            <w:hideMark/>
          </w:tcPr>
          <w:p w14:paraId="54A43B64"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6.600</w:t>
            </w:r>
          </w:p>
        </w:tc>
        <w:tc>
          <w:tcPr>
            <w:tcW w:w="2025" w:type="dxa"/>
            <w:noWrap/>
            <w:vAlign w:val="bottom"/>
            <w:hideMark/>
          </w:tcPr>
          <w:p w14:paraId="3B874755"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1.957.449</w:t>
            </w:r>
          </w:p>
        </w:tc>
        <w:tc>
          <w:tcPr>
            <w:tcW w:w="1756" w:type="dxa"/>
            <w:noWrap/>
            <w:vAlign w:val="bottom"/>
            <w:hideMark/>
          </w:tcPr>
          <w:p w14:paraId="4FC85488"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4.976</w:t>
            </w:r>
          </w:p>
        </w:tc>
        <w:tc>
          <w:tcPr>
            <w:tcW w:w="1756" w:type="dxa"/>
            <w:noWrap/>
            <w:vAlign w:val="bottom"/>
            <w:hideMark/>
          </w:tcPr>
          <w:p w14:paraId="535FB847"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1.475.551</w:t>
            </w:r>
          </w:p>
        </w:tc>
      </w:tr>
      <w:tr w:rsidR="00A75102" w:rsidRPr="006A0C5E" w14:paraId="2E9D7CBA" w14:textId="77777777" w:rsidTr="008C7825">
        <w:trPr>
          <w:trHeight w:val="300"/>
        </w:trPr>
        <w:tc>
          <w:tcPr>
            <w:tcW w:w="2344" w:type="dxa"/>
            <w:noWrap/>
            <w:vAlign w:val="bottom"/>
            <w:hideMark/>
          </w:tcPr>
          <w:p w14:paraId="579FC082" w14:textId="77777777" w:rsidR="00A75102" w:rsidRPr="008C7825" w:rsidRDefault="00A75102" w:rsidP="00A75102">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2012. - 2018.</w:t>
            </w:r>
          </w:p>
        </w:tc>
        <w:tc>
          <w:tcPr>
            <w:tcW w:w="1463" w:type="dxa"/>
            <w:noWrap/>
            <w:vAlign w:val="bottom"/>
            <w:hideMark/>
          </w:tcPr>
          <w:p w14:paraId="26A90CFA"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5.646</w:t>
            </w:r>
          </w:p>
        </w:tc>
        <w:tc>
          <w:tcPr>
            <w:tcW w:w="2025" w:type="dxa"/>
            <w:noWrap/>
            <w:vAlign w:val="bottom"/>
            <w:hideMark/>
          </w:tcPr>
          <w:p w14:paraId="3E638CD1"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1.674.402</w:t>
            </w:r>
          </w:p>
        </w:tc>
        <w:tc>
          <w:tcPr>
            <w:tcW w:w="1756" w:type="dxa"/>
            <w:noWrap/>
            <w:vAlign w:val="bottom"/>
            <w:hideMark/>
          </w:tcPr>
          <w:p w14:paraId="0C1DF809"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10.365</w:t>
            </w:r>
          </w:p>
        </w:tc>
        <w:tc>
          <w:tcPr>
            <w:tcW w:w="1756" w:type="dxa"/>
            <w:noWrap/>
            <w:vAlign w:val="bottom"/>
            <w:hideMark/>
          </w:tcPr>
          <w:p w14:paraId="74C11708" w14:textId="77777777" w:rsidR="00A75102" w:rsidRPr="008C7825" w:rsidRDefault="00A75102" w:rsidP="00A75102">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3.073.599</w:t>
            </w:r>
          </w:p>
        </w:tc>
      </w:tr>
      <w:tr w:rsidR="00A75102" w:rsidRPr="006A0C5E" w14:paraId="25696876" w14:textId="77777777" w:rsidTr="008C7825">
        <w:trPr>
          <w:trHeight w:val="300"/>
        </w:trPr>
        <w:tc>
          <w:tcPr>
            <w:tcW w:w="2344" w:type="dxa"/>
            <w:noWrap/>
            <w:vAlign w:val="bottom"/>
            <w:hideMark/>
          </w:tcPr>
          <w:p w14:paraId="6AC6B7EC" w14:textId="77777777" w:rsidR="00A75102" w:rsidRPr="008C7825" w:rsidRDefault="00A75102" w:rsidP="00A75102">
            <w:pPr>
              <w:tabs>
                <w:tab w:val="clear" w:pos="431"/>
              </w:tabs>
              <w:spacing w:after="0" w:line="240" w:lineRule="auto"/>
              <w:ind w:left="0"/>
              <w:jc w:val="left"/>
              <w:rPr>
                <w:rFonts w:asciiTheme="minorHAnsi" w:hAnsiTheme="minorHAnsi" w:cs="Calibri"/>
                <w:b/>
                <w:bCs/>
                <w:color w:val="000000"/>
                <w:szCs w:val="20"/>
                <w:lang w:eastAsia="hr-HR"/>
              </w:rPr>
            </w:pPr>
            <w:r w:rsidRPr="008C7825">
              <w:rPr>
                <w:rFonts w:asciiTheme="minorHAnsi" w:hAnsiTheme="minorHAnsi" w:cs="Calibri"/>
                <w:b/>
                <w:bCs/>
                <w:color w:val="000000"/>
                <w:szCs w:val="20"/>
                <w:lang w:eastAsia="hr-HR"/>
              </w:rPr>
              <w:t>ukupno 2018.</w:t>
            </w:r>
          </w:p>
        </w:tc>
        <w:tc>
          <w:tcPr>
            <w:tcW w:w="1463" w:type="dxa"/>
            <w:noWrap/>
            <w:vAlign w:val="bottom"/>
            <w:hideMark/>
          </w:tcPr>
          <w:p w14:paraId="648AB618" w14:textId="77777777" w:rsidR="00A75102" w:rsidRPr="008C7825" w:rsidRDefault="00A75102" w:rsidP="00A75102">
            <w:pPr>
              <w:tabs>
                <w:tab w:val="clear" w:pos="431"/>
              </w:tabs>
              <w:spacing w:after="0" w:line="240" w:lineRule="auto"/>
              <w:ind w:left="0"/>
              <w:jc w:val="right"/>
              <w:rPr>
                <w:rFonts w:asciiTheme="minorHAnsi" w:hAnsiTheme="minorHAnsi" w:cs="Calibri"/>
                <w:b/>
                <w:bCs/>
                <w:color w:val="000000"/>
                <w:szCs w:val="20"/>
                <w:lang w:eastAsia="hr-HR"/>
              </w:rPr>
            </w:pPr>
            <w:r w:rsidRPr="008C7825">
              <w:rPr>
                <w:rFonts w:asciiTheme="minorHAnsi" w:hAnsiTheme="minorHAnsi" w:cs="Calibri"/>
                <w:b/>
                <w:bCs/>
                <w:color w:val="000000"/>
                <w:szCs w:val="20"/>
                <w:lang w:eastAsia="hr-HR"/>
              </w:rPr>
              <w:t>290.690</w:t>
            </w:r>
          </w:p>
        </w:tc>
        <w:tc>
          <w:tcPr>
            <w:tcW w:w="2025" w:type="dxa"/>
            <w:noWrap/>
            <w:vAlign w:val="bottom"/>
            <w:hideMark/>
          </w:tcPr>
          <w:p w14:paraId="38789D26" w14:textId="77777777" w:rsidR="00A75102" w:rsidRPr="008C7825" w:rsidRDefault="00A75102" w:rsidP="00A75102">
            <w:pPr>
              <w:tabs>
                <w:tab w:val="clear" w:pos="431"/>
              </w:tabs>
              <w:spacing w:after="0" w:line="240" w:lineRule="auto"/>
              <w:ind w:left="0"/>
              <w:jc w:val="right"/>
              <w:rPr>
                <w:rFonts w:asciiTheme="minorHAnsi" w:hAnsiTheme="minorHAnsi" w:cs="Calibri"/>
                <w:b/>
                <w:bCs/>
                <w:color w:val="000000"/>
                <w:szCs w:val="20"/>
                <w:lang w:eastAsia="hr-HR"/>
              </w:rPr>
            </w:pPr>
            <w:r w:rsidRPr="008C7825">
              <w:rPr>
                <w:rFonts w:asciiTheme="minorHAnsi" w:hAnsiTheme="minorHAnsi" w:cs="Calibri"/>
                <w:b/>
                <w:bCs/>
                <w:color w:val="000000"/>
                <w:szCs w:val="20"/>
                <w:lang w:eastAsia="hr-HR"/>
              </w:rPr>
              <w:t>57.112.464</w:t>
            </w:r>
          </w:p>
        </w:tc>
        <w:tc>
          <w:tcPr>
            <w:tcW w:w="1756" w:type="dxa"/>
            <w:noWrap/>
            <w:vAlign w:val="bottom"/>
            <w:hideMark/>
          </w:tcPr>
          <w:p w14:paraId="063179E6" w14:textId="77777777" w:rsidR="00A75102" w:rsidRPr="008C7825" w:rsidRDefault="00A75102" w:rsidP="00A75102">
            <w:pPr>
              <w:tabs>
                <w:tab w:val="clear" w:pos="431"/>
              </w:tabs>
              <w:spacing w:after="0" w:line="240" w:lineRule="auto"/>
              <w:ind w:left="0"/>
              <w:jc w:val="right"/>
              <w:rPr>
                <w:rFonts w:asciiTheme="minorHAnsi" w:hAnsiTheme="minorHAnsi" w:cs="Calibri"/>
                <w:b/>
                <w:bCs/>
                <w:color w:val="000000"/>
                <w:szCs w:val="20"/>
                <w:lang w:eastAsia="hr-HR"/>
              </w:rPr>
            </w:pPr>
            <w:r w:rsidRPr="008C7825">
              <w:rPr>
                <w:rFonts w:asciiTheme="minorHAnsi" w:hAnsiTheme="minorHAnsi" w:cs="Calibri"/>
                <w:b/>
                <w:bCs/>
                <w:color w:val="000000"/>
                <w:szCs w:val="20"/>
                <w:lang w:eastAsia="hr-HR"/>
              </w:rPr>
              <w:t>471.708</w:t>
            </w:r>
          </w:p>
        </w:tc>
        <w:tc>
          <w:tcPr>
            <w:tcW w:w="1756" w:type="dxa"/>
            <w:noWrap/>
            <w:vAlign w:val="bottom"/>
            <w:hideMark/>
          </w:tcPr>
          <w:p w14:paraId="331E1DC9" w14:textId="77777777" w:rsidR="00A75102" w:rsidRPr="008C7825" w:rsidRDefault="00A75102" w:rsidP="00A75102">
            <w:pPr>
              <w:tabs>
                <w:tab w:val="clear" w:pos="431"/>
              </w:tabs>
              <w:spacing w:after="0" w:line="240" w:lineRule="auto"/>
              <w:ind w:left="0"/>
              <w:jc w:val="right"/>
              <w:rPr>
                <w:rFonts w:asciiTheme="minorHAnsi" w:hAnsiTheme="minorHAnsi" w:cs="Calibri"/>
                <w:b/>
                <w:bCs/>
                <w:color w:val="000000"/>
                <w:szCs w:val="20"/>
                <w:lang w:eastAsia="hr-HR"/>
              </w:rPr>
            </w:pPr>
            <w:r w:rsidRPr="008C7825">
              <w:rPr>
                <w:rFonts w:asciiTheme="minorHAnsi" w:hAnsiTheme="minorHAnsi" w:cs="Calibri"/>
                <w:b/>
                <w:bCs/>
                <w:color w:val="000000"/>
                <w:szCs w:val="20"/>
                <w:lang w:eastAsia="hr-HR"/>
              </w:rPr>
              <w:t>89.812.215</w:t>
            </w:r>
          </w:p>
        </w:tc>
      </w:tr>
    </w:tbl>
    <w:p w14:paraId="57D9326F" w14:textId="77777777" w:rsidR="00A75102" w:rsidRDefault="00A75102">
      <w:pPr>
        <w:rPr>
          <w:lang w:eastAsia="hr-HR"/>
        </w:rPr>
      </w:pPr>
    </w:p>
    <w:p w14:paraId="4270B5AC" w14:textId="77777777" w:rsidR="00F35836" w:rsidRDefault="00F35836">
      <w:pPr>
        <w:rPr>
          <w:lang w:eastAsia="hr-HR"/>
        </w:rPr>
      </w:pPr>
      <w:r>
        <w:rPr>
          <w:lang w:eastAsia="hr-HR"/>
        </w:rPr>
        <w:t xml:space="preserve">Fond nestambenih zgrada je u razdoblju 2011. – 2018. godine uvećan za 7.151.193 m², ali nisu dostupni podaci o javnom/komercijalnom statusu zgrada, te su modelski pridodane javnom, odnosno komercijalnom sektoru prema njihovom trenutnom omjeru. </w:t>
      </w:r>
    </w:p>
    <w:p w14:paraId="78F67028" w14:textId="1224CE17" w:rsidR="00F35836" w:rsidRDefault="00F35836" w:rsidP="008C7825">
      <w:pPr>
        <w:pStyle w:val="Opisslike"/>
        <w:keepNext/>
      </w:pPr>
      <w:bookmarkStart w:id="34" w:name="_Toc40089023"/>
      <w:r>
        <w:t xml:space="preserve">Tablica </w:t>
      </w:r>
      <w:r w:rsidR="00A50909">
        <w:fldChar w:fldCharType="begin"/>
      </w:r>
      <w:r w:rsidR="00A50909">
        <w:instrText xml:space="preserve"> </w:instrText>
      </w:r>
      <w:r w:rsidR="00A50909">
        <w:instrText xml:space="preserve">SEQ Tablica \* ARABIC </w:instrText>
      </w:r>
      <w:r w:rsidR="00A50909">
        <w:fldChar w:fldCharType="separate"/>
      </w:r>
      <w:r w:rsidR="00CE61F3">
        <w:rPr>
          <w:noProof/>
        </w:rPr>
        <w:t>6</w:t>
      </w:r>
      <w:r w:rsidR="00A50909">
        <w:rPr>
          <w:noProof/>
        </w:rPr>
        <w:fldChar w:fldCharType="end"/>
      </w:r>
      <w:r>
        <w:t xml:space="preserve"> Nestambeni fond RH prema godini izgradnje</w:t>
      </w:r>
      <w:bookmarkEnd w:id="34"/>
    </w:p>
    <w:tbl>
      <w:tblPr>
        <w:tblStyle w:val="Reetkatablice"/>
        <w:tblW w:w="5000" w:type="pct"/>
        <w:tblLook w:val="04A0" w:firstRow="1" w:lastRow="0" w:firstColumn="1" w:lastColumn="0" w:noHBand="0" w:noVBand="1"/>
      </w:tblPr>
      <w:tblGrid>
        <w:gridCol w:w="1868"/>
        <w:gridCol w:w="1869"/>
        <w:gridCol w:w="1869"/>
        <w:gridCol w:w="1869"/>
        <w:gridCol w:w="1869"/>
      </w:tblGrid>
      <w:tr w:rsidR="00E806C8" w:rsidRPr="006A0C5E" w14:paraId="3EE8BB85" w14:textId="77777777" w:rsidTr="008C7825">
        <w:trPr>
          <w:trHeight w:val="300"/>
        </w:trPr>
        <w:tc>
          <w:tcPr>
            <w:tcW w:w="1870" w:type="dxa"/>
            <w:vMerge w:val="restart"/>
            <w:noWrap/>
            <w:hideMark/>
          </w:tcPr>
          <w:p w14:paraId="2139A538" w14:textId="77777777" w:rsidR="00E806C8" w:rsidRPr="008C7825" w:rsidRDefault="00E806C8" w:rsidP="00F35836">
            <w:pPr>
              <w:rPr>
                <w:rFonts w:asciiTheme="minorHAnsi" w:hAnsiTheme="minorHAnsi" w:cs="Calibri"/>
                <w:szCs w:val="20"/>
                <w:lang w:eastAsia="hr-HR"/>
              </w:rPr>
            </w:pPr>
          </w:p>
        </w:tc>
        <w:tc>
          <w:tcPr>
            <w:tcW w:w="3742" w:type="dxa"/>
            <w:gridSpan w:val="2"/>
            <w:noWrap/>
            <w:hideMark/>
          </w:tcPr>
          <w:p w14:paraId="3B842465"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komercijalne</w:t>
            </w:r>
          </w:p>
        </w:tc>
        <w:tc>
          <w:tcPr>
            <w:tcW w:w="3742" w:type="dxa"/>
            <w:gridSpan w:val="2"/>
            <w:noWrap/>
            <w:hideMark/>
          </w:tcPr>
          <w:p w14:paraId="5775025E"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javne</w:t>
            </w:r>
          </w:p>
        </w:tc>
      </w:tr>
      <w:tr w:rsidR="00E806C8" w:rsidRPr="006A0C5E" w14:paraId="674BC43F" w14:textId="77777777" w:rsidTr="008C7825">
        <w:trPr>
          <w:trHeight w:val="300"/>
        </w:trPr>
        <w:tc>
          <w:tcPr>
            <w:tcW w:w="1870" w:type="dxa"/>
            <w:vMerge/>
            <w:noWrap/>
            <w:hideMark/>
          </w:tcPr>
          <w:p w14:paraId="016EC253" w14:textId="77777777" w:rsidR="00E806C8" w:rsidRPr="008C7825" w:rsidRDefault="00E806C8">
            <w:pPr>
              <w:rPr>
                <w:rFonts w:asciiTheme="minorHAnsi" w:hAnsiTheme="minorHAnsi" w:cs="Calibri"/>
                <w:szCs w:val="20"/>
                <w:lang w:eastAsia="hr-HR"/>
              </w:rPr>
            </w:pPr>
          </w:p>
        </w:tc>
        <w:tc>
          <w:tcPr>
            <w:tcW w:w="1871" w:type="dxa"/>
            <w:noWrap/>
            <w:hideMark/>
          </w:tcPr>
          <w:p w14:paraId="112197F0" w14:textId="77777777" w:rsidR="00E806C8" w:rsidRPr="008C7825" w:rsidRDefault="00641221" w:rsidP="008C7825">
            <w:pPr>
              <w:jc w:val="center"/>
              <w:rPr>
                <w:rFonts w:asciiTheme="minorHAnsi" w:hAnsiTheme="minorHAnsi" w:cs="Calibri"/>
                <w:szCs w:val="20"/>
                <w:lang w:eastAsia="hr-HR"/>
              </w:rPr>
            </w:pPr>
            <w:r>
              <w:rPr>
                <w:rFonts w:asciiTheme="minorHAnsi" w:hAnsiTheme="minorHAnsi" w:cs="Calibri"/>
                <w:szCs w:val="20"/>
                <w:lang w:eastAsia="hr-HR"/>
              </w:rPr>
              <w:t>broj zgrada</w:t>
            </w:r>
          </w:p>
        </w:tc>
        <w:tc>
          <w:tcPr>
            <w:tcW w:w="1871" w:type="dxa"/>
            <w:noWrap/>
            <w:hideMark/>
          </w:tcPr>
          <w:p w14:paraId="50CE84FD" w14:textId="77777777" w:rsidR="00E806C8" w:rsidRPr="008C7825" w:rsidRDefault="00641221" w:rsidP="008C7825">
            <w:pPr>
              <w:jc w:val="center"/>
              <w:rPr>
                <w:rFonts w:asciiTheme="minorHAnsi" w:hAnsiTheme="minorHAnsi" w:cs="Calibri"/>
                <w:szCs w:val="20"/>
                <w:lang w:eastAsia="hr-HR"/>
              </w:rPr>
            </w:pPr>
            <w:r>
              <w:rPr>
                <w:rFonts w:asciiTheme="minorHAnsi" w:hAnsiTheme="minorHAnsi" w:cs="Calibri"/>
                <w:szCs w:val="20"/>
                <w:lang w:eastAsia="hr-HR"/>
              </w:rPr>
              <w:t>površina</w:t>
            </w:r>
          </w:p>
        </w:tc>
        <w:tc>
          <w:tcPr>
            <w:tcW w:w="1871" w:type="dxa"/>
            <w:noWrap/>
            <w:hideMark/>
          </w:tcPr>
          <w:p w14:paraId="1DD0C919" w14:textId="77777777" w:rsidR="00E806C8" w:rsidRPr="008C7825" w:rsidRDefault="00641221" w:rsidP="008C7825">
            <w:pPr>
              <w:jc w:val="center"/>
              <w:rPr>
                <w:rFonts w:asciiTheme="minorHAnsi" w:hAnsiTheme="minorHAnsi" w:cs="Calibri"/>
                <w:szCs w:val="20"/>
                <w:lang w:eastAsia="hr-HR"/>
              </w:rPr>
            </w:pPr>
            <w:r>
              <w:rPr>
                <w:rFonts w:asciiTheme="minorHAnsi" w:hAnsiTheme="minorHAnsi" w:cs="Calibri"/>
                <w:szCs w:val="20"/>
                <w:lang w:eastAsia="hr-HR"/>
              </w:rPr>
              <w:t>broja zgrada</w:t>
            </w:r>
          </w:p>
        </w:tc>
        <w:tc>
          <w:tcPr>
            <w:tcW w:w="1871" w:type="dxa"/>
            <w:noWrap/>
            <w:hideMark/>
          </w:tcPr>
          <w:p w14:paraId="6DBF8485" w14:textId="77777777" w:rsidR="00E806C8" w:rsidRPr="008C7825" w:rsidRDefault="00641221" w:rsidP="008C7825">
            <w:pPr>
              <w:jc w:val="center"/>
              <w:rPr>
                <w:rFonts w:asciiTheme="minorHAnsi" w:hAnsiTheme="minorHAnsi" w:cs="Calibri"/>
                <w:szCs w:val="20"/>
                <w:lang w:eastAsia="hr-HR"/>
              </w:rPr>
            </w:pPr>
            <w:r>
              <w:rPr>
                <w:rFonts w:asciiTheme="minorHAnsi" w:hAnsiTheme="minorHAnsi" w:cs="Calibri"/>
                <w:szCs w:val="20"/>
                <w:lang w:eastAsia="hr-HR"/>
              </w:rPr>
              <w:t>površina</w:t>
            </w:r>
          </w:p>
        </w:tc>
      </w:tr>
      <w:tr w:rsidR="00E806C8" w:rsidRPr="006A0C5E" w14:paraId="21083BBE" w14:textId="77777777" w:rsidTr="008C7825">
        <w:trPr>
          <w:trHeight w:val="300"/>
        </w:trPr>
        <w:tc>
          <w:tcPr>
            <w:tcW w:w="1870" w:type="dxa"/>
            <w:vMerge/>
            <w:noWrap/>
            <w:hideMark/>
          </w:tcPr>
          <w:p w14:paraId="60B48E4F" w14:textId="77777777" w:rsidR="00E806C8" w:rsidRPr="008C7825" w:rsidRDefault="00E806C8" w:rsidP="00F35836">
            <w:pPr>
              <w:rPr>
                <w:rFonts w:asciiTheme="minorHAnsi" w:hAnsiTheme="minorHAnsi" w:cs="Calibri"/>
                <w:szCs w:val="20"/>
                <w:lang w:eastAsia="hr-HR"/>
              </w:rPr>
            </w:pPr>
          </w:p>
        </w:tc>
        <w:tc>
          <w:tcPr>
            <w:tcW w:w="1871" w:type="dxa"/>
            <w:noWrap/>
            <w:hideMark/>
          </w:tcPr>
          <w:p w14:paraId="09C45C59"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w:t>
            </w:r>
          </w:p>
        </w:tc>
        <w:tc>
          <w:tcPr>
            <w:tcW w:w="1871" w:type="dxa"/>
            <w:noWrap/>
            <w:hideMark/>
          </w:tcPr>
          <w:p w14:paraId="4D17682C"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m²</w:t>
            </w:r>
          </w:p>
        </w:tc>
        <w:tc>
          <w:tcPr>
            <w:tcW w:w="1871" w:type="dxa"/>
            <w:noWrap/>
            <w:hideMark/>
          </w:tcPr>
          <w:p w14:paraId="16042F69"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w:t>
            </w:r>
          </w:p>
        </w:tc>
        <w:tc>
          <w:tcPr>
            <w:tcW w:w="1871" w:type="dxa"/>
            <w:noWrap/>
            <w:hideMark/>
          </w:tcPr>
          <w:p w14:paraId="399B974D"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m²</w:t>
            </w:r>
          </w:p>
        </w:tc>
      </w:tr>
      <w:tr w:rsidR="00F35836" w:rsidRPr="006A0C5E" w14:paraId="4467643A" w14:textId="77777777" w:rsidTr="008C7825">
        <w:trPr>
          <w:trHeight w:val="300"/>
        </w:trPr>
        <w:tc>
          <w:tcPr>
            <w:tcW w:w="1870" w:type="dxa"/>
            <w:noWrap/>
            <w:hideMark/>
          </w:tcPr>
          <w:p w14:paraId="53E8A889"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do 1941.</w:t>
            </w:r>
          </w:p>
        </w:tc>
        <w:tc>
          <w:tcPr>
            <w:tcW w:w="1871" w:type="dxa"/>
            <w:noWrap/>
            <w:hideMark/>
          </w:tcPr>
          <w:p w14:paraId="1F9678AC"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2.338</w:t>
            </w:r>
          </w:p>
        </w:tc>
        <w:tc>
          <w:tcPr>
            <w:tcW w:w="1871" w:type="dxa"/>
            <w:noWrap/>
            <w:hideMark/>
          </w:tcPr>
          <w:p w14:paraId="6AA01D59"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1.498.159</w:t>
            </w:r>
          </w:p>
        </w:tc>
        <w:tc>
          <w:tcPr>
            <w:tcW w:w="1871" w:type="dxa"/>
            <w:noWrap/>
            <w:hideMark/>
          </w:tcPr>
          <w:p w14:paraId="1B92C862"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12.365</w:t>
            </w:r>
          </w:p>
        </w:tc>
        <w:tc>
          <w:tcPr>
            <w:tcW w:w="1871" w:type="dxa"/>
            <w:noWrap/>
            <w:hideMark/>
          </w:tcPr>
          <w:p w14:paraId="691E2467"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1.545.813</w:t>
            </w:r>
          </w:p>
        </w:tc>
      </w:tr>
      <w:tr w:rsidR="00F35836" w:rsidRPr="006A0C5E" w14:paraId="17849222" w14:textId="77777777" w:rsidTr="008C7825">
        <w:trPr>
          <w:trHeight w:val="300"/>
        </w:trPr>
        <w:tc>
          <w:tcPr>
            <w:tcW w:w="1870" w:type="dxa"/>
            <w:noWrap/>
            <w:hideMark/>
          </w:tcPr>
          <w:p w14:paraId="4D7CD29F"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1941. - 1970.</w:t>
            </w:r>
          </w:p>
        </w:tc>
        <w:tc>
          <w:tcPr>
            <w:tcW w:w="1871" w:type="dxa"/>
            <w:noWrap/>
            <w:hideMark/>
          </w:tcPr>
          <w:p w14:paraId="48A8F787"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12.587</w:t>
            </w:r>
          </w:p>
        </w:tc>
        <w:tc>
          <w:tcPr>
            <w:tcW w:w="1871" w:type="dxa"/>
            <w:noWrap/>
            <w:hideMark/>
          </w:tcPr>
          <w:p w14:paraId="152CC0C0"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8.064.602</w:t>
            </w:r>
          </w:p>
        </w:tc>
        <w:tc>
          <w:tcPr>
            <w:tcW w:w="1871" w:type="dxa"/>
            <w:noWrap/>
            <w:hideMark/>
          </w:tcPr>
          <w:p w14:paraId="70EB3CE5"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22.525</w:t>
            </w:r>
          </w:p>
        </w:tc>
        <w:tc>
          <w:tcPr>
            <w:tcW w:w="1871" w:type="dxa"/>
            <w:noWrap/>
            <w:hideMark/>
          </w:tcPr>
          <w:p w14:paraId="0B8C1169"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2.815.845</w:t>
            </w:r>
          </w:p>
        </w:tc>
      </w:tr>
      <w:tr w:rsidR="00F35836" w:rsidRPr="006A0C5E" w14:paraId="7A496E25" w14:textId="77777777" w:rsidTr="008C7825">
        <w:trPr>
          <w:trHeight w:val="300"/>
        </w:trPr>
        <w:tc>
          <w:tcPr>
            <w:tcW w:w="1870" w:type="dxa"/>
            <w:noWrap/>
            <w:hideMark/>
          </w:tcPr>
          <w:p w14:paraId="53E6E38A"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1971. - 1980.</w:t>
            </w:r>
          </w:p>
        </w:tc>
        <w:tc>
          <w:tcPr>
            <w:tcW w:w="1871" w:type="dxa"/>
            <w:noWrap/>
            <w:hideMark/>
          </w:tcPr>
          <w:p w14:paraId="5BB40005"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6.733</w:t>
            </w:r>
          </w:p>
        </w:tc>
        <w:tc>
          <w:tcPr>
            <w:tcW w:w="1871" w:type="dxa"/>
            <w:noWrap/>
            <w:hideMark/>
          </w:tcPr>
          <w:p w14:paraId="2371A652"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5.251.934</w:t>
            </w:r>
          </w:p>
        </w:tc>
        <w:tc>
          <w:tcPr>
            <w:tcW w:w="1871" w:type="dxa"/>
            <w:noWrap/>
            <w:hideMark/>
          </w:tcPr>
          <w:p w14:paraId="5A065DD9"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19.021</w:t>
            </w:r>
          </w:p>
        </w:tc>
        <w:tc>
          <w:tcPr>
            <w:tcW w:w="1871" w:type="dxa"/>
            <w:noWrap/>
            <w:hideMark/>
          </w:tcPr>
          <w:p w14:paraId="414B214D"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1.882.000</w:t>
            </w:r>
          </w:p>
        </w:tc>
      </w:tr>
      <w:tr w:rsidR="00F35836" w:rsidRPr="006A0C5E" w14:paraId="4DB6D225" w14:textId="77777777" w:rsidTr="008C7825">
        <w:trPr>
          <w:trHeight w:val="300"/>
        </w:trPr>
        <w:tc>
          <w:tcPr>
            <w:tcW w:w="1870" w:type="dxa"/>
            <w:noWrap/>
            <w:hideMark/>
          </w:tcPr>
          <w:p w14:paraId="6E138636"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1981. - 1987.</w:t>
            </w:r>
          </w:p>
        </w:tc>
        <w:tc>
          <w:tcPr>
            <w:tcW w:w="1871" w:type="dxa"/>
            <w:noWrap/>
            <w:hideMark/>
          </w:tcPr>
          <w:p w14:paraId="7E10C0B9"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4.323</w:t>
            </w:r>
          </w:p>
        </w:tc>
        <w:tc>
          <w:tcPr>
            <w:tcW w:w="1871" w:type="dxa"/>
            <w:noWrap/>
            <w:hideMark/>
          </w:tcPr>
          <w:p w14:paraId="63BE63D4"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5.108.279</w:t>
            </w:r>
          </w:p>
        </w:tc>
        <w:tc>
          <w:tcPr>
            <w:tcW w:w="1871" w:type="dxa"/>
            <w:noWrap/>
            <w:hideMark/>
          </w:tcPr>
          <w:p w14:paraId="1A08A824"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10.158</w:t>
            </w:r>
          </w:p>
        </w:tc>
        <w:tc>
          <w:tcPr>
            <w:tcW w:w="1871" w:type="dxa"/>
            <w:noWrap/>
            <w:hideMark/>
          </w:tcPr>
          <w:p w14:paraId="592724AC"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2.152.000</w:t>
            </w:r>
          </w:p>
        </w:tc>
      </w:tr>
      <w:tr w:rsidR="00F35836" w:rsidRPr="006A0C5E" w14:paraId="65DC2207" w14:textId="77777777" w:rsidTr="008C7825">
        <w:trPr>
          <w:trHeight w:val="300"/>
        </w:trPr>
        <w:tc>
          <w:tcPr>
            <w:tcW w:w="1870" w:type="dxa"/>
            <w:noWrap/>
            <w:hideMark/>
          </w:tcPr>
          <w:p w14:paraId="79A8B259"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1988. - 2005.</w:t>
            </w:r>
          </w:p>
        </w:tc>
        <w:tc>
          <w:tcPr>
            <w:tcW w:w="1871" w:type="dxa"/>
            <w:noWrap/>
            <w:hideMark/>
          </w:tcPr>
          <w:p w14:paraId="57CF0986"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10.596</w:t>
            </w:r>
          </w:p>
        </w:tc>
        <w:tc>
          <w:tcPr>
            <w:tcW w:w="1871" w:type="dxa"/>
            <w:noWrap/>
            <w:hideMark/>
          </w:tcPr>
          <w:p w14:paraId="3CAD49FF"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8.107.287</w:t>
            </w:r>
          </w:p>
        </w:tc>
        <w:tc>
          <w:tcPr>
            <w:tcW w:w="1871" w:type="dxa"/>
            <w:noWrap/>
            <w:hideMark/>
          </w:tcPr>
          <w:p w14:paraId="5EFCA030"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11.059</w:t>
            </w:r>
          </w:p>
        </w:tc>
        <w:tc>
          <w:tcPr>
            <w:tcW w:w="1871" w:type="dxa"/>
            <w:noWrap/>
            <w:hideMark/>
          </w:tcPr>
          <w:p w14:paraId="1C9A4880"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2.722.497</w:t>
            </w:r>
          </w:p>
        </w:tc>
      </w:tr>
      <w:tr w:rsidR="00F35836" w:rsidRPr="006A0C5E" w14:paraId="2252133E" w14:textId="77777777" w:rsidTr="008C7825">
        <w:trPr>
          <w:trHeight w:val="300"/>
        </w:trPr>
        <w:tc>
          <w:tcPr>
            <w:tcW w:w="1870" w:type="dxa"/>
            <w:noWrap/>
            <w:hideMark/>
          </w:tcPr>
          <w:p w14:paraId="491243FA"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2006. – 2009.</w:t>
            </w:r>
          </w:p>
        </w:tc>
        <w:tc>
          <w:tcPr>
            <w:tcW w:w="1871" w:type="dxa"/>
            <w:noWrap/>
            <w:hideMark/>
          </w:tcPr>
          <w:p w14:paraId="5CC6BB10"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6.199</w:t>
            </w:r>
          </w:p>
        </w:tc>
        <w:tc>
          <w:tcPr>
            <w:tcW w:w="1871" w:type="dxa"/>
            <w:noWrap/>
            <w:hideMark/>
          </w:tcPr>
          <w:p w14:paraId="4F034E92"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6.352.000</w:t>
            </w:r>
          </w:p>
        </w:tc>
        <w:tc>
          <w:tcPr>
            <w:tcW w:w="1871" w:type="dxa"/>
            <w:noWrap/>
            <w:hideMark/>
          </w:tcPr>
          <w:p w14:paraId="4CEA173F"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3.673</w:t>
            </w:r>
          </w:p>
        </w:tc>
        <w:tc>
          <w:tcPr>
            <w:tcW w:w="1871" w:type="dxa"/>
            <w:noWrap/>
            <w:hideMark/>
          </w:tcPr>
          <w:p w14:paraId="4B8AAE6B"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2.073.747</w:t>
            </w:r>
          </w:p>
        </w:tc>
      </w:tr>
      <w:tr w:rsidR="00F35836" w:rsidRPr="006A0C5E" w14:paraId="6DD4F0A2" w14:textId="77777777" w:rsidTr="008C7825">
        <w:trPr>
          <w:trHeight w:val="300"/>
        </w:trPr>
        <w:tc>
          <w:tcPr>
            <w:tcW w:w="1870" w:type="dxa"/>
            <w:noWrap/>
            <w:hideMark/>
          </w:tcPr>
          <w:p w14:paraId="41B8F93B"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2010. - 2011.</w:t>
            </w:r>
          </w:p>
        </w:tc>
        <w:tc>
          <w:tcPr>
            <w:tcW w:w="1871" w:type="dxa"/>
            <w:noWrap/>
            <w:hideMark/>
          </w:tcPr>
          <w:p w14:paraId="703E1FC0"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1.952</w:t>
            </w:r>
          </w:p>
        </w:tc>
        <w:tc>
          <w:tcPr>
            <w:tcW w:w="1871" w:type="dxa"/>
            <w:noWrap/>
            <w:hideMark/>
          </w:tcPr>
          <w:p w14:paraId="1A55085B"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2.158.198</w:t>
            </w:r>
          </w:p>
        </w:tc>
        <w:tc>
          <w:tcPr>
            <w:tcW w:w="1871" w:type="dxa"/>
            <w:noWrap/>
            <w:hideMark/>
          </w:tcPr>
          <w:p w14:paraId="4B2E4B6C"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1.395</w:t>
            </w:r>
          </w:p>
        </w:tc>
        <w:tc>
          <w:tcPr>
            <w:tcW w:w="1871" w:type="dxa"/>
            <w:noWrap/>
            <w:hideMark/>
          </w:tcPr>
          <w:p w14:paraId="4A104932"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610.000</w:t>
            </w:r>
          </w:p>
        </w:tc>
      </w:tr>
      <w:tr w:rsidR="00F35836" w:rsidRPr="006A0C5E" w14:paraId="4A7BE9BE" w14:textId="77777777" w:rsidTr="008C7825">
        <w:trPr>
          <w:trHeight w:val="300"/>
        </w:trPr>
        <w:tc>
          <w:tcPr>
            <w:tcW w:w="1870" w:type="dxa"/>
            <w:noWrap/>
            <w:hideMark/>
          </w:tcPr>
          <w:p w14:paraId="1D205F27"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rPr>
              <w:t>2012. - 2018.</w:t>
            </w:r>
          </w:p>
        </w:tc>
        <w:tc>
          <w:tcPr>
            <w:tcW w:w="1871" w:type="dxa"/>
            <w:noWrap/>
            <w:hideMark/>
          </w:tcPr>
          <w:p w14:paraId="7DEF2F02"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rPr>
              <w:t>6.354</w:t>
            </w:r>
          </w:p>
        </w:tc>
        <w:tc>
          <w:tcPr>
            <w:tcW w:w="1871" w:type="dxa"/>
            <w:noWrap/>
            <w:hideMark/>
          </w:tcPr>
          <w:p w14:paraId="5BEB69BE"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rPr>
              <w:t>5.190.616</w:t>
            </w:r>
          </w:p>
        </w:tc>
        <w:tc>
          <w:tcPr>
            <w:tcW w:w="1871" w:type="dxa"/>
            <w:noWrap/>
            <w:hideMark/>
          </w:tcPr>
          <w:p w14:paraId="71448E57"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rPr>
              <w:t>11.392</w:t>
            </w:r>
          </w:p>
        </w:tc>
        <w:tc>
          <w:tcPr>
            <w:tcW w:w="1871" w:type="dxa"/>
            <w:noWrap/>
            <w:hideMark/>
          </w:tcPr>
          <w:p w14:paraId="6E158428"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rPr>
              <w:t>1.960.577</w:t>
            </w:r>
          </w:p>
        </w:tc>
      </w:tr>
      <w:tr w:rsidR="006A0C5E" w:rsidRPr="006A0C5E" w14:paraId="297EACFA" w14:textId="77777777" w:rsidTr="008C7825">
        <w:trPr>
          <w:trHeight w:val="300"/>
        </w:trPr>
        <w:tc>
          <w:tcPr>
            <w:tcW w:w="1870" w:type="dxa"/>
            <w:noWrap/>
            <w:hideMark/>
          </w:tcPr>
          <w:p w14:paraId="0EC2F791" w14:textId="77777777" w:rsidR="00F35836" w:rsidRPr="008C7825" w:rsidRDefault="00F35836" w:rsidP="00F35836">
            <w:pPr>
              <w:rPr>
                <w:rFonts w:asciiTheme="minorHAnsi" w:hAnsiTheme="minorHAnsi" w:cs="Calibri"/>
                <w:b/>
                <w:bCs/>
                <w:szCs w:val="20"/>
                <w:lang w:eastAsia="hr-HR"/>
              </w:rPr>
            </w:pPr>
            <w:r w:rsidRPr="008C7825">
              <w:rPr>
                <w:rFonts w:asciiTheme="minorHAnsi" w:hAnsiTheme="minorHAnsi" w:cs="Calibri"/>
                <w:b/>
                <w:bCs/>
                <w:szCs w:val="20"/>
              </w:rPr>
              <w:t>ukupno</w:t>
            </w:r>
          </w:p>
        </w:tc>
        <w:tc>
          <w:tcPr>
            <w:tcW w:w="1871" w:type="dxa"/>
            <w:noWrap/>
            <w:hideMark/>
          </w:tcPr>
          <w:p w14:paraId="68A02B79" w14:textId="77777777" w:rsidR="00F35836" w:rsidRPr="008C7825" w:rsidRDefault="00F35836" w:rsidP="008C7825">
            <w:pPr>
              <w:jc w:val="right"/>
              <w:rPr>
                <w:rFonts w:asciiTheme="minorHAnsi" w:hAnsiTheme="minorHAnsi" w:cs="Calibri"/>
                <w:b/>
                <w:bCs/>
                <w:szCs w:val="20"/>
                <w:lang w:eastAsia="hr-HR"/>
              </w:rPr>
            </w:pPr>
            <w:r w:rsidRPr="008C7825">
              <w:rPr>
                <w:rFonts w:asciiTheme="minorHAnsi" w:hAnsiTheme="minorHAnsi" w:cs="Calibri"/>
                <w:b/>
                <w:bCs/>
                <w:szCs w:val="20"/>
              </w:rPr>
              <w:t>51.082</w:t>
            </w:r>
          </w:p>
        </w:tc>
        <w:tc>
          <w:tcPr>
            <w:tcW w:w="1871" w:type="dxa"/>
            <w:noWrap/>
            <w:hideMark/>
          </w:tcPr>
          <w:p w14:paraId="63B0AAD4" w14:textId="77777777" w:rsidR="00F35836" w:rsidRPr="008C7825" w:rsidRDefault="00F35836" w:rsidP="008C7825">
            <w:pPr>
              <w:jc w:val="right"/>
              <w:rPr>
                <w:rFonts w:asciiTheme="minorHAnsi" w:hAnsiTheme="minorHAnsi" w:cs="Calibri"/>
                <w:b/>
                <w:bCs/>
                <w:szCs w:val="20"/>
                <w:lang w:eastAsia="hr-HR"/>
              </w:rPr>
            </w:pPr>
            <w:r w:rsidRPr="008C7825">
              <w:rPr>
                <w:rFonts w:asciiTheme="minorHAnsi" w:hAnsiTheme="minorHAnsi" w:cs="Calibri"/>
                <w:b/>
                <w:bCs/>
                <w:szCs w:val="20"/>
              </w:rPr>
              <w:t>41.731.075</w:t>
            </w:r>
          </w:p>
        </w:tc>
        <w:tc>
          <w:tcPr>
            <w:tcW w:w="1871" w:type="dxa"/>
            <w:noWrap/>
            <w:hideMark/>
          </w:tcPr>
          <w:p w14:paraId="0B967A1C" w14:textId="77777777" w:rsidR="00F35836" w:rsidRPr="008C7825" w:rsidRDefault="00F35836" w:rsidP="008C7825">
            <w:pPr>
              <w:jc w:val="right"/>
              <w:rPr>
                <w:rFonts w:asciiTheme="minorHAnsi" w:hAnsiTheme="minorHAnsi" w:cs="Calibri"/>
                <w:b/>
                <w:bCs/>
                <w:szCs w:val="20"/>
                <w:lang w:eastAsia="hr-HR"/>
              </w:rPr>
            </w:pPr>
            <w:r w:rsidRPr="008C7825">
              <w:rPr>
                <w:rFonts w:asciiTheme="minorHAnsi" w:hAnsiTheme="minorHAnsi" w:cs="Calibri"/>
                <w:b/>
                <w:bCs/>
                <w:szCs w:val="20"/>
              </w:rPr>
              <w:t>91.588</w:t>
            </w:r>
          </w:p>
        </w:tc>
        <w:tc>
          <w:tcPr>
            <w:tcW w:w="1871" w:type="dxa"/>
            <w:noWrap/>
            <w:hideMark/>
          </w:tcPr>
          <w:p w14:paraId="26D737A6" w14:textId="77777777" w:rsidR="00F35836" w:rsidRPr="008C7825" w:rsidRDefault="00F35836" w:rsidP="008C7825">
            <w:pPr>
              <w:jc w:val="right"/>
              <w:rPr>
                <w:rFonts w:asciiTheme="minorHAnsi" w:hAnsiTheme="minorHAnsi" w:cs="Calibri"/>
                <w:b/>
                <w:bCs/>
                <w:szCs w:val="20"/>
                <w:lang w:eastAsia="hr-HR"/>
              </w:rPr>
            </w:pPr>
            <w:r w:rsidRPr="008C7825">
              <w:rPr>
                <w:rFonts w:asciiTheme="minorHAnsi" w:hAnsiTheme="minorHAnsi" w:cs="Calibri"/>
                <w:b/>
                <w:bCs/>
                <w:szCs w:val="20"/>
              </w:rPr>
              <w:t>15.762.479</w:t>
            </w:r>
          </w:p>
        </w:tc>
      </w:tr>
    </w:tbl>
    <w:p w14:paraId="7BBECC35" w14:textId="77777777" w:rsidR="006253D7" w:rsidRDefault="006253D7" w:rsidP="006253D7">
      <w:bookmarkStart w:id="35" w:name="_Ref29981225"/>
    </w:p>
    <w:p w14:paraId="61AD01D7" w14:textId="77777777" w:rsidR="006253D7" w:rsidRPr="006253D7" w:rsidRDefault="006253D7" w:rsidP="00334A49">
      <w:r w:rsidRPr="006253D7">
        <w:lastRenderedPageBreak/>
        <w:br w:type="page"/>
      </w:r>
    </w:p>
    <w:p w14:paraId="452C8739" w14:textId="77777777" w:rsidR="00A422E6" w:rsidRDefault="00A422E6" w:rsidP="007649C2">
      <w:pPr>
        <w:pStyle w:val="Naslov20"/>
      </w:pPr>
      <w:bookmarkStart w:id="36" w:name="_Toc34052858"/>
      <w:bookmarkStart w:id="37" w:name="_Toc46163801"/>
      <w:r w:rsidRPr="00A422E6">
        <w:lastRenderedPageBreak/>
        <w:t>Pregled nacionalnog fonda zgrada prema klimatskim zonama</w:t>
      </w:r>
      <w:bookmarkEnd w:id="35"/>
      <w:bookmarkEnd w:id="36"/>
      <w:bookmarkEnd w:id="37"/>
      <w:r w:rsidRPr="00A422E6">
        <w:tab/>
      </w:r>
    </w:p>
    <w:p w14:paraId="584C61AF" w14:textId="77777777" w:rsidR="009A7F44" w:rsidRDefault="0027270A">
      <w:pPr>
        <w:rPr>
          <w:lang w:eastAsia="hr-HR"/>
        </w:rPr>
      </w:pPr>
      <w:r>
        <w:rPr>
          <w:lang w:eastAsia="hr-HR"/>
        </w:rPr>
        <w:t>Za utvrđivanje promjena nacionalnog fonda zgrada prema klimatskim zonama utvrđeno je kretanje broja zgrada po županijama</w:t>
      </w:r>
      <w:r w:rsidR="009A7F44">
        <w:rPr>
          <w:lang w:eastAsia="hr-HR"/>
        </w:rPr>
        <w:t xml:space="preserve"> prema statističkim godišnjim ljetopisima Državnog zavoda za statistiku Republike Hrvatske</w:t>
      </w:r>
      <w:r>
        <w:rPr>
          <w:lang w:eastAsia="hr-HR"/>
        </w:rPr>
        <w:t>,</w:t>
      </w:r>
      <w:r w:rsidR="009A7F44">
        <w:rPr>
          <w:lang w:eastAsia="hr-HR"/>
        </w:rPr>
        <w:t xml:space="preserve"> Programu energetske obnove komercijalnih nestambenih zgrada za razdoblje od 2014. do 2020. godine s detaljnim planom energetske obnove komercijalnih nestambenih zgrada za razdoblje 2014.-2016. i Registru javnih zgrada središnje države i izračuna ciljeva prema Direktivi 2012/27/EU, </w:t>
      </w:r>
      <w:r>
        <w:rPr>
          <w:lang w:eastAsia="hr-HR"/>
        </w:rPr>
        <w:t xml:space="preserve">te su odvojene županije prema srednjim mjesečnim temperaturama pripadajućih meteoroloških postaja prema Pravilniku o energetskom </w:t>
      </w:r>
      <w:r w:rsidR="009A7F44">
        <w:rPr>
          <w:lang w:eastAsia="hr-HR"/>
        </w:rPr>
        <w:t>pregledu zgrade i energetskom certificiranju NN 88/17 na k</w:t>
      </w:r>
      <w:r>
        <w:rPr>
          <w:lang w:eastAsia="hr-HR"/>
        </w:rPr>
        <w:t>ontinentalnu Hrvatsku - gradovi i mjesta kod kojih je srednja mjesečna temperatura vanjskog zraka najhladnijeg mjeseca na lokaciji zgrade ≤ 3 °C</w:t>
      </w:r>
      <w:r w:rsidR="009A7F44">
        <w:rPr>
          <w:lang w:eastAsia="hr-HR"/>
        </w:rPr>
        <w:t xml:space="preserve"> te p</w:t>
      </w:r>
      <w:r>
        <w:rPr>
          <w:lang w:eastAsia="hr-HR"/>
        </w:rPr>
        <w:t>rimorsku Hrvatsku - gradovi i mjesta kod kojih je srednja mjesečna temperatura vanjskog zraka najhladnijeg mjeseca na lokaciji zgrade &gt; 3 °C.</w:t>
      </w:r>
      <w:r w:rsidR="009A7F44">
        <w:rPr>
          <w:lang w:eastAsia="hr-HR"/>
        </w:rPr>
        <w:t xml:space="preserve"> </w:t>
      </w:r>
    </w:p>
    <w:p w14:paraId="054C5776" w14:textId="3FA14074" w:rsidR="0027270A" w:rsidRDefault="0027270A" w:rsidP="0027270A">
      <w:pPr>
        <w:rPr>
          <w:lang w:eastAsia="hr-HR"/>
        </w:rPr>
      </w:pPr>
      <w:r>
        <w:rPr>
          <w:lang w:eastAsia="hr-HR"/>
        </w:rPr>
        <w:t xml:space="preserve">Tablicama u nastavku dan je pregled </w:t>
      </w:r>
      <w:r w:rsidR="006A0C5E">
        <w:rPr>
          <w:lang w:eastAsia="hr-HR"/>
        </w:rPr>
        <w:t xml:space="preserve">kretanja </w:t>
      </w:r>
      <w:r>
        <w:rPr>
          <w:lang w:eastAsia="hr-HR"/>
        </w:rPr>
        <w:t>nacionalnog stambenog fonda zgrada i nacionalnog nestambenog fonda prema klimatskim zonam</w:t>
      </w:r>
      <w:r w:rsidR="009A7F44">
        <w:rPr>
          <w:lang w:eastAsia="hr-HR"/>
        </w:rPr>
        <w:t xml:space="preserve">a za </w:t>
      </w:r>
      <w:r w:rsidR="00830DF0">
        <w:rPr>
          <w:lang w:eastAsia="hr-HR"/>
        </w:rPr>
        <w:t xml:space="preserve">razdoblje od 2011. do </w:t>
      </w:r>
      <w:r w:rsidR="009A7F44">
        <w:rPr>
          <w:lang w:eastAsia="hr-HR"/>
        </w:rPr>
        <w:t>2018. godin</w:t>
      </w:r>
      <w:r w:rsidR="00830DF0">
        <w:rPr>
          <w:lang w:eastAsia="hr-HR"/>
        </w:rPr>
        <w:t>e</w:t>
      </w:r>
      <w:r w:rsidR="009A7F44">
        <w:rPr>
          <w:lang w:eastAsia="hr-HR"/>
        </w:rPr>
        <w:t>.</w:t>
      </w:r>
    </w:p>
    <w:p w14:paraId="5CC3F806" w14:textId="37C6F4F6" w:rsidR="00D43B1C" w:rsidRDefault="00D43B1C" w:rsidP="008C7825">
      <w:pPr>
        <w:pStyle w:val="Opisslike"/>
        <w:keepNext/>
      </w:pPr>
      <w:bookmarkStart w:id="38" w:name="_Toc40089024"/>
      <w:r>
        <w:t xml:space="preserve">Tablica </w:t>
      </w:r>
      <w:r w:rsidR="00A50909">
        <w:fldChar w:fldCharType="begin"/>
      </w:r>
      <w:r w:rsidR="00A50909">
        <w:instrText xml:space="preserve"> SEQ Tablica \* ARABIC </w:instrText>
      </w:r>
      <w:r w:rsidR="00A50909">
        <w:fldChar w:fldCharType="separate"/>
      </w:r>
      <w:r w:rsidR="00CE61F3">
        <w:rPr>
          <w:noProof/>
        </w:rPr>
        <w:t>7</w:t>
      </w:r>
      <w:r w:rsidR="00A50909">
        <w:rPr>
          <w:noProof/>
        </w:rPr>
        <w:fldChar w:fldCharType="end"/>
      </w:r>
      <w:r>
        <w:t xml:space="preserve"> Stambene zgrade po  klimatskim zonama</w:t>
      </w:r>
      <w:r w:rsidR="0074745C">
        <w:t xml:space="preserve"> – površina u m²</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975"/>
        <w:gridCol w:w="975"/>
        <w:gridCol w:w="976"/>
        <w:gridCol w:w="976"/>
        <w:gridCol w:w="974"/>
        <w:gridCol w:w="974"/>
        <w:gridCol w:w="974"/>
        <w:gridCol w:w="970"/>
      </w:tblGrid>
      <w:tr w:rsidR="00D43B1C" w:rsidRPr="00E806C8" w14:paraId="6E23E3DC" w14:textId="77777777" w:rsidTr="0074745C">
        <w:trPr>
          <w:trHeight w:val="300"/>
        </w:trPr>
        <w:tc>
          <w:tcPr>
            <w:tcW w:w="830" w:type="pct"/>
            <w:noWrap/>
            <w:vAlign w:val="bottom"/>
            <w:hideMark/>
          </w:tcPr>
          <w:p w14:paraId="650ED3D2"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522" w:type="pct"/>
            <w:noWrap/>
            <w:vAlign w:val="bottom"/>
            <w:hideMark/>
          </w:tcPr>
          <w:p w14:paraId="04E110BC"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2011</w:t>
            </w:r>
          </w:p>
        </w:tc>
        <w:tc>
          <w:tcPr>
            <w:tcW w:w="522" w:type="pct"/>
            <w:noWrap/>
            <w:vAlign w:val="bottom"/>
            <w:hideMark/>
          </w:tcPr>
          <w:p w14:paraId="494BAFEC"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2012</w:t>
            </w:r>
          </w:p>
        </w:tc>
        <w:tc>
          <w:tcPr>
            <w:tcW w:w="522" w:type="pct"/>
            <w:noWrap/>
            <w:vAlign w:val="bottom"/>
            <w:hideMark/>
          </w:tcPr>
          <w:p w14:paraId="77A8D057"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2013</w:t>
            </w:r>
          </w:p>
        </w:tc>
        <w:tc>
          <w:tcPr>
            <w:tcW w:w="522" w:type="pct"/>
            <w:noWrap/>
            <w:vAlign w:val="bottom"/>
            <w:hideMark/>
          </w:tcPr>
          <w:p w14:paraId="224D911E"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2014</w:t>
            </w:r>
          </w:p>
        </w:tc>
        <w:tc>
          <w:tcPr>
            <w:tcW w:w="521" w:type="pct"/>
            <w:noWrap/>
            <w:vAlign w:val="bottom"/>
            <w:hideMark/>
          </w:tcPr>
          <w:p w14:paraId="14C4FAF3"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2015</w:t>
            </w:r>
          </w:p>
        </w:tc>
        <w:tc>
          <w:tcPr>
            <w:tcW w:w="521" w:type="pct"/>
            <w:noWrap/>
            <w:vAlign w:val="bottom"/>
            <w:hideMark/>
          </w:tcPr>
          <w:p w14:paraId="63DC07F4"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2016</w:t>
            </w:r>
          </w:p>
        </w:tc>
        <w:tc>
          <w:tcPr>
            <w:tcW w:w="521" w:type="pct"/>
            <w:noWrap/>
            <w:vAlign w:val="bottom"/>
            <w:hideMark/>
          </w:tcPr>
          <w:p w14:paraId="0B2A0704"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2017</w:t>
            </w:r>
          </w:p>
        </w:tc>
        <w:tc>
          <w:tcPr>
            <w:tcW w:w="520" w:type="pct"/>
            <w:noWrap/>
            <w:vAlign w:val="bottom"/>
            <w:hideMark/>
          </w:tcPr>
          <w:p w14:paraId="665BE317"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2018</w:t>
            </w:r>
          </w:p>
        </w:tc>
      </w:tr>
      <w:tr w:rsidR="0074745C" w:rsidRPr="00E806C8" w14:paraId="459373CD" w14:textId="77777777" w:rsidTr="0074745C">
        <w:trPr>
          <w:trHeight w:val="300"/>
        </w:trPr>
        <w:tc>
          <w:tcPr>
            <w:tcW w:w="830" w:type="pct"/>
            <w:noWrap/>
            <w:vAlign w:val="bottom"/>
          </w:tcPr>
          <w:p w14:paraId="71E96E72" w14:textId="77777777" w:rsidR="0074745C" w:rsidRPr="008C7825" w:rsidRDefault="0074745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4170" w:type="pct"/>
            <w:gridSpan w:val="8"/>
            <w:noWrap/>
            <w:vAlign w:val="bottom"/>
          </w:tcPr>
          <w:p w14:paraId="233F119D" w14:textId="77777777" w:rsidR="0074745C" w:rsidRPr="008C7825" w:rsidRDefault="001B6973" w:rsidP="00334A49">
            <w:pPr>
              <w:tabs>
                <w:tab w:val="clear" w:pos="431"/>
              </w:tabs>
              <w:spacing w:after="0" w:line="240" w:lineRule="auto"/>
              <w:ind w:left="0"/>
              <w:jc w:val="center"/>
              <w:rPr>
                <w:rFonts w:asciiTheme="minorHAnsi" w:hAnsiTheme="minorHAnsi" w:cs="Calibri"/>
                <w:sz w:val="16"/>
                <w:szCs w:val="16"/>
                <w:lang w:eastAsia="hr-HR"/>
              </w:rPr>
            </w:pPr>
            <w:r>
              <w:rPr>
                <w:rFonts w:asciiTheme="minorHAnsi" w:hAnsiTheme="minorHAnsi" w:cs="Times New Roman"/>
                <w:color w:val="000000"/>
                <w:sz w:val="16"/>
                <w:szCs w:val="16"/>
                <w:lang w:eastAsia="hr-HR"/>
              </w:rPr>
              <w:t>površina</w:t>
            </w:r>
            <w:r>
              <w:rPr>
                <w:rFonts w:asciiTheme="minorHAnsi" w:hAnsiTheme="minorHAnsi" w:cs="Calibri"/>
                <w:sz w:val="16"/>
                <w:szCs w:val="16"/>
                <w:lang w:eastAsia="hr-HR"/>
              </w:rPr>
              <w:t xml:space="preserve">  </w:t>
            </w:r>
            <w:r w:rsidR="0074745C">
              <w:rPr>
                <w:rFonts w:asciiTheme="minorHAnsi" w:hAnsiTheme="minorHAnsi" w:cs="Calibri"/>
                <w:sz w:val="16"/>
                <w:szCs w:val="16"/>
                <w:lang w:eastAsia="hr-HR"/>
              </w:rPr>
              <w:t>m²</w:t>
            </w:r>
          </w:p>
        </w:tc>
      </w:tr>
      <w:tr w:rsidR="00D43B1C" w:rsidRPr="00E806C8" w14:paraId="580E37D9" w14:textId="77777777" w:rsidTr="0074745C">
        <w:trPr>
          <w:trHeight w:val="300"/>
        </w:trPr>
        <w:tc>
          <w:tcPr>
            <w:tcW w:w="830" w:type="pct"/>
            <w:noWrap/>
            <w:vAlign w:val="bottom"/>
            <w:hideMark/>
          </w:tcPr>
          <w:p w14:paraId="44CE490D"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višestambene</w:t>
            </w:r>
          </w:p>
        </w:tc>
        <w:tc>
          <w:tcPr>
            <w:tcW w:w="522" w:type="pct"/>
            <w:noWrap/>
            <w:vAlign w:val="bottom"/>
            <w:hideMark/>
          </w:tcPr>
          <w:p w14:paraId="38D55FCC"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522" w:type="pct"/>
            <w:noWrap/>
            <w:vAlign w:val="bottom"/>
            <w:hideMark/>
          </w:tcPr>
          <w:p w14:paraId="6CC8FA69"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2" w:type="pct"/>
            <w:noWrap/>
            <w:vAlign w:val="bottom"/>
            <w:hideMark/>
          </w:tcPr>
          <w:p w14:paraId="753B7E29"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2" w:type="pct"/>
            <w:noWrap/>
            <w:vAlign w:val="bottom"/>
            <w:hideMark/>
          </w:tcPr>
          <w:p w14:paraId="0663DA04"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1" w:type="pct"/>
            <w:noWrap/>
            <w:vAlign w:val="bottom"/>
            <w:hideMark/>
          </w:tcPr>
          <w:p w14:paraId="3FAF8D51"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1" w:type="pct"/>
            <w:noWrap/>
            <w:vAlign w:val="bottom"/>
            <w:hideMark/>
          </w:tcPr>
          <w:p w14:paraId="4CCD294D"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1" w:type="pct"/>
            <w:noWrap/>
            <w:vAlign w:val="bottom"/>
            <w:hideMark/>
          </w:tcPr>
          <w:p w14:paraId="75B656BF"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0" w:type="pct"/>
            <w:noWrap/>
            <w:vAlign w:val="bottom"/>
            <w:hideMark/>
          </w:tcPr>
          <w:p w14:paraId="6F2ACD2D"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r>
      <w:tr w:rsidR="00D43B1C" w:rsidRPr="00E806C8" w14:paraId="00941B2C" w14:textId="77777777" w:rsidTr="0074745C">
        <w:trPr>
          <w:trHeight w:val="300"/>
        </w:trPr>
        <w:tc>
          <w:tcPr>
            <w:tcW w:w="830" w:type="pct"/>
            <w:noWrap/>
            <w:vAlign w:val="bottom"/>
            <w:hideMark/>
          </w:tcPr>
          <w:p w14:paraId="34816D74" w14:textId="77777777" w:rsidR="00D43B1C" w:rsidRPr="008C7825" w:rsidRDefault="00D43B1C" w:rsidP="00D43B1C">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kontinentalna</w:t>
            </w:r>
          </w:p>
        </w:tc>
        <w:tc>
          <w:tcPr>
            <w:tcW w:w="522" w:type="pct"/>
            <w:noWrap/>
            <w:vAlign w:val="bottom"/>
            <w:hideMark/>
          </w:tcPr>
          <w:p w14:paraId="6450CB03"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36.452.284 </w:t>
            </w:r>
          </w:p>
        </w:tc>
        <w:tc>
          <w:tcPr>
            <w:tcW w:w="522" w:type="pct"/>
            <w:noWrap/>
            <w:vAlign w:val="bottom"/>
            <w:hideMark/>
          </w:tcPr>
          <w:p w14:paraId="0A89240F"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38.335.282 </w:t>
            </w:r>
          </w:p>
        </w:tc>
        <w:tc>
          <w:tcPr>
            <w:tcW w:w="522" w:type="pct"/>
            <w:noWrap/>
            <w:vAlign w:val="bottom"/>
            <w:hideMark/>
          </w:tcPr>
          <w:p w14:paraId="4A39117D"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38.454.928 </w:t>
            </w:r>
          </w:p>
        </w:tc>
        <w:tc>
          <w:tcPr>
            <w:tcW w:w="522" w:type="pct"/>
            <w:noWrap/>
            <w:vAlign w:val="bottom"/>
            <w:hideMark/>
          </w:tcPr>
          <w:p w14:paraId="0A60D18A"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38.551.576 </w:t>
            </w:r>
          </w:p>
        </w:tc>
        <w:tc>
          <w:tcPr>
            <w:tcW w:w="521" w:type="pct"/>
            <w:noWrap/>
            <w:vAlign w:val="bottom"/>
            <w:hideMark/>
          </w:tcPr>
          <w:p w14:paraId="3F53488A"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38.634.359 </w:t>
            </w:r>
          </w:p>
        </w:tc>
        <w:tc>
          <w:tcPr>
            <w:tcW w:w="521" w:type="pct"/>
            <w:noWrap/>
            <w:vAlign w:val="bottom"/>
            <w:hideMark/>
          </w:tcPr>
          <w:p w14:paraId="7912B2D1"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38.709.364 </w:t>
            </w:r>
          </w:p>
        </w:tc>
        <w:tc>
          <w:tcPr>
            <w:tcW w:w="521" w:type="pct"/>
            <w:noWrap/>
            <w:vAlign w:val="bottom"/>
            <w:hideMark/>
          </w:tcPr>
          <w:p w14:paraId="5D62F037"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38.825.095 </w:t>
            </w:r>
          </w:p>
        </w:tc>
        <w:tc>
          <w:tcPr>
            <w:tcW w:w="520" w:type="pct"/>
            <w:noWrap/>
            <w:vAlign w:val="bottom"/>
            <w:hideMark/>
          </w:tcPr>
          <w:p w14:paraId="37A64439" w14:textId="4BFA5626" w:rsidR="00D43B1C" w:rsidRPr="008C7825" w:rsidRDefault="004E13E3" w:rsidP="00D43B1C">
            <w:pPr>
              <w:tabs>
                <w:tab w:val="clear" w:pos="431"/>
              </w:tabs>
              <w:spacing w:after="0" w:line="240" w:lineRule="auto"/>
              <w:ind w:left="0"/>
              <w:jc w:val="right"/>
              <w:rPr>
                <w:rFonts w:asciiTheme="minorHAnsi" w:hAnsiTheme="minorHAnsi" w:cs="Calibri"/>
                <w:color w:val="000000"/>
                <w:sz w:val="16"/>
                <w:szCs w:val="16"/>
                <w:lang w:eastAsia="hr-HR"/>
              </w:rPr>
            </w:pPr>
            <w:r>
              <w:rPr>
                <w:rFonts w:asciiTheme="minorHAnsi" w:hAnsiTheme="minorHAnsi" w:cs="Calibri"/>
                <w:color w:val="000000"/>
                <w:sz w:val="16"/>
                <w:szCs w:val="16"/>
                <w:lang w:eastAsia="hr-HR"/>
              </w:rPr>
              <w:t>38.970.478</w:t>
            </w:r>
            <w:r w:rsidR="00D43B1C" w:rsidRPr="008C7825">
              <w:rPr>
                <w:rFonts w:asciiTheme="minorHAnsi" w:hAnsiTheme="minorHAnsi" w:cs="Calibri"/>
                <w:color w:val="000000"/>
                <w:sz w:val="16"/>
                <w:szCs w:val="16"/>
                <w:lang w:eastAsia="hr-HR"/>
              </w:rPr>
              <w:t xml:space="preserve"> </w:t>
            </w:r>
          </w:p>
        </w:tc>
      </w:tr>
      <w:tr w:rsidR="00D43B1C" w:rsidRPr="00E806C8" w14:paraId="0C31C4B6" w14:textId="77777777" w:rsidTr="0074745C">
        <w:trPr>
          <w:trHeight w:val="300"/>
        </w:trPr>
        <w:tc>
          <w:tcPr>
            <w:tcW w:w="830" w:type="pct"/>
            <w:noWrap/>
            <w:vAlign w:val="bottom"/>
            <w:hideMark/>
          </w:tcPr>
          <w:p w14:paraId="4CE32001" w14:textId="77777777" w:rsidR="00D43B1C" w:rsidRPr="008C7825" w:rsidRDefault="00D43B1C" w:rsidP="00D43B1C">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primorska</w:t>
            </w:r>
          </w:p>
        </w:tc>
        <w:tc>
          <w:tcPr>
            <w:tcW w:w="522" w:type="pct"/>
            <w:noWrap/>
            <w:vAlign w:val="bottom"/>
            <w:hideMark/>
          </w:tcPr>
          <w:p w14:paraId="404FA8F8"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20.114.396 </w:t>
            </w:r>
          </w:p>
        </w:tc>
        <w:tc>
          <w:tcPr>
            <w:tcW w:w="522" w:type="pct"/>
            <w:noWrap/>
            <w:vAlign w:val="bottom"/>
            <w:hideMark/>
          </w:tcPr>
          <w:p w14:paraId="4B1218E5"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18.590.755 </w:t>
            </w:r>
          </w:p>
        </w:tc>
        <w:tc>
          <w:tcPr>
            <w:tcW w:w="522" w:type="pct"/>
            <w:noWrap/>
            <w:vAlign w:val="bottom"/>
            <w:hideMark/>
          </w:tcPr>
          <w:p w14:paraId="1051EB20"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18.729.800 </w:t>
            </w:r>
          </w:p>
        </w:tc>
        <w:tc>
          <w:tcPr>
            <w:tcW w:w="522" w:type="pct"/>
            <w:noWrap/>
            <w:vAlign w:val="bottom"/>
            <w:hideMark/>
          </w:tcPr>
          <w:p w14:paraId="31B5ED9D"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18.845.398 </w:t>
            </w:r>
          </w:p>
        </w:tc>
        <w:tc>
          <w:tcPr>
            <w:tcW w:w="521" w:type="pct"/>
            <w:noWrap/>
            <w:vAlign w:val="bottom"/>
            <w:hideMark/>
          </w:tcPr>
          <w:p w14:paraId="2B696259"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18.958.610 </w:t>
            </w:r>
          </w:p>
        </w:tc>
        <w:tc>
          <w:tcPr>
            <w:tcW w:w="521" w:type="pct"/>
            <w:noWrap/>
            <w:vAlign w:val="bottom"/>
            <w:hideMark/>
          </w:tcPr>
          <w:p w14:paraId="04EEC0A9"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19.065.571 </w:t>
            </w:r>
          </w:p>
        </w:tc>
        <w:tc>
          <w:tcPr>
            <w:tcW w:w="521" w:type="pct"/>
            <w:noWrap/>
            <w:vAlign w:val="bottom"/>
            <w:hideMark/>
          </w:tcPr>
          <w:p w14:paraId="5661BC14"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19.198.713 </w:t>
            </w:r>
          </w:p>
        </w:tc>
        <w:tc>
          <w:tcPr>
            <w:tcW w:w="520" w:type="pct"/>
            <w:noWrap/>
            <w:vAlign w:val="bottom"/>
            <w:hideMark/>
          </w:tcPr>
          <w:p w14:paraId="7E793D4E" w14:textId="0E84A0CB" w:rsidR="00D43B1C" w:rsidRPr="008C7825" w:rsidRDefault="004E13E3" w:rsidP="00D43B1C">
            <w:pPr>
              <w:tabs>
                <w:tab w:val="clear" w:pos="431"/>
              </w:tabs>
              <w:spacing w:after="0" w:line="240" w:lineRule="auto"/>
              <w:ind w:left="0"/>
              <w:jc w:val="right"/>
              <w:rPr>
                <w:rFonts w:asciiTheme="minorHAnsi" w:hAnsiTheme="minorHAnsi" w:cs="Calibri"/>
                <w:color w:val="000000"/>
                <w:sz w:val="16"/>
                <w:szCs w:val="16"/>
                <w:lang w:eastAsia="hr-HR"/>
              </w:rPr>
            </w:pPr>
            <w:r>
              <w:rPr>
                <w:rFonts w:asciiTheme="minorHAnsi" w:hAnsiTheme="minorHAnsi" w:cs="Calibri"/>
                <w:color w:val="000000"/>
                <w:sz w:val="16"/>
                <w:szCs w:val="16"/>
                <w:lang w:eastAsia="hr-HR"/>
              </w:rPr>
              <w:t>19.270.604</w:t>
            </w:r>
          </w:p>
        </w:tc>
      </w:tr>
      <w:tr w:rsidR="00D43B1C" w:rsidRPr="00E806C8" w14:paraId="0BB1675D" w14:textId="77777777" w:rsidTr="0074745C">
        <w:trPr>
          <w:trHeight w:val="300"/>
        </w:trPr>
        <w:tc>
          <w:tcPr>
            <w:tcW w:w="830" w:type="pct"/>
            <w:noWrap/>
            <w:vAlign w:val="bottom"/>
            <w:hideMark/>
          </w:tcPr>
          <w:p w14:paraId="6C5438D4"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obiteljske</w:t>
            </w:r>
          </w:p>
        </w:tc>
        <w:tc>
          <w:tcPr>
            <w:tcW w:w="522" w:type="pct"/>
            <w:noWrap/>
            <w:vAlign w:val="bottom"/>
            <w:hideMark/>
          </w:tcPr>
          <w:p w14:paraId="76151E7D"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522" w:type="pct"/>
            <w:noWrap/>
            <w:vAlign w:val="bottom"/>
            <w:hideMark/>
          </w:tcPr>
          <w:p w14:paraId="233F9CD2"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2" w:type="pct"/>
            <w:noWrap/>
            <w:vAlign w:val="bottom"/>
            <w:hideMark/>
          </w:tcPr>
          <w:p w14:paraId="5A6FDE0F"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2" w:type="pct"/>
            <w:noWrap/>
            <w:vAlign w:val="bottom"/>
            <w:hideMark/>
          </w:tcPr>
          <w:p w14:paraId="10A6C104"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1" w:type="pct"/>
            <w:noWrap/>
            <w:vAlign w:val="bottom"/>
            <w:hideMark/>
          </w:tcPr>
          <w:p w14:paraId="68476894"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1" w:type="pct"/>
            <w:noWrap/>
            <w:vAlign w:val="bottom"/>
            <w:hideMark/>
          </w:tcPr>
          <w:p w14:paraId="1683E377"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1" w:type="pct"/>
            <w:noWrap/>
            <w:vAlign w:val="bottom"/>
            <w:hideMark/>
          </w:tcPr>
          <w:p w14:paraId="5CB9FCB5"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0" w:type="pct"/>
            <w:noWrap/>
            <w:vAlign w:val="bottom"/>
            <w:hideMark/>
          </w:tcPr>
          <w:p w14:paraId="66209999"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r>
      <w:tr w:rsidR="00D43B1C" w:rsidRPr="00E806C8" w14:paraId="75D1CA3B" w14:textId="77777777" w:rsidTr="0074745C">
        <w:trPr>
          <w:trHeight w:val="300"/>
        </w:trPr>
        <w:tc>
          <w:tcPr>
            <w:tcW w:w="830" w:type="pct"/>
            <w:noWrap/>
            <w:vAlign w:val="bottom"/>
            <w:hideMark/>
          </w:tcPr>
          <w:p w14:paraId="2FD71A07" w14:textId="77777777" w:rsidR="00D43B1C" w:rsidRPr="008C7825" w:rsidRDefault="00D43B1C" w:rsidP="00D43B1C">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kontinentalna</w:t>
            </w:r>
          </w:p>
        </w:tc>
        <w:tc>
          <w:tcPr>
            <w:tcW w:w="522" w:type="pct"/>
            <w:noWrap/>
            <w:vAlign w:val="bottom"/>
            <w:hideMark/>
          </w:tcPr>
          <w:p w14:paraId="6A0E3DB5"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55.775.475 </w:t>
            </w:r>
          </w:p>
        </w:tc>
        <w:tc>
          <w:tcPr>
            <w:tcW w:w="522" w:type="pct"/>
            <w:noWrap/>
            <w:vAlign w:val="bottom"/>
            <w:hideMark/>
          </w:tcPr>
          <w:p w14:paraId="3F622750"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60.989.524 </w:t>
            </w:r>
          </w:p>
        </w:tc>
        <w:tc>
          <w:tcPr>
            <w:tcW w:w="522" w:type="pct"/>
            <w:noWrap/>
            <w:vAlign w:val="bottom"/>
            <w:hideMark/>
          </w:tcPr>
          <w:p w14:paraId="338B0ABF"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61.179.874 </w:t>
            </w:r>
          </w:p>
        </w:tc>
        <w:tc>
          <w:tcPr>
            <w:tcW w:w="522" w:type="pct"/>
            <w:noWrap/>
            <w:vAlign w:val="bottom"/>
            <w:hideMark/>
          </w:tcPr>
          <w:p w14:paraId="7827FD54"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61.333.636 </w:t>
            </w:r>
          </w:p>
        </w:tc>
        <w:tc>
          <w:tcPr>
            <w:tcW w:w="521" w:type="pct"/>
            <w:noWrap/>
            <w:vAlign w:val="bottom"/>
            <w:hideMark/>
          </w:tcPr>
          <w:p w14:paraId="312E6558"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61.465.341 </w:t>
            </w:r>
          </w:p>
        </w:tc>
        <w:tc>
          <w:tcPr>
            <w:tcW w:w="521" w:type="pct"/>
            <w:noWrap/>
            <w:vAlign w:val="bottom"/>
            <w:hideMark/>
          </w:tcPr>
          <w:p w14:paraId="5BF2B51D"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61.584.669 </w:t>
            </w:r>
          </w:p>
        </w:tc>
        <w:tc>
          <w:tcPr>
            <w:tcW w:w="521" w:type="pct"/>
            <w:noWrap/>
            <w:vAlign w:val="bottom"/>
            <w:hideMark/>
          </w:tcPr>
          <w:p w14:paraId="091AF2B4"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61.768.791 </w:t>
            </w:r>
          </w:p>
        </w:tc>
        <w:tc>
          <w:tcPr>
            <w:tcW w:w="520" w:type="pct"/>
            <w:noWrap/>
            <w:vAlign w:val="bottom"/>
            <w:hideMark/>
          </w:tcPr>
          <w:p w14:paraId="69DD9CB5"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62.274.234 </w:t>
            </w:r>
          </w:p>
        </w:tc>
      </w:tr>
      <w:tr w:rsidR="00D43B1C" w:rsidRPr="00E806C8" w14:paraId="1C1D5702" w14:textId="77777777" w:rsidTr="0074745C">
        <w:trPr>
          <w:trHeight w:val="300"/>
        </w:trPr>
        <w:tc>
          <w:tcPr>
            <w:tcW w:w="830" w:type="pct"/>
            <w:noWrap/>
            <w:vAlign w:val="bottom"/>
            <w:hideMark/>
          </w:tcPr>
          <w:p w14:paraId="0C482AA7" w14:textId="77777777" w:rsidR="00D43B1C" w:rsidRPr="008C7825" w:rsidRDefault="00D43B1C" w:rsidP="00D43B1C">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primorska</w:t>
            </w:r>
          </w:p>
        </w:tc>
        <w:tc>
          <w:tcPr>
            <w:tcW w:w="522" w:type="pct"/>
            <w:noWrap/>
            <w:vAlign w:val="bottom"/>
            <w:hideMark/>
          </w:tcPr>
          <w:p w14:paraId="47990DD4"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30.963.140 </w:t>
            </w:r>
          </w:p>
        </w:tc>
        <w:tc>
          <w:tcPr>
            <w:tcW w:w="522" w:type="pct"/>
            <w:noWrap/>
            <w:vAlign w:val="bottom"/>
            <w:hideMark/>
          </w:tcPr>
          <w:p w14:paraId="55B44A97"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29.576.965 </w:t>
            </w:r>
          </w:p>
        </w:tc>
        <w:tc>
          <w:tcPr>
            <w:tcW w:w="522" w:type="pct"/>
            <w:noWrap/>
            <w:vAlign w:val="bottom"/>
            <w:hideMark/>
          </w:tcPr>
          <w:p w14:paraId="009E7520"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29.798.179 </w:t>
            </w:r>
          </w:p>
        </w:tc>
        <w:tc>
          <w:tcPr>
            <w:tcW w:w="522" w:type="pct"/>
            <w:noWrap/>
            <w:vAlign w:val="bottom"/>
            <w:hideMark/>
          </w:tcPr>
          <w:p w14:paraId="5A00002D"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29.982.090 </w:t>
            </w:r>
          </w:p>
        </w:tc>
        <w:tc>
          <w:tcPr>
            <w:tcW w:w="521" w:type="pct"/>
            <w:noWrap/>
            <w:vAlign w:val="bottom"/>
            <w:hideMark/>
          </w:tcPr>
          <w:p w14:paraId="4D1396FD"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30.162.203 </w:t>
            </w:r>
          </w:p>
        </w:tc>
        <w:tc>
          <w:tcPr>
            <w:tcW w:w="521" w:type="pct"/>
            <w:noWrap/>
            <w:vAlign w:val="bottom"/>
            <w:hideMark/>
          </w:tcPr>
          <w:p w14:paraId="039448A6"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30.332.374 </w:t>
            </w:r>
          </w:p>
        </w:tc>
        <w:tc>
          <w:tcPr>
            <w:tcW w:w="521" w:type="pct"/>
            <w:noWrap/>
            <w:vAlign w:val="bottom"/>
            <w:hideMark/>
          </w:tcPr>
          <w:p w14:paraId="6AB3A886"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30.544.196 </w:t>
            </w:r>
          </w:p>
        </w:tc>
        <w:tc>
          <w:tcPr>
            <w:tcW w:w="520" w:type="pct"/>
            <w:noWrap/>
            <w:vAlign w:val="bottom"/>
            <w:hideMark/>
          </w:tcPr>
          <w:p w14:paraId="0954FA92"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30.794.134 </w:t>
            </w:r>
          </w:p>
        </w:tc>
      </w:tr>
    </w:tbl>
    <w:p w14:paraId="2C9FA266" w14:textId="77777777" w:rsidR="009A7F44" w:rsidRPr="00E806C8" w:rsidRDefault="009A7F44" w:rsidP="008C7825"/>
    <w:p w14:paraId="0325DF27" w14:textId="4598EE99" w:rsidR="00D43B1C" w:rsidRDefault="00D43B1C" w:rsidP="008C7825">
      <w:pPr>
        <w:pStyle w:val="Opisslike"/>
        <w:keepNext/>
      </w:pPr>
      <w:bookmarkStart w:id="39" w:name="_Toc40089025"/>
      <w:r>
        <w:t xml:space="preserve">Tablica </w:t>
      </w:r>
      <w:r w:rsidR="00A50909">
        <w:fldChar w:fldCharType="begin"/>
      </w:r>
      <w:r w:rsidR="00A50909">
        <w:instrText xml:space="preserve"> SEQ Tablica \* ARABIC </w:instrText>
      </w:r>
      <w:r w:rsidR="00A50909">
        <w:fldChar w:fldCharType="separate"/>
      </w:r>
      <w:r w:rsidR="00CE61F3">
        <w:rPr>
          <w:noProof/>
        </w:rPr>
        <w:t>8</w:t>
      </w:r>
      <w:r w:rsidR="00A50909">
        <w:rPr>
          <w:noProof/>
        </w:rPr>
        <w:fldChar w:fldCharType="end"/>
      </w:r>
      <w:r>
        <w:t xml:space="preserve"> Nestambene zgrade po klimatskim zonama</w:t>
      </w:r>
      <w:r w:rsidR="0074745C">
        <w:t xml:space="preserve"> – površina u m²</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74"/>
        <w:gridCol w:w="974"/>
        <w:gridCol w:w="974"/>
        <w:gridCol w:w="975"/>
        <w:gridCol w:w="975"/>
        <w:gridCol w:w="975"/>
        <w:gridCol w:w="975"/>
        <w:gridCol w:w="975"/>
      </w:tblGrid>
      <w:tr w:rsidR="00D43B1C" w:rsidRPr="00D43B1C" w14:paraId="40923C07" w14:textId="77777777" w:rsidTr="0074745C">
        <w:trPr>
          <w:trHeight w:val="300"/>
        </w:trPr>
        <w:tc>
          <w:tcPr>
            <w:tcW w:w="1589" w:type="dxa"/>
            <w:noWrap/>
            <w:vAlign w:val="bottom"/>
            <w:hideMark/>
          </w:tcPr>
          <w:p w14:paraId="5EEE8234"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997" w:type="dxa"/>
            <w:noWrap/>
            <w:vAlign w:val="bottom"/>
            <w:hideMark/>
          </w:tcPr>
          <w:p w14:paraId="7F05F715"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2011</w:t>
            </w:r>
          </w:p>
        </w:tc>
        <w:tc>
          <w:tcPr>
            <w:tcW w:w="997" w:type="dxa"/>
            <w:noWrap/>
            <w:vAlign w:val="bottom"/>
            <w:hideMark/>
          </w:tcPr>
          <w:p w14:paraId="22E4CA94"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2012</w:t>
            </w:r>
          </w:p>
        </w:tc>
        <w:tc>
          <w:tcPr>
            <w:tcW w:w="997" w:type="dxa"/>
            <w:noWrap/>
            <w:vAlign w:val="bottom"/>
            <w:hideMark/>
          </w:tcPr>
          <w:p w14:paraId="3E3C639C"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2013</w:t>
            </w:r>
          </w:p>
        </w:tc>
        <w:tc>
          <w:tcPr>
            <w:tcW w:w="998" w:type="dxa"/>
            <w:noWrap/>
            <w:vAlign w:val="bottom"/>
            <w:hideMark/>
          </w:tcPr>
          <w:p w14:paraId="2DC63B54"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2014</w:t>
            </w:r>
          </w:p>
        </w:tc>
        <w:tc>
          <w:tcPr>
            <w:tcW w:w="998" w:type="dxa"/>
            <w:noWrap/>
            <w:vAlign w:val="bottom"/>
            <w:hideMark/>
          </w:tcPr>
          <w:p w14:paraId="28DECF52"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2015</w:t>
            </w:r>
          </w:p>
        </w:tc>
        <w:tc>
          <w:tcPr>
            <w:tcW w:w="998" w:type="dxa"/>
            <w:noWrap/>
            <w:vAlign w:val="bottom"/>
            <w:hideMark/>
          </w:tcPr>
          <w:p w14:paraId="06C45369"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2016</w:t>
            </w:r>
          </w:p>
        </w:tc>
        <w:tc>
          <w:tcPr>
            <w:tcW w:w="998" w:type="dxa"/>
            <w:noWrap/>
            <w:vAlign w:val="bottom"/>
            <w:hideMark/>
          </w:tcPr>
          <w:p w14:paraId="34C095B9"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2017</w:t>
            </w:r>
          </w:p>
        </w:tc>
        <w:tc>
          <w:tcPr>
            <w:tcW w:w="998" w:type="dxa"/>
            <w:noWrap/>
            <w:vAlign w:val="bottom"/>
            <w:hideMark/>
          </w:tcPr>
          <w:p w14:paraId="5B3CA4FC"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2018</w:t>
            </w:r>
          </w:p>
        </w:tc>
      </w:tr>
      <w:tr w:rsidR="0074745C" w:rsidRPr="00D43B1C" w14:paraId="7C8B0753" w14:textId="77777777" w:rsidTr="0074745C">
        <w:trPr>
          <w:trHeight w:val="300"/>
        </w:trPr>
        <w:tc>
          <w:tcPr>
            <w:tcW w:w="1589" w:type="dxa"/>
            <w:noWrap/>
            <w:vAlign w:val="bottom"/>
          </w:tcPr>
          <w:p w14:paraId="4515A246" w14:textId="77777777" w:rsidR="0074745C" w:rsidRPr="008C7825" w:rsidRDefault="0074745C" w:rsidP="0074745C">
            <w:pPr>
              <w:tabs>
                <w:tab w:val="clear" w:pos="431"/>
              </w:tabs>
              <w:spacing w:after="0" w:line="240" w:lineRule="auto"/>
              <w:ind w:left="0"/>
              <w:jc w:val="left"/>
              <w:rPr>
                <w:rFonts w:asciiTheme="minorHAnsi" w:hAnsiTheme="minorHAnsi" w:cs="Calibri"/>
                <w:color w:val="000000"/>
                <w:sz w:val="16"/>
                <w:szCs w:val="16"/>
                <w:lang w:eastAsia="hr-HR"/>
              </w:rPr>
            </w:pPr>
          </w:p>
        </w:tc>
        <w:tc>
          <w:tcPr>
            <w:tcW w:w="7981" w:type="dxa"/>
            <w:gridSpan w:val="8"/>
            <w:noWrap/>
            <w:vAlign w:val="bottom"/>
          </w:tcPr>
          <w:p w14:paraId="69FF2714" w14:textId="77777777" w:rsidR="0074745C" w:rsidRPr="008C7825" w:rsidRDefault="001B6973" w:rsidP="0074745C">
            <w:pPr>
              <w:tabs>
                <w:tab w:val="clear" w:pos="431"/>
              </w:tabs>
              <w:spacing w:after="0" w:line="240" w:lineRule="auto"/>
              <w:ind w:left="0"/>
              <w:jc w:val="center"/>
              <w:rPr>
                <w:rFonts w:asciiTheme="minorHAnsi" w:hAnsiTheme="minorHAnsi" w:cs="Calibri"/>
                <w:color w:val="000000"/>
                <w:sz w:val="16"/>
                <w:szCs w:val="16"/>
                <w:lang w:eastAsia="hr-HR"/>
              </w:rPr>
            </w:pPr>
            <w:r>
              <w:rPr>
                <w:rFonts w:asciiTheme="minorHAnsi" w:hAnsiTheme="minorHAnsi" w:cs="Calibri"/>
                <w:sz w:val="16"/>
                <w:szCs w:val="16"/>
                <w:lang w:eastAsia="hr-HR"/>
              </w:rPr>
              <w:t xml:space="preserve"> </w:t>
            </w:r>
            <w:r>
              <w:rPr>
                <w:rFonts w:asciiTheme="minorHAnsi" w:hAnsiTheme="minorHAnsi" w:cs="Times New Roman"/>
                <w:color w:val="000000"/>
                <w:sz w:val="16"/>
                <w:szCs w:val="16"/>
                <w:lang w:eastAsia="hr-HR"/>
              </w:rPr>
              <w:t>površina</w:t>
            </w:r>
            <w:r>
              <w:rPr>
                <w:rFonts w:asciiTheme="minorHAnsi" w:hAnsiTheme="minorHAnsi" w:cs="Calibri"/>
                <w:sz w:val="16"/>
                <w:szCs w:val="16"/>
                <w:lang w:eastAsia="hr-HR"/>
              </w:rPr>
              <w:t xml:space="preserve"> </w:t>
            </w:r>
            <w:r w:rsidR="0074745C">
              <w:rPr>
                <w:rFonts w:asciiTheme="minorHAnsi" w:hAnsiTheme="minorHAnsi" w:cs="Calibri"/>
                <w:sz w:val="16"/>
                <w:szCs w:val="16"/>
                <w:lang w:eastAsia="hr-HR"/>
              </w:rPr>
              <w:t>m²</w:t>
            </w:r>
          </w:p>
        </w:tc>
      </w:tr>
      <w:tr w:rsidR="00D43B1C" w:rsidRPr="00D43B1C" w14:paraId="3BD92F2E" w14:textId="77777777" w:rsidTr="0074745C">
        <w:trPr>
          <w:trHeight w:val="300"/>
        </w:trPr>
        <w:tc>
          <w:tcPr>
            <w:tcW w:w="1589" w:type="dxa"/>
            <w:noWrap/>
            <w:vAlign w:val="bottom"/>
            <w:hideMark/>
          </w:tcPr>
          <w:p w14:paraId="7CA4EBEB"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komercijalne</w:t>
            </w:r>
          </w:p>
        </w:tc>
        <w:tc>
          <w:tcPr>
            <w:tcW w:w="997" w:type="dxa"/>
            <w:noWrap/>
            <w:vAlign w:val="bottom"/>
            <w:hideMark/>
          </w:tcPr>
          <w:p w14:paraId="5DFB7E72"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997" w:type="dxa"/>
            <w:noWrap/>
            <w:vAlign w:val="bottom"/>
            <w:hideMark/>
          </w:tcPr>
          <w:p w14:paraId="142EC0CC"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7" w:type="dxa"/>
            <w:noWrap/>
            <w:vAlign w:val="bottom"/>
            <w:hideMark/>
          </w:tcPr>
          <w:p w14:paraId="60A6FC5E"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012C8D13"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252CCD19"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42C4FE97"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1A67C947"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1AA15F7E"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r>
      <w:tr w:rsidR="00D43B1C" w:rsidRPr="00D43B1C" w14:paraId="7F5FB12A" w14:textId="77777777" w:rsidTr="0074745C">
        <w:trPr>
          <w:trHeight w:val="300"/>
        </w:trPr>
        <w:tc>
          <w:tcPr>
            <w:tcW w:w="1589" w:type="dxa"/>
            <w:noWrap/>
            <w:vAlign w:val="bottom"/>
            <w:hideMark/>
          </w:tcPr>
          <w:p w14:paraId="15F3B95A" w14:textId="77777777" w:rsidR="00D43B1C" w:rsidRPr="008C7825" w:rsidRDefault="00D43B1C" w:rsidP="00D43B1C">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kontinentalna</w:t>
            </w:r>
          </w:p>
        </w:tc>
        <w:tc>
          <w:tcPr>
            <w:tcW w:w="997" w:type="dxa"/>
            <w:noWrap/>
            <w:vAlign w:val="bottom"/>
            <w:hideMark/>
          </w:tcPr>
          <w:p w14:paraId="421A69AB"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24.500.465 </w:t>
            </w:r>
          </w:p>
        </w:tc>
        <w:tc>
          <w:tcPr>
            <w:tcW w:w="997" w:type="dxa"/>
            <w:noWrap/>
            <w:vAlign w:val="bottom"/>
            <w:hideMark/>
          </w:tcPr>
          <w:p w14:paraId="0A5492E6"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25.760.855 </w:t>
            </w:r>
          </w:p>
        </w:tc>
        <w:tc>
          <w:tcPr>
            <w:tcW w:w="997" w:type="dxa"/>
            <w:noWrap/>
            <w:vAlign w:val="bottom"/>
            <w:hideMark/>
          </w:tcPr>
          <w:p w14:paraId="699449DC"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26.223.621 </w:t>
            </w:r>
          </w:p>
        </w:tc>
        <w:tc>
          <w:tcPr>
            <w:tcW w:w="998" w:type="dxa"/>
            <w:noWrap/>
            <w:vAlign w:val="bottom"/>
            <w:hideMark/>
          </w:tcPr>
          <w:p w14:paraId="78E2619F"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26.572.693 </w:t>
            </w:r>
          </w:p>
        </w:tc>
        <w:tc>
          <w:tcPr>
            <w:tcW w:w="998" w:type="dxa"/>
            <w:noWrap/>
            <w:vAlign w:val="bottom"/>
            <w:hideMark/>
          </w:tcPr>
          <w:p w14:paraId="1FC815C3"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27.045.153 </w:t>
            </w:r>
          </w:p>
        </w:tc>
        <w:tc>
          <w:tcPr>
            <w:tcW w:w="998" w:type="dxa"/>
            <w:noWrap/>
            <w:vAlign w:val="bottom"/>
            <w:hideMark/>
          </w:tcPr>
          <w:p w14:paraId="59F79D33"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27.891.352 </w:t>
            </w:r>
          </w:p>
        </w:tc>
        <w:tc>
          <w:tcPr>
            <w:tcW w:w="998" w:type="dxa"/>
            <w:noWrap/>
            <w:vAlign w:val="bottom"/>
            <w:hideMark/>
          </w:tcPr>
          <w:p w14:paraId="0B5692AF"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28.570.681 </w:t>
            </w:r>
          </w:p>
        </w:tc>
        <w:tc>
          <w:tcPr>
            <w:tcW w:w="998" w:type="dxa"/>
            <w:noWrap/>
            <w:vAlign w:val="bottom"/>
            <w:hideMark/>
          </w:tcPr>
          <w:p w14:paraId="1345FF4C"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29.242.970 </w:t>
            </w:r>
          </w:p>
        </w:tc>
      </w:tr>
      <w:tr w:rsidR="00D43B1C" w:rsidRPr="00D43B1C" w14:paraId="15EF4545" w14:textId="77777777" w:rsidTr="0074745C">
        <w:trPr>
          <w:trHeight w:val="300"/>
        </w:trPr>
        <w:tc>
          <w:tcPr>
            <w:tcW w:w="1589" w:type="dxa"/>
            <w:noWrap/>
            <w:vAlign w:val="bottom"/>
            <w:hideMark/>
          </w:tcPr>
          <w:p w14:paraId="151C9F0F" w14:textId="77777777" w:rsidR="00D43B1C" w:rsidRPr="008C7825" w:rsidRDefault="00D43B1C" w:rsidP="00D43B1C">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primorska</w:t>
            </w:r>
          </w:p>
        </w:tc>
        <w:tc>
          <w:tcPr>
            <w:tcW w:w="997" w:type="dxa"/>
            <w:noWrap/>
            <w:vAlign w:val="bottom"/>
            <w:hideMark/>
          </w:tcPr>
          <w:p w14:paraId="060EAD3D"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12.039.995 </w:t>
            </w:r>
          </w:p>
        </w:tc>
        <w:tc>
          <w:tcPr>
            <w:tcW w:w="997" w:type="dxa"/>
            <w:noWrap/>
            <w:vAlign w:val="bottom"/>
            <w:hideMark/>
          </w:tcPr>
          <w:p w14:paraId="7C18A5C5"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12.659.156 </w:t>
            </w:r>
          </w:p>
        </w:tc>
        <w:tc>
          <w:tcPr>
            <w:tcW w:w="997" w:type="dxa"/>
            <w:noWrap/>
            <w:vAlign w:val="bottom"/>
            <w:hideMark/>
          </w:tcPr>
          <w:p w14:paraId="589C61A3"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12.886.578 </w:t>
            </w:r>
          </w:p>
        </w:tc>
        <w:tc>
          <w:tcPr>
            <w:tcW w:w="998" w:type="dxa"/>
            <w:noWrap/>
            <w:vAlign w:val="bottom"/>
            <w:hideMark/>
          </w:tcPr>
          <w:p w14:paraId="025A99CA"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13.058.123 </w:t>
            </w:r>
          </w:p>
        </w:tc>
        <w:tc>
          <w:tcPr>
            <w:tcW w:w="998" w:type="dxa"/>
            <w:noWrap/>
            <w:vAlign w:val="bottom"/>
            <w:hideMark/>
          </w:tcPr>
          <w:p w14:paraId="68CA7940"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13.290.314 </w:t>
            </w:r>
          </w:p>
        </w:tc>
        <w:tc>
          <w:tcPr>
            <w:tcW w:w="998" w:type="dxa"/>
            <w:noWrap/>
            <w:vAlign w:val="bottom"/>
            <w:hideMark/>
          </w:tcPr>
          <w:p w14:paraId="3A9A8629"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13.706.189 </w:t>
            </w:r>
          </w:p>
        </w:tc>
        <w:tc>
          <w:tcPr>
            <w:tcW w:w="998" w:type="dxa"/>
            <w:noWrap/>
            <w:vAlign w:val="bottom"/>
            <w:hideMark/>
          </w:tcPr>
          <w:p w14:paraId="5519B1AE"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14.040.074 </w:t>
            </w:r>
          </w:p>
        </w:tc>
        <w:tc>
          <w:tcPr>
            <w:tcW w:w="998" w:type="dxa"/>
            <w:noWrap/>
            <w:vAlign w:val="bottom"/>
            <w:hideMark/>
          </w:tcPr>
          <w:p w14:paraId="55C2316F"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14.370.479 </w:t>
            </w:r>
          </w:p>
        </w:tc>
      </w:tr>
      <w:tr w:rsidR="00D43B1C" w:rsidRPr="00D43B1C" w14:paraId="7EBD16BD" w14:textId="77777777" w:rsidTr="0074745C">
        <w:trPr>
          <w:trHeight w:val="300"/>
        </w:trPr>
        <w:tc>
          <w:tcPr>
            <w:tcW w:w="1589" w:type="dxa"/>
            <w:noWrap/>
            <w:vAlign w:val="bottom"/>
            <w:hideMark/>
          </w:tcPr>
          <w:p w14:paraId="174128A8"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javne</w:t>
            </w:r>
          </w:p>
        </w:tc>
        <w:tc>
          <w:tcPr>
            <w:tcW w:w="997" w:type="dxa"/>
            <w:noWrap/>
            <w:vAlign w:val="bottom"/>
            <w:hideMark/>
          </w:tcPr>
          <w:p w14:paraId="39C17E89"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997" w:type="dxa"/>
            <w:noWrap/>
            <w:vAlign w:val="bottom"/>
            <w:hideMark/>
          </w:tcPr>
          <w:p w14:paraId="4F202EE0"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7" w:type="dxa"/>
            <w:noWrap/>
            <w:vAlign w:val="bottom"/>
            <w:hideMark/>
          </w:tcPr>
          <w:p w14:paraId="20B330CD"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1563F1C1"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363E4551"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0DF603DA"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31FE8A5A"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98" w:type="dxa"/>
            <w:noWrap/>
            <w:vAlign w:val="bottom"/>
            <w:hideMark/>
          </w:tcPr>
          <w:p w14:paraId="0D0E7577"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r>
      <w:tr w:rsidR="00D43B1C" w:rsidRPr="00D43B1C" w14:paraId="13C47418" w14:textId="77777777" w:rsidTr="0074745C">
        <w:trPr>
          <w:trHeight w:val="300"/>
        </w:trPr>
        <w:tc>
          <w:tcPr>
            <w:tcW w:w="1589" w:type="dxa"/>
            <w:noWrap/>
            <w:vAlign w:val="bottom"/>
            <w:hideMark/>
          </w:tcPr>
          <w:p w14:paraId="371E5FED" w14:textId="77777777" w:rsidR="00D43B1C" w:rsidRPr="008C7825" w:rsidRDefault="00D43B1C" w:rsidP="00D43B1C">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kontinentalna</w:t>
            </w:r>
          </w:p>
        </w:tc>
        <w:tc>
          <w:tcPr>
            <w:tcW w:w="997" w:type="dxa"/>
            <w:noWrap/>
            <w:vAlign w:val="bottom"/>
            <w:hideMark/>
          </w:tcPr>
          <w:p w14:paraId="2352C5F7"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9.533.651 </w:t>
            </w:r>
          </w:p>
        </w:tc>
        <w:tc>
          <w:tcPr>
            <w:tcW w:w="997" w:type="dxa"/>
            <w:noWrap/>
            <w:vAlign w:val="bottom"/>
            <w:hideMark/>
          </w:tcPr>
          <w:p w14:paraId="3981576B"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10.619.518 </w:t>
            </w:r>
          </w:p>
        </w:tc>
        <w:tc>
          <w:tcPr>
            <w:tcW w:w="997" w:type="dxa"/>
            <w:noWrap/>
            <w:vAlign w:val="bottom"/>
            <w:hideMark/>
          </w:tcPr>
          <w:p w14:paraId="320370AC"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10.701.902 </w:t>
            </w:r>
          </w:p>
        </w:tc>
        <w:tc>
          <w:tcPr>
            <w:tcW w:w="998" w:type="dxa"/>
            <w:noWrap/>
            <w:vAlign w:val="bottom"/>
            <w:hideMark/>
          </w:tcPr>
          <w:p w14:paraId="4906574B"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10.800.123 </w:t>
            </w:r>
          </w:p>
        </w:tc>
        <w:tc>
          <w:tcPr>
            <w:tcW w:w="998" w:type="dxa"/>
            <w:noWrap/>
            <w:vAlign w:val="bottom"/>
            <w:hideMark/>
          </w:tcPr>
          <w:p w14:paraId="134FA5CD"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10.907.978 </w:t>
            </w:r>
          </w:p>
        </w:tc>
        <w:tc>
          <w:tcPr>
            <w:tcW w:w="998" w:type="dxa"/>
            <w:noWrap/>
            <w:vAlign w:val="bottom"/>
            <w:hideMark/>
          </w:tcPr>
          <w:p w14:paraId="71985CDF"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11.021.330 </w:t>
            </w:r>
          </w:p>
        </w:tc>
        <w:tc>
          <w:tcPr>
            <w:tcW w:w="998" w:type="dxa"/>
            <w:noWrap/>
            <w:vAlign w:val="bottom"/>
            <w:hideMark/>
          </w:tcPr>
          <w:p w14:paraId="7D2FC813"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11.192.706 </w:t>
            </w:r>
          </w:p>
        </w:tc>
        <w:tc>
          <w:tcPr>
            <w:tcW w:w="998" w:type="dxa"/>
            <w:noWrap/>
            <w:vAlign w:val="bottom"/>
            <w:hideMark/>
          </w:tcPr>
          <w:p w14:paraId="2D1B84DA"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10.657.748 </w:t>
            </w:r>
          </w:p>
        </w:tc>
      </w:tr>
      <w:tr w:rsidR="00D43B1C" w:rsidRPr="00D43B1C" w14:paraId="7083DC5E" w14:textId="77777777" w:rsidTr="0074745C">
        <w:trPr>
          <w:trHeight w:val="300"/>
        </w:trPr>
        <w:tc>
          <w:tcPr>
            <w:tcW w:w="1589" w:type="dxa"/>
            <w:noWrap/>
            <w:vAlign w:val="bottom"/>
            <w:hideMark/>
          </w:tcPr>
          <w:p w14:paraId="72A66879" w14:textId="77777777" w:rsidR="00D43B1C" w:rsidRPr="008C7825" w:rsidRDefault="00D43B1C" w:rsidP="00D43B1C">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primorska</w:t>
            </w:r>
          </w:p>
        </w:tc>
        <w:tc>
          <w:tcPr>
            <w:tcW w:w="997" w:type="dxa"/>
            <w:noWrap/>
            <w:vAlign w:val="bottom"/>
            <w:hideMark/>
          </w:tcPr>
          <w:p w14:paraId="7502ED27"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3.139.634 </w:t>
            </w:r>
          </w:p>
        </w:tc>
        <w:tc>
          <w:tcPr>
            <w:tcW w:w="997" w:type="dxa"/>
            <w:noWrap/>
            <w:vAlign w:val="bottom"/>
            <w:hideMark/>
          </w:tcPr>
          <w:p w14:paraId="0C50F379"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3.954.809 </w:t>
            </w:r>
          </w:p>
        </w:tc>
        <w:tc>
          <w:tcPr>
            <w:tcW w:w="997" w:type="dxa"/>
            <w:noWrap/>
            <w:vAlign w:val="bottom"/>
            <w:hideMark/>
          </w:tcPr>
          <w:p w14:paraId="189917A4"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3.986.619 </w:t>
            </w:r>
          </w:p>
        </w:tc>
        <w:tc>
          <w:tcPr>
            <w:tcW w:w="998" w:type="dxa"/>
            <w:noWrap/>
            <w:vAlign w:val="bottom"/>
            <w:hideMark/>
          </w:tcPr>
          <w:p w14:paraId="442CA846"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4.021.804 </w:t>
            </w:r>
          </w:p>
        </w:tc>
        <w:tc>
          <w:tcPr>
            <w:tcW w:w="998" w:type="dxa"/>
            <w:noWrap/>
            <w:vAlign w:val="bottom"/>
            <w:hideMark/>
          </w:tcPr>
          <w:p w14:paraId="00405A07"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4.061.839 </w:t>
            </w:r>
          </w:p>
        </w:tc>
        <w:tc>
          <w:tcPr>
            <w:tcW w:w="998" w:type="dxa"/>
            <w:noWrap/>
            <w:vAlign w:val="bottom"/>
            <w:hideMark/>
          </w:tcPr>
          <w:p w14:paraId="3FCA74CB"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4.103.539 </w:t>
            </w:r>
          </w:p>
        </w:tc>
        <w:tc>
          <w:tcPr>
            <w:tcW w:w="998" w:type="dxa"/>
            <w:noWrap/>
            <w:vAlign w:val="bottom"/>
            <w:hideMark/>
          </w:tcPr>
          <w:p w14:paraId="54EF56B4"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4.166.001 </w:t>
            </w:r>
          </w:p>
        </w:tc>
        <w:tc>
          <w:tcPr>
            <w:tcW w:w="998" w:type="dxa"/>
            <w:noWrap/>
            <w:vAlign w:val="bottom"/>
            <w:hideMark/>
          </w:tcPr>
          <w:p w14:paraId="7CDE2023" w14:textId="77777777" w:rsidR="00D43B1C" w:rsidRPr="008C7825" w:rsidRDefault="00D43B1C" w:rsidP="00D43B1C">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 xml:space="preserve">4.627.332 </w:t>
            </w:r>
          </w:p>
        </w:tc>
      </w:tr>
    </w:tbl>
    <w:p w14:paraId="0DA9F385" w14:textId="77777777" w:rsidR="0027270A" w:rsidRDefault="0027270A" w:rsidP="0027270A">
      <w:pPr>
        <w:rPr>
          <w:lang w:eastAsia="hr-HR"/>
        </w:rPr>
      </w:pPr>
    </w:p>
    <w:p w14:paraId="4BEFE20C" w14:textId="77777777" w:rsidR="006253D7" w:rsidRPr="006253D7" w:rsidRDefault="006253D7" w:rsidP="00334A49">
      <w:r w:rsidRPr="006253D7">
        <w:br w:type="page"/>
      </w:r>
    </w:p>
    <w:p w14:paraId="4CBFD10F" w14:textId="77777777" w:rsidR="00D43B1C" w:rsidRDefault="00A422E6" w:rsidP="007649C2">
      <w:pPr>
        <w:pStyle w:val="Naslov20"/>
      </w:pPr>
      <w:bookmarkStart w:id="40" w:name="_Toc34052859"/>
      <w:bookmarkStart w:id="41" w:name="_Toc46163802"/>
      <w:r w:rsidRPr="00A422E6">
        <w:lastRenderedPageBreak/>
        <w:t>Pregled nacionalnog fonda zgrada prema vlasništvu</w:t>
      </w:r>
      <w:bookmarkEnd w:id="40"/>
      <w:bookmarkEnd w:id="41"/>
    </w:p>
    <w:p w14:paraId="75C3F919" w14:textId="1A230BBD" w:rsidR="0040544C" w:rsidRDefault="00D43B1C" w:rsidP="0040544C">
      <w:r>
        <w:t xml:space="preserve">Struktura fonda zgrada prema vlasništvu (javno/privatno) </w:t>
      </w:r>
      <w:r w:rsidR="002F3932">
        <w:t>sukladno</w:t>
      </w:r>
      <w:r w:rsidR="0040544C">
        <w:t xml:space="preserve"> </w:t>
      </w:r>
      <w:r w:rsidR="002F3932">
        <w:t xml:space="preserve">Programu </w:t>
      </w:r>
      <w:r w:rsidR="0040544C">
        <w:t xml:space="preserve">poticanja gradnje novih i </w:t>
      </w:r>
      <w:r w:rsidR="0040544C" w:rsidRPr="0040544C">
        <w:t xml:space="preserve">obnavljanja postojećih zgrada do standarda gotovo nulte energije </w:t>
      </w:r>
      <w:r w:rsidR="0040544C" w:rsidRPr="008C7825">
        <w:fldChar w:fldCharType="begin"/>
      </w:r>
      <w:r w:rsidR="0040544C" w:rsidRPr="008C7825">
        <w:instrText xml:space="preserve"> CITATION MGI18 \l 1033 </w:instrText>
      </w:r>
      <w:r w:rsidR="0040544C" w:rsidRPr="008C7825">
        <w:fldChar w:fldCharType="separate"/>
      </w:r>
      <w:r w:rsidR="002D258B">
        <w:rPr>
          <w:noProof/>
        </w:rPr>
        <w:t xml:space="preserve"> </w:t>
      </w:r>
      <w:r w:rsidR="002D258B" w:rsidRPr="002D258B">
        <w:rPr>
          <w:noProof/>
        </w:rPr>
        <w:t>(MGIPU, 2018)</w:t>
      </w:r>
      <w:r w:rsidR="0040544C" w:rsidRPr="008C7825">
        <w:fldChar w:fldCharType="end"/>
      </w:r>
      <w:r w:rsidR="0040544C">
        <w:t xml:space="preserve"> iskazana </w:t>
      </w:r>
      <w:r w:rsidR="00397A54">
        <w:t xml:space="preserve">je </w:t>
      </w:r>
      <w:r w:rsidR="0040544C">
        <w:t xml:space="preserve">odvojeno po namjenama, vlasništvu i klimatskim zonama, s </w:t>
      </w:r>
      <w:r w:rsidR="006B2472">
        <w:t xml:space="preserve">uključenim </w:t>
      </w:r>
      <w:r w:rsidR="0040544C">
        <w:t xml:space="preserve">promjenama u fondu od 2011. do 2018. godine. </w:t>
      </w:r>
    </w:p>
    <w:p w14:paraId="7A382D50" w14:textId="6F90A075" w:rsidR="000F0149" w:rsidRDefault="000F0149" w:rsidP="006253D7">
      <w:pPr>
        <w:pStyle w:val="Opisslike"/>
        <w:keepNext/>
      </w:pPr>
      <w:bookmarkStart w:id="42" w:name="_Toc40089026"/>
      <w:r>
        <w:t xml:space="preserve">Tablica </w:t>
      </w:r>
      <w:r w:rsidR="00A50909">
        <w:fldChar w:fldCharType="begin"/>
      </w:r>
      <w:r w:rsidR="00A50909">
        <w:instrText xml:space="preserve"> SEQ Tablica \* ARABIC </w:instrText>
      </w:r>
      <w:r w:rsidR="00A50909">
        <w:fldChar w:fldCharType="separate"/>
      </w:r>
      <w:r w:rsidR="00CE61F3">
        <w:rPr>
          <w:noProof/>
        </w:rPr>
        <w:t>9</w:t>
      </w:r>
      <w:r w:rsidR="00A50909">
        <w:rPr>
          <w:noProof/>
        </w:rPr>
        <w:fldChar w:fldCharType="end"/>
      </w:r>
      <w:r>
        <w:t xml:space="preserve"> Privatne – stambene i nestambene komercijalne zgrade po namjeni i klimatskoj zoni</w:t>
      </w:r>
      <w:r w:rsidR="00641221">
        <w:t xml:space="preserve"> – površina u m²</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130"/>
        <w:gridCol w:w="958"/>
        <w:gridCol w:w="958"/>
        <w:gridCol w:w="958"/>
        <w:gridCol w:w="959"/>
        <w:gridCol w:w="959"/>
        <w:gridCol w:w="959"/>
        <w:gridCol w:w="955"/>
      </w:tblGrid>
      <w:tr w:rsidR="0040544C" w:rsidRPr="0040544C" w14:paraId="10A404E4" w14:textId="77777777" w:rsidTr="00641221">
        <w:trPr>
          <w:trHeight w:val="300"/>
          <w:tblHeader/>
        </w:trPr>
        <w:tc>
          <w:tcPr>
            <w:tcW w:w="806" w:type="pct"/>
            <w:noWrap/>
            <w:vAlign w:val="bottom"/>
            <w:hideMark/>
          </w:tcPr>
          <w:p w14:paraId="582F525E"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vrsta zgrada/godina</w:t>
            </w:r>
          </w:p>
        </w:tc>
        <w:tc>
          <w:tcPr>
            <w:tcW w:w="605" w:type="pct"/>
            <w:noWrap/>
            <w:vAlign w:val="bottom"/>
            <w:hideMark/>
          </w:tcPr>
          <w:p w14:paraId="2A77C72D"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2011</w:t>
            </w:r>
          </w:p>
        </w:tc>
        <w:tc>
          <w:tcPr>
            <w:tcW w:w="513" w:type="pct"/>
            <w:noWrap/>
            <w:vAlign w:val="bottom"/>
            <w:hideMark/>
          </w:tcPr>
          <w:p w14:paraId="5020D9D2"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2012</w:t>
            </w:r>
          </w:p>
        </w:tc>
        <w:tc>
          <w:tcPr>
            <w:tcW w:w="513" w:type="pct"/>
            <w:noWrap/>
            <w:vAlign w:val="bottom"/>
            <w:hideMark/>
          </w:tcPr>
          <w:p w14:paraId="17512A47"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2013</w:t>
            </w:r>
          </w:p>
        </w:tc>
        <w:tc>
          <w:tcPr>
            <w:tcW w:w="513" w:type="pct"/>
            <w:noWrap/>
            <w:vAlign w:val="bottom"/>
            <w:hideMark/>
          </w:tcPr>
          <w:p w14:paraId="1FCFA93B"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2014</w:t>
            </w:r>
          </w:p>
        </w:tc>
        <w:tc>
          <w:tcPr>
            <w:tcW w:w="513" w:type="pct"/>
            <w:noWrap/>
            <w:vAlign w:val="bottom"/>
            <w:hideMark/>
          </w:tcPr>
          <w:p w14:paraId="7C9C0230"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2015</w:t>
            </w:r>
          </w:p>
        </w:tc>
        <w:tc>
          <w:tcPr>
            <w:tcW w:w="513" w:type="pct"/>
            <w:noWrap/>
            <w:vAlign w:val="bottom"/>
            <w:hideMark/>
          </w:tcPr>
          <w:p w14:paraId="080CEFC4"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2016</w:t>
            </w:r>
          </w:p>
        </w:tc>
        <w:tc>
          <w:tcPr>
            <w:tcW w:w="513" w:type="pct"/>
            <w:noWrap/>
            <w:vAlign w:val="bottom"/>
            <w:hideMark/>
          </w:tcPr>
          <w:p w14:paraId="7356DD49"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2017</w:t>
            </w:r>
          </w:p>
        </w:tc>
        <w:tc>
          <w:tcPr>
            <w:tcW w:w="511" w:type="pct"/>
            <w:noWrap/>
            <w:vAlign w:val="bottom"/>
            <w:hideMark/>
          </w:tcPr>
          <w:p w14:paraId="6674245E"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2018</w:t>
            </w:r>
          </w:p>
        </w:tc>
      </w:tr>
      <w:tr w:rsidR="00641221" w:rsidRPr="0040544C" w14:paraId="1999BA0D" w14:textId="77777777" w:rsidTr="00641221">
        <w:trPr>
          <w:trHeight w:val="300"/>
          <w:tblHeader/>
        </w:trPr>
        <w:tc>
          <w:tcPr>
            <w:tcW w:w="806" w:type="pct"/>
            <w:noWrap/>
            <w:vAlign w:val="bottom"/>
          </w:tcPr>
          <w:p w14:paraId="7F5C5107"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p>
        </w:tc>
        <w:tc>
          <w:tcPr>
            <w:tcW w:w="4194" w:type="pct"/>
            <w:gridSpan w:val="8"/>
            <w:noWrap/>
            <w:vAlign w:val="bottom"/>
          </w:tcPr>
          <w:p w14:paraId="139D6E36" w14:textId="77777777" w:rsidR="00641221" w:rsidRPr="008C7825" w:rsidRDefault="00641221"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Pr>
                <w:rFonts w:asciiTheme="minorHAnsi" w:hAnsiTheme="minorHAnsi" w:cs="Times New Roman"/>
                <w:color w:val="000000"/>
                <w:sz w:val="16"/>
                <w:szCs w:val="16"/>
                <w:lang w:eastAsia="hr-HR"/>
              </w:rPr>
              <w:t>površina  m²</w:t>
            </w:r>
          </w:p>
        </w:tc>
      </w:tr>
      <w:tr w:rsidR="0040544C" w:rsidRPr="000F0149" w14:paraId="2E8C176A" w14:textId="77777777" w:rsidTr="00641221">
        <w:trPr>
          <w:trHeight w:val="300"/>
        </w:trPr>
        <w:tc>
          <w:tcPr>
            <w:tcW w:w="806" w:type="pct"/>
            <w:noWrap/>
            <w:vAlign w:val="bottom"/>
            <w:hideMark/>
          </w:tcPr>
          <w:p w14:paraId="3983538C"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stambene</w:t>
            </w:r>
          </w:p>
        </w:tc>
        <w:tc>
          <w:tcPr>
            <w:tcW w:w="605" w:type="pct"/>
            <w:noWrap/>
            <w:vAlign w:val="bottom"/>
            <w:hideMark/>
          </w:tcPr>
          <w:p w14:paraId="7E28FEF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8C7825">
              <w:rPr>
                <w:rFonts w:asciiTheme="minorHAnsi" w:hAnsiTheme="minorHAnsi" w:cs="Times New Roman"/>
                <w:b/>
                <w:bCs/>
                <w:color w:val="000000"/>
                <w:sz w:val="14"/>
                <w:szCs w:val="14"/>
                <w:lang w:eastAsia="hr-HR"/>
              </w:rPr>
              <w:t xml:space="preserve">142.176.678 </w:t>
            </w:r>
          </w:p>
        </w:tc>
        <w:tc>
          <w:tcPr>
            <w:tcW w:w="513" w:type="pct"/>
            <w:noWrap/>
            <w:vAlign w:val="bottom"/>
            <w:hideMark/>
          </w:tcPr>
          <w:p w14:paraId="05CB4E03"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8C7825">
              <w:rPr>
                <w:rFonts w:asciiTheme="minorHAnsi" w:hAnsiTheme="minorHAnsi" w:cs="Times New Roman"/>
                <w:b/>
                <w:bCs/>
                <w:color w:val="000000"/>
                <w:sz w:val="14"/>
                <w:szCs w:val="14"/>
                <w:lang w:eastAsia="hr-HR"/>
              </w:rPr>
              <w:t xml:space="preserve">143.079.900 </w:t>
            </w:r>
          </w:p>
        </w:tc>
        <w:tc>
          <w:tcPr>
            <w:tcW w:w="513" w:type="pct"/>
            <w:noWrap/>
            <w:vAlign w:val="bottom"/>
            <w:hideMark/>
          </w:tcPr>
          <w:p w14:paraId="637C86C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8C7825">
              <w:rPr>
                <w:rFonts w:asciiTheme="minorHAnsi" w:hAnsiTheme="minorHAnsi" w:cs="Times New Roman"/>
                <w:b/>
                <w:bCs/>
                <w:color w:val="000000"/>
                <w:sz w:val="14"/>
                <w:szCs w:val="14"/>
                <w:lang w:eastAsia="hr-HR"/>
              </w:rPr>
              <w:t xml:space="preserve">143.730.103 </w:t>
            </w:r>
          </w:p>
        </w:tc>
        <w:tc>
          <w:tcPr>
            <w:tcW w:w="513" w:type="pct"/>
            <w:noWrap/>
            <w:vAlign w:val="bottom"/>
            <w:hideMark/>
          </w:tcPr>
          <w:p w14:paraId="3B4A86C3"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8C7825">
              <w:rPr>
                <w:rFonts w:asciiTheme="minorHAnsi" w:hAnsiTheme="minorHAnsi" w:cs="Times New Roman"/>
                <w:b/>
                <w:bCs/>
                <w:color w:val="000000"/>
                <w:sz w:val="14"/>
                <w:szCs w:val="14"/>
                <w:lang w:eastAsia="hr-HR"/>
              </w:rPr>
              <w:t xml:space="preserve">144.263.568 </w:t>
            </w:r>
          </w:p>
        </w:tc>
        <w:tc>
          <w:tcPr>
            <w:tcW w:w="513" w:type="pct"/>
            <w:noWrap/>
            <w:vAlign w:val="bottom"/>
            <w:hideMark/>
          </w:tcPr>
          <w:p w14:paraId="3520A8D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8C7825">
              <w:rPr>
                <w:rFonts w:asciiTheme="minorHAnsi" w:hAnsiTheme="minorHAnsi" w:cs="Times New Roman"/>
                <w:b/>
                <w:bCs/>
                <w:color w:val="000000"/>
                <w:sz w:val="14"/>
                <w:szCs w:val="14"/>
                <w:lang w:eastAsia="hr-HR"/>
              </w:rPr>
              <w:t xml:space="preserve">144.756.189 </w:t>
            </w:r>
          </w:p>
        </w:tc>
        <w:tc>
          <w:tcPr>
            <w:tcW w:w="513" w:type="pct"/>
            <w:noWrap/>
            <w:vAlign w:val="bottom"/>
            <w:hideMark/>
          </w:tcPr>
          <w:p w14:paraId="40FA8E0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8C7825">
              <w:rPr>
                <w:rFonts w:asciiTheme="minorHAnsi" w:hAnsiTheme="minorHAnsi" w:cs="Times New Roman"/>
                <w:b/>
                <w:bCs/>
                <w:color w:val="000000"/>
                <w:sz w:val="14"/>
                <w:szCs w:val="14"/>
                <w:lang w:eastAsia="hr-HR"/>
              </w:rPr>
              <w:t xml:space="preserve">145.213.549 </w:t>
            </w:r>
          </w:p>
        </w:tc>
        <w:tc>
          <w:tcPr>
            <w:tcW w:w="513" w:type="pct"/>
            <w:noWrap/>
            <w:vAlign w:val="bottom"/>
            <w:hideMark/>
          </w:tcPr>
          <w:p w14:paraId="6726C24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8C7825">
              <w:rPr>
                <w:rFonts w:asciiTheme="minorHAnsi" w:hAnsiTheme="minorHAnsi" w:cs="Times New Roman"/>
                <w:b/>
                <w:bCs/>
                <w:color w:val="000000"/>
                <w:sz w:val="14"/>
                <w:szCs w:val="14"/>
                <w:lang w:eastAsia="hr-HR"/>
              </w:rPr>
              <w:t xml:space="preserve">145.839.074 </w:t>
            </w:r>
          </w:p>
        </w:tc>
        <w:tc>
          <w:tcPr>
            <w:tcW w:w="511" w:type="pct"/>
            <w:noWrap/>
            <w:vAlign w:val="bottom"/>
            <w:hideMark/>
          </w:tcPr>
          <w:p w14:paraId="54F74E8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8C7825">
              <w:rPr>
                <w:rFonts w:asciiTheme="minorHAnsi" w:hAnsiTheme="minorHAnsi" w:cs="Times New Roman"/>
                <w:b/>
                <w:bCs/>
                <w:color w:val="000000"/>
                <w:sz w:val="14"/>
                <w:szCs w:val="14"/>
                <w:lang w:eastAsia="hr-HR"/>
              </w:rPr>
              <w:t xml:space="preserve">146.417.656 </w:t>
            </w:r>
          </w:p>
        </w:tc>
      </w:tr>
      <w:tr w:rsidR="0040544C" w:rsidRPr="000F0149" w14:paraId="2C6E6231" w14:textId="77777777" w:rsidTr="00641221">
        <w:trPr>
          <w:trHeight w:val="300"/>
        </w:trPr>
        <w:tc>
          <w:tcPr>
            <w:tcW w:w="806" w:type="pct"/>
            <w:noWrap/>
            <w:vAlign w:val="bottom"/>
            <w:hideMark/>
          </w:tcPr>
          <w:p w14:paraId="4F6B01D8"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višestambene</w:t>
            </w:r>
          </w:p>
        </w:tc>
        <w:tc>
          <w:tcPr>
            <w:tcW w:w="605" w:type="pct"/>
            <w:noWrap/>
            <w:vAlign w:val="bottom"/>
            <w:hideMark/>
          </w:tcPr>
          <w:p w14:paraId="5732881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55.438.063 </w:t>
            </w:r>
          </w:p>
        </w:tc>
        <w:tc>
          <w:tcPr>
            <w:tcW w:w="513" w:type="pct"/>
            <w:noWrap/>
            <w:vAlign w:val="bottom"/>
            <w:hideMark/>
          </w:tcPr>
          <w:p w14:paraId="489CE02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55.222.945 </w:t>
            </w:r>
          </w:p>
        </w:tc>
        <w:tc>
          <w:tcPr>
            <w:tcW w:w="513" w:type="pct"/>
            <w:noWrap/>
            <w:vAlign w:val="bottom"/>
            <w:hideMark/>
          </w:tcPr>
          <w:p w14:paraId="454F4E2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55.473.897 </w:t>
            </w:r>
          </w:p>
        </w:tc>
        <w:tc>
          <w:tcPr>
            <w:tcW w:w="513" w:type="pct"/>
            <w:noWrap/>
            <w:vAlign w:val="bottom"/>
            <w:hideMark/>
          </w:tcPr>
          <w:p w14:paraId="0E75BA76"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55.679.793 </w:t>
            </w:r>
          </w:p>
        </w:tc>
        <w:tc>
          <w:tcPr>
            <w:tcW w:w="513" w:type="pct"/>
            <w:noWrap/>
            <w:vAlign w:val="bottom"/>
            <w:hideMark/>
          </w:tcPr>
          <w:p w14:paraId="557EEC4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55.869.924 </w:t>
            </w:r>
          </w:p>
        </w:tc>
        <w:tc>
          <w:tcPr>
            <w:tcW w:w="513" w:type="pct"/>
            <w:noWrap/>
            <w:vAlign w:val="bottom"/>
            <w:hideMark/>
          </w:tcPr>
          <w:p w14:paraId="013A339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56.046.446 </w:t>
            </w:r>
          </w:p>
        </w:tc>
        <w:tc>
          <w:tcPr>
            <w:tcW w:w="513" w:type="pct"/>
            <w:noWrap/>
            <w:vAlign w:val="bottom"/>
            <w:hideMark/>
          </w:tcPr>
          <w:p w14:paraId="30DAB1C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56.287.873 </w:t>
            </w:r>
          </w:p>
        </w:tc>
        <w:tc>
          <w:tcPr>
            <w:tcW w:w="511" w:type="pct"/>
            <w:noWrap/>
            <w:vAlign w:val="bottom"/>
            <w:hideMark/>
          </w:tcPr>
          <w:p w14:paraId="50E2EB6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56.430.888 </w:t>
            </w:r>
          </w:p>
        </w:tc>
      </w:tr>
      <w:tr w:rsidR="0040544C" w:rsidRPr="0040544C" w14:paraId="12F96F2A" w14:textId="77777777" w:rsidTr="00641221">
        <w:trPr>
          <w:trHeight w:val="300"/>
        </w:trPr>
        <w:tc>
          <w:tcPr>
            <w:tcW w:w="806" w:type="pct"/>
            <w:noWrap/>
            <w:vAlign w:val="bottom"/>
            <w:hideMark/>
          </w:tcPr>
          <w:p w14:paraId="21B9CCC4"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605" w:type="pct"/>
            <w:noWrap/>
            <w:vAlign w:val="bottom"/>
            <w:hideMark/>
          </w:tcPr>
          <w:p w14:paraId="6FF1424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35.648.303 </w:t>
            </w:r>
          </w:p>
        </w:tc>
        <w:tc>
          <w:tcPr>
            <w:tcW w:w="513" w:type="pct"/>
            <w:noWrap/>
            <w:vAlign w:val="bottom"/>
            <w:hideMark/>
          </w:tcPr>
          <w:p w14:paraId="1589B90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37.188.381 </w:t>
            </w:r>
          </w:p>
        </w:tc>
        <w:tc>
          <w:tcPr>
            <w:tcW w:w="513" w:type="pct"/>
            <w:noWrap/>
            <w:vAlign w:val="bottom"/>
            <w:hideMark/>
          </w:tcPr>
          <w:p w14:paraId="5F8B08D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37.304.448 </w:t>
            </w:r>
          </w:p>
        </w:tc>
        <w:tc>
          <w:tcPr>
            <w:tcW w:w="513" w:type="pct"/>
            <w:noWrap/>
            <w:vAlign w:val="bottom"/>
            <w:hideMark/>
          </w:tcPr>
          <w:p w14:paraId="73DF2A1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37.398.204 </w:t>
            </w:r>
          </w:p>
        </w:tc>
        <w:tc>
          <w:tcPr>
            <w:tcW w:w="513" w:type="pct"/>
            <w:noWrap/>
            <w:vAlign w:val="bottom"/>
            <w:hideMark/>
          </w:tcPr>
          <w:p w14:paraId="535FD76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37.478.511 </w:t>
            </w:r>
          </w:p>
        </w:tc>
        <w:tc>
          <w:tcPr>
            <w:tcW w:w="513" w:type="pct"/>
            <w:noWrap/>
            <w:vAlign w:val="bottom"/>
            <w:hideMark/>
          </w:tcPr>
          <w:p w14:paraId="1ED86DA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37.551.272 </w:t>
            </w:r>
          </w:p>
        </w:tc>
        <w:tc>
          <w:tcPr>
            <w:tcW w:w="513" w:type="pct"/>
            <w:noWrap/>
            <w:vAlign w:val="bottom"/>
            <w:hideMark/>
          </w:tcPr>
          <w:p w14:paraId="6FF37F93"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37.663.540 </w:t>
            </w:r>
          </w:p>
        </w:tc>
        <w:tc>
          <w:tcPr>
            <w:tcW w:w="511" w:type="pct"/>
            <w:noWrap/>
            <w:vAlign w:val="bottom"/>
            <w:hideMark/>
          </w:tcPr>
          <w:p w14:paraId="6B72176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37.759.235 </w:t>
            </w:r>
          </w:p>
        </w:tc>
      </w:tr>
      <w:tr w:rsidR="0040544C" w:rsidRPr="0040544C" w14:paraId="2CBEA104" w14:textId="77777777" w:rsidTr="00641221">
        <w:trPr>
          <w:trHeight w:val="300"/>
        </w:trPr>
        <w:tc>
          <w:tcPr>
            <w:tcW w:w="806" w:type="pct"/>
            <w:noWrap/>
            <w:vAlign w:val="bottom"/>
            <w:hideMark/>
          </w:tcPr>
          <w:p w14:paraId="062A6B83"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605" w:type="pct"/>
            <w:noWrap/>
            <w:vAlign w:val="bottom"/>
            <w:hideMark/>
          </w:tcPr>
          <w:p w14:paraId="246B3E7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19.789.760 </w:t>
            </w:r>
          </w:p>
        </w:tc>
        <w:tc>
          <w:tcPr>
            <w:tcW w:w="513" w:type="pct"/>
            <w:noWrap/>
            <w:vAlign w:val="bottom"/>
            <w:hideMark/>
          </w:tcPr>
          <w:p w14:paraId="4148CFD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18.034.564 </w:t>
            </w:r>
          </w:p>
        </w:tc>
        <w:tc>
          <w:tcPr>
            <w:tcW w:w="513" w:type="pct"/>
            <w:noWrap/>
            <w:vAlign w:val="bottom"/>
            <w:hideMark/>
          </w:tcPr>
          <w:p w14:paraId="215B7A0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18.169.449 </w:t>
            </w:r>
          </w:p>
        </w:tc>
        <w:tc>
          <w:tcPr>
            <w:tcW w:w="513" w:type="pct"/>
            <w:noWrap/>
            <w:vAlign w:val="bottom"/>
            <w:hideMark/>
          </w:tcPr>
          <w:p w14:paraId="4D65141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18.281.589 </w:t>
            </w:r>
          </w:p>
        </w:tc>
        <w:tc>
          <w:tcPr>
            <w:tcW w:w="513" w:type="pct"/>
            <w:noWrap/>
            <w:vAlign w:val="bottom"/>
            <w:hideMark/>
          </w:tcPr>
          <w:p w14:paraId="39C197D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18.391.413 </w:t>
            </w:r>
          </w:p>
        </w:tc>
        <w:tc>
          <w:tcPr>
            <w:tcW w:w="513" w:type="pct"/>
            <w:noWrap/>
            <w:vAlign w:val="bottom"/>
            <w:hideMark/>
          </w:tcPr>
          <w:p w14:paraId="52EBF8B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18.495.175 </w:t>
            </w:r>
          </w:p>
        </w:tc>
        <w:tc>
          <w:tcPr>
            <w:tcW w:w="513" w:type="pct"/>
            <w:noWrap/>
            <w:vAlign w:val="bottom"/>
            <w:hideMark/>
          </w:tcPr>
          <w:p w14:paraId="41B2436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18.624.333 </w:t>
            </w:r>
          </w:p>
        </w:tc>
        <w:tc>
          <w:tcPr>
            <w:tcW w:w="511" w:type="pct"/>
            <w:noWrap/>
            <w:vAlign w:val="bottom"/>
            <w:hideMark/>
          </w:tcPr>
          <w:p w14:paraId="6ECF961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18.671.654 </w:t>
            </w:r>
          </w:p>
        </w:tc>
      </w:tr>
      <w:tr w:rsidR="0040544C" w:rsidRPr="000F0149" w14:paraId="74DE14FA" w14:textId="77777777" w:rsidTr="00641221">
        <w:trPr>
          <w:trHeight w:val="300"/>
        </w:trPr>
        <w:tc>
          <w:tcPr>
            <w:tcW w:w="806" w:type="pct"/>
            <w:noWrap/>
            <w:vAlign w:val="bottom"/>
            <w:hideMark/>
          </w:tcPr>
          <w:p w14:paraId="2833DF36"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obiteljske</w:t>
            </w:r>
          </w:p>
        </w:tc>
        <w:tc>
          <w:tcPr>
            <w:tcW w:w="605" w:type="pct"/>
            <w:noWrap/>
            <w:vAlign w:val="bottom"/>
            <w:hideMark/>
          </w:tcPr>
          <w:p w14:paraId="6906DC6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86.738.615 </w:t>
            </w:r>
          </w:p>
        </w:tc>
        <w:tc>
          <w:tcPr>
            <w:tcW w:w="513" w:type="pct"/>
            <w:noWrap/>
            <w:vAlign w:val="bottom"/>
            <w:hideMark/>
          </w:tcPr>
          <w:p w14:paraId="474247B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90.566.489 </w:t>
            </w:r>
          </w:p>
        </w:tc>
        <w:tc>
          <w:tcPr>
            <w:tcW w:w="513" w:type="pct"/>
            <w:noWrap/>
            <w:vAlign w:val="bottom"/>
            <w:hideMark/>
          </w:tcPr>
          <w:p w14:paraId="54C516D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90.978.053 </w:t>
            </w:r>
          </w:p>
        </w:tc>
        <w:tc>
          <w:tcPr>
            <w:tcW w:w="513" w:type="pct"/>
            <w:noWrap/>
            <w:vAlign w:val="bottom"/>
            <w:hideMark/>
          </w:tcPr>
          <w:p w14:paraId="2809D8C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91.315.725 </w:t>
            </w:r>
          </w:p>
        </w:tc>
        <w:tc>
          <w:tcPr>
            <w:tcW w:w="513" w:type="pct"/>
            <w:noWrap/>
            <w:vAlign w:val="bottom"/>
            <w:hideMark/>
          </w:tcPr>
          <w:p w14:paraId="1CCEE7C6"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91.627.544 </w:t>
            </w:r>
          </w:p>
        </w:tc>
        <w:tc>
          <w:tcPr>
            <w:tcW w:w="513" w:type="pct"/>
            <w:noWrap/>
            <w:vAlign w:val="bottom"/>
            <w:hideMark/>
          </w:tcPr>
          <w:p w14:paraId="489E4C5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91.917.043 </w:t>
            </w:r>
          </w:p>
        </w:tc>
        <w:tc>
          <w:tcPr>
            <w:tcW w:w="513" w:type="pct"/>
            <w:noWrap/>
            <w:vAlign w:val="bottom"/>
            <w:hideMark/>
          </w:tcPr>
          <w:p w14:paraId="7BE40616"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92.312.987 </w:t>
            </w:r>
          </w:p>
        </w:tc>
        <w:tc>
          <w:tcPr>
            <w:tcW w:w="511" w:type="pct"/>
            <w:noWrap/>
            <w:vAlign w:val="bottom"/>
            <w:hideMark/>
          </w:tcPr>
          <w:p w14:paraId="75CA81A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93.068.368 </w:t>
            </w:r>
          </w:p>
        </w:tc>
      </w:tr>
      <w:tr w:rsidR="0040544C" w:rsidRPr="0040544C" w14:paraId="71ECC174" w14:textId="77777777" w:rsidTr="00641221">
        <w:trPr>
          <w:trHeight w:val="300"/>
        </w:trPr>
        <w:tc>
          <w:tcPr>
            <w:tcW w:w="806" w:type="pct"/>
            <w:noWrap/>
            <w:vAlign w:val="bottom"/>
            <w:hideMark/>
          </w:tcPr>
          <w:p w14:paraId="06D7A526"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605" w:type="pct"/>
            <w:noWrap/>
            <w:vAlign w:val="bottom"/>
            <w:hideMark/>
          </w:tcPr>
          <w:p w14:paraId="19E74CB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55.775.475 </w:t>
            </w:r>
          </w:p>
        </w:tc>
        <w:tc>
          <w:tcPr>
            <w:tcW w:w="513" w:type="pct"/>
            <w:noWrap/>
            <w:vAlign w:val="bottom"/>
            <w:hideMark/>
          </w:tcPr>
          <w:p w14:paraId="5975EA6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60.989.524 </w:t>
            </w:r>
          </w:p>
        </w:tc>
        <w:tc>
          <w:tcPr>
            <w:tcW w:w="513" w:type="pct"/>
            <w:noWrap/>
            <w:vAlign w:val="bottom"/>
            <w:hideMark/>
          </w:tcPr>
          <w:p w14:paraId="1BAD816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61.179.874 </w:t>
            </w:r>
          </w:p>
        </w:tc>
        <w:tc>
          <w:tcPr>
            <w:tcW w:w="513" w:type="pct"/>
            <w:noWrap/>
            <w:vAlign w:val="bottom"/>
            <w:hideMark/>
          </w:tcPr>
          <w:p w14:paraId="6A4A110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61.333.636 </w:t>
            </w:r>
          </w:p>
        </w:tc>
        <w:tc>
          <w:tcPr>
            <w:tcW w:w="513" w:type="pct"/>
            <w:noWrap/>
            <w:vAlign w:val="bottom"/>
            <w:hideMark/>
          </w:tcPr>
          <w:p w14:paraId="367D084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61.465.341 </w:t>
            </w:r>
          </w:p>
        </w:tc>
        <w:tc>
          <w:tcPr>
            <w:tcW w:w="513" w:type="pct"/>
            <w:noWrap/>
            <w:vAlign w:val="bottom"/>
            <w:hideMark/>
          </w:tcPr>
          <w:p w14:paraId="75B241A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61.584.669 </w:t>
            </w:r>
          </w:p>
        </w:tc>
        <w:tc>
          <w:tcPr>
            <w:tcW w:w="513" w:type="pct"/>
            <w:noWrap/>
            <w:vAlign w:val="bottom"/>
            <w:hideMark/>
          </w:tcPr>
          <w:p w14:paraId="528CE18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61.768.791 </w:t>
            </w:r>
          </w:p>
        </w:tc>
        <w:tc>
          <w:tcPr>
            <w:tcW w:w="511" w:type="pct"/>
            <w:noWrap/>
            <w:vAlign w:val="bottom"/>
            <w:hideMark/>
          </w:tcPr>
          <w:p w14:paraId="01B4033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62.274.234 </w:t>
            </w:r>
          </w:p>
        </w:tc>
      </w:tr>
      <w:tr w:rsidR="0040544C" w:rsidRPr="0040544C" w14:paraId="1492D1ED" w14:textId="77777777" w:rsidTr="00641221">
        <w:trPr>
          <w:trHeight w:val="300"/>
        </w:trPr>
        <w:tc>
          <w:tcPr>
            <w:tcW w:w="806" w:type="pct"/>
            <w:noWrap/>
            <w:vAlign w:val="bottom"/>
            <w:hideMark/>
          </w:tcPr>
          <w:p w14:paraId="22C662E0"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605" w:type="pct"/>
            <w:noWrap/>
            <w:vAlign w:val="bottom"/>
            <w:hideMark/>
          </w:tcPr>
          <w:p w14:paraId="2FCBECC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30.963.140 </w:t>
            </w:r>
          </w:p>
        </w:tc>
        <w:tc>
          <w:tcPr>
            <w:tcW w:w="513" w:type="pct"/>
            <w:noWrap/>
            <w:vAlign w:val="bottom"/>
            <w:hideMark/>
          </w:tcPr>
          <w:p w14:paraId="3D47CAD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29.576.965 </w:t>
            </w:r>
          </w:p>
        </w:tc>
        <w:tc>
          <w:tcPr>
            <w:tcW w:w="513" w:type="pct"/>
            <w:noWrap/>
            <w:vAlign w:val="bottom"/>
            <w:hideMark/>
          </w:tcPr>
          <w:p w14:paraId="063C67B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29.798.179 </w:t>
            </w:r>
          </w:p>
        </w:tc>
        <w:tc>
          <w:tcPr>
            <w:tcW w:w="513" w:type="pct"/>
            <w:noWrap/>
            <w:vAlign w:val="bottom"/>
            <w:hideMark/>
          </w:tcPr>
          <w:p w14:paraId="56632B9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29.982.090 </w:t>
            </w:r>
          </w:p>
        </w:tc>
        <w:tc>
          <w:tcPr>
            <w:tcW w:w="513" w:type="pct"/>
            <w:noWrap/>
            <w:vAlign w:val="bottom"/>
            <w:hideMark/>
          </w:tcPr>
          <w:p w14:paraId="358B6F4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30.162.203 </w:t>
            </w:r>
          </w:p>
        </w:tc>
        <w:tc>
          <w:tcPr>
            <w:tcW w:w="513" w:type="pct"/>
            <w:noWrap/>
            <w:vAlign w:val="bottom"/>
            <w:hideMark/>
          </w:tcPr>
          <w:p w14:paraId="4139F96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30.332.374 </w:t>
            </w:r>
          </w:p>
        </w:tc>
        <w:tc>
          <w:tcPr>
            <w:tcW w:w="513" w:type="pct"/>
            <w:noWrap/>
            <w:vAlign w:val="bottom"/>
            <w:hideMark/>
          </w:tcPr>
          <w:p w14:paraId="68228843"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30.544.196 </w:t>
            </w:r>
          </w:p>
        </w:tc>
        <w:tc>
          <w:tcPr>
            <w:tcW w:w="511" w:type="pct"/>
            <w:noWrap/>
            <w:vAlign w:val="bottom"/>
            <w:hideMark/>
          </w:tcPr>
          <w:p w14:paraId="0FD25EF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30.794.134 </w:t>
            </w:r>
          </w:p>
        </w:tc>
      </w:tr>
      <w:tr w:rsidR="0040544C" w:rsidRPr="000F0149" w14:paraId="1C4A2AD7" w14:textId="77777777" w:rsidTr="00641221">
        <w:trPr>
          <w:trHeight w:val="300"/>
        </w:trPr>
        <w:tc>
          <w:tcPr>
            <w:tcW w:w="806" w:type="pct"/>
            <w:noWrap/>
            <w:vAlign w:val="bottom"/>
            <w:hideMark/>
          </w:tcPr>
          <w:p w14:paraId="5F8C258C"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uredska</w:t>
            </w:r>
          </w:p>
        </w:tc>
        <w:tc>
          <w:tcPr>
            <w:tcW w:w="605" w:type="pct"/>
            <w:noWrap/>
            <w:vAlign w:val="bottom"/>
            <w:hideMark/>
          </w:tcPr>
          <w:p w14:paraId="1E894B6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3.027.456 </w:t>
            </w:r>
          </w:p>
        </w:tc>
        <w:tc>
          <w:tcPr>
            <w:tcW w:w="513" w:type="pct"/>
            <w:noWrap/>
            <w:vAlign w:val="bottom"/>
            <w:hideMark/>
          </w:tcPr>
          <w:p w14:paraId="141E2BE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4.199.930 </w:t>
            </w:r>
          </w:p>
        </w:tc>
        <w:tc>
          <w:tcPr>
            <w:tcW w:w="513" w:type="pct"/>
            <w:noWrap/>
            <w:vAlign w:val="bottom"/>
            <w:hideMark/>
          </w:tcPr>
          <w:p w14:paraId="6485DD1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4.215.312 </w:t>
            </w:r>
          </w:p>
        </w:tc>
        <w:tc>
          <w:tcPr>
            <w:tcW w:w="513" w:type="pct"/>
            <w:noWrap/>
            <w:vAlign w:val="bottom"/>
            <w:hideMark/>
          </w:tcPr>
          <w:p w14:paraId="7E803F8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4.265.706 </w:t>
            </w:r>
          </w:p>
        </w:tc>
        <w:tc>
          <w:tcPr>
            <w:tcW w:w="513" w:type="pct"/>
            <w:noWrap/>
            <w:vAlign w:val="bottom"/>
            <w:hideMark/>
          </w:tcPr>
          <w:p w14:paraId="19112AE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4.303.608 </w:t>
            </w:r>
          </w:p>
        </w:tc>
        <w:tc>
          <w:tcPr>
            <w:tcW w:w="513" w:type="pct"/>
            <w:noWrap/>
            <w:vAlign w:val="bottom"/>
            <w:hideMark/>
          </w:tcPr>
          <w:p w14:paraId="42A6CCA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4.336.049 </w:t>
            </w:r>
          </w:p>
        </w:tc>
        <w:tc>
          <w:tcPr>
            <w:tcW w:w="513" w:type="pct"/>
            <w:noWrap/>
            <w:vAlign w:val="bottom"/>
            <w:hideMark/>
          </w:tcPr>
          <w:p w14:paraId="1407325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4.410.197 </w:t>
            </w:r>
          </w:p>
        </w:tc>
        <w:tc>
          <w:tcPr>
            <w:tcW w:w="511" w:type="pct"/>
            <w:noWrap/>
            <w:vAlign w:val="bottom"/>
            <w:hideMark/>
          </w:tcPr>
          <w:p w14:paraId="7322E22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4.581.867 </w:t>
            </w:r>
          </w:p>
        </w:tc>
      </w:tr>
      <w:tr w:rsidR="0040544C" w:rsidRPr="0040544C" w14:paraId="20CAC19A" w14:textId="77777777" w:rsidTr="00641221">
        <w:trPr>
          <w:trHeight w:val="300"/>
        </w:trPr>
        <w:tc>
          <w:tcPr>
            <w:tcW w:w="806" w:type="pct"/>
            <w:noWrap/>
            <w:vAlign w:val="bottom"/>
            <w:hideMark/>
          </w:tcPr>
          <w:p w14:paraId="645A3094"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605" w:type="pct"/>
            <w:noWrap/>
            <w:vAlign w:val="bottom"/>
            <w:hideMark/>
          </w:tcPr>
          <w:p w14:paraId="730679A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2.030.306 </w:t>
            </w:r>
          </w:p>
        </w:tc>
        <w:tc>
          <w:tcPr>
            <w:tcW w:w="513" w:type="pct"/>
            <w:noWrap/>
            <w:vAlign w:val="bottom"/>
            <w:hideMark/>
          </w:tcPr>
          <w:p w14:paraId="5A74E37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2.816.603 </w:t>
            </w:r>
          </w:p>
        </w:tc>
        <w:tc>
          <w:tcPr>
            <w:tcW w:w="513" w:type="pct"/>
            <w:noWrap/>
            <w:vAlign w:val="bottom"/>
            <w:hideMark/>
          </w:tcPr>
          <w:p w14:paraId="51480FB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2.826.919 </w:t>
            </w:r>
          </w:p>
        </w:tc>
        <w:tc>
          <w:tcPr>
            <w:tcW w:w="513" w:type="pct"/>
            <w:noWrap/>
            <w:vAlign w:val="bottom"/>
            <w:hideMark/>
          </w:tcPr>
          <w:p w14:paraId="548EFEF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2.860.715 </w:t>
            </w:r>
          </w:p>
        </w:tc>
        <w:tc>
          <w:tcPr>
            <w:tcW w:w="513" w:type="pct"/>
            <w:noWrap/>
            <w:vAlign w:val="bottom"/>
            <w:hideMark/>
          </w:tcPr>
          <w:p w14:paraId="0CD8721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2.886.133 </w:t>
            </w:r>
          </w:p>
        </w:tc>
        <w:tc>
          <w:tcPr>
            <w:tcW w:w="513" w:type="pct"/>
            <w:noWrap/>
            <w:vAlign w:val="bottom"/>
            <w:hideMark/>
          </w:tcPr>
          <w:p w14:paraId="669DE22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2.907.889 </w:t>
            </w:r>
          </w:p>
        </w:tc>
        <w:tc>
          <w:tcPr>
            <w:tcW w:w="513" w:type="pct"/>
            <w:noWrap/>
            <w:vAlign w:val="bottom"/>
            <w:hideMark/>
          </w:tcPr>
          <w:p w14:paraId="51FAC1E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2.957.615 </w:t>
            </w:r>
          </w:p>
        </w:tc>
        <w:tc>
          <w:tcPr>
            <w:tcW w:w="511" w:type="pct"/>
            <w:noWrap/>
            <w:vAlign w:val="bottom"/>
            <w:hideMark/>
          </w:tcPr>
          <w:p w14:paraId="1BEE51F4"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3.072.742 </w:t>
            </w:r>
          </w:p>
        </w:tc>
      </w:tr>
      <w:tr w:rsidR="0040544C" w:rsidRPr="0040544C" w14:paraId="01D8C75E" w14:textId="77777777" w:rsidTr="00641221">
        <w:trPr>
          <w:trHeight w:val="300"/>
        </w:trPr>
        <w:tc>
          <w:tcPr>
            <w:tcW w:w="806" w:type="pct"/>
            <w:noWrap/>
            <w:vAlign w:val="bottom"/>
            <w:hideMark/>
          </w:tcPr>
          <w:p w14:paraId="1D72011F"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605" w:type="pct"/>
            <w:noWrap/>
            <w:vAlign w:val="bottom"/>
            <w:hideMark/>
          </w:tcPr>
          <w:p w14:paraId="39A1C36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997.150 </w:t>
            </w:r>
          </w:p>
        </w:tc>
        <w:tc>
          <w:tcPr>
            <w:tcW w:w="513" w:type="pct"/>
            <w:noWrap/>
            <w:vAlign w:val="bottom"/>
            <w:hideMark/>
          </w:tcPr>
          <w:p w14:paraId="0DD10DC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1.383.326 </w:t>
            </w:r>
          </w:p>
        </w:tc>
        <w:tc>
          <w:tcPr>
            <w:tcW w:w="513" w:type="pct"/>
            <w:noWrap/>
            <w:vAlign w:val="bottom"/>
            <w:hideMark/>
          </w:tcPr>
          <w:p w14:paraId="280B0F5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1.388.393 </w:t>
            </w:r>
          </w:p>
        </w:tc>
        <w:tc>
          <w:tcPr>
            <w:tcW w:w="513" w:type="pct"/>
            <w:noWrap/>
            <w:vAlign w:val="bottom"/>
            <w:hideMark/>
          </w:tcPr>
          <w:p w14:paraId="4B59753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1.404.991 </w:t>
            </w:r>
          </w:p>
        </w:tc>
        <w:tc>
          <w:tcPr>
            <w:tcW w:w="513" w:type="pct"/>
            <w:noWrap/>
            <w:vAlign w:val="bottom"/>
            <w:hideMark/>
          </w:tcPr>
          <w:p w14:paraId="41F1D62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1.417.475 </w:t>
            </w:r>
          </w:p>
        </w:tc>
        <w:tc>
          <w:tcPr>
            <w:tcW w:w="513" w:type="pct"/>
            <w:noWrap/>
            <w:vAlign w:val="bottom"/>
            <w:hideMark/>
          </w:tcPr>
          <w:p w14:paraId="75B191F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1.428.160 </w:t>
            </w:r>
          </w:p>
        </w:tc>
        <w:tc>
          <w:tcPr>
            <w:tcW w:w="513" w:type="pct"/>
            <w:noWrap/>
            <w:vAlign w:val="bottom"/>
            <w:hideMark/>
          </w:tcPr>
          <w:p w14:paraId="3838F3D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1.452.582 </w:t>
            </w:r>
          </w:p>
        </w:tc>
        <w:tc>
          <w:tcPr>
            <w:tcW w:w="511" w:type="pct"/>
            <w:noWrap/>
            <w:vAlign w:val="bottom"/>
            <w:hideMark/>
          </w:tcPr>
          <w:p w14:paraId="7BEE58F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1.509.125 </w:t>
            </w:r>
          </w:p>
        </w:tc>
      </w:tr>
      <w:tr w:rsidR="0040544C" w:rsidRPr="000F0149" w14:paraId="656A15E1" w14:textId="77777777" w:rsidTr="00641221">
        <w:trPr>
          <w:trHeight w:val="300"/>
        </w:trPr>
        <w:tc>
          <w:tcPr>
            <w:tcW w:w="806" w:type="pct"/>
            <w:noWrap/>
            <w:vAlign w:val="bottom"/>
            <w:hideMark/>
          </w:tcPr>
          <w:p w14:paraId="74651286"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obrazovne</w:t>
            </w:r>
          </w:p>
        </w:tc>
        <w:tc>
          <w:tcPr>
            <w:tcW w:w="605" w:type="pct"/>
            <w:noWrap/>
            <w:vAlign w:val="bottom"/>
            <w:hideMark/>
          </w:tcPr>
          <w:p w14:paraId="6484936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4D1860A3"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3B40353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29465D5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0B76BA34"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64D2253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6CE9D3D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1" w:type="pct"/>
            <w:noWrap/>
            <w:vAlign w:val="bottom"/>
            <w:hideMark/>
          </w:tcPr>
          <w:p w14:paraId="6171CA4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r>
      <w:tr w:rsidR="0040544C" w:rsidRPr="0040544C" w14:paraId="28A728E6" w14:textId="77777777" w:rsidTr="00641221">
        <w:trPr>
          <w:trHeight w:val="300"/>
        </w:trPr>
        <w:tc>
          <w:tcPr>
            <w:tcW w:w="806" w:type="pct"/>
            <w:noWrap/>
            <w:vAlign w:val="bottom"/>
            <w:hideMark/>
          </w:tcPr>
          <w:p w14:paraId="31D63DE5"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605" w:type="pct"/>
            <w:noWrap/>
            <w:vAlign w:val="bottom"/>
            <w:hideMark/>
          </w:tcPr>
          <w:p w14:paraId="031135E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464DFC9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38DF271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63EC453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7A29673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21688C7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42E12D4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1" w:type="pct"/>
            <w:noWrap/>
            <w:vAlign w:val="bottom"/>
            <w:hideMark/>
          </w:tcPr>
          <w:p w14:paraId="5392252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40544C" w:rsidRPr="0040544C" w14:paraId="7EE4410F" w14:textId="77777777" w:rsidTr="00641221">
        <w:trPr>
          <w:trHeight w:val="300"/>
        </w:trPr>
        <w:tc>
          <w:tcPr>
            <w:tcW w:w="806" w:type="pct"/>
            <w:noWrap/>
            <w:vAlign w:val="bottom"/>
            <w:hideMark/>
          </w:tcPr>
          <w:p w14:paraId="2FD8C517"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605" w:type="pct"/>
            <w:noWrap/>
            <w:vAlign w:val="bottom"/>
            <w:hideMark/>
          </w:tcPr>
          <w:p w14:paraId="2A0DCC6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6E67B5C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1BB67BA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42B1703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2C2B6FB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196A532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1F046FB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1" w:type="pct"/>
            <w:noWrap/>
            <w:vAlign w:val="bottom"/>
            <w:hideMark/>
          </w:tcPr>
          <w:p w14:paraId="083F491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40544C" w:rsidRPr="000F0149" w14:paraId="52298A50" w14:textId="77777777" w:rsidTr="00641221">
        <w:trPr>
          <w:trHeight w:val="300"/>
        </w:trPr>
        <w:tc>
          <w:tcPr>
            <w:tcW w:w="806" w:type="pct"/>
            <w:noWrap/>
            <w:vAlign w:val="bottom"/>
            <w:hideMark/>
          </w:tcPr>
          <w:p w14:paraId="15A0DBC1"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hoteli i restorani</w:t>
            </w:r>
          </w:p>
        </w:tc>
        <w:tc>
          <w:tcPr>
            <w:tcW w:w="605" w:type="pct"/>
            <w:noWrap/>
            <w:vAlign w:val="bottom"/>
            <w:hideMark/>
          </w:tcPr>
          <w:p w14:paraId="571B45F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3.318.095 </w:t>
            </w:r>
          </w:p>
        </w:tc>
        <w:tc>
          <w:tcPr>
            <w:tcW w:w="513" w:type="pct"/>
            <w:noWrap/>
            <w:vAlign w:val="bottom"/>
            <w:hideMark/>
          </w:tcPr>
          <w:p w14:paraId="4C58002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3.367.790 </w:t>
            </w:r>
          </w:p>
        </w:tc>
        <w:tc>
          <w:tcPr>
            <w:tcW w:w="513" w:type="pct"/>
            <w:noWrap/>
            <w:vAlign w:val="bottom"/>
            <w:hideMark/>
          </w:tcPr>
          <w:p w14:paraId="670BAA5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3.433.700 </w:t>
            </w:r>
          </w:p>
        </w:tc>
        <w:tc>
          <w:tcPr>
            <w:tcW w:w="513" w:type="pct"/>
            <w:noWrap/>
            <w:vAlign w:val="bottom"/>
            <w:hideMark/>
          </w:tcPr>
          <w:p w14:paraId="4591DBD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3.498.656 </w:t>
            </w:r>
          </w:p>
        </w:tc>
        <w:tc>
          <w:tcPr>
            <w:tcW w:w="513" w:type="pct"/>
            <w:noWrap/>
            <w:vAlign w:val="bottom"/>
            <w:hideMark/>
          </w:tcPr>
          <w:p w14:paraId="07AA941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3.584.989 </w:t>
            </w:r>
          </w:p>
        </w:tc>
        <w:tc>
          <w:tcPr>
            <w:tcW w:w="513" w:type="pct"/>
            <w:noWrap/>
            <w:vAlign w:val="bottom"/>
            <w:hideMark/>
          </w:tcPr>
          <w:p w14:paraId="3600859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3.742.801 </w:t>
            </w:r>
          </w:p>
        </w:tc>
        <w:tc>
          <w:tcPr>
            <w:tcW w:w="513" w:type="pct"/>
            <w:noWrap/>
            <w:vAlign w:val="bottom"/>
            <w:hideMark/>
          </w:tcPr>
          <w:p w14:paraId="4D12752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3.960.003 </w:t>
            </w:r>
          </w:p>
        </w:tc>
        <w:tc>
          <w:tcPr>
            <w:tcW w:w="511" w:type="pct"/>
            <w:noWrap/>
            <w:vAlign w:val="bottom"/>
            <w:hideMark/>
          </w:tcPr>
          <w:p w14:paraId="582658C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4.170.458 </w:t>
            </w:r>
          </w:p>
        </w:tc>
      </w:tr>
      <w:tr w:rsidR="0040544C" w:rsidRPr="0040544C" w14:paraId="4D76F5CC" w14:textId="77777777" w:rsidTr="00641221">
        <w:trPr>
          <w:trHeight w:val="300"/>
        </w:trPr>
        <w:tc>
          <w:tcPr>
            <w:tcW w:w="806" w:type="pct"/>
            <w:noWrap/>
            <w:vAlign w:val="bottom"/>
            <w:hideMark/>
          </w:tcPr>
          <w:p w14:paraId="1EABF0BD"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605" w:type="pct"/>
            <w:noWrap/>
            <w:vAlign w:val="bottom"/>
            <w:hideMark/>
          </w:tcPr>
          <w:p w14:paraId="453F35B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2.224.064 </w:t>
            </w:r>
          </w:p>
        </w:tc>
        <w:tc>
          <w:tcPr>
            <w:tcW w:w="513" w:type="pct"/>
            <w:noWrap/>
            <w:vAlign w:val="bottom"/>
            <w:hideMark/>
          </w:tcPr>
          <w:p w14:paraId="24FB6F2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2.257.374 </w:t>
            </w:r>
          </w:p>
        </w:tc>
        <w:tc>
          <w:tcPr>
            <w:tcW w:w="513" w:type="pct"/>
            <w:noWrap/>
            <w:vAlign w:val="bottom"/>
            <w:hideMark/>
          </w:tcPr>
          <w:p w14:paraId="5CE46A0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2.301.552 </w:t>
            </w:r>
          </w:p>
        </w:tc>
        <w:tc>
          <w:tcPr>
            <w:tcW w:w="513" w:type="pct"/>
            <w:noWrap/>
            <w:vAlign w:val="bottom"/>
            <w:hideMark/>
          </w:tcPr>
          <w:p w14:paraId="41C3C11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2.345.091 </w:t>
            </w:r>
          </w:p>
        </w:tc>
        <w:tc>
          <w:tcPr>
            <w:tcW w:w="513" w:type="pct"/>
            <w:noWrap/>
            <w:vAlign w:val="bottom"/>
            <w:hideMark/>
          </w:tcPr>
          <w:p w14:paraId="0DD28A1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2.402.959 </w:t>
            </w:r>
          </w:p>
        </w:tc>
        <w:tc>
          <w:tcPr>
            <w:tcW w:w="513" w:type="pct"/>
            <w:noWrap/>
            <w:vAlign w:val="bottom"/>
            <w:hideMark/>
          </w:tcPr>
          <w:p w14:paraId="610735F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2.508.737 </w:t>
            </w:r>
          </w:p>
        </w:tc>
        <w:tc>
          <w:tcPr>
            <w:tcW w:w="513" w:type="pct"/>
            <w:noWrap/>
            <w:vAlign w:val="bottom"/>
            <w:hideMark/>
          </w:tcPr>
          <w:p w14:paraId="6CAE40B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2.654.324 </w:t>
            </w:r>
          </w:p>
        </w:tc>
        <w:tc>
          <w:tcPr>
            <w:tcW w:w="511" w:type="pct"/>
            <w:noWrap/>
            <w:vAlign w:val="bottom"/>
            <w:hideMark/>
          </w:tcPr>
          <w:p w14:paraId="73F65DB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2.795.389 </w:t>
            </w:r>
          </w:p>
        </w:tc>
      </w:tr>
      <w:tr w:rsidR="0040544C" w:rsidRPr="0040544C" w14:paraId="18B84D3F" w14:textId="77777777" w:rsidTr="00641221">
        <w:trPr>
          <w:trHeight w:val="300"/>
        </w:trPr>
        <w:tc>
          <w:tcPr>
            <w:tcW w:w="806" w:type="pct"/>
            <w:noWrap/>
            <w:vAlign w:val="bottom"/>
            <w:hideMark/>
          </w:tcPr>
          <w:p w14:paraId="67C080BA"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605" w:type="pct"/>
            <w:noWrap/>
            <w:vAlign w:val="bottom"/>
            <w:hideMark/>
          </w:tcPr>
          <w:p w14:paraId="5F1755C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1.094.031 </w:t>
            </w:r>
          </w:p>
        </w:tc>
        <w:tc>
          <w:tcPr>
            <w:tcW w:w="513" w:type="pct"/>
            <w:noWrap/>
            <w:vAlign w:val="bottom"/>
            <w:hideMark/>
          </w:tcPr>
          <w:p w14:paraId="1D43B1C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1.110.416 </w:t>
            </w:r>
          </w:p>
        </w:tc>
        <w:tc>
          <w:tcPr>
            <w:tcW w:w="513" w:type="pct"/>
            <w:noWrap/>
            <w:vAlign w:val="bottom"/>
            <w:hideMark/>
          </w:tcPr>
          <w:p w14:paraId="4908E9E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1.132.148 </w:t>
            </w:r>
          </w:p>
        </w:tc>
        <w:tc>
          <w:tcPr>
            <w:tcW w:w="513" w:type="pct"/>
            <w:noWrap/>
            <w:vAlign w:val="bottom"/>
            <w:hideMark/>
          </w:tcPr>
          <w:p w14:paraId="76011F7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1.153.565 </w:t>
            </w:r>
          </w:p>
        </w:tc>
        <w:tc>
          <w:tcPr>
            <w:tcW w:w="513" w:type="pct"/>
            <w:noWrap/>
            <w:vAlign w:val="bottom"/>
            <w:hideMark/>
          </w:tcPr>
          <w:p w14:paraId="24224546"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1.182.030 </w:t>
            </w:r>
          </w:p>
        </w:tc>
        <w:tc>
          <w:tcPr>
            <w:tcW w:w="513" w:type="pct"/>
            <w:noWrap/>
            <w:vAlign w:val="bottom"/>
            <w:hideMark/>
          </w:tcPr>
          <w:p w14:paraId="51C844E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1.234.064 </w:t>
            </w:r>
          </w:p>
        </w:tc>
        <w:tc>
          <w:tcPr>
            <w:tcW w:w="513" w:type="pct"/>
            <w:noWrap/>
            <w:vAlign w:val="bottom"/>
            <w:hideMark/>
          </w:tcPr>
          <w:p w14:paraId="0B082DC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1.305.679 </w:t>
            </w:r>
          </w:p>
        </w:tc>
        <w:tc>
          <w:tcPr>
            <w:tcW w:w="511" w:type="pct"/>
            <w:noWrap/>
            <w:vAlign w:val="bottom"/>
            <w:hideMark/>
          </w:tcPr>
          <w:p w14:paraId="53D11FA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1.375.069 </w:t>
            </w:r>
          </w:p>
        </w:tc>
      </w:tr>
      <w:tr w:rsidR="0040544C" w:rsidRPr="000F0149" w14:paraId="4D1EC1A4" w14:textId="77777777" w:rsidTr="00641221">
        <w:trPr>
          <w:trHeight w:val="300"/>
        </w:trPr>
        <w:tc>
          <w:tcPr>
            <w:tcW w:w="806" w:type="pct"/>
            <w:noWrap/>
            <w:vAlign w:val="bottom"/>
            <w:hideMark/>
          </w:tcPr>
          <w:p w14:paraId="71781BDC"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bolnice</w:t>
            </w:r>
          </w:p>
        </w:tc>
        <w:tc>
          <w:tcPr>
            <w:tcW w:w="605" w:type="pct"/>
            <w:noWrap/>
            <w:vAlign w:val="bottom"/>
            <w:hideMark/>
          </w:tcPr>
          <w:p w14:paraId="27D1CD0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36B3FE3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322CF21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0150B30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0FF0D66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255D21F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00ED57E4"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1" w:type="pct"/>
            <w:noWrap/>
            <w:vAlign w:val="bottom"/>
            <w:hideMark/>
          </w:tcPr>
          <w:p w14:paraId="2C517C6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r>
      <w:tr w:rsidR="0040544C" w:rsidRPr="0040544C" w14:paraId="561F6F44" w14:textId="77777777" w:rsidTr="00641221">
        <w:trPr>
          <w:trHeight w:val="300"/>
        </w:trPr>
        <w:tc>
          <w:tcPr>
            <w:tcW w:w="806" w:type="pct"/>
            <w:noWrap/>
            <w:vAlign w:val="bottom"/>
            <w:hideMark/>
          </w:tcPr>
          <w:p w14:paraId="2FF79715"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605" w:type="pct"/>
            <w:noWrap/>
            <w:vAlign w:val="bottom"/>
            <w:hideMark/>
          </w:tcPr>
          <w:p w14:paraId="486BC6B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69B2216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71B879F4"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4D2B8A6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1A69D94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69C056C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12CEB53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1" w:type="pct"/>
            <w:noWrap/>
            <w:vAlign w:val="bottom"/>
            <w:hideMark/>
          </w:tcPr>
          <w:p w14:paraId="1F09CD8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40544C" w:rsidRPr="0040544C" w14:paraId="24A3639E" w14:textId="77777777" w:rsidTr="00641221">
        <w:trPr>
          <w:trHeight w:val="300"/>
        </w:trPr>
        <w:tc>
          <w:tcPr>
            <w:tcW w:w="806" w:type="pct"/>
            <w:noWrap/>
            <w:vAlign w:val="bottom"/>
            <w:hideMark/>
          </w:tcPr>
          <w:p w14:paraId="0EFC63C4"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605" w:type="pct"/>
            <w:noWrap/>
            <w:vAlign w:val="bottom"/>
            <w:hideMark/>
          </w:tcPr>
          <w:p w14:paraId="038C047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2D92F2F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797EA824"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0B056DC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6A52541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7370276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30A3A33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1" w:type="pct"/>
            <w:noWrap/>
            <w:vAlign w:val="bottom"/>
            <w:hideMark/>
          </w:tcPr>
          <w:p w14:paraId="10B9028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40544C" w:rsidRPr="000F0149" w14:paraId="2A4D7C06" w14:textId="77777777" w:rsidTr="00641221">
        <w:trPr>
          <w:trHeight w:val="300"/>
        </w:trPr>
        <w:tc>
          <w:tcPr>
            <w:tcW w:w="806" w:type="pct"/>
            <w:noWrap/>
            <w:vAlign w:val="bottom"/>
            <w:hideMark/>
          </w:tcPr>
          <w:p w14:paraId="2B316510"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sportske dvorane</w:t>
            </w:r>
          </w:p>
        </w:tc>
        <w:tc>
          <w:tcPr>
            <w:tcW w:w="605" w:type="pct"/>
            <w:noWrap/>
            <w:vAlign w:val="bottom"/>
            <w:hideMark/>
          </w:tcPr>
          <w:p w14:paraId="20FEE74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6DFBB88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6CE216A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388C3D84"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7720CEF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40B1982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3" w:type="pct"/>
            <w:noWrap/>
            <w:vAlign w:val="bottom"/>
            <w:hideMark/>
          </w:tcPr>
          <w:p w14:paraId="7827CF4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11" w:type="pct"/>
            <w:noWrap/>
            <w:vAlign w:val="bottom"/>
            <w:hideMark/>
          </w:tcPr>
          <w:p w14:paraId="2A4814A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r>
      <w:tr w:rsidR="0040544C" w:rsidRPr="0040544C" w14:paraId="371545A0" w14:textId="77777777" w:rsidTr="00641221">
        <w:trPr>
          <w:trHeight w:val="300"/>
        </w:trPr>
        <w:tc>
          <w:tcPr>
            <w:tcW w:w="806" w:type="pct"/>
            <w:noWrap/>
            <w:vAlign w:val="bottom"/>
            <w:hideMark/>
          </w:tcPr>
          <w:p w14:paraId="799BC9D8"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605" w:type="pct"/>
            <w:noWrap/>
            <w:vAlign w:val="bottom"/>
            <w:hideMark/>
          </w:tcPr>
          <w:p w14:paraId="689B513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29886F0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7218E9A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40C9E5F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1C883DA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31B0F77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6D138AD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1" w:type="pct"/>
            <w:noWrap/>
            <w:vAlign w:val="bottom"/>
            <w:hideMark/>
          </w:tcPr>
          <w:p w14:paraId="21C253C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40544C" w:rsidRPr="0040544C" w14:paraId="2C414E7B" w14:textId="77777777" w:rsidTr="00641221">
        <w:trPr>
          <w:trHeight w:val="300"/>
        </w:trPr>
        <w:tc>
          <w:tcPr>
            <w:tcW w:w="806" w:type="pct"/>
            <w:noWrap/>
            <w:vAlign w:val="bottom"/>
            <w:hideMark/>
          </w:tcPr>
          <w:p w14:paraId="461CCB6A"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605" w:type="pct"/>
            <w:noWrap/>
            <w:vAlign w:val="bottom"/>
            <w:hideMark/>
          </w:tcPr>
          <w:p w14:paraId="59B47580"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7B0CA117"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2E8CD74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6C2BBC9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64EF127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42A389B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3" w:type="pct"/>
            <w:noWrap/>
            <w:vAlign w:val="bottom"/>
            <w:hideMark/>
          </w:tcPr>
          <w:p w14:paraId="16E7E7D6"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11" w:type="pct"/>
            <w:noWrap/>
            <w:vAlign w:val="bottom"/>
            <w:hideMark/>
          </w:tcPr>
          <w:p w14:paraId="59B5BDD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40544C" w:rsidRPr="000F0149" w14:paraId="7443432F" w14:textId="77777777" w:rsidTr="00641221">
        <w:trPr>
          <w:trHeight w:val="300"/>
        </w:trPr>
        <w:tc>
          <w:tcPr>
            <w:tcW w:w="806" w:type="pct"/>
            <w:noWrap/>
            <w:vAlign w:val="bottom"/>
            <w:hideMark/>
          </w:tcPr>
          <w:p w14:paraId="606C88F1"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trgovina</w:t>
            </w:r>
          </w:p>
        </w:tc>
        <w:tc>
          <w:tcPr>
            <w:tcW w:w="605" w:type="pct"/>
            <w:noWrap/>
            <w:vAlign w:val="bottom"/>
            <w:hideMark/>
          </w:tcPr>
          <w:p w14:paraId="3ECE719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11.397.783 </w:t>
            </w:r>
          </w:p>
        </w:tc>
        <w:tc>
          <w:tcPr>
            <w:tcW w:w="513" w:type="pct"/>
            <w:noWrap/>
            <w:vAlign w:val="bottom"/>
            <w:hideMark/>
          </w:tcPr>
          <w:p w14:paraId="10E8D194"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11.618.001 </w:t>
            </w:r>
          </w:p>
        </w:tc>
        <w:tc>
          <w:tcPr>
            <w:tcW w:w="513" w:type="pct"/>
            <w:noWrap/>
            <w:vAlign w:val="bottom"/>
            <w:hideMark/>
          </w:tcPr>
          <w:p w14:paraId="4EBCC9D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11.797.604 </w:t>
            </w:r>
          </w:p>
        </w:tc>
        <w:tc>
          <w:tcPr>
            <w:tcW w:w="513" w:type="pct"/>
            <w:noWrap/>
            <w:vAlign w:val="bottom"/>
            <w:hideMark/>
          </w:tcPr>
          <w:p w14:paraId="3B9759D3"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11.948.339 </w:t>
            </w:r>
          </w:p>
        </w:tc>
        <w:tc>
          <w:tcPr>
            <w:tcW w:w="513" w:type="pct"/>
            <w:noWrap/>
            <w:vAlign w:val="bottom"/>
            <w:hideMark/>
          </w:tcPr>
          <w:p w14:paraId="385DDA0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12.071.477 </w:t>
            </w:r>
          </w:p>
        </w:tc>
        <w:tc>
          <w:tcPr>
            <w:tcW w:w="513" w:type="pct"/>
            <w:noWrap/>
            <w:vAlign w:val="bottom"/>
            <w:hideMark/>
          </w:tcPr>
          <w:p w14:paraId="038136D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12.183.010 </w:t>
            </w:r>
          </w:p>
        </w:tc>
        <w:tc>
          <w:tcPr>
            <w:tcW w:w="513" w:type="pct"/>
            <w:noWrap/>
            <w:vAlign w:val="bottom"/>
            <w:hideMark/>
          </w:tcPr>
          <w:p w14:paraId="0F21FE8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12.306.046 </w:t>
            </w:r>
          </w:p>
        </w:tc>
        <w:tc>
          <w:tcPr>
            <w:tcW w:w="511" w:type="pct"/>
            <w:noWrap/>
            <w:vAlign w:val="bottom"/>
            <w:hideMark/>
          </w:tcPr>
          <w:p w14:paraId="262F00E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12.428.018 </w:t>
            </w:r>
          </w:p>
        </w:tc>
      </w:tr>
      <w:tr w:rsidR="0040544C" w:rsidRPr="0040544C" w14:paraId="42B168E1" w14:textId="77777777" w:rsidTr="00641221">
        <w:trPr>
          <w:trHeight w:val="300"/>
        </w:trPr>
        <w:tc>
          <w:tcPr>
            <w:tcW w:w="806" w:type="pct"/>
            <w:noWrap/>
            <w:vAlign w:val="bottom"/>
            <w:hideMark/>
          </w:tcPr>
          <w:p w14:paraId="53756007"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605" w:type="pct"/>
            <w:noWrap/>
            <w:vAlign w:val="bottom"/>
            <w:hideMark/>
          </w:tcPr>
          <w:p w14:paraId="58F1D36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7.642.525 </w:t>
            </w:r>
          </w:p>
        </w:tc>
        <w:tc>
          <w:tcPr>
            <w:tcW w:w="513" w:type="pct"/>
            <w:noWrap/>
            <w:vAlign w:val="bottom"/>
            <w:hideMark/>
          </w:tcPr>
          <w:p w14:paraId="504898C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7.790.187 </w:t>
            </w:r>
          </w:p>
        </w:tc>
        <w:tc>
          <w:tcPr>
            <w:tcW w:w="513" w:type="pct"/>
            <w:noWrap/>
            <w:vAlign w:val="bottom"/>
            <w:hideMark/>
          </w:tcPr>
          <w:p w14:paraId="0C19A2C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7.910.616 </w:t>
            </w:r>
          </w:p>
        </w:tc>
        <w:tc>
          <w:tcPr>
            <w:tcW w:w="513" w:type="pct"/>
            <w:noWrap/>
            <w:vAlign w:val="bottom"/>
            <w:hideMark/>
          </w:tcPr>
          <w:p w14:paraId="4E872ECC"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8.011.688 </w:t>
            </w:r>
          </w:p>
        </w:tc>
        <w:tc>
          <w:tcPr>
            <w:tcW w:w="513" w:type="pct"/>
            <w:noWrap/>
            <w:vAlign w:val="bottom"/>
            <w:hideMark/>
          </w:tcPr>
          <w:p w14:paraId="331B14E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8.094.255 </w:t>
            </w:r>
          </w:p>
        </w:tc>
        <w:tc>
          <w:tcPr>
            <w:tcW w:w="513" w:type="pct"/>
            <w:noWrap/>
            <w:vAlign w:val="bottom"/>
            <w:hideMark/>
          </w:tcPr>
          <w:p w14:paraId="30FE0F74"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8.169.041 </w:t>
            </w:r>
          </w:p>
        </w:tc>
        <w:tc>
          <w:tcPr>
            <w:tcW w:w="513" w:type="pct"/>
            <w:noWrap/>
            <w:vAlign w:val="bottom"/>
            <w:hideMark/>
          </w:tcPr>
          <w:p w14:paraId="1DA3A2B2"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8.251.540 </w:t>
            </w:r>
          </w:p>
        </w:tc>
        <w:tc>
          <w:tcPr>
            <w:tcW w:w="511" w:type="pct"/>
            <w:noWrap/>
            <w:vAlign w:val="bottom"/>
            <w:hideMark/>
          </w:tcPr>
          <w:p w14:paraId="29A53A1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8.333.325 </w:t>
            </w:r>
          </w:p>
        </w:tc>
      </w:tr>
      <w:tr w:rsidR="0040544C" w:rsidRPr="0040544C" w14:paraId="5C352C3D" w14:textId="77777777" w:rsidTr="00641221">
        <w:trPr>
          <w:trHeight w:val="300"/>
        </w:trPr>
        <w:tc>
          <w:tcPr>
            <w:tcW w:w="806" w:type="pct"/>
            <w:noWrap/>
            <w:vAlign w:val="bottom"/>
            <w:hideMark/>
          </w:tcPr>
          <w:p w14:paraId="2B115D40"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605" w:type="pct"/>
            <w:noWrap/>
            <w:vAlign w:val="bottom"/>
            <w:hideMark/>
          </w:tcPr>
          <w:p w14:paraId="54332E1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3.755.258 </w:t>
            </w:r>
          </w:p>
        </w:tc>
        <w:tc>
          <w:tcPr>
            <w:tcW w:w="513" w:type="pct"/>
            <w:noWrap/>
            <w:vAlign w:val="bottom"/>
            <w:hideMark/>
          </w:tcPr>
          <w:p w14:paraId="4A7C6AB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3.827.814 </w:t>
            </w:r>
          </w:p>
        </w:tc>
        <w:tc>
          <w:tcPr>
            <w:tcW w:w="513" w:type="pct"/>
            <w:noWrap/>
            <w:vAlign w:val="bottom"/>
            <w:hideMark/>
          </w:tcPr>
          <w:p w14:paraId="2216F56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3.886.988 </w:t>
            </w:r>
          </w:p>
        </w:tc>
        <w:tc>
          <w:tcPr>
            <w:tcW w:w="513" w:type="pct"/>
            <w:noWrap/>
            <w:vAlign w:val="bottom"/>
            <w:hideMark/>
          </w:tcPr>
          <w:p w14:paraId="65D2359B"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3.936.651 </w:t>
            </w:r>
          </w:p>
        </w:tc>
        <w:tc>
          <w:tcPr>
            <w:tcW w:w="513" w:type="pct"/>
            <w:noWrap/>
            <w:vAlign w:val="bottom"/>
            <w:hideMark/>
          </w:tcPr>
          <w:p w14:paraId="4C5F616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3.977.222 </w:t>
            </w:r>
          </w:p>
        </w:tc>
        <w:tc>
          <w:tcPr>
            <w:tcW w:w="513" w:type="pct"/>
            <w:noWrap/>
            <w:vAlign w:val="bottom"/>
            <w:hideMark/>
          </w:tcPr>
          <w:p w14:paraId="0229CF45"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4.013.969 </w:t>
            </w:r>
          </w:p>
        </w:tc>
        <w:tc>
          <w:tcPr>
            <w:tcW w:w="513" w:type="pct"/>
            <w:noWrap/>
            <w:vAlign w:val="bottom"/>
            <w:hideMark/>
          </w:tcPr>
          <w:p w14:paraId="19014BC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4.054.506 </w:t>
            </w:r>
          </w:p>
        </w:tc>
        <w:tc>
          <w:tcPr>
            <w:tcW w:w="511" w:type="pct"/>
            <w:noWrap/>
            <w:vAlign w:val="bottom"/>
            <w:hideMark/>
          </w:tcPr>
          <w:p w14:paraId="61C4F69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4.094.692 </w:t>
            </w:r>
          </w:p>
        </w:tc>
      </w:tr>
      <w:tr w:rsidR="0040544C" w:rsidRPr="000F0149" w14:paraId="7C55D730" w14:textId="77777777" w:rsidTr="00641221">
        <w:trPr>
          <w:trHeight w:val="300"/>
        </w:trPr>
        <w:tc>
          <w:tcPr>
            <w:tcW w:w="806" w:type="pct"/>
            <w:noWrap/>
            <w:vAlign w:val="bottom"/>
            <w:hideMark/>
          </w:tcPr>
          <w:p w14:paraId="7EEF0622"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ostalo</w:t>
            </w:r>
          </w:p>
        </w:tc>
        <w:tc>
          <w:tcPr>
            <w:tcW w:w="605" w:type="pct"/>
            <w:noWrap/>
            <w:vAlign w:val="bottom"/>
            <w:hideMark/>
          </w:tcPr>
          <w:p w14:paraId="32CB4EB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18.797.126 </w:t>
            </w:r>
          </w:p>
        </w:tc>
        <w:tc>
          <w:tcPr>
            <w:tcW w:w="513" w:type="pct"/>
            <w:noWrap/>
            <w:vAlign w:val="bottom"/>
            <w:hideMark/>
          </w:tcPr>
          <w:p w14:paraId="3C97D92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19.234.290 </w:t>
            </w:r>
          </w:p>
        </w:tc>
        <w:tc>
          <w:tcPr>
            <w:tcW w:w="513" w:type="pct"/>
            <w:noWrap/>
            <w:vAlign w:val="bottom"/>
            <w:hideMark/>
          </w:tcPr>
          <w:p w14:paraId="2872DE73"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19.663.582 </w:t>
            </w:r>
          </w:p>
        </w:tc>
        <w:tc>
          <w:tcPr>
            <w:tcW w:w="513" w:type="pct"/>
            <w:noWrap/>
            <w:vAlign w:val="bottom"/>
            <w:hideMark/>
          </w:tcPr>
          <w:p w14:paraId="59CCB279"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19.918.116 </w:t>
            </w:r>
          </w:p>
        </w:tc>
        <w:tc>
          <w:tcPr>
            <w:tcW w:w="513" w:type="pct"/>
            <w:noWrap/>
            <w:vAlign w:val="bottom"/>
            <w:hideMark/>
          </w:tcPr>
          <w:p w14:paraId="1CE7BDD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20.375.393 </w:t>
            </w:r>
          </w:p>
        </w:tc>
        <w:tc>
          <w:tcPr>
            <w:tcW w:w="513" w:type="pct"/>
            <w:noWrap/>
            <w:vAlign w:val="bottom"/>
            <w:hideMark/>
          </w:tcPr>
          <w:p w14:paraId="016B0B46"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21.335.681 </w:t>
            </w:r>
          </w:p>
        </w:tc>
        <w:tc>
          <w:tcPr>
            <w:tcW w:w="513" w:type="pct"/>
            <w:noWrap/>
            <w:vAlign w:val="bottom"/>
            <w:hideMark/>
          </w:tcPr>
          <w:p w14:paraId="029C1CF4"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21.934.509 </w:t>
            </w:r>
          </w:p>
        </w:tc>
        <w:tc>
          <w:tcPr>
            <w:tcW w:w="511" w:type="pct"/>
            <w:noWrap/>
            <w:vAlign w:val="bottom"/>
            <w:hideMark/>
          </w:tcPr>
          <w:p w14:paraId="3A0F69AD"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22.433.106 </w:t>
            </w:r>
          </w:p>
        </w:tc>
      </w:tr>
      <w:tr w:rsidR="0040544C" w:rsidRPr="0040544C" w14:paraId="1B151F22" w14:textId="77777777" w:rsidTr="00641221">
        <w:trPr>
          <w:trHeight w:val="300"/>
        </w:trPr>
        <w:tc>
          <w:tcPr>
            <w:tcW w:w="806" w:type="pct"/>
            <w:noWrap/>
            <w:vAlign w:val="bottom"/>
            <w:hideMark/>
          </w:tcPr>
          <w:p w14:paraId="042D4D05"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605" w:type="pct"/>
            <w:noWrap/>
            <w:vAlign w:val="bottom"/>
            <w:hideMark/>
          </w:tcPr>
          <w:p w14:paraId="58F0609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12.603.570 </w:t>
            </w:r>
          </w:p>
        </w:tc>
        <w:tc>
          <w:tcPr>
            <w:tcW w:w="513" w:type="pct"/>
            <w:noWrap/>
            <w:vAlign w:val="bottom"/>
            <w:hideMark/>
          </w:tcPr>
          <w:p w14:paraId="18B6DF1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12.896.691 </w:t>
            </w:r>
          </w:p>
        </w:tc>
        <w:tc>
          <w:tcPr>
            <w:tcW w:w="513" w:type="pct"/>
            <w:noWrap/>
            <w:vAlign w:val="bottom"/>
            <w:hideMark/>
          </w:tcPr>
          <w:p w14:paraId="3A996BD1"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13.184.533 </w:t>
            </w:r>
          </w:p>
        </w:tc>
        <w:tc>
          <w:tcPr>
            <w:tcW w:w="513" w:type="pct"/>
            <w:noWrap/>
            <w:vAlign w:val="bottom"/>
            <w:hideMark/>
          </w:tcPr>
          <w:p w14:paraId="2ACA116F"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13.355.199 </w:t>
            </w:r>
          </w:p>
        </w:tc>
        <w:tc>
          <w:tcPr>
            <w:tcW w:w="513" w:type="pct"/>
            <w:noWrap/>
            <w:vAlign w:val="bottom"/>
            <w:hideMark/>
          </w:tcPr>
          <w:p w14:paraId="250BA75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13.661.806 </w:t>
            </w:r>
          </w:p>
        </w:tc>
        <w:tc>
          <w:tcPr>
            <w:tcW w:w="513" w:type="pct"/>
            <w:noWrap/>
            <w:vAlign w:val="bottom"/>
            <w:hideMark/>
          </w:tcPr>
          <w:p w14:paraId="4B208508"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14.305.684 </w:t>
            </w:r>
          </w:p>
        </w:tc>
        <w:tc>
          <w:tcPr>
            <w:tcW w:w="513" w:type="pct"/>
            <w:noWrap/>
            <w:vAlign w:val="bottom"/>
            <w:hideMark/>
          </w:tcPr>
          <w:p w14:paraId="399C737A"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14.707.201 </w:t>
            </w:r>
          </w:p>
        </w:tc>
        <w:tc>
          <w:tcPr>
            <w:tcW w:w="511" w:type="pct"/>
            <w:noWrap/>
            <w:vAlign w:val="bottom"/>
            <w:hideMark/>
          </w:tcPr>
          <w:p w14:paraId="4206D48E" w14:textId="77777777" w:rsidR="0040544C" w:rsidRPr="008C7825" w:rsidRDefault="0040544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15.041.513 </w:t>
            </w:r>
          </w:p>
        </w:tc>
      </w:tr>
      <w:tr w:rsidR="0040544C" w:rsidRPr="0040544C" w14:paraId="51B4E707" w14:textId="77777777" w:rsidTr="00641221">
        <w:trPr>
          <w:trHeight w:val="300"/>
        </w:trPr>
        <w:tc>
          <w:tcPr>
            <w:tcW w:w="806" w:type="pct"/>
            <w:noWrap/>
            <w:vAlign w:val="bottom"/>
            <w:hideMark/>
          </w:tcPr>
          <w:p w14:paraId="14582323" w14:textId="77777777" w:rsidR="0040544C" w:rsidRPr="008C7825" w:rsidRDefault="0040544C" w:rsidP="0040544C">
            <w:pPr>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605" w:type="pct"/>
            <w:noWrap/>
            <w:vAlign w:val="bottom"/>
            <w:hideMark/>
          </w:tcPr>
          <w:p w14:paraId="1448A9A5" w14:textId="77777777" w:rsidR="0040544C" w:rsidRPr="008C7825" w:rsidRDefault="0040544C" w:rsidP="0040544C">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6.193.556 </w:t>
            </w:r>
          </w:p>
        </w:tc>
        <w:tc>
          <w:tcPr>
            <w:tcW w:w="513" w:type="pct"/>
            <w:noWrap/>
            <w:vAlign w:val="bottom"/>
            <w:hideMark/>
          </w:tcPr>
          <w:p w14:paraId="42A0CDB2" w14:textId="77777777" w:rsidR="0040544C" w:rsidRPr="008C7825" w:rsidRDefault="0040544C" w:rsidP="0040544C">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6.337.599 </w:t>
            </w:r>
          </w:p>
        </w:tc>
        <w:tc>
          <w:tcPr>
            <w:tcW w:w="513" w:type="pct"/>
            <w:noWrap/>
            <w:vAlign w:val="bottom"/>
            <w:hideMark/>
          </w:tcPr>
          <w:p w14:paraId="2E000CB1" w14:textId="77777777" w:rsidR="0040544C" w:rsidRPr="008C7825" w:rsidRDefault="0040544C" w:rsidP="0040544C">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6.479.049 </w:t>
            </w:r>
          </w:p>
        </w:tc>
        <w:tc>
          <w:tcPr>
            <w:tcW w:w="513" w:type="pct"/>
            <w:noWrap/>
            <w:vAlign w:val="bottom"/>
            <w:hideMark/>
          </w:tcPr>
          <w:p w14:paraId="52F3B2C6" w14:textId="77777777" w:rsidR="0040544C" w:rsidRPr="008C7825" w:rsidRDefault="0040544C" w:rsidP="0040544C">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6.562.916 </w:t>
            </w:r>
          </w:p>
        </w:tc>
        <w:tc>
          <w:tcPr>
            <w:tcW w:w="513" w:type="pct"/>
            <w:noWrap/>
            <w:vAlign w:val="bottom"/>
            <w:hideMark/>
          </w:tcPr>
          <w:p w14:paraId="6A1E32EA" w14:textId="77777777" w:rsidR="0040544C" w:rsidRPr="008C7825" w:rsidRDefault="0040544C" w:rsidP="0040544C">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6.713.587 </w:t>
            </w:r>
          </w:p>
        </w:tc>
        <w:tc>
          <w:tcPr>
            <w:tcW w:w="513" w:type="pct"/>
            <w:noWrap/>
            <w:vAlign w:val="bottom"/>
            <w:hideMark/>
          </w:tcPr>
          <w:p w14:paraId="239424CF" w14:textId="77777777" w:rsidR="0040544C" w:rsidRPr="008C7825" w:rsidRDefault="0040544C" w:rsidP="0040544C">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7.029.997 </w:t>
            </w:r>
          </w:p>
        </w:tc>
        <w:tc>
          <w:tcPr>
            <w:tcW w:w="513" w:type="pct"/>
            <w:noWrap/>
            <w:vAlign w:val="bottom"/>
            <w:hideMark/>
          </w:tcPr>
          <w:p w14:paraId="0554DEF6" w14:textId="77777777" w:rsidR="0040544C" w:rsidRPr="008C7825" w:rsidRDefault="0040544C" w:rsidP="0040544C">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7.227.307 </w:t>
            </w:r>
          </w:p>
        </w:tc>
        <w:tc>
          <w:tcPr>
            <w:tcW w:w="511" w:type="pct"/>
            <w:noWrap/>
            <w:vAlign w:val="bottom"/>
            <w:hideMark/>
          </w:tcPr>
          <w:p w14:paraId="23FA3AF7" w14:textId="77777777" w:rsidR="0040544C" w:rsidRPr="008C7825" w:rsidRDefault="0040544C" w:rsidP="0040544C">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7.391.593 </w:t>
            </w:r>
          </w:p>
        </w:tc>
      </w:tr>
    </w:tbl>
    <w:p w14:paraId="240FD475" w14:textId="77777777" w:rsidR="0040544C" w:rsidRDefault="0040544C" w:rsidP="0040544C"/>
    <w:p w14:paraId="0E5648F9" w14:textId="4EAB2416" w:rsidR="000F0149" w:rsidRDefault="000F0149" w:rsidP="006253D7">
      <w:pPr>
        <w:pStyle w:val="Opisslike"/>
        <w:keepNext/>
      </w:pPr>
      <w:bookmarkStart w:id="43" w:name="_Toc40089027"/>
      <w:r>
        <w:t xml:space="preserve">Tablica </w:t>
      </w:r>
      <w:r w:rsidR="00A50909">
        <w:fldChar w:fldCharType="begin"/>
      </w:r>
      <w:r w:rsidR="00A50909">
        <w:instrText xml:space="preserve"> SEQ Tablica \* ARABIC </w:instrText>
      </w:r>
      <w:r w:rsidR="00A50909">
        <w:fldChar w:fldCharType="separate"/>
      </w:r>
      <w:r w:rsidR="00CE61F3">
        <w:rPr>
          <w:noProof/>
        </w:rPr>
        <w:t>10</w:t>
      </w:r>
      <w:r w:rsidR="00A50909">
        <w:rPr>
          <w:noProof/>
        </w:rPr>
        <w:fldChar w:fldCharType="end"/>
      </w:r>
      <w:r>
        <w:t xml:space="preserve"> Javne - stambene i nestambene zgrade po namjeni i klimatskoj zoni</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988"/>
        <w:gridCol w:w="990"/>
        <w:gridCol w:w="994"/>
        <w:gridCol w:w="992"/>
        <w:gridCol w:w="992"/>
        <w:gridCol w:w="990"/>
        <w:gridCol w:w="992"/>
        <w:gridCol w:w="985"/>
      </w:tblGrid>
      <w:tr w:rsidR="0035791B" w:rsidRPr="0040544C" w14:paraId="66D88285" w14:textId="77777777" w:rsidTr="0035791B">
        <w:trPr>
          <w:trHeight w:val="300"/>
          <w:tblHeader/>
        </w:trPr>
        <w:tc>
          <w:tcPr>
            <w:tcW w:w="760" w:type="pct"/>
            <w:noWrap/>
            <w:vAlign w:val="bottom"/>
            <w:hideMark/>
          </w:tcPr>
          <w:p w14:paraId="1F3A4257"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vrsta zgrada/godina</w:t>
            </w:r>
          </w:p>
        </w:tc>
        <w:tc>
          <w:tcPr>
            <w:tcW w:w="528" w:type="pct"/>
            <w:noWrap/>
            <w:vAlign w:val="bottom"/>
            <w:hideMark/>
          </w:tcPr>
          <w:p w14:paraId="190FBAD5"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2011</w:t>
            </w:r>
          </w:p>
        </w:tc>
        <w:tc>
          <w:tcPr>
            <w:tcW w:w="530" w:type="pct"/>
            <w:noWrap/>
            <w:vAlign w:val="bottom"/>
            <w:hideMark/>
          </w:tcPr>
          <w:p w14:paraId="0B7F2BD7"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2012</w:t>
            </w:r>
          </w:p>
        </w:tc>
        <w:tc>
          <w:tcPr>
            <w:tcW w:w="532" w:type="pct"/>
            <w:noWrap/>
            <w:vAlign w:val="bottom"/>
            <w:hideMark/>
          </w:tcPr>
          <w:p w14:paraId="28C17BE6"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2013</w:t>
            </w:r>
          </w:p>
        </w:tc>
        <w:tc>
          <w:tcPr>
            <w:tcW w:w="531" w:type="pct"/>
            <w:noWrap/>
            <w:vAlign w:val="bottom"/>
            <w:hideMark/>
          </w:tcPr>
          <w:p w14:paraId="21BAE127"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2014</w:t>
            </w:r>
          </w:p>
        </w:tc>
        <w:tc>
          <w:tcPr>
            <w:tcW w:w="531" w:type="pct"/>
            <w:noWrap/>
            <w:vAlign w:val="bottom"/>
            <w:hideMark/>
          </w:tcPr>
          <w:p w14:paraId="195C4A4B"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2015</w:t>
            </w:r>
          </w:p>
        </w:tc>
        <w:tc>
          <w:tcPr>
            <w:tcW w:w="530" w:type="pct"/>
            <w:noWrap/>
            <w:vAlign w:val="bottom"/>
            <w:hideMark/>
          </w:tcPr>
          <w:p w14:paraId="049AF0C6"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2016</w:t>
            </w:r>
          </w:p>
        </w:tc>
        <w:tc>
          <w:tcPr>
            <w:tcW w:w="531" w:type="pct"/>
            <w:noWrap/>
            <w:vAlign w:val="bottom"/>
            <w:hideMark/>
          </w:tcPr>
          <w:p w14:paraId="47138105"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2017</w:t>
            </w:r>
          </w:p>
        </w:tc>
        <w:tc>
          <w:tcPr>
            <w:tcW w:w="527" w:type="pct"/>
            <w:noWrap/>
            <w:vAlign w:val="bottom"/>
            <w:hideMark/>
          </w:tcPr>
          <w:p w14:paraId="52497348"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2018</w:t>
            </w:r>
          </w:p>
        </w:tc>
      </w:tr>
      <w:tr w:rsidR="00641221" w:rsidRPr="0040544C" w14:paraId="1BC5EA40" w14:textId="77777777" w:rsidTr="00641221">
        <w:trPr>
          <w:trHeight w:val="300"/>
          <w:tblHeader/>
        </w:trPr>
        <w:tc>
          <w:tcPr>
            <w:tcW w:w="760" w:type="pct"/>
            <w:noWrap/>
            <w:vAlign w:val="bottom"/>
          </w:tcPr>
          <w:p w14:paraId="1B1421B4"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p>
        </w:tc>
        <w:tc>
          <w:tcPr>
            <w:tcW w:w="4240" w:type="pct"/>
            <w:gridSpan w:val="8"/>
            <w:noWrap/>
            <w:vAlign w:val="bottom"/>
          </w:tcPr>
          <w:p w14:paraId="6E5DB3C1" w14:textId="77777777" w:rsidR="00641221" w:rsidRPr="008C7825" w:rsidRDefault="00641221"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Pr>
                <w:rFonts w:asciiTheme="minorHAnsi" w:hAnsiTheme="minorHAnsi" w:cs="Times New Roman"/>
                <w:color w:val="000000"/>
                <w:sz w:val="16"/>
                <w:szCs w:val="16"/>
                <w:lang w:eastAsia="hr-HR"/>
              </w:rPr>
              <w:t>površina  m²</w:t>
            </w:r>
          </w:p>
        </w:tc>
      </w:tr>
      <w:tr w:rsidR="0035791B" w:rsidRPr="0040544C" w14:paraId="3EF0704A" w14:textId="77777777" w:rsidTr="0035791B">
        <w:trPr>
          <w:trHeight w:val="300"/>
        </w:trPr>
        <w:tc>
          <w:tcPr>
            <w:tcW w:w="760" w:type="pct"/>
            <w:noWrap/>
            <w:vAlign w:val="bottom"/>
            <w:hideMark/>
          </w:tcPr>
          <w:p w14:paraId="12B86BE6"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stambene</w:t>
            </w:r>
          </w:p>
        </w:tc>
        <w:tc>
          <w:tcPr>
            <w:tcW w:w="528" w:type="pct"/>
            <w:noWrap/>
            <w:vAlign w:val="bottom"/>
            <w:hideMark/>
          </w:tcPr>
          <w:p w14:paraId="4810177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4.384.771 </w:t>
            </w:r>
          </w:p>
        </w:tc>
        <w:tc>
          <w:tcPr>
            <w:tcW w:w="530" w:type="pct"/>
            <w:noWrap/>
            <w:vAlign w:val="bottom"/>
            <w:hideMark/>
          </w:tcPr>
          <w:p w14:paraId="2C602F6E"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4.412.627 </w:t>
            </w:r>
          </w:p>
        </w:tc>
        <w:tc>
          <w:tcPr>
            <w:tcW w:w="532" w:type="pct"/>
            <w:noWrap/>
            <w:vAlign w:val="bottom"/>
            <w:hideMark/>
          </w:tcPr>
          <w:p w14:paraId="01085F9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4.432.679 </w:t>
            </w:r>
          </w:p>
        </w:tc>
        <w:tc>
          <w:tcPr>
            <w:tcW w:w="531" w:type="pct"/>
            <w:noWrap/>
            <w:vAlign w:val="bottom"/>
            <w:hideMark/>
          </w:tcPr>
          <w:p w14:paraId="3947C20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4.449.131 </w:t>
            </w:r>
          </w:p>
        </w:tc>
        <w:tc>
          <w:tcPr>
            <w:tcW w:w="531" w:type="pct"/>
            <w:noWrap/>
            <w:vAlign w:val="bottom"/>
            <w:hideMark/>
          </w:tcPr>
          <w:p w14:paraId="10EC4E4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4.464.324 </w:t>
            </w:r>
          </w:p>
        </w:tc>
        <w:tc>
          <w:tcPr>
            <w:tcW w:w="530" w:type="pct"/>
            <w:noWrap/>
            <w:vAlign w:val="bottom"/>
            <w:hideMark/>
          </w:tcPr>
          <w:p w14:paraId="5483F22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4.478.429 </w:t>
            </w:r>
          </w:p>
        </w:tc>
        <w:tc>
          <w:tcPr>
            <w:tcW w:w="531" w:type="pct"/>
            <w:noWrap/>
            <w:vAlign w:val="bottom"/>
            <w:hideMark/>
          </w:tcPr>
          <w:p w14:paraId="64ECAAE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4.497.720 </w:t>
            </w:r>
          </w:p>
        </w:tc>
        <w:tc>
          <w:tcPr>
            <w:tcW w:w="527" w:type="pct"/>
            <w:noWrap/>
            <w:vAlign w:val="bottom"/>
            <w:hideMark/>
          </w:tcPr>
          <w:p w14:paraId="6664AA9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4.515.564 </w:t>
            </w:r>
          </w:p>
        </w:tc>
      </w:tr>
      <w:tr w:rsidR="0035791B" w:rsidRPr="000F0149" w14:paraId="36B88CF6" w14:textId="77777777" w:rsidTr="0035791B">
        <w:trPr>
          <w:trHeight w:val="300"/>
        </w:trPr>
        <w:tc>
          <w:tcPr>
            <w:tcW w:w="760" w:type="pct"/>
            <w:noWrap/>
            <w:vAlign w:val="bottom"/>
            <w:hideMark/>
          </w:tcPr>
          <w:p w14:paraId="2910AB23"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višestambene</w:t>
            </w:r>
          </w:p>
        </w:tc>
        <w:tc>
          <w:tcPr>
            <w:tcW w:w="528" w:type="pct"/>
            <w:noWrap/>
            <w:vAlign w:val="bottom"/>
            <w:hideMark/>
          </w:tcPr>
          <w:p w14:paraId="7F8238E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1.128.617 </w:t>
            </w:r>
          </w:p>
        </w:tc>
        <w:tc>
          <w:tcPr>
            <w:tcW w:w="530" w:type="pct"/>
            <w:noWrap/>
            <w:vAlign w:val="bottom"/>
            <w:hideMark/>
          </w:tcPr>
          <w:p w14:paraId="41CDD1EE"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1.703.092 </w:t>
            </w:r>
          </w:p>
        </w:tc>
        <w:tc>
          <w:tcPr>
            <w:tcW w:w="532" w:type="pct"/>
            <w:noWrap/>
            <w:vAlign w:val="bottom"/>
            <w:hideMark/>
          </w:tcPr>
          <w:p w14:paraId="0FFB736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1.710.831 </w:t>
            </w:r>
          </w:p>
        </w:tc>
        <w:tc>
          <w:tcPr>
            <w:tcW w:w="531" w:type="pct"/>
            <w:noWrap/>
            <w:vAlign w:val="bottom"/>
            <w:hideMark/>
          </w:tcPr>
          <w:p w14:paraId="3C86E50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1.717.181 </w:t>
            </w:r>
          </w:p>
        </w:tc>
        <w:tc>
          <w:tcPr>
            <w:tcW w:w="531" w:type="pct"/>
            <w:noWrap/>
            <w:vAlign w:val="bottom"/>
            <w:hideMark/>
          </w:tcPr>
          <w:p w14:paraId="1E0CF04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1.723.045 </w:t>
            </w:r>
          </w:p>
        </w:tc>
        <w:tc>
          <w:tcPr>
            <w:tcW w:w="530" w:type="pct"/>
            <w:noWrap/>
            <w:vAlign w:val="bottom"/>
            <w:hideMark/>
          </w:tcPr>
          <w:p w14:paraId="716A5FC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1.728.489 </w:t>
            </w:r>
          </w:p>
        </w:tc>
        <w:tc>
          <w:tcPr>
            <w:tcW w:w="531" w:type="pct"/>
            <w:noWrap/>
            <w:vAlign w:val="bottom"/>
            <w:hideMark/>
          </w:tcPr>
          <w:p w14:paraId="18E957E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1.735.935 </w:t>
            </w:r>
          </w:p>
        </w:tc>
        <w:tc>
          <w:tcPr>
            <w:tcW w:w="527" w:type="pct"/>
            <w:noWrap/>
            <w:vAlign w:val="bottom"/>
            <w:hideMark/>
          </w:tcPr>
          <w:p w14:paraId="4ADDB6B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1.810.194 </w:t>
            </w:r>
          </w:p>
        </w:tc>
      </w:tr>
      <w:tr w:rsidR="0035791B" w:rsidRPr="0040544C" w14:paraId="527B9527" w14:textId="77777777" w:rsidTr="0035791B">
        <w:trPr>
          <w:trHeight w:val="300"/>
        </w:trPr>
        <w:tc>
          <w:tcPr>
            <w:tcW w:w="760" w:type="pct"/>
            <w:noWrap/>
            <w:vAlign w:val="bottom"/>
            <w:hideMark/>
          </w:tcPr>
          <w:p w14:paraId="61048F75"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28" w:type="pct"/>
            <w:noWrap/>
            <w:vAlign w:val="bottom"/>
            <w:hideMark/>
          </w:tcPr>
          <w:p w14:paraId="0700706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803.981 </w:t>
            </w:r>
          </w:p>
        </w:tc>
        <w:tc>
          <w:tcPr>
            <w:tcW w:w="530" w:type="pct"/>
            <w:noWrap/>
            <w:vAlign w:val="bottom"/>
            <w:hideMark/>
          </w:tcPr>
          <w:p w14:paraId="36E493F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1.146.901 </w:t>
            </w:r>
          </w:p>
        </w:tc>
        <w:tc>
          <w:tcPr>
            <w:tcW w:w="532" w:type="pct"/>
            <w:noWrap/>
            <w:vAlign w:val="bottom"/>
            <w:hideMark/>
          </w:tcPr>
          <w:p w14:paraId="7A0CD97E"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1.150.480 </w:t>
            </w:r>
          </w:p>
        </w:tc>
        <w:tc>
          <w:tcPr>
            <w:tcW w:w="531" w:type="pct"/>
            <w:noWrap/>
            <w:vAlign w:val="bottom"/>
            <w:hideMark/>
          </w:tcPr>
          <w:p w14:paraId="5A00BF8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1.153.372 </w:t>
            </w:r>
          </w:p>
        </w:tc>
        <w:tc>
          <w:tcPr>
            <w:tcW w:w="531" w:type="pct"/>
            <w:noWrap/>
            <w:vAlign w:val="bottom"/>
            <w:hideMark/>
          </w:tcPr>
          <w:p w14:paraId="69C017D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1.155.848 </w:t>
            </w:r>
          </w:p>
        </w:tc>
        <w:tc>
          <w:tcPr>
            <w:tcW w:w="530" w:type="pct"/>
            <w:noWrap/>
            <w:vAlign w:val="bottom"/>
            <w:hideMark/>
          </w:tcPr>
          <w:p w14:paraId="095ED09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1.158.092 </w:t>
            </w:r>
          </w:p>
        </w:tc>
        <w:tc>
          <w:tcPr>
            <w:tcW w:w="531" w:type="pct"/>
            <w:noWrap/>
            <w:vAlign w:val="bottom"/>
            <w:hideMark/>
          </w:tcPr>
          <w:p w14:paraId="15743F7E"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1.161.555 </w:t>
            </w:r>
          </w:p>
        </w:tc>
        <w:tc>
          <w:tcPr>
            <w:tcW w:w="527" w:type="pct"/>
            <w:noWrap/>
            <w:vAlign w:val="bottom"/>
            <w:hideMark/>
          </w:tcPr>
          <w:p w14:paraId="27B47F12" w14:textId="774465DB" w:rsidR="00641221" w:rsidRPr="008C7825" w:rsidRDefault="00911B3C"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Pr>
                <w:rFonts w:asciiTheme="minorHAnsi" w:hAnsiTheme="minorHAnsi" w:cs="Times New Roman"/>
                <w:color w:val="000000"/>
                <w:sz w:val="16"/>
                <w:szCs w:val="16"/>
                <w:lang w:eastAsia="hr-HR"/>
              </w:rPr>
              <w:t>1.211.243</w:t>
            </w:r>
          </w:p>
        </w:tc>
      </w:tr>
      <w:tr w:rsidR="0035791B" w:rsidRPr="0040544C" w14:paraId="793B9C78" w14:textId="77777777" w:rsidTr="0035791B">
        <w:trPr>
          <w:trHeight w:val="300"/>
        </w:trPr>
        <w:tc>
          <w:tcPr>
            <w:tcW w:w="760" w:type="pct"/>
            <w:noWrap/>
            <w:vAlign w:val="bottom"/>
            <w:hideMark/>
          </w:tcPr>
          <w:p w14:paraId="6A15DB2C"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28" w:type="pct"/>
            <w:noWrap/>
            <w:vAlign w:val="bottom"/>
            <w:hideMark/>
          </w:tcPr>
          <w:p w14:paraId="6386174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324.636 </w:t>
            </w:r>
          </w:p>
        </w:tc>
        <w:tc>
          <w:tcPr>
            <w:tcW w:w="530" w:type="pct"/>
            <w:noWrap/>
            <w:vAlign w:val="bottom"/>
            <w:hideMark/>
          </w:tcPr>
          <w:p w14:paraId="2A38C98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556.191 </w:t>
            </w:r>
          </w:p>
        </w:tc>
        <w:tc>
          <w:tcPr>
            <w:tcW w:w="532" w:type="pct"/>
            <w:noWrap/>
            <w:vAlign w:val="bottom"/>
            <w:hideMark/>
          </w:tcPr>
          <w:p w14:paraId="5F9810B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560.351 </w:t>
            </w:r>
          </w:p>
        </w:tc>
        <w:tc>
          <w:tcPr>
            <w:tcW w:w="531" w:type="pct"/>
            <w:noWrap/>
            <w:vAlign w:val="bottom"/>
            <w:hideMark/>
          </w:tcPr>
          <w:p w14:paraId="67C7148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563.810 </w:t>
            </w:r>
          </w:p>
        </w:tc>
        <w:tc>
          <w:tcPr>
            <w:tcW w:w="531" w:type="pct"/>
            <w:noWrap/>
            <w:vAlign w:val="bottom"/>
            <w:hideMark/>
          </w:tcPr>
          <w:p w14:paraId="5B6C42A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567.197 </w:t>
            </w:r>
          </w:p>
        </w:tc>
        <w:tc>
          <w:tcPr>
            <w:tcW w:w="530" w:type="pct"/>
            <w:noWrap/>
            <w:vAlign w:val="bottom"/>
            <w:hideMark/>
          </w:tcPr>
          <w:p w14:paraId="6346144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570.397 </w:t>
            </w:r>
          </w:p>
        </w:tc>
        <w:tc>
          <w:tcPr>
            <w:tcW w:w="531" w:type="pct"/>
            <w:noWrap/>
            <w:vAlign w:val="bottom"/>
            <w:hideMark/>
          </w:tcPr>
          <w:p w14:paraId="1284BB3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574.380 </w:t>
            </w:r>
          </w:p>
        </w:tc>
        <w:tc>
          <w:tcPr>
            <w:tcW w:w="527" w:type="pct"/>
            <w:noWrap/>
            <w:vAlign w:val="bottom"/>
            <w:hideMark/>
          </w:tcPr>
          <w:p w14:paraId="090E00A6" w14:textId="2C91775F" w:rsidR="00641221" w:rsidRPr="008C7825" w:rsidRDefault="00D3388A"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Pr>
                <w:rFonts w:asciiTheme="minorHAnsi" w:hAnsiTheme="minorHAnsi" w:cs="Times New Roman"/>
                <w:color w:val="000000"/>
                <w:sz w:val="16"/>
                <w:szCs w:val="16"/>
                <w:lang w:eastAsia="hr-HR"/>
              </w:rPr>
              <w:t>598.951</w:t>
            </w:r>
            <w:r w:rsidR="00641221" w:rsidRPr="008C7825">
              <w:rPr>
                <w:rFonts w:asciiTheme="minorHAnsi" w:hAnsiTheme="minorHAnsi" w:cs="Times New Roman"/>
                <w:color w:val="000000"/>
                <w:sz w:val="16"/>
                <w:szCs w:val="16"/>
                <w:lang w:eastAsia="hr-HR"/>
              </w:rPr>
              <w:t xml:space="preserve"> </w:t>
            </w:r>
          </w:p>
        </w:tc>
      </w:tr>
      <w:tr w:rsidR="0035791B" w:rsidRPr="0040544C" w14:paraId="29F412EA" w14:textId="77777777" w:rsidTr="0035791B">
        <w:trPr>
          <w:trHeight w:val="300"/>
        </w:trPr>
        <w:tc>
          <w:tcPr>
            <w:tcW w:w="760" w:type="pct"/>
            <w:noWrap/>
            <w:vAlign w:val="bottom"/>
            <w:hideMark/>
          </w:tcPr>
          <w:p w14:paraId="7EEEA253"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obiteljske</w:t>
            </w:r>
          </w:p>
        </w:tc>
        <w:tc>
          <w:tcPr>
            <w:tcW w:w="528" w:type="pct"/>
            <w:noWrap/>
            <w:vAlign w:val="bottom"/>
            <w:hideMark/>
          </w:tcPr>
          <w:p w14:paraId="23D6386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0" w:type="pct"/>
            <w:noWrap/>
            <w:vAlign w:val="bottom"/>
            <w:hideMark/>
          </w:tcPr>
          <w:p w14:paraId="6C3D75D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2" w:type="pct"/>
            <w:noWrap/>
            <w:vAlign w:val="bottom"/>
            <w:hideMark/>
          </w:tcPr>
          <w:p w14:paraId="0CDEB77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1" w:type="pct"/>
            <w:noWrap/>
            <w:vAlign w:val="bottom"/>
            <w:hideMark/>
          </w:tcPr>
          <w:p w14:paraId="573000C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1" w:type="pct"/>
            <w:noWrap/>
            <w:vAlign w:val="bottom"/>
            <w:hideMark/>
          </w:tcPr>
          <w:p w14:paraId="6799C76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0" w:type="pct"/>
            <w:noWrap/>
            <w:vAlign w:val="bottom"/>
            <w:hideMark/>
          </w:tcPr>
          <w:p w14:paraId="118290DC"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1" w:type="pct"/>
            <w:noWrap/>
            <w:vAlign w:val="bottom"/>
            <w:hideMark/>
          </w:tcPr>
          <w:p w14:paraId="58FBF96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27" w:type="pct"/>
            <w:noWrap/>
            <w:vAlign w:val="bottom"/>
            <w:hideMark/>
          </w:tcPr>
          <w:p w14:paraId="559AAD3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r>
      <w:tr w:rsidR="0035791B" w:rsidRPr="0040544C" w14:paraId="3148C5C4" w14:textId="77777777" w:rsidTr="0035791B">
        <w:trPr>
          <w:trHeight w:val="300"/>
        </w:trPr>
        <w:tc>
          <w:tcPr>
            <w:tcW w:w="760" w:type="pct"/>
            <w:noWrap/>
            <w:vAlign w:val="bottom"/>
            <w:hideMark/>
          </w:tcPr>
          <w:p w14:paraId="13865F1F"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28" w:type="pct"/>
            <w:noWrap/>
            <w:vAlign w:val="bottom"/>
            <w:hideMark/>
          </w:tcPr>
          <w:p w14:paraId="24FBE00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6DCD8BF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2" w:type="pct"/>
            <w:noWrap/>
            <w:vAlign w:val="bottom"/>
            <w:hideMark/>
          </w:tcPr>
          <w:p w14:paraId="017F310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07890A0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2F5172C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62ACF3E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2016B31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27" w:type="pct"/>
            <w:noWrap/>
            <w:vAlign w:val="bottom"/>
            <w:hideMark/>
          </w:tcPr>
          <w:p w14:paraId="21E0347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35791B" w:rsidRPr="0040544C" w14:paraId="09860E65" w14:textId="77777777" w:rsidTr="0035791B">
        <w:trPr>
          <w:trHeight w:val="300"/>
        </w:trPr>
        <w:tc>
          <w:tcPr>
            <w:tcW w:w="760" w:type="pct"/>
            <w:noWrap/>
            <w:vAlign w:val="bottom"/>
            <w:hideMark/>
          </w:tcPr>
          <w:p w14:paraId="4FD7CD90"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28" w:type="pct"/>
            <w:noWrap/>
            <w:vAlign w:val="bottom"/>
            <w:hideMark/>
          </w:tcPr>
          <w:p w14:paraId="24F5F39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0A8EBF6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2" w:type="pct"/>
            <w:noWrap/>
            <w:vAlign w:val="bottom"/>
            <w:hideMark/>
          </w:tcPr>
          <w:p w14:paraId="21507F5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2832390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29C25DC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2094FA9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0E5DE4B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27" w:type="pct"/>
            <w:noWrap/>
            <w:vAlign w:val="bottom"/>
            <w:hideMark/>
          </w:tcPr>
          <w:p w14:paraId="431B4DD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35791B" w:rsidRPr="0040544C" w14:paraId="535C39A8" w14:textId="77777777" w:rsidTr="0035791B">
        <w:trPr>
          <w:trHeight w:val="300"/>
        </w:trPr>
        <w:tc>
          <w:tcPr>
            <w:tcW w:w="760" w:type="pct"/>
            <w:noWrap/>
            <w:vAlign w:val="bottom"/>
            <w:hideMark/>
          </w:tcPr>
          <w:p w14:paraId="76E2F1A2"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uredska</w:t>
            </w:r>
          </w:p>
        </w:tc>
        <w:tc>
          <w:tcPr>
            <w:tcW w:w="528" w:type="pct"/>
            <w:noWrap/>
            <w:vAlign w:val="bottom"/>
            <w:hideMark/>
          </w:tcPr>
          <w:p w14:paraId="7B5CD5D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3.256.154 </w:t>
            </w:r>
          </w:p>
        </w:tc>
        <w:tc>
          <w:tcPr>
            <w:tcW w:w="530" w:type="pct"/>
            <w:noWrap/>
            <w:vAlign w:val="bottom"/>
            <w:hideMark/>
          </w:tcPr>
          <w:p w14:paraId="3384EBB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4.517.198 </w:t>
            </w:r>
          </w:p>
        </w:tc>
        <w:tc>
          <w:tcPr>
            <w:tcW w:w="532" w:type="pct"/>
            <w:noWrap/>
            <w:vAlign w:val="bottom"/>
            <w:hideMark/>
          </w:tcPr>
          <w:p w14:paraId="0D542F3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4.533.742 </w:t>
            </w:r>
          </w:p>
        </w:tc>
        <w:tc>
          <w:tcPr>
            <w:tcW w:w="531" w:type="pct"/>
            <w:noWrap/>
            <w:vAlign w:val="bottom"/>
            <w:hideMark/>
          </w:tcPr>
          <w:p w14:paraId="71A31E8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4.587.942 </w:t>
            </w:r>
          </w:p>
        </w:tc>
        <w:tc>
          <w:tcPr>
            <w:tcW w:w="531" w:type="pct"/>
            <w:noWrap/>
            <w:vAlign w:val="bottom"/>
            <w:hideMark/>
          </w:tcPr>
          <w:p w14:paraId="19D5FB1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4.628.709 </w:t>
            </w:r>
          </w:p>
        </w:tc>
        <w:tc>
          <w:tcPr>
            <w:tcW w:w="530" w:type="pct"/>
            <w:noWrap/>
            <w:vAlign w:val="bottom"/>
            <w:hideMark/>
          </w:tcPr>
          <w:p w14:paraId="410DFB5E"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4.663.600 </w:t>
            </w:r>
          </w:p>
        </w:tc>
        <w:tc>
          <w:tcPr>
            <w:tcW w:w="531" w:type="pct"/>
            <w:noWrap/>
            <w:vAlign w:val="bottom"/>
            <w:hideMark/>
          </w:tcPr>
          <w:p w14:paraId="50711B7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4.743.349 </w:t>
            </w:r>
          </w:p>
        </w:tc>
        <w:tc>
          <w:tcPr>
            <w:tcW w:w="527" w:type="pct"/>
            <w:noWrap/>
            <w:vAlign w:val="bottom"/>
            <w:hideMark/>
          </w:tcPr>
          <w:p w14:paraId="1E3787A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4.927.988 </w:t>
            </w:r>
          </w:p>
        </w:tc>
      </w:tr>
      <w:tr w:rsidR="0035791B" w:rsidRPr="0040544C" w14:paraId="58137060" w14:textId="77777777" w:rsidTr="0035791B">
        <w:trPr>
          <w:trHeight w:val="300"/>
        </w:trPr>
        <w:tc>
          <w:tcPr>
            <w:tcW w:w="760" w:type="pct"/>
            <w:noWrap/>
            <w:vAlign w:val="bottom"/>
            <w:hideMark/>
          </w:tcPr>
          <w:p w14:paraId="141CC504"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28" w:type="pct"/>
            <w:noWrap/>
            <w:vAlign w:val="bottom"/>
            <w:hideMark/>
          </w:tcPr>
          <w:p w14:paraId="2EBEDBE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2.519.673 </w:t>
            </w:r>
          </w:p>
        </w:tc>
        <w:tc>
          <w:tcPr>
            <w:tcW w:w="530" w:type="pct"/>
            <w:noWrap/>
            <w:vAlign w:val="bottom"/>
            <w:hideMark/>
          </w:tcPr>
          <w:p w14:paraId="6B07289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3.495.493 </w:t>
            </w:r>
          </w:p>
        </w:tc>
        <w:tc>
          <w:tcPr>
            <w:tcW w:w="532" w:type="pct"/>
            <w:noWrap/>
            <w:vAlign w:val="bottom"/>
            <w:hideMark/>
          </w:tcPr>
          <w:p w14:paraId="0CAE57B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3.508.295 </w:t>
            </w:r>
          </w:p>
        </w:tc>
        <w:tc>
          <w:tcPr>
            <w:tcW w:w="531" w:type="pct"/>
            <w:noWrap/>
            <w:vAlign w:val="bottom"/>
            <w:hideMark/>
          </w:tcPr>
          <w:p w14:paraId="17670BE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3.550.236 </w:t>
            </w:r>
          </w:p>
        </w:tc>
        <w:tc>
          <w:tcPr>
            <w:tcW w:w="531" w:type="pct"/>
            <w:noWrap/>
            <w:vAlign w:val="bottom"/>
            <w:hideMark/>
          </w:tcPr>
          <w:p w14:paraId="674148C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3.581.781 </w:t>
            </w:r>
          </w:p>
        </w:tc>
        <w:tc>
          <w:tcPr>
            <w:tcW w:w="530" w:type="pct"/>
            <w:noWrap/>
            <w:vAlign w:val="bottom"/>
            <w:hideMark/>
          </w:tcPr>
          <w:p w14:paraId="4E91F7A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3.608.781 </w:t>
            </w:r>
          </w:p>
        </w:tc>
        <w:tc>
          <w:tcPr>
            <w:tcW w:w="531" w:type="pct"/>
            <w:noWrap/>
            <w:vAlign w:val="bottom"/>
            <w:hideMark/>
          </w:tcPr>
          <w:p w14:paraId="50D670B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3.670.492 </w:t>
            </w:r>
          </w:p>
        </w:tc>
        <w:tc>
          <w:tcPr>
            <w:tcW w:w="527" w:type="pct"/>
            <w:noWrap/>
            <w:vAlign w:val="bottom"/>
            <w:hideMark/>
          </w:tcPr>
          <w:p w14:paraId="4DAF45BE"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3.072.742 </w:t>
            </w:r>
          </w:p>
        </w:tc>
      </w:tr>
      <w:tr w:rsidR="0035791B" w:rsidRPr="0040544C" w14:paraId="3D191782" w14:textId="77777777" w:rsidTr="0035791B">
        <w:trPr>
          <w:trHeight w:val="300"/>
        </w:trPr>
        <w:tc>
          <w:tcPr>
            <w:tcW w:w="760" w:type="pct"/>
            <w:noWrap/>
            <w:vAlign w:val="bottom"/>
            <w:hideMark/>
          </w:tcPr>
          <w:p w14:paraId="7CCAF15B"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28" w:type="pct"/>
            <w:noWrap/>
            <w:vAlign w:val="bottom"/>
            <w:hideMark/>
          </w:tcPr>
          <w:p w14:paraId="109A322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736.481 </w:t>
            </w:r>
          </w:p>
        </w:tc>
        <w:tc>
          <w:tcPr>
            <w:tcW w:w="530" w:type="pct"/>
            <w:noWrap/>
            <w:vAlign w:val="bottom"/>
            <w:hideMark/>
          </w:tcPr>
          <w:p w14:paraId="068228C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1.021.706 </w:t>
            </w:r>
          </w:p>
        </w:tc>
        <w:tc>
          <w:tcPr>
            <w:tcW w:w="532" w:type="pct"/>
            <w:noWrap/>
            <w:vAlign w:val="bottom"/>
            <w:hideMark/>
          </w:tcPr>
          <w:p w14:paraId="4A633FB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1.025.447 </w:t>
            </w:r>
          </w:p>
        </w:tc>
        <w:tc>
          <w:tcPr>
            <w:tcW w:w="531" w:type="pct"/>
            <w:noWrap/>
            <w:vAlign w:val="bottom"/>
            <w:hideMark/>
          </w:tcPr>
          <w:p w14:paraId="5C9159F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1.037.707 </w:t>
            </w:r>
          </w:p>
        </w:tc>
        <w:tc>
          <w:tcPr>
            <w:tcW w:w="531" w:type="pct"/>
            <w:noWrap/>
            <w:vAlign w:val="bottom"/>
            <w:hideMark/>
          </w:tcPr>
          <w:p w14:paraId="4F35B29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1.046.927 </w:t>
            </w:r>
          </w:p>
        </w:tc>
        <w:tc>
          <w:tcPr>
            <w:tcW w:w="530" w:type="pct"/>
            <w:noWrap/>
            <w:vAlign w:val="bottom"/>
            <w:hideMark/>
          </w:tcPr>
          <w:p w14:paraId="5A125FB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1.054.819 </w:t>
            </w:r>
          </w:p>
        </w:tc>
        <w:tc>
          <w:tcPr>
            <w:tcW w:w="531" w:type="pct"/>
            <w:noWrap/>
            <w:vAlign w:val="bottom"/>
            <w:hideMark/>
          </w:tcPr>
          <w:p w14:paraId="0DEDF2A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1.072.857 </w:t>
            </w:r>
          </w:p>
        </w:tc>
        <w:tc>
          <w:tcPr>
            <w:tcW w:w="527" w:type="pct"/>
            <w:noWrap/>
            <w:vAlign w:val="bottom"/>
            <w:hideMark/>
          </w:tcPr>
          <w:p w14:paraId="7C82B2F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1.509.125 </w:t>
            </w:r>
          </w:p>
        </w:tc>
      </w:tr>
      <w:tr w:rsidR="0035791B" w:rsidRPr="0040544C" w14:paraId="2E406AD1" w14:textId="77777777" w:rsidTr="0035791B">
        <w:trPr>
          <w:trHeight w:val="300"/>
        </w:trPr>
        <w:tc>
          <w:tcPr>
            <w:tcW w:w="760" w:type="pct"/>
            <w:noWrap/>
            <w:vAlign w:val="bottom"/>
            <w:hideMark/>
          </w:tcPr>
          <w:p w14:paraId="06A7A548"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obrazovne</w:t>
            </w:r>
          </w:p>
        </w:tc>
        <w:tc>
          <w:tcPr>
            <w:tcW w:w="528" w:type="pct"/>
            <w:noWrap/>
            <w:vAlign w:val="bottom"/>
            <w:hideMark/>
          </w:tcPr>
          <w:p w14:paraId="687C607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5.614.153 </w:t>
            </w:r>
          </w:p>
        </w:tc>
        <w:tc>
          <w:tcPr>
            <w:tcW w:w="530" w:type="pct"/>
            <w:noWrap/>
            <w:vAlign w:val="bottom"/>
            <w:hideMark/>
          </w:tcPr>
          <w:p w14:paraId="068DC6F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5.700.089 </w:t>
            </w:r>
          </w:p>
        </w:tc>
        <w:tc>
          <w:tcPr>
            <w:tcW w:w="532" w:type="pct"/>
            <w:noWrap/>
            <w:vAlign w:val="bottom"/>
            <w:hideMark/>
          </w:tcPr>
          <w:p w14:paraId="0816D6B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5.752.115 </w:t>
            </w:r>
          </w:p>
        </w:tc>
        <w:tc>
          <w:tcPr>
            <w:tcW w:w="531" w:type="pct"/>
            <w:noWrap/>
            <w:vAlign w:val="bottom"/>
            <w:hideMark/>
          </w:tcPr>
          <w:p w14:paraId="6F38BE7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5.795.596 </w:t>
            </w:r>
          </w:p>
        </w:tc>
        <w:tc>
          <w:tcPr>
            <w:tcW w:w="531" w:type="pct"/>
            <w:noWrap/>
            <w:vAlign w:val="bottom"/>
            <w:hideMark/>
          </w:tcPr>
          <w:p w14:paraId="6EEECE3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5.852.856 </w:t>
            </w:r>
          </w:p>
        </w:tc>
        <w:tc>
          <w:tcPr>
            <w:tcW w:w="530" w:type="pct"/>
            <w:noWrap/>
            <w:vAlign w:val="bottom"/>
            <w:hideMark/>
          </w:tcPr>
          <w:p w14:paraId="5A69F3D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5.910.963 </w:t>
            </w:r>
          </w:p>
        </w:tc>
        <w:tc>
          <w:tcPr>
            <w:tcW w:w="531" w:type="pct"/>
            <w:noWrap/>
            <w:vAlign w:val="bottom"/>
            <w:hideMark/>
          </w:tcPr>
          <w:p w14:paraId="2DBB58B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5.994.135 </w:t>
            </w:r>
          </w:p>
        </w:tc>
        <w:tc>
          <w:tcPr>
            <w:tcW w:w="527" w:type="pct"/>
            <w:noWrap/>
            <w:vAlign w:val="bottom"/>
            <w:hideMark/>
          </w:tcPr>
          <w:p w14:paraId="074647E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6.039.404 </w:t>
            </w:r>
          </w:p>
        </w:tc>
      </w:tr>
      <w:tr w:rsidR="0035791B" w:rsidRPr="0040544C" w14:paraId="1C4BEA86" w14:textId="77777777" w:rsidTr="0035791B">
        <w:trPr>
          <w:trHeight w:val="300"/>
        </w:trPr>
        <w:tc>
          <w:tcPr>
            <w:tcW w:w="760" w:type="pct"/>
            <w:noWrap/>
            <w:vAlign w:val="bottom"/>
            <w:hideMark/>
          </w:tcPr>
          <w:p w14:paraId="784E92DD"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28" w:type="pct"/>
            <w:noWrap/>
            <w:vAlign w:val="bottom"/>
            <w:hideMark/>
          </w:tcPr>
          <w:p w14:paraId="7965184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4.188.847 </w:t>
            </w:r>
          </w:p>
        </w:tc>
        <w:tc>
          <w:tcPr>
            <w:tcW w:w="530" w:type="pct"/>
            <w:noWrap/>
            <w:vAlign w:val="bottom"/>
            <w:hideMark/>
          </w:tcPr>
          <w:p w14:paraId="3662311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4.252.966 </w:t>
            </w:r>
          </w:p>
        </w:tc>
        <w:tc>
          <w:tcPr>
            <w:tcW w:w="532" w:type="pct"/>
            <w:noWrap/>
            <w:vAlign w:val="bottom"/>
            <w:hideMark/>
          </w:tcPr>
          <w:p w14:paraId="7002279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4.291.783 </w:t>
            </w:r>
          </w:p>
        </w:tc>
        <w:tc>
          <w:tcPr>
            <w:tcW w:w="531" w:type="pct"/>
            <w:noWrap/>
            <w:vAlign w:val="bottom"/>
            <w:hideMark/>
          </w:tcPr>
          <w:p w14:paraId="1DB54C0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4.324.226 </w:t>
            </w:r>
          </w:p>
        </w:tc>
        <w:tc>
          <w:tcPr>
            <w:tcW w:w="531" w:type="pct"/>
            <w:noWrap/>
            <w:vAlign w:val="bottom"/>
            <w:hideMark/>
          </w:tcPr>
          <w:p w14:paraId="4F31AA4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4.366.949 </w:t>
            </w:r>
          </w:p>
        </w:tc>
        <w:tc>
          <w:tcPr>
            <w:tcW w:w="530" w:type="pct"/>
            <w:noWrap/>
            <w:vAlign w:val="bottom"/>
            <w:hideMark/>
          </w:tcPr>
          <w:p w14:paraId="3F5EB04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4.410.304 </w:t>
            </w:r>
          </w:p>
        </w:tc>
        <w:tc>
          <w:tcPr>
            <w:tcW w:w="531" w:type="pct"/>
            <w:noWrap/>
            <w:vAlign w:val="bottom"/>
            <w:hideMark/>
          </w:tcPr>
          <w:p w14:paraId="2E9C592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4.472.360 </w:t>
            </w:r>
          </w:p>
        </w:tc>
        <w:tc>
          <w:tcPr>
            <w:tcW w:w="527" w:type="pct"/>
            <w:noWrap/>
            <w:vAlign w:val="bottom"/>
            <w:hideMark/>
          </w:tcPr>
          <w:p w14:paraId="3F14CEBC"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4.506.137 </w:t>
            </w:r>
          </w:p>
        </w:tc>
      </w:tr>
      <w:tr w:rsidR="0035791B" w:rsidRPr="0040544C" w14:paraId="1A008F60" w14:textId="77777777" w:rsidTr="0035791B">
        <w:trPr>
          <w:trHeight w:val="300"/>
        </w:trPr>
        <w:tc>
          <w:tcPr>
            <w:tcW w:w="760" w:type="pct"/>
            <w:noWrap/>
            <w:vAlign w:val="bottom"/>
            <w:hideMark/>
          </w:tcPr>
          <w:p w14:paraId="2770E38F"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28" w:type="pct"/>
            <w:noWrap/>
            <w:vAlign w:val="bottom"/>
            <w:hideMark/>
          </w:tcPr>
          <w:p w14:paraId="30D6A65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1.425.306 </w:t>
            </w:r>
          </w:p>
        </w:tc>
        <w:tc>
          <w:tcPr>
            <w:tcW w:w="530" w:type="pct"/>
            <w:noWrap/>
            <w:vAlign w:val="bottom"/>
            <w:hideMark/>
          </w:tcPr>
          <w:p w14:paraId="35B9073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1.939.524 </w:t>
            </w:r>
          </w:p>
        </w:tc>
        <w:tc>
          <w:tcPr>
            <w:tcW w:w="532" w:type="pct"/>
            <w:noWrap/>
            <w:vAlign w:val="bottom"/>
            <w:hideMark/>
          </w:tcPr>
          <w:p w14:paraId="1656A31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1.957.227 </w:t>
            </w:r>
          </w:p>
        </w:tc>
        <w:tc>
          <w:tcPr>
            <w:tcW w:w="531" w:type="pct"/>
            <w:noWrap/>
            <w:vAlign w:val="bottom"/>
            <w:hideMark/>
          </w:tcPr>
          <w:p w14:paraId="14BCA37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1.972.022 </w:t>
            </w:r>
          </w:p>
        </w:tc>
        <w:tc>
          <w:tcPr>
            <w:tcW w:w="531" w:type="pct"/>
            <w:noWrap/>
            <w:vAlign w:val="bottom"/>
            <w:hideMark/>
          </w:tcPr>
          <w:p w14:paraId="23D7155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1.991.505 </w:t>
            </w:r>
          </w:p>
        </w:tc>
        <w:tc>
          <w:tcPr>
            <w:tcW w:w="530" w:type="pct"/>
            <w:noWrap/>
            <w:vAlign w:val="bottom"/>
            <w:hideMark/>
          </w:tcPr>
          <w:p w14:paraId="0D59BA8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2.011.277 </w:t>
            </w:r>
          </w:p>
        </w:tc>
        <w:tc>
          <w:tcPr>
            <w:tcW w:w="531" w:type="pct"/>
            <w:noWrap/>
            <w:vAlign w:val="bottom"/>
            <w:hideMark/>
          </w:tcPr>
          <w:p w14:paraId="4655179E"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2.039.577 </w:t>
            </w:r>
          </w:p>
        </w:tc>
        <w:tc>
          <w:tcPr>
            <w:tcW w:w="527" w:type="pct"/>
            <w:noWrap/>
            <w:vAlign w:val="bottom"/>
            <w:hideMark/>
          </w:tcPr>
          <w:p w14:paraId="4977F50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2.054.981 </w:t>
            </w:r>
          </w:p>
        </w:tc>
      </w:tr>
      <w:tr w:rsidR="0035791B" w:rsidRPr="0040544C" w14:paraId="6DAC7B17" w14:textId="77777777" w:rsidTr="0035791B">
        <w:trPr>
          <w:trHeight w:val="300"/>
        </w:trPr>
        <w:tc>
          <w:tcPr>
            <w:tcW w:w="760" w:type="pct"/>
            <w:noWrap/>
            <w:vAlign w:val="bottom"/>
            <w:hideMark/>
          </w:tcPr>
          <w:p w14:paraId="22890A54"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hoteli i restorani</w:t>
            </w:r>
          </w:p>
        </w:tc>
        <w:tc>
          <w:tcPr>
            <w:tcW w:w="528" w:type="pct"/>
            <w:noWrap/>
            <w:vAlign w:val="bottom"/>
            <w:hideMark/>
          </w:tcPr>
          <w:p w14:paraId="7E5DF1A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0" w:type="pct"/>
            <w:noWrap/>
            <w:vAlign w:val="bottom"/>
            <w:hideMark/>
          </w:tcPr>
          <w:p w14:paraId="750DB71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2" w:type="pct"/>
            <w:noWrap/>
            <w:vAlign w:val="bottom"/>
            <w:hideMark/>
          </w:tcPr>
          <w:p w14:paraId="2A36CD2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1" w:type="pct"/>
            <w:noWrap/>
            <w:vAlign w:val="bottom"/>
            <w:hideMark/>
          </w:tcPr>
          <w:p w14:paraId="1368D6C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1" w:type="pct"/>
            <w:noWrap/>
            <w:vAlign w:val="bottom"/>
            <w:hideMark/>
          </w:tcPr>
          <w:p w14:paraId="3804CEC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0" w:type="pct"/>
            <w:noWrap/>
            <w:vAlign w:val="bottom"/>
            <w:hideMark/>
          </w:tcPr>
          <w:p w14:paraId="2B7CDE5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1" w:type="pct"/>
            <w:noWrap/>
            <w:vAlign w:val="bottom"/>
            <w:hideMark/>
          </w:tcPr>
          <w:p w14:paraId="706A7EB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27" w:type="pct"/>
            <w:noWrap/>
            <w:vAlign w:val="bottom"/>
            <w:hideMark/>
          </w:tcPr>
          <w:p w14:paraId="408C9E9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r>
      <w:tr w:rsidR="0035791B" w:rsidRPr="0040544C" w14:paraId="2642C11D" w14:textId="77777777" w:rsidTr="0035791B">
        <w:trPr>
          <w:trHeight w:val="300"/>
        </w:trPr>
        <w:tc>
          <w:tcPr>
            <w:tcW w:w="760" w:type="pct"/>
            <w:noWrap/>
            <w:vAlign w:val="bottom"/>
            <w:hideMark/>
          </w:tcPr>
          <w:p w14:paraId="0CFB0DB5"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28" w:type="pct"/>
            <w:noWrap/>
            <w:vAlign w:val="bottom"/>
            <w:hideMark/>
          </w:tcPr>
          <w:p w14:paraId="16497F0C"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1C9B9BD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2" w:type="pct"/>
            <w:noWrap/>
            <w:vAlign w:val="bottom"/>
            <w:hideMark/>
          </w:tcPr>
          <w:p w14:paraId="18B7697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4F54ED1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081776E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073A1C1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5B548ED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27" w:type="pct"/>
            <w:noWrap/>
            <w:vAlign w:val="bottom"/>
            <w:hideMark/>
          </w:tcPr>
          <w:p w14:paraId="55F800C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35791B" w:rsidRPr="0040544C" w14:paraId="39B98481" w14:textId="77777777" w:rsidTr="0035791B">
        <w:trPr>
          <w:trHeight w:val="300"/>
        </w:trPr>
        <w:tc>
          <w:tcPr>
            <w:tcW w:w="760" w:type="pct"/>
            <w:noWrap/>
            <w:vAlign w:val="bottom"/>
            <w:hideMark/>
          </w:tcPr>
          <w:p w14:paraId="69F741CF"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28" w:type="pct"/>
            <w:noWrap/>
            <w:vAlign w:val="bottom"/>
            <w:hideMark/>
          </w:tcPr>
          <w:p w14:paraId="4DA49EF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3F72E10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2" w:type="pct"/>
            <w:noWrap/>
            <w:vAlign w:val="bottom"/>
            <w:hideMark/>
          </w:tcPr>
          <w:p w14:paraId="353013C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1073764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388DA2D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2CABECA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5AA30D3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27" w:type="pct"/>
            <w:noWrap/>
            <w:vAlign w:val="bottom"/>
            <w:hideMark/>
          </w:tcPr>
          <w:p w14:paraId="3C3E366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35791B" w:rsidRPr="0040544C" w14:paraId="69CA5006" w14:textId="77777777" w:rsidTr="0035791B">
        <w:trPr>
          <w:trHeight w:val="300"/>
        </w:trPr>
        <w:tc>
          <w:tcPr>
            <w:tcW w:w="760" w:type="pct"/>
            <w:noWrap/>
            <w:vAlign w:val="bottom"/>
            <w:hideMark/>
          </w:tcPr>
          <w:p w14:paraId="1D1D0B1A"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bolnice</w:t>
            </w:r>
          </w:p>
        </w:tc>
        <w:tc>
          <w:tcPr>
            <w:tcW w:w="528" w:type="pct"/>
            <w:noWrap/>
            <w:vAlign w:val="bottom"/>
            <w:hideMark/>
          </w:tcPr>
          <w:p w14:paraId="7E3FADCC"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2.952.511 </w:t>
            </w:r>
          </w:p>
        </w:tc>
        <w:tc>
          <w:tcPr>
            <w:tcW w:w="530" w:type="pct"/>
            <w:noWrap/>
            <w:vAlign w:val="bottom"/>
            <w:hideMark/>
          </w:tcPr>
          <w:p w14:paraId="6BFB64A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2.997.705 </w:t>
            </w:r>
          </w:p>
        </w:tc>
        <w:tc>
          <w:tcPr>
            <w:tcW w:w="532" w:type="pct"/>
            <w:noWrap/>
            <w:vAlign w:val="bottom"/>
            <w:hideMark/>
          </w:tcPr>
          <w:p w14:paraId="2650D96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3.025.066 </w:t>
            </w:r>
          </w:p>
        </w:tc>
        <w:tc>
          <w:tcPr>
            <w:tcW w:w="531" w:type="pct"/>
            <w:noWrap/>
            <w:vAlign w:val="bottom"/>
            <w:hideMark/>
          </w:tcPr>
          <w:p w14:paraId="06B0CE3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3.047.933 </w:t>
            </w:r>
          </w:p>
        </w:tc>
        <w:tc>
          <w:tcPr>
            <w:tcW w:w="531" w:type="pct"/>
            <w:noWrap/>
            <w:vAlign w:val="bottom"/>
            <w:hideMark/>
          </w:tcPr>
          <w:p w14:paraId="47E4A5C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3.078.046 </w:t>
            </w:r>
          </w:p>
        </w:tc>
        <w:tc>
          <w:tcPr>
            <w:tcW w:w="530" w:type="pct"/>
            <w:noWrap/>
            <w:vAlign w:val="bottom"/>
            <w:hideMark/>
          </w:tcPr>
          <w:p w14:paraId="29B8457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3.108.605 </w:t>
            </w:r>
          </w:p>
        </w:tc>
        <w:tc>
          <w:tcPr>
            <w:tcW w:w="531" w:type="pct"/>
            <w:noWrap/>
            <w:vAlign w:val="bottom"/>
            <w:hideMark/>
          </w:tcPr>
          <w:p w14:paraId="1D4DCA5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3.152.345 </w:t>
            </w:r>
          </w:p>
        </w:tc>
        <w:tc>
          <w:tcPr>
            <w:tcW w:w="527" w:type="pct"/>
            <w:noWrap/>
            <w:vAlign w:val="bottom"/>
            <w:hideMark/>
          </w:tcPr>
          <w:p w14:paraId="4C58127E"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3.176.153 </w:t>
            </w:r>
          </w:p>
        </w:tc>
      </w:tr>
      <w:tr w:rsidR="0035791B" w:rsidRPr="0040544C" w14:paraId="18DA22CB" w14:textId="77777777" w:rsidTr="0035791B">
        <w:trPr>
          <w:trHeight w:val="300"/>
        </w:trPr>
        <w:tc>
          <w:tcPr>
            <w:tcW w:w="760" w:type="pct"/>
            <w:noWrap/>
            <w:vAlign w:val="bottom"/>
            <w:hideMark/>
          </w:tcPr>
          <w:p w14:paraId="116CF7BC"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28" w:type="pct"/>
            <w:noWrap/>
            <w:vAlign w:val="bottom"/>
            <w:hideMark/>
          </w:tcPr>
          <w:p w14:paraId="1C689CF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2.208.547 </w:t>
            </w:r>
          </w:p>
        </w:tc>
        <w:tc>
          <w:tcPr>
            <w:tcW w:w="530" w:type="pct"/>
            <w:noWrap/>
            <w:vAlign w:val="bottom"/>
            <w:hideMark/>
          </w:tcPr>
          <w:p w14:paraId="7459CBD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2.242.353 </w:t>
            </w:r>
          </w:p>
        </w:tc>
        <w:tc>
          <w:tcPr>
            <w:tcW w:w="532" w:type="pct"/>
            <w:noWrap/>
            <w:vAlign w:val="bottom"/>
            <w:hideMark/>
          </w:tcPr>
          <w:p w14:paraId="33EE3F2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2.262.820 </w:t>
            </w:r>
          </w:p>
        </w:tc>
        <w:tc>
          <w:tcPr>
            <w:tcW w:w="531" w:type="pct"/>
            <w:noWrap/>
            <w:vAlign w:val="bottom"/>
            <w:hideMark/>
          </w:tcPr>
          <w:p w14:paraId="55FA077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2.279.925 </w:t>
            </w:r>
          </w:p>
        </w:tc>
        <w:tc>
          <w:tcPr>
            <w:tcW w:w="531" w:type="pct"/>
            <w:noWrap/>
            <w:vAlign w:val="bottom"/>
            <w:hideMark/>
          </w:tcPr>
          <w:p w14:paraId="73FE79C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2.302.450 </w:t>
            </w:r>
          </w:p>
        </w:tc>
        <w:tc>
          <w:tcPr>
            <w:tcW w:w="530" w:type="pct"/>
            <w:noWrap/>
            <w:vAlign w:val="bottom"/>
            <w:hideMark/>
          </w:tcPr>
          <w:p w14:paraId="04930E6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2.325.309 </w:t>
            </w:r>
          </w:p>
        </w:tc>
        <w:tc>
          <w:tcPr>
            <w:tcW w:w="531" w:type="pct"/>
            <w:noWrap/>
            <w:vAlign w:val="bottom"/>
            <w:hideMark/>
          </w:tcPr>
          <w:p w14:paraId="189B6A8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2.358.028 </w:t>
            </w:r>
          </w:p>
        </w:tc>
        <w:tc>
          <w:tcPr>
            <w:tcW w:w="527" w:type="pct"/>
            <w:noWrap/>
            <w:vAlign w:val="bottom"/>
            <w:hideMark/>
          </w:tcPr>
          <w:p w14:paraId="1D531F0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2.375.836 </w:t>
            </w:r>
          </w:p>
        </w:tc>
      </w:tr>
      <w:tr w:rsidR="0035791B" w:rsidRPr="0040544C" w14:paraId="5731603A" w14:textId="77777777" w:rsidTr="0035791B">
        <w:trPr>
          <w:trHeight w:val="300"/>
        </w:trPr>
        <w:tc>
          <w:tcPr>
            <w:tcW w:w="760" w:type="pct"/>
            <w:noWrap/>
            <w:vAlign w:val="bottom"/>
            <w:hideMark/>
          </w:tcPr>
          <w:p w14:paraId="037571A8"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28" w:type="pct"/>
            <w:noWrap/>
            <w:vAlign w:val="bottom"/>
            <w:hideMark/>
          </w:tcPr>
          <w:p w14:paraId="4B95FE7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743.964 </w:t>
            </w:r>
          </w:p>
        </w:tc>
        <w:tc>
          <w:tcPr>
            <w:tcW w:w="530" w:type="pct"/>
            <w:noWrap/>
            <w:vAlign w:val="bottom"/>
            <w:hideMark/>
          </w:tcPr>
          <w:p w14:paraId="544F08A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755.352 </w:t>
            </w:r>
          </w:p>
        </w:tc>
        <w:tc>
          <w:tcPr>
            <w:tcW w:w="532" w:type="pct"/>
            <w:noWrap/>
            <w:vAlign w:val="bottom"/>
            <w:hideMark/>
          </w:tcPr>
          <w:p w14:paraId="770C7D3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762.246 </w:t>
            </w:r>
          </w:p>
        </w:tc>
        <w:tc>
          <w:tcPr>
            <w:tcW w:w="531" w:type="pct"/>
            <w:noWrap/>
            <w:vAlign w:val="bottom"/>
            <w:hideMark/>
          </w:tcPr>
          <w:p w14:paraId="352D3CF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768.008 </w:t>
            </w:r>
          </w:p>
        </w:tc>
        <w:tc>
          <w:tcPr>
            <w:tcW w:w="531" w:type="pct"/>
            <w:noWrap/>
            <w:vAlign w:val="bottom"/>
            <w:hideMark/>
          </w:tcPr>
          <w:p w14:paraId="2388A56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775.596 </w:t>
            </w:r>
          </w:p>
        </w:tc>
        <w:tc>
          <w:tcPr>
            <w:tcW w:w="530" w:type="pct"/>
            <w:noWrap/>
            <w:vAlign w:val="bottom"/>
            <w:hideMark/>
          </w:tcPr>
          <w:p w14:paraId="4C3D1EF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783.296 </w:t>
            </w:r>
          </w:p>
        </w:tc>
        <w:tc>
          <w:tcPr>
            <w:tcW w:w="531" w:type="pct"/>
            <w:noWrap/>
            <w:vAlign w:val="bottom"/>
            <w:hideMark/>
          </w:tcPr>
          <w:p w14:paraId="5FD950A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794.318 </w:t>
            </w:r>
          </w:p>
        </w:tc>
        <w:tc>
          <w:tcPr>
            <w:tcW w:w="527" w:type="pct"/>
            <w:noWrap/>
            <w:vAlign w:val="bottom"/>
            <w:hideMark/>
          </w:tcPr>
          <w:p w14:paraId="2EF7101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800.317 </w:t>
            </w:r>
          </w:p>
        </w:tc>
      </w:tr>
      <w:tr w:rsidR="0035791B" w:rsidRPr="0040544C" w14:paraId="435DE2DE" w14:textId="77777777" w:rsidTr="0035791B">
        <w:trPr>
          <w:trHeight w:val="300"/>
        </w:trPr>
        <w:tc>
          <w:tcPr>
            <w:tcW w:w="760" w:type="pct"/>
            <w:noWrap/>
            <w:vAlign w:val="bottom"/>
            <w:hideMark/>
          </w:tcPr>
          <w:p w14:paraId="1C458669"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sportske dvorane</w:t>
            </w:r>
          </w:p>
        </w:tc>
        <w:tc>
          <w:tcPr>
            <w:tcW w:w="528" w:type="pct"/>
            <w:noWrap/>
            <w:vAlign w:val="bottom"/>
            <w:hideMark/>
          </w:tcPr>
          <w:p w14:paraId="32422ED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416.633 </w:t>
            </w:r>
          </w:p>
        </w:tc>
        <w:tc>
          <w:tcPr>
            <w:tcW w:w="530" w:type="pct"/>
            <w:noWrap/>
            <w:vAlign w:val="bottom"/>
            <w:hideMark/>
          </w:tcPr>
          <w:p w14:paraId="300C50B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423.010 </w:t>
            </w:r>
          </w:p>
        </w:tc>
        <w:tc>
          <w:tcPr>
            <w:tcW w:w="532" w:type="pct"/>
            <w:noWrap/>
            <w:vAlign w:val="bottom"/>
            <w:hideMark/>
          </w:tcPr>
          <w:p w14:paraId="6380549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426.871 </w:t>
            </w:r>
          </w:p>
        </w:tc>
        <w:tc>
          <w:tcPr>
            <w:tcW w:w="531" w:type="pct"/>
            <w:noWrap/>
            <w:vAlign w:val="bottom"/>
            <w:hideMark/>
          </w:tcPr>
          <w:p w14:paraId="4D39165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430.098 </w:t>
            </w:r>
          </w:p>
        </w:tc>
        <w:tc>
          <w:tcPr>
            <w:tcW w:w="531" w:type="pct"/>
            <w:noWrap/>
            <w:vAlign w:val="bottom"/>
            <w:hideMark/>
          </w:tcPr>
          <w:p w14:paraId="221AF56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434.347 </w:t>
            </w:r>
          </w:p>
        </w:tc>
        <w:tc>
          <w:tcPr>
            <w:tcW w:w="530" w:type="pct"/>
            <w:noWrap/>
            <w:vAlign w:val="bottom"/>
            <w:hideMark/>
          </w:tcPr>
          <w:p w14:paraId="7F4441A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438.660 </w:t>
            </w:r>
          </w:p>
        </w:tc>
        <w:tc>
          <w:tcPr>
            <w:tcW w:w="531" w:type="pct"/>
            <w:noWrap/>
            <w:vAlign w:val="bottom"/>
            <w:hideMark/>
          </w:tcPr>
          <w:p w14:paraId="7898C04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444.832 </w:t>
            </w:r>
          </w:p>
        </w:tc>
        <w:tc>
          <w:tcPr>
            <w:tcW w:w="527" w:type="pct"/>
            <w:noWrap/>
            <w:vAlign w:val="bottom"/>
            <w:hideMark/>
          </w:tcPr>
          <w:p w14:paraId="171608D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448.191 </w:t>
            </w:r>
          </w:p>
        </w:tc>
      </w:tr>
      <w:tr w:rsidR="0035791B" w:rsidRPr="0040544C" w14:paraId="3D575297" w14:textId="77777777" w:rsidTr="0035791B">
        <w:trPr>
          <w:trHeight w:val="300"/>
        </w:trPr>
        <w:tc>
          <w:tcPr>
            <w:tcW w:w="760" w:type="pct"/>
            <w:noWrap/>
            <w:vAlign w:val="bottom"/>
            <w:hideMark/>
          </w:tcPr>
          <w:p w14:paraId="03D5326C"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28" w:type="pct"/>
            <w:noWrap/>
            <w:vAlign w:val="bottom"/>
            <w:hideMark/>
          </w:tcPr>
          <w:p w14:paraId="24FC0F8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278.865 </w:t>
            </w:r>
          </w:p>
        </w:tc>
        <w:tc>
          <w:tcPr>
            <w:tcW w:w="530" w:type="pct"/>
            <w:noWrap/>
            <w:vAlign w:val="bottom"/>
            <w:hideMark/>
          </w:tcPr>
          <w:p w14:paraId="74EDAED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283.134 </w:t>
            </w:r>
          </w:p>
        </w:tc>
        <w:tc>
          <w:tcPr>
            <w:tcW w:w="532" w:type="pct"/>
            <w:noWrap/>
            <w:vAlign w:val="bottom"/>
            <w:hideMark/>
          </w:tcPr>
          <w:p w14:paraId="5D5A9D9E"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285.718 </w:t>
            </w:r>
          </w:p>
        </w:tc>
        <w:tc>
          <w:tcPr>
            <w:tcW w:w="531" w:type="pct"/>
            <w:noWrap/>
            <w:vAlign w:val="bottom"/>
            <w:hideMark/>
          </w:tcPr>
          <w:p w14:paraId="785D92E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287.878 </w:t>
            </w:r>
          </w:p>
        </w:tc>
        <w:tc>
          <w:tcPr>
            <w:tcW w:w="531" w:type="pct"/>
            <w:noWrap/>
            <w:vAlign w:val="bottom"/>
            <w:hideMark/>
          </w:tcPr>
          <w:p w14:paraId="38DAC12D"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290.722 </w:t>
            </w:r>
          </w:p>
        </w:tc>
        <w:tc>
          <w:tcPr>
            <w:tcW w:w="530" w:type="pct"/>
            <w:noWrap/>
            <w:vAlign w:val="bottom"/>
            <w:hideMark/>
          </w:tcPr>
          <w:p w14:paraId="3B31B9FC"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293.608 </w:t>
            </w:r>
          </w:p>
        </w:tc>
        <w:tc>
          <w:tcPr>
            <w:tcW w:w="531" w:type="pct"/>
            <w:noWrap/>
            <w:vAlign w:val="bottom"/>
            <w:hideMark/>
          </w:tcPr>
          <w:p w14:paraId="7DB8BBD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297.739 </w:t>
            </w:r>
          </w:p>
        </w:tc>
        <w:tc>
          <w:tcPr>
            <w:tcW w:w="527" w:type="pct"/>
            <w:noWrap/>
            <w:vAlign w:val="bottom"/>
            <w:hideMark/>
          </w:tcPr>
          <w:p w14:paraId="330AB89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299.988 </w:t>
            </w:r>
          </w:p>
        </w:tc>
      </w:tr>
      <w:tr w:rsidR="0035791B" w:rsidRPr="0040544C" w14:paraId="0B911819" w14:textId="77777777" w:rsidTr="0035791B">
        <w:trPr>
          <w:trHeight w:val="300"/>
        </w:trPr>
        <w:tc>
          <w:tcPr>
            <w:tcW w:w="760" w:type="pct"/>
            <w:noWrap/>
            <w:vAlign w:val="bottom"/>
            <w:hideMark/>
          </w:tcPr>
          <w:p w14:paraId="5A08425F"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28" w:type="pct"/>
            <w:noWrap/>
            <w:vAlign w:val="bottom"/>
            <w:hideMark/>
          </w:tcPr>
          <w:p w14:paraId="09E7165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137.768 </w:t>
            </w:r>
          </w:p>
        </w:tc>
        <w:tc>
          <w:tcPr>
            <w:tcW w:w="530" w:type="pct"/>
            <w:noWrap/>
            <w:vAlign w:val="bottom"/>
            <w:hideMark/>
          </w:tcPr>
          <w:p w14:paraId="0151140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139.877 </w:t>
            </w:r>
          </w:p>
        </w:tc>
        <w:tc>
          <w:tcPr>
            <w:tcW w:w="532" w:type="pct"/>
            <w:noWrap/>
            <w:vAlign w:val="bottom"/>
            <w:hideMark/>
          </w:tcPr>
          <w:p w14:paraId="1E79ECC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141.154 </w:t>
            </w:r>
          </w:p>
        </w:tc>
        <w:tc>
          <w:tcPr>
            <w:tcW w:w="531" w:type="pct"/>
            <w:noWrap/>
            <w:vAlign w:val="bottom"/>
            <w:hideMark/>
          </w:tcPr>
          <w:p w14:paraId="467DED9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142.221 </w:t>
            </w:r>
          </w:p>
        </w:tc>
        <w:tc>
          <w:tcPr>
            <w:tcW w:w="531" w:type="pct"/>
            <w:noWrap/>
            <w:vAlign w:val="bottom"/>
            <w:hideMark/>
          </w:tcPr>
          <w:p w14:paraId="6810373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143.626 </w:t>
            </w:r>
          </w:p>
        </w:tc>
        <w:tc>
          <w:tcPr>
            <w:tcW w:w="530" w:type="pct"/>
            <w:noWrap/>
            <w:vAlign w:val="bottom"/>
            <w:hideMark/>
          </w:tcPr>
          <w:p w14:paraId="5122550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145.052 </w:t>
            </w:r>
          </w:p>
        </w:tc>
        <w:tc>
          <w:tcPr>
            <w:tcW w:w="531" w:type="pct"/>
            <w:noWrap/>
            <w:vAlign w:val="bottom"/>
            <w:hideMark/>
          </w:tcPr>
          <w:p w14:paraId="2D24BB8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147.093 </w:t>
            </w:r>
          </w:p>
        </w:tc>
        <w:tc>
          <w:tcPr>
            <w:tcW w:w="527" w:type="pct"/>
            <w:noWrap/>
            <w:vAlign w:val="bottom"/>
            <w:hideMark/>
          </w:tcPr>
          <w:p w14:paraId="753BA0B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148.203 </w:t>
            </w:r>
          </w:p>
        </w:tc>
      </w:tr>
      <w:tr w:rsidR="0035791B" w:rsidRPr="0040544C" w14:paraId="42EBFAE4" w14:textId="77777777" w:rsidTr="0035791B">
        <w:trPr>
          <w:trHeight w:val="300"/>
        </w:trPr>
        <w:tc>
          <w:tcPr>
            <w:tcW w:w="760" w:type="pct"/>
            <w:noWrap/>
            <w:vAlign w:val="bottom"/>
            <w:hideMark/>
          </w:tcPr>
          <w:p w14:paraId="5856308D"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trgovina</w:t>
            </w:r>
          </w:p>
        </w:tc>
        <w:tc>
          <w:tcPr>
            <w:tcW w:w="528" w:type="pct"/>
            <w:noWrap/>
            <w:vAlign w:val="bottom"/>
            <w:hideMark/>
          </w:tcPr>
          <w:p w14:paraId="7D91774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0" w:type="pct"/>
            <w:noWrap/>
            <w:vAlign w:val="bottom"/>
            <w:hideMark/>
          </w:tcPr>
          <w:p w14:paraId="5099A16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2" w:type="pct"/>
            <w:noWrap/>
            <w:vAlign w:val="bottom"/>
            <w:hideMark/>
          </w:tcPr>
          <w:p w14:paraId="30D1D8B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1" w:type="pct"/>
            <w:noWrap/>
            <w:vAlign w:val="bottom"/>
            <w:hideMark/>
          </w:tcPr>
          <w:p w14:paraId="7D72C3D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1" w:type="pct"/>
            <w:noWrap/>
            <w:vAlign w:val="bottom"/>
            <w:hideMark/>
          </w:tcPr>
          <w:p w14:paraId="36CFB1CC"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0" w:type="pct"/>
            <w:noWrap/>
            <w:vAlign w:val="bottom"/>
            <w:hideMark/>
          </w:tcPr>
          <w:p w14:paraId="58E4BCD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31" w:type="pct"/>
            <w:noWrap/>
            <w:vAlign w:val="bottom"/>
            <w:hideMark/>
          </w:tcPr>
          <w:p w14:paraId="5A2D8D3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c>
          <w:tcPr>
            <w:tcW w:w="527" w:type="pct"/>
            <w:noWrap/>
            <w:vAlign w:val="bottom"/>
            <w:hideMark/>
          </w:tcPr>
          <w:p w14:paraId="208FACFC"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0 </w:t>
            </w:r>
          </w:p>
        </w:tc>
      </w:tr>
      <w:tr w:rsidR="0035791B" w:rsidRPr="0040544C" w14:paraId="05EA757F" w14:textId="77777777" w:rsidTr="0035791B">
        <w:trPr>
          <w:trHeight w:val="300"/>
        </w:trPr>
        <w:tc>
          <w:tcPr>
            <w:tcW w:w="760" w:type="pct"/>
            <w:noWrap/>
            <w:vAlign w:val="bottom"/>
            <w:hideMark/>
          </w:tcPr>
          <w:p w14:paraId="7204D145"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28" w:type="pct"/>
            <w:noWrap/>
            <w:vAlign w:val="bottom"/>
            <w:hideMark/>
          </w:tcPr>
          <w:p w14:paraId="3DDD391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6AE4902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2" w:type="pct"/>
            <w:noWrap/>
            <w:vAlign w:val="bottom"/>
            <w:hideMark/>
          </w:tcPr>
          <w:p w14:paraId="5D7B3615"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5AD69EAA"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7691D43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5386665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6611124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27" w:type="pct"/>
            <w:noWrap/>
            <w:vAlign w:val="bottom"/>
            <w:hideMark/>
          </w:tcPr>
          <w:p w14:paraId="37F67B7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35791B" w:rsidRPr="0040544C" w14:paraId="1E90C328" w14:textId="77777777" w:rsidTr="0035791B">
        <w:trPr>
          <w:trHeight w:val="300"/>
        </w:trPr>
        <w:tc>
          <w:tcPr>
            <w:tcW w:w="760" w:type="pct"/>
            <w:noWrap/>
            <w:vAlign w:val="bottom"/>
            <w:hideMark/>
          </w:tcPr>
          <w:p w14:paraId="0EAA3BA4"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28" w:type="pct"/>
            <w:noWrap/>
            <w:vAlign w:val="bottom"/>
            <w:hideMark/>
          </w:tcPr>
          <w:p w14:paraId="33BEC66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38CDAC9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2" w:type="pct"/>
            <w:noWrap/>
            <w:vAlign w:val="bottom"/>
            <w:hideMark/>
          </w:tcPr>
          <w:p w14:paraId="4562000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5BA80613"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57FDF89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0" w:type="pct"/>
            <w:noWrap/>
            <w:vAlign w:val="bottom"/>
            <w:hideMark/>
          </w:tcPr>
          <w:p w14:paraId="4535C19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31" w:type="pct"/>
            <w:noWrap/>
            <w:vAlign w:val="bottom"/>
            <w:hideMark/>
          </w:tcPr>
          <w:p w14:paraId="3A4FD14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c>
          <w:tcPr>
            <w:tcW w:w="527" w:type="pct"/>
            <w:noWrap/>
            <w:vAlign w:val="bottom"/>
            <w:hideMark/>
          </w:tcPr>
          <w:p w14:paraId="231CAFCB"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0 </w:t>
            </w:r>
          </w:p>
        </w:tc>
      </w:tr>
      <w:tr w:rsidR="0035791B" w:rsidRPr="0040544C" w14:paraId="33C11541" w14:textId="77777777" w:rsidTr="0035791B">
        <w:trPr>
          <w:trHeight w:val="300"/>
        </w:trPr>
        <w:tc>
          <w:tcPr>
            <w:tcW w:w="760" w:type="pct"/>
            <w:noWrap/>
            <w:vAlign w:val="bottom"/>
            <w:hideMark/>
          </w:tcPr>
          <w:p w14:paraId="329BA927"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ostalo</w:t>
            </w:r>
          </w:p>
        </w:tc>
        <w:tc>
          <w:tcPr>
            <w:tcW w:w="528" w:type="pct"/>
            <w:noWrap/>
            <w:vAlign w:val="bottom"/>
            <w:hideMark/>
          </w:tcPr>
          <w:p w14:paraId="18B50BEC"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433.834 </w:t>
            </w:r>
          </w:p>
        </w:tc>
        <w:tc>
          <w:tcPr>
            <w:tcW w:w="530" w:type="pct"/>
            <w:noWrap/>
            <w:vAlign w:val="bottom"/>
            <w:hideMark/>
          </w:tcPr>
          <w:p w14:paraId="74970C8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443.924 </w:t>
            </w:r>
          </w:p>
        </w:tc>
        <w:tc>
          <w:tcPr>
            <w:tcW w:w="532" w:type="pct"/>
            <w:noWrap/>
            <w:vAlign w:val="bottom"/>
            <w:hideMark/>
          </w:tcPr>
          <w:p w14:paraId="61C8DFA0"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453.832 </w:t>
            </w:r>
          </w:p>
        </w:tc>
        <w:tc>
          <w:tcPr>
            <w:tcW w:w="531" w:type="pct"/>
            <w:noWrap/>
            <w:vAlign w:val="bottom"/>
            <w:hideMark/>
          </w:tcPr>
          <w:p w14:paraId="7237E0B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459.706 </w:t>
            </w:r>
          </w:p>
        </w:tc>
        <w:tc>
          <w:tcPr>
            <w:tcW w:w="531" w:type="pct"/>
            <w:noWrap/>
            <w:vAlign w:val="bottom"/>
            <w:hideMark/>
          </w:tcPr>
          <w:p w14:paraId="64B4429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470.260 </w:t>
            </w:r>
          </w:p>
        </w:tc>
        <w:tc>
          <w:tcPr>
            <w:tcW w:w="530" w:type="pct"/>
            <w:noWrap/>
            <w:vAlign w:val="bottom"/>
            <w:hideMark/>
          </w:tcPr>
          <w:p w14:paraId="726B759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492.423 </w:t>
            </w:r>
          </w:p>
        </w:tc>
        <w:tc>
          <w:tcPr>
            <w:tcW w:w="531" w:type="pct"/>
            <w:noWrap/>
            <w:vAlign w:val="bottom"/>
            <w:hideMark/>
          </w:tcPr>
          <w:p w14:paraId="1F8B20C9"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506.244 </w:t>
            </w:r>
          </w:p>
        </w:tc>
        <w:tc>
          <w:tcPr>
            <w:tcW w:w="527" w:type="pct"/>
            <w:noWrap/>
            <w:vAlign w:val="bottom"/>
            <w:hideMark/>
          </w:tcPr>
          <w:p w14:paraId="37758D7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 xml:space="preserve">517.752 </w:t>
            </w:r>
          </w:p>
        </w:tc>
      </w:tr>
      <w:tr w:rsidR="0035791B" w:rsidRPr="0040544C" w14:paraId="427ABCBC" w14:textId="77777777" w:rsidTr="0035791B">
        <w:trPr>
          <w:trHeight w:val="300"/>
        </w:trPr>
        <w:tc>
          <w:tcPr>
            <w:tcW w:w="760" w:type="pct"/>
            <w:noWrap/>
            <w:vAlign w:val="bottom"/>
            <w:hideMark/>
          </w:tcPr>
          <w:p w14:paraId="11591E3B"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28" w:type="pct"/>
            <w:noWrap/>
            <w:vAlign w:val="bottom"/>
            <w:hideMark/>
          </w:tcPr>
          <w:p w14:paraId="22E97914"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337.719 </w:t>
            </w:r>
          </w:p>
        </w:tc>
        <w:tc>
          <w:tcPr>
            <w:tcW w:w="530" w:type="pct"/>
            <w:noWrap/>
            <w:vAlign w:val="bottom"/>
            <w:hideMark/>
          </w:tcPr>
          <w:p w14:paraId="71D6BE38"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345.573 </w:t>
            </w:r>
          </w:p>
        </w:tc>
        <w:tc>
          <w:tcPr>
            <w:tcW w:w="532" w:type="pct"/>
            <w:noWrap/>
            <w:vAlign w:val="bottom"/>
            <w:hideMark/>
          </w:tcPr>
          <w:p w14:paraId="564C4EE6"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353.286 </w:t>
            </w:r>
          </w:p>
        </w:tc>
        <w:tc>
          <w:tcPr>
            <w:tcW w:w="531" w:type="pct"/>
            <w:noWrap/>
            <w:vAlign w:val="bottom"/>
            <w:hideMark/>
          </w:tcPr>
          <w:p w14:paraId="487B9E67"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357.859 </w:t>
            </w:r>
          </w:p>
        </w:tc>
        <w:tc>
          <w:tcPr>
            <w:tcW w:w="531" w:type="pct"/>
            <w:noWrap/>
            <w:vAlign w:val="bottom"/>
            <w:hideMark/>
          </w:tcPr>
          <w:p w14:paraId="4978AEE2"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366.075 </w:t>
            </w:r>
          </w:p>
        </w:tc>
        <w:tc>
          <w:tcPr>
            <w:tcW w:w="530" w:type="pct"/>
            <w:noWrap/>
            <w:vAlign w:val="bottom"/>
            <w:hideMark/>
          </w:tcPr>
          <w:p w14:paraId="35D9E94C"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383.328 </w:t>
            </w:r>
          </w:p>
        </w:tc>
        <w:tc>
          <w:tcPr>
            <w:tcW w:w="531" w:type="pct"/>
            <w:noWrap/>
            <w:vAlign w:val="bottom"/>
            <w:hideMark/>
          </w:tcPr>
          <w:p w14:paraId="03D7D03F"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394.087 </w:t>
            </w:r>
          </w:p>
        </w:tc>
        <w:tc>
          <w:tcPr>
            <w:tcW w:w="527" w:type="pct"/>
            <w:noWrap/>
            <w:vAlign w:val="bottom"/>
            <w:hideMark/>
          </w:tcPr>
          <w:p w14:paraId="095CA6E1" w14:textId="77777777" w:rsidR="00641221" w:rsidRPr="008C7825" w:rsidRDefault="00641221" w:rsidP="00334A49">
            <w:pPr>
              <w:keepNext/>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403.045 </w:t>
            </w:r>
          </w:p>
        </w:tc>
      </w:tr>
      <w:tr w:rsidR="0035791B" w:rsidRPr="0040544C" w14:paraId="1ADDCEB0" w14:textId="77777777" w:rsidTr="0035791B">
        <w:trPr>
          <w:trHeight w:val="300"/>
        </w:trPr>
        <w:tc>
          <w:tcPr>
            <w:tcW w:w="760" w:type="pct"/>
            <w:noWrap/>
            <w:vAlign w:val="bottom"/>
            <w:hideMark/>
          </w:tcPr>
          <w:p w14:paraId="79A75E92" w14:textId="77777777" w:rsidR="00641221" w:rsidRPr="008C7825" w:rsidRDefault="00641221" w:rsidP="00641221">
            <w:pPr>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28" w:type="pct"/>
            <w:noWrap/>
            <w:vAlign w:val="bottom"/>
            <w:hideMark/>
          </w:tcPr>
          <w:p w14:paraId="24E404EC" w14:textId="77777777" w:rsidR="00641221" w:rsidRPr="008C7825" w:rsidRDefault="00641221" w:rsidP="00641221">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96.115 </w:t>
            </w:r>
          </w:p>
        </w:tc>
        <w:tc>
          <w:tcPr>
            <w:tcW w:w="530" w:type="pct"/>
            <w:noWrap/>
            <w:vAlign w:val="bottom"/>
            <w:hideMark/>
          </w:tcPr>
          <w:p w14:paraId="5A9D8B34" w14:textId="77777777" w:rsidR="00641221" w:rsidRPr="008C7825" w:rsidRDefault="00641221" w:rsidP="00641221">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98.350 </w:t>
            </w:r>
          </w:p>
        </w:tc>
        <w:tc>
          <w:tcPr>
            <w:tcW w:w="532" w:type="pct"/>
            <w:noWrap/>
            <w:vAlign w:val="bottom"/>
            <w:hideMark/>
          </w:tcPr>
          <w:p w14:paraId="68F22FF1" w14:textId="77777777" w:rsidR="00641221" w:rsidRPr="008C7825" w:rsidRDefault="00641221" w:rsidP="00641221">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100.545 </w:t>
            </w:r>
          </w:p>
        </w:tc>
        <w:tc>
          <w:tcPr>
            <w:tcW w:w="531" w:type="pct"/>
            <w:noWrap/>
            <w:vAlign w:val="bottom"/>
            <w:hideMark/>
          </w:tcPr>
          <w:p w14:paraId="2E261987" w14:textId="77777777" w:rsidR="00641221" w:rsidRPr="008C7825" w:rsidRDefault="00641221" w:rsidP="00641221">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101.847 </w:t>
            </w:r>
          </w:p>
        </w:tc>
        <w:tc>
          <w:tcPr>
            <w:tcW w:w="531" w:type="pct"/>
            <w:noWrap/>
            <w:vAlign w:val="bottom"/>
            <w:hideMark/>
          </w:tcPr>
          <w:p w14:paraId="06AE15E1" w14:textId="77777777" w:rsidR="00641221" w:rsidRPr="008C7825" w:rsidRDefault="00641221" w:rsidP="00641221">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104.185 </w:t>
            </w:r>
          </w:p>
        </w:tc>
        <w:tc>
          <w:tcPr>
            <w:tcW w:w="530" w:type="pct"/>
            <w:noWrap/>
            <w:vAlign w:val="bottom"/>
            <w:hideMark/>
          </w:tcPr>
          <w:p w14:paraId="5F8A174D" w14:textId="77777777" w:rsidR="00641221" w:rsidRPr="008C7825" w:rsidRDefault="00641221" w:rsidP="00641221">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109.095 </w:t>
            </w:r>
          </w:p>
        </w:tc>
        <w:tc>
          <w:tcPr>
            <w:tcW w:w="531" w:type="pct"/>
            <w:noWrap/>
            <w:vAlign w:val="bottom"/>
            <w:hideMark/>
          </w:tcPr>
          <w:p w14:paraId="4FACD883" w14:textId="77777777" w:rsidR="00641221" w:rsidRPr="008C7825" w:rsidRDefault="00641221" w:rsidP="00641221">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112.157 </w:t>
            </w:r>
          </w:p>
        </w:tc>
        <w:tc>
          <w:tcPr>
            <w:tcW w:w="527" w:type="pct"/>
            <w:noWrap/>
            <w:vAlign w:val="bottom"/>
            <w:hideMark/>
          </w:tcPr>
          <w:p w14:paraId="34FAF6E0" w14:textId="77777777" w:rsidR="00641221" w:rsidRPr="008C7825" w:rsidRDefault="00641221" w:rsidP="00641221">
            <w:pPr>
              <w:tabs>
                <w:tab w:val="clear" w:pos="431"/>
              </w:tabs>
              <w:spacing w:after="0" w:line="240" w:lineRule="auto"/>
              <w:ind w:left="0"/>
              <w:jc w:val="righ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114.707 </w:t>
            </w:r>
          </w:p>
        </w:tc>
      </w:tr>
    </w:tbl>
    <w:p w14:paraId="4A4EEB36" w14:textId="77777777" w:rsidR="0040544C" w:rsidRDefault="0040544C" w:rsidP="008C7825"/>
    <w:p w14:paraId="50A25613" w14:textId="77777777" w:rsidR="006253D7" w:rsidRPr="006253D7" w:rsidRDefault="006253D7" w:rsidP="00334A49">
      <w:r w:rsidRPr="006253D7">
        <w:lastRenderedPageBreak/>
        <w:br w:type="page"/>
      </w:r>
    </w:p>
    <w:p w14:paraId="7ECD0079" w14:textId="77777777" w:rsidR="000F0149" w:rsidRDefault="00A422E6" w:rsidP="007649C2">
      <w:pPr>
        <w:pStyle w:val="Naslov20"/>
      </w:pPr>
      <w:bookmarkStart w:id="44" w:name="_Toc34052860"/>
      <w:bookmarkStart w:id="45" w:name="_Toc46163803"/>
      <w:r w:rsidRPr="00A422E6">
        <w:lastRenderedPageBreak/>
        <w:t>Pregled nacionalnog fonda zgrada prema području (urbano/ruralno</w:t>
      </w:r>
      <w:r w:rsidR="00BE6ECE">
        <w:t>, županija/grad/općina</w:t>
      </w:r>
      <w:r w:rsidRPr="00A422E6">
        <w:t>)</w:t>
      </w:r>
      <w:bookmarkEnd w:id="44"/>
      <w:bookmarkEnd w:id="45"/>
    </w:p>
    <w:p w14:paraId="19981F8A" w14:textId="2127E441" w:rsidR="00E806C8" w:rsidRDefault="007745B0">
      <w:r>
        <w:t xml:space="preserve">Nacionalni fond </w:t>
      </w:r>
      <w:r w:rsidR="006B2472">
        <w:t xml:space="preserve">stambenih </w:t>
      </w:r>
      <w:r>
        <w:t xml:space="preserve">zgrada </w:t>
      </w:r>
      <w:r w:rsidR="00C63931">
        <w:t>analiziran je na razini županija</w:t>
      </w:r>
      <w:r w:rsidR="006B2472">
        <w:t xml:space="preserve"> </w:t>
      </w:r>
      <w:r w:rsidR="00641221">
        <w:t xml:space="preserve">te </w:t>
      </w:r>
      <w:r w:rsidR="00987645">
        <w:t>je analizirana</w:t>
      </w:r>
      <w:r w:rsidR="006B2472">
        <w:t xml:space="preserve"> dinamik</w:t>
      </w:r>
      <w:r w:rsidR="0036163F">
        <w:t>a</w:t>
      </w:r>
      <w:r w:rsidR="006B2472">
        <w:t xml:space="preserve"> povećanja ukupne površine stambenih zgrada u razdoblju od 2011. do 201</w:t>
      </w:r>
      <w:r w:rsidR="00D4204D">
        <w:t>7</w:t>
      </w:r>
      <w:r w:rsidR="006B2472">
        <w:t xml:space="preserve">. godine. </w:t>
      </w:r>
      <w:r w:rsidR="00E806C8">
        <w:t xml:space="preserve">po županijama. </w:t>
      </w:r>
    </w:p>
    <w:p w14:paraId="7BFEB517" w14:textId="58D3F871" w:rsidR="00E806C8" w:rsidRDefault="00925A4B" w:rsidP="00E806C8">
      <w:pPr>
        <w:rPr>
          <w:lang w:eastAsia="hr-HR"/>
        </w:rPr>
      </w:pPr>
      <w:r>
        <w:rPr>
          <w:lang w:eastAsia="hr-HR"/>
        </w:rPr>
        <w:fldChar w:fldCharType="begin"/>
      </w:r>
      <w:r>
        <w:rPr>
          <w:lang w:eastAsia="hr-HR"/>
        </w:rPr>
        <w:instrText xml:space="preserve"> REF _Ref45721962 \h </w:instrText>
      </w:r>
      <w:r>
        <w:rPr>
          <w:lang w:eastAsia="hr-HR"/>
        </w:rPr>
      </w:r>
      <w:r>
        <w:rPr>
          <w:lang w:eastAsia="hr-HR"/>
        </w:rPr>
        <w:fldChar w:fldCharType="separate"/>
      </w:r>
      <w:r w:rsidR="00CE61F3">
        <w:t xml:space="preserve">Tablica </w:t>
      </w:r>
      <w:r w:rsidR="00CE61F3">
        <w:rPr>
          <w:noProof/>
        </w:rPr>
        <w:t>11</w:t>
      </w:r>
      <w:r>
        <w:rPr>
          <w:lang w:eastAsia="hr-HR"/>
        </w:rPr>
        <w:fldChar w:fldCharType="end"/>
      </w:r>
      <w:r>
        <w:rPr>
          <w:lang w:eastAsia="hr-HR"/>
        </w:rPr>
        <w:t xml:space="preserve"> </w:t>
      </w:r>
      <w:r w:rsidR="00E806C8">
        <w:rPr>
          <w:lang w:eastAsia="hr-HR"/>
        </w:rPr>
        <w:t xml:space="preserve">daje </w:t>
      </w:r>
      <w:r w:rsidR="001A7DFF">
        <w:rPr>
          <w:lang w:eastAsia="hr-HR"/>
        </w:rPr>
        <w:t xml:space="preserve">omjer </w:t>
      </w:r>
      <w:r w:rsidR="00E806C8">
        <w:rPr>
          <w:lang w:eastAsia="hr-HR"/>
        </w:rPr>
        <w:t xml:space="preserve">porasta površine </w:t>
      </w:r>
      <w:r w:rsidR="00C67F0A">
        <w:rPr>
          <w:lang w:eastAsia="hr-HR"/>
        </w:rPr>
        <w:t>u odnosu na prethodnu godinu (</w:t>
      </w:r>
      <w:r w:rsidR="00D21106">
        <w:rPr>
          <w:lang w:eastAsia="hr-HR"/>
        </w:rPr>
        <w:t>2012</w:t>
      </w:r>
      <w:r w:rsidR="008A327C">
        <w:rPr>
          <w:lang w:eastAsia="hr-HR"/>
        </w:rPr>
        <w:t>.</w:t>
      </w:r>
      <w:r w:rsidR="00D21106">
        <w:rPr>
          <w:lang w:eastAsia="hr-HR"/>
        </w:rPr>
        <w:t xml:space="preserve"> u odnosu na 2011</w:t>
      </w:r>
      <w:r w:rsidR="008A327C">
        <w:rPr>
          <w:lang w:eastAsia="hr-HR"/>
        </w:rPr>
        <w:t>.</w:t>
      </w:r>
      <w:r w:rsidR="00D21106">
        <w:rPr>
          <w:lang w:eastAsia="hr-HR"/>
        </w:rPr>
        <w:t>, 2013</w:t>
      </w:r>
      <w:r w:rsidR="008A327C">
        <w:rPr>
          <w:lang w:eastAsia="hr-HR"/>
        </w:rPr>
        <w:t>.</w:t>
      </w:r>
      <w:r w:rsidR="00D21106">
        <w:rPr>
          <w:lang w:eastAsia="hr-HR"/>
        </w:rPr>
        <w:t xml:space="preserve"> u odnosu na 2012</w:t>
      </w:r>
      <w:r w:rsidR="008A327C">
        <w:rPr>
          <w:lang w:eastAsia="hr-HR"/>
        </w:rPr>
        <w:t xml:space="preserve">., itd.) </w:t>
      </w:r>
      <w:r w:rsidR="00E806C8">
        <w:rPr>
          <w:lang w:eastAsia="hr-HR"/>
        </w:rPr>
        <w:t xml:space="preserve">stambenih zgrada po županijama, te uz manje odstupanje grada Zagreba i Međimurske županije pokazuje iznadprosječno povećanje površine stambenih zgrada u primorskim županijama, odnosno ispodprosječno u kontinentalnim županijama. </w:t>
      </w:r>
    </w:p>
    <w:p w14:paraId="757629E4" w14:textId="60ADEF3E" w:rsidR="00E806C8" w:rsidRDefault="00E806C8" w:rsidP="006253D7">
      <w:pPr>
        <w:pStyle w:val="Opisslike"/>
        <w:keepNext/>
      </w:pPr>
      <w:bookmarkStart w:id="46" w:name="_Ref45721962"/>
      <w:bookmarkStart w:id="47" w:name="_Ref29902203"/>
      <w:bookmarkStart w:id="48" w:name="_Toc40089028"/>
      <w:r>
        <w:t xml:space="preserve">Tablica </w:t>
      </w:r>
      <w:r w:rsidR="00A50909">
        <w:fldChar w:fldCharType="begin"/>
      </w:r>
      <w:r w:rsidR="00A50909">
        <w:instrText xml:space="preserve"> SEQ Tablica \* ARABIC </w:instrText>
      </w:r>
      <w:r w:rsidR="00A50909">
        <w:fldChar w:fldCharType="separate"/>
      </w:r>
      <w:r w:rsidR="00CE61F3">
        <w:rPr>
          <w:noProof/>
        </w:rPr>
        <w:t>11</w:t>
      </w:r>
      <w:r w:rsidR="00A50909">
        <w:rPr>
          <w:noProof/>
        </w:rPr>
        <w:fldChar w:fldCharType="end"/>
      </w:r>
      <w:bookmarkEnd w:id="46"/>
      <w:r>
        <w:t xml:space="preserve"> G</w:t>
      </w:r>
      <w:r w:rsidRPr="00091C58">
        <w:t xml:space="preserve">odišnji </w:t>
      </w:r>
      <w:r w:rsidR="00112AD9">
        <w:t>omjer</w:t>
      </w:r>
      <w:r w:rsidR="00112AD9" w:rsidRPr="00091C58">
        <w:t xml:space="preserve"> </w:t>
      </w:r>
      <w:r w:rsidRPr="00091C58">
        <w:t>porasta površine stambenih zgrada po županijama</w:t>
      </w:r>
      <w:bookmarkEnd w:id="47"/>
      <w:r w:rsidR="00B442C0">
        <w:t xml:space="preserve"> 2011 do 2017 godine</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175"/>
        <w:gridCol w:w="869"/>
        <w:gridCol w:w="869"/>
        <w:gridCol w:w="869"/>
        <w:gridCol w:w="869"/>
        <w:gridCol w:w="869"/>
      </w:tblGrid>
      <w:tr w:rsidR="00E806C8" w:rsidRPr="00146021" w14:paraId="2EFFD05B" w14:textId="77777777" w:rsidTr="00E806C8">
        <w:trPr>
          <w:trHeight w:val="300"/>
        </w:trPr>
        <w:tc>
          <w:tcPr>
            <w:tcW w:w="2046" w:type="pct"/>
            <w:noWrap/>
            <w:vAlign w:val="bottom"/>
            <w:hideMark/>
          </w:tcPr>
          <w:p w14:paraId="5131F774"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p>
        </w:tc>
        <w:tc>
          <w:tcPr>
            <w:tcW w:w="629" w:type="pct"/>
            <w:noWrap/>
            <w:vAlign w:val="bottom"/>
            <w:hideMark/>
          </w:tcPr>
          <w:p w14:paraId="04EEFF13"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2012/</w:t>
            </w:r>
          </w:p>
          <w:p w14:paraId="5FBC3EE3"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2011</w:t>
            </w:r>
          </w:p>
        </w:tc>
        <w:tc>
          <w:tcPr>
            <w:tcW w:w="465" w:type="pct"/>
            <w:noWrap/>
            <w:vAlign w:val="bottom"/>
            <w:hideMark/>
          </w:tcPr>
          <w:p w14:paraId="53C57324"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2013/</w:t>
            </w:r>
          </w:p>
          <w:p w14:paraId="58DEFC66"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2012</w:t>
            </w:r>
          </w:p>
        </w:tc>
        <w:tc>
          <w:tcPr>
            <w:tcW w:w="465" w:type="pct"/>
            <w:noWrap/>
            <w:vAlign w:val="bottom"/>
            <w:hideMark/>
          </w:tcPr>
          <w:p w14:paraId="7D85CA77"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2014/</w:t>
            </w:r>
          </w:p>
          <w:p w14:paraId="10B52946"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2013</w:t>
            </w:r>
          </w:p>
        </w:tc>
        <w:tc>
          <w:tcPr>
            <w:tcW w:w="465" w:type="pct"/>
            <w:noWrap/>
            <w:vAlign w:val="bottom"/>
            <w:hideMark/>
          </w:tcPr>
          <w:p w14:paraId="10FD2797"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2015/</w:t>
            </w:r>
          </w:p>
          <w:p w14:paraId="5AE4986E"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2014</w:t>
            </w:r>
          </w:p>
        </w:tc>
        <w:tc>
          <w:tcPr>
            <w:tcW w:w="465" w:type="pct"/>
            <w:noWrap/>
            <w:vAlign w:val="bottom"/>
            <w:hideMark/>
          </w:tcPr>
          <w:p w14:paraId="0EB8A63B"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2016/</w:t>
            </w:r>
          </w:p>
          <w:p w14:paraId="5CCDD8FC"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2015</w:t>
            </w:r>
          </w:p>
        </w:tc>
        <w:tc>
          <w:tcPr>
            <w:tcW w:w="465" w:type="pct"/>
            <w:noWrap/>
            <w:vAlign w:val="bottom"/>
            <w:hideMark/>
          </w:tcPr>
          <w:p w14:paraId="600A142F"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2017/</w:t>
            </w:r>
          </w:p>
          <w:p w14:paraId="7DB54AB4"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2016</w:t>
            </w:r>
          </w:p>
        </w:tc>
      </w:tr>
      <w:tr w:rsidR="00E806C8" w:rsidRPr="00146021" w14:paraId="22B52645" w14:textId="77777777" w:rsidTr="008C7825">
        <w:trPr>
          <w:trHeight w:val="300"/>
        </w:trPr>
        <w:tc>
          <w:tcPr>
            <w:tcW w:w="2046" w:type="pct"/>
            <w:shd w:val="clear" w:color="auto" w:fill="FFF2CC" w:themeFill="accent4" w:themeFillTint="33"/>
            <w:noWrap/>
            <w:vAlign w:val="bottom"/>
            <w:hideMark/>
          </w:tcPr>
          <w:p w14:paraId="26E8FB5E"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Vukovarsko-srijemska županija</w:t>
            </w:r>
          </w:p>
        </w:tc>
        <w:tc>
          <w:tcPr>
            <w:tcW w:w="629" w:type="pct"/>
            <w:shd w:val="clear" w:color="000000" w:fill="C0E4CB"/>
            <w:noWrap/>
            <w:vAlign w:val="bottom"/>
            <w:hideMark/>
          </w:tcPr>
          <w:p w14:paraId="5300037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FAD4D6"/>
            <w:noWrap/>
            <w:vAlign w:val="bottom"/>
            <w:hideMark/>
          </w:tcPr>
          <w:p w14:paraId="4292B10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B3B6"/>
            <w:noWrap/>
            <w:vAlign w:val="bottom"/>
            <w:hideMark/>
          </w:tcPr>
          <w:p w14:paraId="109EDCA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8696B"/>
            <w:noWrap/>
            <w:vAlign w:val="bottom"/>
            <w:hideMark/>
          </w:tcPr>
          <w:p w14:paraId="3983842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0,999</w:t>
            </w:r>
          </w:p>
        </w:tc>
        <w:tc>
          <w:tcPr>
            <w:tcW w:w="465" w:type="pct"/>
            <w:shd w:val="clear" w:color="000000" w:fill="F88284"/>
            <w:noWrap/>
            <w:vAlign w:val="bottom"/>
            <w:hideMark/>
          </w:tcPr>
          <w:p w14:paraId="0570A5D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1,000</w:t>
            </w:r>
          </w:p>
        </w:tc>
        <w:tc>
          <w:tcPr>
            <w:tcW w:w="465" w:type="pct"/>
            <w:shd w:val="clear" w:color="000000" w:fill="FAC5C8"/>
            <w:noWrap/>
            <w:vAlign w:val="bottom"/>
            <w:hideMark/>
          </w:tcPr>
          <w:p w14:paraId="4D96869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6D3E8FA8" w14:textId="77777777" w:rsidTr="008C7825">
        <w:trPr>
          <w:trHeight w:val="300"/>
        </w:trPr>
        <w:tc>
          <w:tcPr>
            <w:tcW w:w="2046" w:type="pct"/>
            <w:shd w:val="clear" w:color="auto" w:fill="FFF2CC" w:themeFill="accent4" w:themeFillTint="33"/>
            <w:noWrap/>
            <w:vAlign w:val="bottom"/>
            <w:hideMark/>
          </w:tcPr>
          <w:p w14:paraId="1A89E462"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Koprivničko-križevačka županija</w:t>
            </w:r>
          </w:p>
        </w:tc>
        <w:tc>
          <w:tcPr>
            <w:tcW w:w="629" w:type="pct"/>
            <w:shd w:val="clear" w:color="000000" w:fill="FBF7FA"/>
            <w:noWrap/>
            <w:vAlign w:val="bottom"/>
            <w:hideMark/>
          </w:tcPr>
          <w:p w14:paraId="370B49B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B7B9"/>
            <w:noWrap/>
            <w:vAlign w:val="bottom"/>
            <w:hideMark/>
          </w:tcPr>
          <w:p w14:paraId="47188BB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EC1"/>
            <w:noWrap/>
            <w:vAlign w:val="bottom"/>
            <w:hideMark/>
          </w:tcPr>
          <w:p w14:paraId="13B58E5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7BA"/>
            <w:noWrap/>
            <w:vAlign w:val="bottom"/>
            <w:hideMark/>
          </w:tcPr>
          <w:p w14:paraId="3722F17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BBD"/>
            <w:noWrap/>
            <w:vAlign w:val="bottom"/>
            <w:hideMark/>
          </w:tcPr>
          <w:p w14:paraId="5296CCE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BE3E6"/>
            <w:noWrap/>
            <w:vAlign w:val="bottom"/>
            <w:hideMark/>
          </w:tcPr>
          <w:p w14:paraId="7E3FB63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r>
      <w:tr w:rsidR="00E806C8" w:rsidRPr="00146021" w14:paraId="6FE22F17" w14:textId="77777777" w:rsidTr="008C7825">
        <w:trPr>
          <w:trHeight w:val="300"/>
        </w:trPr>
        <w:tc>
          <w:tcPr>
            <w:tcW w:w="2046" w:type="pct"/>
            <w:shd w:val="clear" w:color="auto" w:fill="FFF2CC" w:themeFill="accent4" w:themeFillTint="33"/>
            <w:noWrap/>
            <w:vAlign w:val="bottom"/>
            <w:hideMark/>
          </w:tcPr>
          <w:p w14:paraId="141A100D"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Krapinsko-zagorska županija</w:t>
            </w:r>
          </w:p>
        </w:tc>
        <w:tc>
          <w:tcPr>
            <w:tcW w:w="629" w:type="pct"/>
            <w:shd w:val="clear" w:color="000000" w:fill="FBE7EA"/>
            <w:noWrap/>
            <w:vAlign w:val="bottom"/>
            <w:hideMark/>
          </w:tcPr>
          <w:p w14:paraId="46E68B7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E6E9"/>
            <w:noWrap/>
            <w:vAlign w:val="bottom"/>
            <w:hideMark/>
          </w:tcPr>
          <w:p w14:paraId="1581AF7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C0C2"/>
            <w:noWrap/>
            <w:vAlign w:val="bottom"/>
            <w:hideMark/>
          </w:tcPr>
          <w:p w14:paraId="2B357AD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CBF"/>
            <w:noWrap/>
            <w:vAlign w:val="bottom"/>
            <w:hideMark/>
          </w:tcPr>
          <w:p w14:paraId="3DB75C2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4B6"/>
            <w:noWrap/>
            <w:vAlign w:val="bottom"/>
            <w:hideMark/>
          </w:tcPr>
          <w:p w14:paraId="3E58402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C4C6"/>
            <w:noWrap/>
            <w:vAlign w:val="bottom"/>
            <w:hideMark/>
          </w:tcPr>
          <w:p w14:paraId="5AA10FA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7C7F0250" w14:textId="77777777" w:rsidTr="008C7825">
        <w:trPr>
          <w:trHeight w:val="300"/>
        </w:trPr>
        <w:tc>
          <w:tcPr>
            <w:tcW w:w="2046" w:type="pct"/>
            <w:shd w:val="clear" w:color="auto" w:fill="FFF2CC" w:themeFill="accent4" w:themeFillTint="33"/>
            <w:noWrap/>
            <w:vAlign w:val="bottom"/>
            <w:hideMark/>
          </w:tcPr>
          <w:p w14:paraId="533572C0"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Osječko-baranjska županija</w:t>
            </w:r>
          </w:p>
        </w:tc>
        <w:tc>
          <w:tcPr>
            <w:tcW w:w="629" w:type="pct"/>
            <w:shd w:val="clear" w:color="000000" w:fill="FBEAED"/>
            <w:noWrap/>
            <w:vAlign w:val="bottom"/>
            <w:hideMark/>
          </w:tcPr>
          <w:p w14:paraId="4480111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5FAF9"/>
            <w:noWrap/>
            <w:vAlign w:val="bottom"/>
            <w:hideMark/>
          </w:tcPr>
          <w:p w14:paraId="001C2A9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AC1C3"/>
            <w:noWrap/>
            <w:vAlign w:val="bottom"/>
            <w:hideMark/>
          </w:tcPr>
          <w:p w14:paraId="539AEC7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6B9"/>
            <w:noWrap/>
            <w:vAlign w:val="bottom"/>
            <w:hideMark/>
          </w:tcPr>
          <w:p w14:paraId="796FB7D3"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9A8AA"/>
            <w:noWrap/>
            <w:vAlign w:val="bottom"/>
            <w:hideMark/>
          </w:tcPr>
          <w:p w14:paraId="4DEC1343"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1,001</w:t>
            </w:r>
          </w:p>
        </w:tc>
        <w:tc>
          <w:tcPr>
            <w:tcW w:w="465" w:type="pct"/>
            <w:shd w:val="clear" w:color="000000" w:fill="FABCBF"/>
            <w:noWrap/>
            <w:vAlign w:val="bottom"/>
            <w:hideMark/>
          </w:tcPr>
          <w:p w14:paraId="74ABC3A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11761499" w14:textId="77777777" w:rsidTr="008C7825">
        <w:trPr>
          <w:trHeight w:val="300"/>
        </w:trPr>
        <w:tc>
          <w:tcPr>
            <w:tcW w:w="2046" w:type="pct"/>
            <w:shd w:val="clear" w:color="auto" w:fill="FFF2CC" w:themeFill="accent4" w:themeFillTint="33"/>
            <w:noWrap/>
            <w:vAlign w:val="bottom"/>
            <w:hideMark/>
          </w:tcPr>
          <w:p w14:paraId="2F88AD13"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Sisačko-moslavačka županija</w:t>
            </w:r>
          </w:p>
        </w:tc>
        <w:tc>
          <w:tcPr>
            <w:tcW w:w="629" w:type="pct"/>
            <w:shd w:val="clear" w:color="000000" w:fill="FBF8FB"/>
            <w:noWrap/>
            <w:vAlign w:val="bottom"/>
            <w:hideMark/>
          </w:tcPr>
          <w:p w14:paraId="29648F0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E4E7"/>
            <w:noWrap/>
            <w:vAlign w:val="bottom"/>
            <w:hideMark/>
          </w:tcPr>
          <w:p w14:paraId="11D0440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6FAFA"/>
            <w:noWrap/>
            <w:vAlign w:val="bottom"/>
            <w:hideMark/>
          </w:tcPr>
          <w:p w14:paraId="7DCDBE3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9A7A9"/>
            <w:noWrap/>
            <w:vAlign w:val="bottom"/>
            <w:hideMark/>
          </w:tcPr>
          <w:p w14:paraId="59082F3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1,001</w:t>
            </w:r>
          </w:p>
        </w:tc>
        <w:tc>
          <w:tcPr>
            <w:tcW w:w="465" w:type="pct"/>
            <w:shd w:val="clear" w:color="000000" w:fill="F9A2A4"/>
            <w:noWrap/>
            <w:vAlign w:val="bottom"/>
            <w:hideMark/>
          </w:tcPr>
          <w:p w14:paraId="2A08DB0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1,001</w:t>
            </w:r>
          </w:p>
        </w:tc>
        <w:tc>
          <w:tcPr>
            <w:tcW w:w="465" w:type="pct"/>
            <w:shd w:val="clear" w:color="000000" w:fill="F9AEB0"/>
            <w:noWrap/>
            <w:vAlign w:val="bottom"/>
            <w:hideMark/>
          </w:tcPr>
          <w:p w14:paraId="30C85BC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1,001</w:t>
            </w:r>
          </w:p>
        </w:tc>
      </w:tr>
      <w:tr w:rsidR="00E806C8" w:rsidRPr="00146021" w14:paraId="557A3265" w14:textId="77777777" w:rsidTr="008C7825">
        <w:trPr>
          <w:trHeight w:val="300"/>
        </w:trPr>
        <w:tc>
          <w:tcPr>
            <w:tcW w:w="2046" w:type="pct"/>
            <w:shd w:val="clear" w:color="auto" w:fill="FFF2CC" w:themeFill="accent4" w:themeFillTint="33"/>
            <w:noWrap/>
            <w:vAlign w:val="bottom"/>
            <w:hideMark/>
          </w:tcPr>
          <w:p w14:paraId="7A00FE9B"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Bjelovarsko-bilogorska županija</w:t>
            </w:r>
          </w:p>
        </w:tc>
        <w:tc>
          <w:tcPr>
            <w:tcW w:w="629" w:type="pct"/>
            <w:shd w:val="clear" w:color="000000" w:fill="F8FBFC"/>
            <w:noWrap/>
            <w:vAlign w:val="bottom"/>
            <w:hideMark/>
          </w:tcPr>
          <w:p w14:paraId="1334760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BD9DC"/>
            <w:noWrap/>
            <w:vAlign w:val="bottom"/>
            <w:hideMark/>
          </w:tcPr>
          <w:p w14:paraId="5EA0857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CACD"/>
            <w:noWrap/>
            <w:vAlign w:val="bottom"/>
            <w:hideMark/>
          </w:tcPr>
          <w:p w14:paraId="4F2C21E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C2C5"/>
            <w:noWrap/>
            <w:vAlign w:val="bottom"/>
            <w:hideMark/>
          </w:tcPr>
          <w:p w14:paraId="6B1DA3A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6B9"/>
            <w:noWrap/>
            <w:vAlign w:val="bottom"/>
            <w:hideMark/>
          </w:tcPr>
          <w:p w14:paraId="6B1C773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ABD"/>
            <w:noWrap/>
            <w:vAlign w:val="bottom"/>
            <w:hideMark/>
          </w:tcPr>
          <w:p w14:paraId="3E1562C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7C2937CB" w14:textId="77777777" w:rsidTr="008C7825">
        <w:trPr>
          <w:trHeight w:val="300"/>
        </w:trPr>
        <w:tc>
          <w:tcPr>
            <w:tcW w:w="2046" w:type="pct"/>
            <w:shd w:val="clear" w:color="auto" w:fill="FFF2CC" w:themeFill="accent4" w:themeFillTint="33"/>
            <w:noWrap/>
            <w:vAlign w:val="bottom"/>
            <w:hideMark/>
          </w:tcPr>
          <w:p w14:paraId="4BEC33F1"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Karlovačka županija</w:t>
            </w:r>
          </w:p>
        </w:tc>
        <w:tc>
          <w:tcPr>
            <w:tcW w:w="629" w:type="pct"/>
            <w:shd w:val="clear" w:color="000000" w:fill="FBDEE0"/>
            <w:noWrap/>
            <w:vAlign w:val="bottom"/>
            <w:hideMark/>
          </w:tcPr>
          <w:p w14:paraId="3F9189E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4E6"/>
            <w:noWrap/>
            <w:vAlign w:val="bottom"/>
            <w:hideMark/>
          </w:tcPr>
          <w:p w14:paraId="4D65401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CEE"/>
            <w:noWrap/>
            <w:vAlign w:val="bottom"/>
            <w:hideMark/>
          </w:tcPr>
          <w:p w14:paraId="4058508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CDCF"/>
            <w:noWrap/>
            <w:vAlign w:val="bottom"/>
            <w:hideMark/>
          </w:tcPr>
          <w:p w14:paraId="171712C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BCBF"/>
            <w:noWrap/>
            <w:vAlign w:val="bottom"/>
            <w:hideMark/>
          </w:tcPr>
          <w:p w14:paraId="6B38492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C2C5"/>
            <w:noWrap/>
            <w:vAlign w:val="bottom"/>
            <w:hideMark/>
          </w:tcPr>
          <w:p w14:paraId="695BA72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02D1D37B" w14:textId="77777777" w:rsidTr="008C7825">
        <w:trPr>
          <w:trHeight w:val="300"/>
        </w:trPr>
        <w:tc>
          <w:tcPr>
            <w:tcW w:w="2046" w:type="pct"/>
            <w:shd w:val="clear" w:color="auto" w:fill="FFF2CC" w:themeFill="accent4" w:themeFillTint="33"/>
            <w:noWrap/>
            <w:vAlign w:val="bottom"/>
            <w:hideMark/>
          </w:tcPr>
          <w:p w14:paraId="544E6DC4"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Virovitičko-podravska županija</w:t>
            </w:r>
          </w:p>
        </w:tc>
        <w:tc>
          <w:tcPr>
            <w:tcW w:w="629" w:type="pct"/>
            <w:shd w:val="clear" w:color="000000" w:fill="D7EDE0"/>
            <w:noWrap/>
            <w:vAlign w:val="bottom"/>
            <w:hideMark/>
          </w:tcPr>
          <w:p w14:paraId="5FD5DE5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FBDCDF"/>
            <w:noWrap/>
            <w:vAlign w:val="bottom"/>
            <w:hideMark/>
          </w:tcPr>
          <w:p w14:paraId="2ABF2C7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BEC0"/>
            <w:noWrap/>
            <w:vAlign w:val="bottom"/>
            <w:hideMark/>
          </w:tcPr>
          <w:p w14:paraId="03196C9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BBE"/>
            <w:noWrap/>
            <w:vAlign w:val="bottom"/>
            <w:hideMark/>
          </w:tcPr>
          <w:p w14:paraId="01674F13"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C0C2"/>
            <w:noWrap/>
            <w:vAlign w:val="bottom"/>
            <w:hideMark/>
          </w:tcPr>
          <w:p w14:paraId="73512F3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3B5"/>
            <w:noWrap/>
            <w:vAlign w:val="bottom"/>
            <w:hideMark/>
          </w:tcPr>
          <w:p w14:paraId="0C8C70D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024836AB" w14:textId="77777777" w:rsidTr="008C7825">
        <w:trPr>
          <w:trHeight w:val="300"/>
        </w:trPr>
        <w:tc>
          <w:tcPr>
            <w:tcW w:w="2046" w:type="pct"/>
            <w:shd w:val="clear" w:color="auto" w:fill="FFF2CC" w:themeFill="accent4" w:themeFillTint="33"/>
            <w:noWrap/>
            <w:vAlign w:val="bottom"/>
            <w:hideMark/>
          </w:tcPr>
          <w:p w14:paraId="46AAD453"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Požeško-slavonska županija</w:t>
            </w:r>
          </w:p>
        </w:tc>
        <w:tc>
          <w:tcPr>
            <w:tcW w:w="629" w:type="pct"/>
            <w:shd w:val="clear" w:color="000000" w:fill="E0F1E7"/>
            <w:noWrap/>
            <w:vAlign w:val="bottom"/>
            <w:hideMark/>
          </w:tcPr>
          <w:p w14:paraId="22A0484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FAD4D7"/>
            <w:noWrap/>
            <w:vAlign w:val="bottom"/>
            <w:hideMark/>
          </w:tcPr>
          <w:p w14:paraId="7A027BC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CED1"/>
            <w:noWrap/>
            <w:vAlign w:val="bottom"/>
            <w:hideMark/>
          </w:tcPr>
          <w:p w14:paraId="4C5357E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D4D7"/>
            <w:noWrap/>
            <w:vAlign w:val="bottom"/>
            <w:hideMark/>
          </w:tcPr>
          <w:p w14:paraId="34605E9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DCDF"/>
            <w:noWrap/>
            <w:vAlign w:val="bottom"/>
            <w:hideMark/>
          </w:tcPr>
          <w:p w14:paraId="70196B4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B3B6"/>
            <w:noWrap/>
            <w:vAlign w:val="bottom"/>
            <w:hideMark/>
          </w:tcPr>
          <w:p w14:paraId="1A351A8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12CDDED7" w14:textId="77777777" w:rsidTr="008C7825">
        <w:trPr>
          <w:trHeight w:val="300"/>
        </w:trPr>
        <w:tc>
          <w:tcPr>
            <w:tcW w:w="2046" w:type="pct"/>
            <w:shd w:val="clear" w:color="auto" w:fill="FFF2CC" w:themeFill="accent4" w:themeFillTint="33"/>
            <w:noWrap/>
            <w:vAlign w:val="bottom"/>
            <w:hideMark/>
          </w:tcPr>
          <w:p w14:paraId="2765EE60"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Varaždinska županija</w:t>
            </w:r>
          </w:p>
        </w:tc>
        <w:tc>
          <w:tcPr>
            <w:tcW w:w="629" w:type="pct"/>
            <w:shd w:val="clear" w:color="000000" w:fill="D3ECDB"/>
            <w:noWrap/>
            <w:vAlign w:val="bottom"/>
            <w:hideMark/>
          </w:tcPr>
          <w:p w14:paraId="0C76B1D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FAD3D6"/>
            <w:noWrap/>
            <w:vAlign w:val="bottom"/>
            <w:hideMark/>
          </w:tcPr>
          <w:p w14:paraId="409080B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DBDE"/>
            <w:noWrap/>
            <w:vAlign w:val="bottom"/>
            <w:hideMark/>
          </w:tcPr>
          <w:p w14:paraId="02A67B2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F4F7"/>
            <w:noWrap/>
            <w:vAlign w:val="bottom"/>
            <w:hideMark/>
          </w:tcPr>
          <w:p w14:paraId="47CFEB2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EAED"/>
            <w:noWrap/>
            <w:vAlign w:val="bottom"/>
            <w:hideMark/>
          </w:tcPr>
          <w:p w14:paraId="0E7DECE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F0F3"/>
            <w:noWrap/>
            <w:vAlign w:val="bottom"/>
            <w:hideMark/>
          </w:tcPr>
          <w:p w14:paraId="0FF706D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r>
      <w:tr w:rsidR="00E806C8" w:rsidRPr="00146021" w14:paraId="42F2148A" w14:textId="77777777" w:rsidTr="008C7825">
        <w:trPr>
          <w:trHeight w:val="300"/>
        </w:trPr>
        <w:tc>
          <w:tcPr>
            <w:tcW w:w="2046" w:type="pct"/>
            <w:shd w:val="clear" w:color="auto" w:fill="FFF2CC" w:themeFill="accent4" w:themeFillTint="33"/>
            <w:noWrap/>
            <w:vAlign w:val="bottom"/>
            <w:hideMark/>
          </w:tcPr>
          <w:p w14:paraId="7EEAA030"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Brodsko-posavska županija</w:t>
            </w:r>
          </w:p>
        </w:tc>
        <w:tc>
          <w:tcPr>
            <w:tcW w:w="629" w:type="pct"/>
            <w:shd w:val="clear" w:color="000000" w:fill="D4ECDC"/>
            <w:noWrap/>
            <w:vAlign w:val="bottom"/>
            <w:hideMark/>
          </w:tcPr>
          <w:p w14:paraId="0A10599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F5F9F9"/>
            <w:noWrap/>
            <w:vAlign w:val="bottom"/>
            <w:hideMark/>
          </w:tcPr>
          <w:p w14:paraId="3049849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AD0D3"/>
            <w:noWrap/>
            <w:vAlign w:val="bottom"/>
            <w:hideMark/>
          </w:tcPr>
          <w:p w14:paraId="0F7172E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FF2"/>
            <w:noWrap/>
            <w:vAlign w:val="bottom"/>
            <w:hideMark/>
          </w:tcPr>
          <w:p w14:paraId="0E52933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D0D3"/>
            <w:noWrap/>
            <w:vAlign w:val="bottom"/>
            <w:hideMark/>
          </w:tcPr>
          <w:p w14:paraId="10E56EE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7EA"/>
            <w:noWrap/>
            <w:vAlign w:val="bottom"/>
            <w:hideMark/>
          </w:tcPr>
          <w:p w14:paraId="4CDC854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r>
      <w:tr w:rsidR="00E806C8" w:rsidRPr="00146021" w14:paraId="4D59E9AE" w14:textId="77777777" w:rsidTr="008C7825">
        <w:trPr>
          <w:trHeight w:val="300"/>
        </w:trPr>
        <w:tc>
          <w:tcPr>
            <w:tcW w:w="2046" w:type="pct"/>
            <w:shd w:val="clear" w:color="auto" w:fill="FFF2CC" w:themeFill="accent4" w:themeFillTint="33"/>
            <w:noWrap/>
            <w:vAlign w:val="bottom"/>
            <w:hideMark/>
          </w:tcPr>
          <w:p w14:paraId="5C0AD5DC"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Zagrebačka županija</w:t>
            </w:r>
          </w:p>
        </w:tc>
        <w:tc>
          <w:tcPr>
            <w:tcW w:w="629" w:type="pct"/>
            <w:shd w:val="clear" w:color="000000" w:fill="C8E7D2"/>
            <w:noWrap/>
            <w:vAlign w:val="bottom"/>
            <w:hideMark/>
          </w:tcPr>
          <w:p w14:paraId="26BB500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ECF6F1"/>
            <w:noWrap/>
            <w:vAlign w:val="bottom"/>
            <w:hideMark/>
          </w:tcPr>
          <w:p w14:paraId="7AFB21F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BE4E6"/>
            <w:noWrap/>
            <w:vAlign w:val="bottom"/>
            <w:hideMark/>
          </w:tcPr>
          <w:p w14:paraId="0F521A3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D6D9"/>
            <w:noWrap/>
            <w:vAlign w:val="bottom"/>
            <w:hideMark/>
          </w:tcPr>
          <w:p w14:paraId="5BC510B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D1D4"/>
            <w:noWrap/>
            <w:vAlign w:val="bottom"/>
            <w:hideMark/>
          </w:tcPr>
          <w:p w14:paraId="321E262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1E4"/>
            <w:noWrap/>
            <w:vAlign w:val="bottom"/>
            <w:hideMark/>
          </w:tcPr>
          <w:p w14:paraId="49AB57F3"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r>
      <w:tr w:rsidR="00E806C8" w:rsidRPr="00146021" w14:paraId="0669F7CA" w14:textId="77777777" w:rsidTr="008C7825">
        <w:trPr>
          <w:trHeight w:val="300"/>
        </w:trPr>
        <w:tc>
          <w:tcPr>
            <w:tcW w:w="2046" w:type="pct"/>
            <w:shd w:val="clear" w:color="auto" w:fill="FFF2CC" w:themeFill="accent4" w:themeFillTint="33"/>
            <w:noWrap/>
            <w:vAlign w:val="bottom"/>
            <w:hideMark/>
          </w:tcPr>
          <w:p w14:paraId="0D66A157"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Grad Zagreb</w:t>
            </w:r>
          </w:p>
        </w:tc>
        <w:tc>
          <w:tcPr>
            <w:tcW w:w="629" w:type="pct"/>
            <w:shd w:val="clear" w:color="000000" w:fill="C6E7D1"/>
            <w:noWrap/>
            <w:vAlign w:val="bottom"/>
            <w:hideMark/>
          </w:tcPr>
          <w:p w14:paraId="35483403"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EDF6F2"/>
            <w:noWrap/>
            <w:vAlign w:val="bottom"/>
            <w:hideMark/>
          </w:tcPr>
          <w:p w14:paraId="2E0033C7"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BEAED"/>
            <w:noWrap/>
            <w:vAlign w:val="bottom"/>
            <w:hideMark/>
          </w:tcPr>
          <w:p w14:paraId="58CF273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FCFE"/>
            <w:noWrap/>
            <w:vAlign w:val="bottom"/>
            <w:hideMark/>
          </w:tcPr>
          <w:p w14:paraId="1E206597"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E4E7"/>
            <w:noWrap/>
            <w:vAlign w:val="bottom"/>
            <w:hideMark/>
          </w:tcPr>
          <w:p w14:paraId="5BE607F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D8EEE0"/>
            <w:noWrap/>
            <w:vAlign w:val="bottom"/>
            <w:hideMark/>
          </w:tcPr>
          <w:p w14:paraId="22CBFB07"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r>
      <w:tr w:rsidR="00E806C8" w:rsidRPr="00146021" w14:paraId="2E8854EB" w14:textId="77777777" w:rsidTr="00E806C8">
        <w:trPr>
          <w:trHeight w:val="300"/>
        </w:trPr>
        <w:tc>
          <w:tcPr>
            <w:tcW w:w="2046" w:type="pct"/>
            <w:shd w:val="clear" w:color="000000" w:fill="D9E1F2"/>
            <w:noWrap/>
            <w:vAlign w:val="bottom"/>
            <w:hideMark/>
          </w:tcPr>
          <w:p w14:paraId="2A53B55C"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Splitsko-dalmatinska županija</w:t>
            </w:r>
          </w:p>
        </w:tc>
        <w:tc>
          <w:tcPr>
            <w:tcW w:w="629" w:type="pct"/>
            <w:shd w:val="clear" w:color="000000" w:fill="C5E6D0"/>
            <w:noWrap/>
            <w:vAlign w:val="bottom"/>
            <w:hideMark/>
          </w:tcPr>
          <w:p w14:paraId="68614E0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F4F9F8"/>
            <w:noWrap/>
            <w:vAlign w:val="bottom"/>
            <w:hideMark/>
          </w:tcPr>
          <w:p w14:paraId="77FA766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E2F2E9"/>
            <w:noWrap/>
            <w:vAlign w:val="bottom"/>
            <w:hideMark/>
          </w:tcPr>
          <w:p w14:paraId="5E9DE2F3"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E8F4EE"/>
            <w:noWrap/>
            <w:vAlign w:val="bottom"/>
            <w:hideMark/>
          </w:tcPr>
          <w:p w14:paraId="6A187CA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F2F8F6"/>
            <w:noWrap/>
            <w:vAlign w:val="bottom"/>
            <w:hideMark/>
          </w:tcPr>
          <w:p w14:paraId="487441C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DEF0E5"/>
            <w:noWrap/>
            <w:vAlign w:val="bottom"/>
            <w:hideMark/>
          </w:tcPr>
          <w:p w14:paraId="2F0D5BD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r>
      <w:tr w:rsidR="00E806C8" w:rsidRPr="00146021" w14:paraId="0AB73881" w14:textId="77777777" w:rsidTr="008C7825">
        <w:trPr>
          <w:trHeight w:val="300"/>
        </w:trPr>
        <w:tc>
          <w:tcPr>
            <w:tcW w:w="2046" w:type="pct"/>
            <w:shd w:val="clear" w:color="auto" w:fill="FFF2CC" w:themeFill="accent4" w:themeFillTint="33"/>
            <w:noWrap/>
            <w:vAlign w:val="bottom"/>
            <w:hideMark/>
          </w:tcPr>
          <w:p w14:paraId="3F2E75BE"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Međimurska županija</w:t>
            </w:r>
          </w:p>
        </w:tc>
        <w:tc>
          <w:tcPr>
            <w:tcW w:w="629" w:type="pct"/>
            <w:shd w:val="clear" w:color="000000" w:fill="CBE8D5"/>
            <w:noWrap/>
            <w:vAlign w:val="bottom"/>
            <w:hideMark/>
          </w:tcPr>
          <w:p w14:paraId="7467C09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F2F8F6"/>
            <w:noWrap/>
            <w:vAlign w:val="bottom"/>
            <w:hideMark/>
          </w:tcPr>
          <w:p w14:paraId="4B54D83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DBEFE3"/>
            <w:noWrap/>
            <w:vAlign w:val="bottom"/>
            <w:hideMark/>
          </w:tcPr>
          <w:p w14:paraId="10F6C09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F0F8F5"/>
            <w:noWrap/>
            <w:vAlign w:val="bottom"/>
            <w:hideMark/>
          </w:tcPr>
          <w:p w14:paraId="654662A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EAF5EF"/>
            <w:noWrap/>
            <w:vAlign w:val="bottom"/>
            <w:hideMark/>
          </w:tcPr>
          <w:p w14:paraId="5844652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C2E5CD"/>
            <w:noWrap/>
            <w:vAlign w:val="bottom"/>
            <w:hideMark/>
          </w:tcPr>
          <w:p w14:paraId="52EA89D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r>
      <w:tr w:rsidR="00E806C8" w:rsidRPr="00146021" w14:paraId="60FEDF64" w14:textId="77777777" w:rsidTr="00E806C8">
        <w:trPr>
          <w:trHeight w:val="300"/>
        </w:trPr>
        <w:tc>
          <w:tcPr>
            <w:tcW w:w="2046" w:type="pct"/>
            <w:shd w:val="clear" w:color="000000" w:fill="D9E1F2"/>
            <w:noWrap/>
            <w:vAlign w:val="bottom"/>
            <w:hideMark/>
          </w:tcPr>
          <w:p w14:paraId="31FF6B34"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Šibensko-kninska županija</w:t>
            </w:r>
          </w:p>
        </w:tc>
        <w:tc>
          <w:tcPr>
            <w:tcW w:w="629" w:type="pct"/>
            <w:shd w:val="clear" w:color="000000" w:fill="BEE3C9"/>
            <w:noWrap/>
            <w:vAlign w:val="bottom"/>
            <w:hideMark/>
          </w:tcPr>
          <w:p w14:paraId="2EC08887"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CCE9D6"/>
            <w:noWrap/>
            <w:vAlign w:val="bottom"/>
            <w:hideMark/>
          </w:tcPr>
          <w:p w14:paraId="2B42665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BEFE3"/>
            <w:noWrap/>
            <w:vAlign w:val="bottom"/>
            <w:hideMark/>
          </w:tcPr>
          <w:p w14:paraId="2D5C82B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F4F9F8"/>
            <w:noWrap/>
            <w:vAlign w:val="bottom"/>
            <w:hideMark/>
          </w:tcPr>
          <w:p w14:paraId="510EF33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AFCFE"/>
            <w:noWrap/>
            <w:vAlign w:val="bottom"/>
            <w:hideMark/>
          </w:tcPr>
          <w:p w14:paraId="4595EEF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D6EDDE"/>
            <w:noWrap/>
            <w:vAlign w:val="bottom"/>
            <w:hideMark/>
          </w:tcPr>
          <w:p w14:paraId="23FDF72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r>
      <w:tr w:rsidR="00E806C8" w:rsidRPr="00146021" w14:paraId="388174C9" w14:textId="77777777" w:rsidTr="00E806C8">
        <w:trPr>
          <w:trHeight w:val="300"/>
        </w:trPr>
        <w:tc>
          <w:tcPr>
            <w:tcW w:w="2046" w:type="pct"/>
            <w:shd w:val="clear" w:color="000000" w:fill="D9E1F2"/>
            <w:noWrap/>
            <w:vAlign w:val="bottom"/>
            <w:hideMark/>
          </w:tcPr>
          <w:p w14:paraId="2CCCEBD3"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Ličko-senjska županija</w:t>
            </w:r>
          </w:p>
        </w:tc>
        <w:tc>
          <w:tcPr>
            <w:tcW w:w="629" w:type="pct"/>
            <w:shd w:val="clear" w:color="000000" w:fill="BFE4CB"/>
            <w:noWrap/>
            <w:vAlign w:val="bottom"/>
            <w:hideMark/>
          </w:tcPr>
          <w:p w14:paraId="4C7FD817"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D8EEE0"/>
            <w:noWrap/>
            <w:vAlign w:val="bottom"/>
            <w:hideMark/>
          </w:tcPr>
          <w:p w14:paraId="5F91CD6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FF1E6"/>
            <w:noWrap/>
            <w:vAlign w:val="bottom"/>
            <w:hideMark/>
          </w:tcPr>
          <w:p w14:paraId="778213E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A8DAB6"/>
            <w:noWrap/>
            <w:vAlign w:val="bottom"/>
            <w:hideMark/>
          </w:tcPr>
          <w:p w14:paraId="544362A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1,010</w:t>
            </w:r>
          </w:p>
        </w:tc>
        <w:tc>
          <w:tcPr>
            <w:tcW w:w="465" w:type="pct"/>
            <w:shd w:val="clear" w:color="000000" w:fill="C4E6CF"/>
            <w:noWrap/>
            <w:vAlign w:val="bottom"/>
            <w:hideMark/>
          </w:tcPr>
          <w:p w14:paraId="382DA98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D1EBDA"/>
            <w:noWrap/>
            <w:vAlign w:val="bottom"/>
            <w:hideMark/>
          </w:tcPr>
          <w:p w14:paraId="4ACD13E7"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r>
      <w:tr w:rsidR="00E806C8" w:rsidRPr="00146021" w14:paraId="0CC94546" w14:textId="77777777" w:rsidTr="00E806C8">
        <w:trPr>
          <w:trHeight w:val="300"/>
        </w:trPr>
        <w:tc>
          <w:tcPr>
            <w:tcW w:w="2046" w:type="pct"/>
            <w:shd w:val="clear" w:color="000000" w:fill="D9E1F2"/>
            <w:noWrap/>
            <w:vAlign w:val="bottom"/>
            <w:hideMark/>
          </w:tcPr>
          <w:p w14:paraId="596A2420"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Primorsko-goranska županija</w:t>
            </w:r>
          </w:p>
        </w:tc>
        <w:tc>
          <w:tcPr>
            <w:tcW w:w="629" w:type="pct"/>
            <w:shd w:val="clear" w:color="000000" w:fill="88CD9B"/>
            <w:noWrap/>
            <w:vAlign w:val="bottom"/>
            <w:hideMark/>
          </w:tcPr>
          <w:p w14:paraId="57F8C90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1,012</w:t>
            </w:r>
          </w:p>
        </w:tc>
        <w:tc>
          <w:tcPr>
            <w:tcW w:w="465" w:type="pct"/>
            <w:shd w:val="clear" w:color="000000" w:fill="B5E0C2"/>
            <w:noWrap/>
            <w:vAlign w:val="bottom"/>
            <w:hideMark/>
          </w:tcPr>
          <w:p w14:paraId="7E45C10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1,009</w:t>
            </w:r>
          </w:p>
        </w:tc>
        <w:tc>
          <w:tcPr>
            <w:tcW w:w="465" w:type="pct"/>
            <w:shd w:val="clear" w:color="000000" w:fill="D2EBDB"/>
            <w:noWrap/>
            <w:vAlign w:val="bottom"/>
            <w:hideMark/>
          </w:tcPr>
          <w:p w14:paraId="550A0F9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FF0E6"/>
            <w:noWrap/>
            <w:vAlign w:val="bottom"/>
            <w:hideMark/>
          </w:tcPr>
          <w:p w14:paraId="7E03FD2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CEEAD7"/>
            <w:noWrap/>
            <w:vAlign w:val="bottom"/>
            <w:hideMark/>
          </w:tcPr>
          <w:p w14:paraId="7A14767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7EDDF"/>
            <w:noWrap/>
            <w:vAlign w:val="bottom"/>
            <w:hideMark/>
          </w:tcPr>
          <w:p w14:paraId="7E11D29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r>
      <w:tr w:rsidR="00E806C8" w:rsidRPr="00146021" w14:paraId="67EAB25D" w14:textId="77777777" w:rsidTr="00E806C8">
        <w:trPr>
          <w:trHeight w:val="300"/>
        </w:trPr>
        <w:tc>
          <w:tcPr>
            <w:tcW w:w="2046" w:type="pct"/>
            <w:shd w:val="clear" w:color="000000" w:fill="D9E1F2"/>
            <w:noWrap/>
            <w:vAlign w:val="bottom"/>
            <w:hideMark/>
          </w:tcPr>
          <w:p w14:paraId="2073547D"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Dubrovačko-neretvanska županija</w:t>
            </w:r>
          </w:p>
        </w:tc>
        <w:tc>
          <w:tcPr>
            <w:tcW w:w="629" w:type="pct"/>
            <w:shd w:val="clear" w:color="000000" w:fill="9AD5AB"/>
            <w:noWrap/>
            <w:vAlign w:val="bottom"/>
            <w:hideMark/>
          </w:tcPr>
          <w:p w14:paraId="037D12E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1,011</w:t>
            </w:r>
          </w:p>
        </w:tc>
        <w:tc>
          <w:tcPr>
            <w:tcW w:w="465" w:type="pct"/>
            <w:shd w:val="clear" w:color="000000" w:fill="8FD0A1"/>
            <w:noWrap/>
            <w:vAlign w:val="bottom"/>
            <w:hideMark/>
          </w:tcPr>
          <w:p w14:paraId="704A28E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1,011</w:t>
            </w:r>
          </w:p>
        </w:tc>
        <w:tc>
          <w:tcPr>
            <w:tcW w:w="465" w:type="pct"/>
            <w:shd w:val="clear" w:color="000000" w:fill="C4E6CF"/>
            <w:noWrap/>
            <w:vAlign w:val="bottom"/>
            <w:hideMark/>
          </w:tcPr>
          <w:p w14:paraId="6810776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E4F3EB"/>
            <w:noWrap/>
            <w:vAlign w:val="bottom"/>
            <w:hideMark/>
          </w:tcPr>
          <w:p w14:paraId="5AC2189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C3E5CE"/>
            <w:noWrap/>
            <w:vAlign w:val="bottom"/>
            <w:hideMark/>
          </w:tcPr>
          <w:p w14:paraId="6337299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C7E7D2"/>
            <w:noWrap/>
            <w:vAlign w:val="bottom"/>
            <w:hideMark/>
          </w:tcPr>
          <w:p w14:paraId="56431E3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r>
      <w:tr w:rsidR="00E806C8" w:rsidRPr="00146021" w14:paraId="6593A714" w14:textId="77777777" w:rsidTr="00E806C8">
        <w:trPr>
          <w:trHeight w:val="300"/>
        </w:trPr>
        <w:tc>
          <w:tcPr>
            <w:tcW w:w="2046" w:type="pct"/>
            <w:shd w:val="clear" w:color="000000" w:fill="D9E1F2"/>
            <w:noWrap/>
            <w:vAlign w:val="bottom"/>
            <w:hideMark/>
          </w:tcPr>
          <w:p w14:paraId="31C99531"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Istarska županija</w:t>
            </w:r>
          </w:p>
        </w:tc>
        <w:tc>
          <w:tcPr>
            <w:tcW w:w="629" w:type="pct"/>
            <w:shd w:val="clear" w:color="000000" w:fill="63BE7B"/>
            <w:noWrap/>
            <w:vAlign w:val="bottom"/>
            <w:hideMark/>
          </w:tcPr>
          <w:p w14:paraId="1D6D58D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1,014</w:t>
            </w:r>
          </w:p>
        </w:tc>
        <w:tc>
          <w:tcPr>
            <w:tcW w:w="465" w:type="pct"/>
            <w:shd w:val="clear" w:color="000000" w:fill="A5D9B4"/>
            <w:noWrap/>
            <w:vAlign w:val="bottom"/>
            <w:hideMark/>
          </w:tcPr>
          <w:p w14:paraId="06F6C48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1,010</w:t>
            </w:r>
          </w:p>
        </w:tc>
        <w:tc>
          <w:tcPr>
            <w:tcW w:w="465" w:type="pct"/>
            <w:shd w:val="clear" w:color="000000" w:fill="B6E0C3"/>
            <w:noWrap/>
            <w:vAlign w:val="bottom"/>
            <w:hideMark/>
          </w:tcPr>
          <w:p w14:paraId="43DDD89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1,009</w:t>
            </w:r>
          </w:p>
        </w:tc>
        <w:tc>
          <w:tcPr>
            <w:tcW w:w="465" w:type="pct"/>
            <w:shd w:val="clear" w:color="000000" w:fill="D1EBDA"/>
            <w:noWrap/>
            <w:vAlign w:val="bottom"/>
            <w:hideMark/>
          </w:tcPr>
          <w:p w14:paraId="30C9F9A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AEEE1"/>
            <w:noWrap/>
            <w:vAlign w:val="bottom"/>
            <w:hideMark/>
          </w:tcPr>
          <w:p w14:paraId="4F7A9637"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AADBB8"/>
            <w:noWrap/>
            <w:vAlign w:val="bottom"/>
            <w:hideMark/>
          </w:tcPr>
          <w:p w14:paraId="2CE1981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1,010</w:t>
            </w:r>
          </w:p>
        </w:tc>
      </w:tr>
      <w:tr w:rsidR="00E806C8" w:rsidRPr="00146021" w14:paraId="5D4DA84A" w14:textId="77777777" w:rsidTr="00E806C8">
        <w:trPr>
          <w:trHeight w:val="300"/>
        </w:trPr>
        <w:tc>
          <w:tcPr>
            <w:tcW w:w="2046" w:type="pct"/>
            <w:shd w:val="clear" w:color="000000" w:fill="D9E1F2"/>
            <w:noWrap/>
            <w:vAlign w:val="bottom"/>
            <w:hideMark/>
          </w:tcPr>
          <w:p w14:paraId="6C7DA179" w14:textId="77777777" w:rsidR="00E806C8" w:rsidRPr="008C7825" w:rsidRDefault="00E806C8" w:rsidP="00E806C8">
            <w:pPr>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Zadarska županija</w:t>
            </w:r>
          </w:p>
        </w:tc>
        <w:tc>
          <w:tcPr>
            <w:tcW w:w="629" w:type="pct"/>
            <w:shd w:val="clear" w:color="000000" w:fill="6CC283"/>
            <w:noWrap/>
            <w:vAlign w:val="bottom"/>
            <w:hideMark/>
          </w:tcPr>
          <w:p w14:paraId="2AA89EC9"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1,013</w:t>
            </w:r>
          </w:p>
        </w:tc>
        <w:tc>
          <w:tcPr>
            <w:tcW w:w="465" w:type="pct"/>
            <w:shd w:val="clear" w:color="000000" w:fill="A9DBB8"/>
            <w:noWrap/>
            <w:vAlign w:val="bottom"/>
            <w:hideMark/>
          </w:tcPr>
          <w:p w14:paraId="21E05A5D"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1,010</w:t>
            </w:r>
          </w:p>
        </w:tc>
        <w:tc>
          <w:tcPr>
            <w:tcW w:w="465" w:type="pct"/>
            <w:shd w:val="clear" w:color="000000" w:fill="C8E7D3"/>
            <w:noWrap/>
            <w:vAlign w:val="bottom"/>
            <w:hideMark/>
          </w:tcPr>
          <w:p w14:paraId="36F7775B"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ACDCBA"/>
            <w:noWrap/>
            <w:vAlign w:val="bottom"/>
            <w:hideMark/>
          </w:tcPr>
          <w:p w14:paraId="4EAAA22B"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1,009</w:t>
            </w:r>
          </w:p>
        </w:tc>
        <w:tc>
          <w:tcPr>
            <w:tcW w:w="465" w:type="pct"/>
            <w:shd w:val="clear" w:color="000000" w:fill="C1E4CC"/>
            <w:noWrap/>
            <w:vAlign w:val="bottom"/>
            <w:hideMark/>
          </w:tcPr>
          <w:p w14:paraId="031C29BC"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81CA95"/>
            <w:noWrap/>
            <w:vAlign w:val="bottom"/>
            <w:hideMark/>
          </w:tcPr>
          <w:p w14:paraId="6A79CA2A"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1,012</w:t>
            </w:r>
          </w:p>
        </w:tc>
      </w:tr>
    </w:tbl>
    <w:p w14:paraId="073E1978" w14:textId="77777777" w:rsidR="006B32B1" w:rsidRPr="00A422E6" w:rsidDel="00E806C8" w:rsidRDefault="00E806C8">
      <w:r>
        <w:t xml:space="preserve"> </w:t>
      </w:r>
    </w:p>
    <w:p w14:paraId="7463CA5C" w14:textId="00ACDAF1" w:rsidR="006B32B1" w:rsidRDefault="006B32B1" w:rsidP="006253D7">
      <w:pPr>
        <w:pStyle w:val="Opisslike"/>
        <w:keepNext/>
      </w:pPr>
      <w:bookmarkStart w:id="49" w:name="_Toc40089029"/>
      <w:r>
        <w:t xml:space="preserve">Tablica </w:t>
      </w:r>
      <w:r w:rsidR="00A50909">
        <w:fldChar w:fldCharType="begin"/>
      </w:r>
      <w:r w:rsidR="00A50909">
        <w:instrText xml:space="preserve"> SEQ Tablica \* ARABIC </w:instrText>
      </w:r>
      <w:r w:rsidR="00A50909">
        <w:fldChar w:fldCharType="separate"/>
      </w:r>
      <w:r w:rsidR="00CE61F3">
        <w:rPr>
          <w:noProof/>
        </w:rPr>
        <w:t>12</w:t>
      </w:r>
      <w:r w:rsidR="00A50909">
        <w:rPr>
          <w:noProof/>
        </w:rPr>
        <w:fldChar w:fldCharType="end"/>
      </w:r>
      <w:r>
        <w:t xml:space="preserve"> </w:t>
      </w:r>
      <w:r w:rsidRPr="008D64E8">
        <w:t>Raspodjela stambenih zgrada urbano/ruralno u 2018 godini</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756"/>
        <w:gridCol w:w="1756"/>
        <w:gridCol w:w="1756"/>
        <w:gridCol w:w="1756"/>
      </w:tblGrid>
      <w:tr w:rsidR="006B32B1" w:rsidRPr="00352CC3" w14:paraId="0E3E1E2C" w14:textId="77777777" w:rsidTr="008C7825">
        <w:trPr>
          <w:trHeight w:val="288"/>
        </w:trPr>
        <w:tc>
          <w:tcPr>
            <w:tcW w:w="1831" w:type="dxa"/>
            <w:noWrap/>
            <w:vAlign w:val="bottom"/>
          </w:tcPr>
          <w:p w14:paraId="33572D59" w14:textId="77777777" w:rsidR="006B32B1" w:rsidRPr="008C7825" w:rsidRDefault="006B32B1" w:rsidP="00334A49">
            <w:pPr>
              <w:keepNext/>
              <w:tabs>
                <w:tab w:val="clear" w:pos="431"/>
              </w:tabs>
              <w:spacing w:after="0" w:line="240" w:lineRule="auto"/>
              <w:ind w:left="0"/>
              <w:jc w:val="left"/>
              <w:rPr>
                <w:rFonts w:ascii="Calibri" w:hAnsi="Calibri" w:cs="Calibri"/>
                <w:b/>
                <w:bCs/>
                <w:color w:val="000000"/>
                <w:szCs w:val="20"/>
                <w:lang w:eastAsia="hr-HR"/>
              </w:rPr>
            </w:pPr>
          </w:p>
        </w:tc>
        <w:tc>
          <w:tcPr>
            <w:tcW w:w="2770" w:type="dxa"/>
            <w:gridSpan w:val="2"/>
            <w:noWrap/>
            <w:vAlign w:val="bottom"/>
          </w:tcPr>
          <w:p w14:paraId="327387F9" w14:textId="77777777" w:rsidR="006B32B1" w:rsidRPr="008C7825" w:rsidRDefault="006B32B1" w:rsidP="00334A49">
            <w:pPr>
              <w:keepNext/>
              <w:tabs>
                <w:tab w:val="clear" w:pos="431"/>
              </w:tabs>
              <w:spacing w:after="0" w:line="240" w:lineRule="auto"/>
              <w:ind w:left="0"/>
              <w:jc w:val="center"/>
              <w:rPr>
                <w:rFonts w:ascii="Calibri" w:hAnsi="Calibri" w:cs="Calibri"/>
                <w:b/>
                <w:bCs/>
                <w:color w:val="000000"/>
                <w:szCs w:val="20"/>
                <w:lang w:eastAsia="hr-HR"/>
              </w:rPr>
            </w:pPr>
            <w:r w:rsidRPr="008C7825">
              <w:rPr>
                <w:rFonts w:asciiTheme="minorHAnsi" w:hAnsiTheme="minorHAnsi" w:cs="Calibri"/>
                <w:b/>
                <w:bCs/>
                <w:color w:val="000000"/>
                <w:szCs w:val="20"/>
                <w:lang w:eastAsia="hr-HR"/>
              </w:rPr>
              <w:t>višestambene</w:t>
            </w:r>
          </w:p>
        </w:tc>
        <w:tc>
          <w:tcPr>
            <w:tcW w:w="2770" w:type="dxa"/>
            <w:gridSpan w:val="2"/>
            <w:noWrap/>
            <w:vAlign w:val="bottom"/>
          </w:tcPr>
          <w:p w14:paraId="153430BA" w14:textId="77777777" w:rsidR="006B32B1" w:rsidRPr="008C7825" w:rsidRDefault="006B32B1" w:rsidP="00334A49">
            <w:pPr>
              <w:keepNext/>
              <w:tabs>
                <w:tab w:val="clear" w:pos="431"/>
              </w:tabs>
              <w:spacing w:after="0" w:line="240" w:lineRule="auto"/>
              <w:ind w:left="0"/>
              <w:jc w:val="center"/>
              <w:rPr>
                <w:rFonts w:ascii="Calibri" w:hAnsi="Calibri" w:cs="Calibri"/>
                <w:b/>
                <w:bCs/>
                <w:color w:val="000000"/>
                <w:szCs w:val="20"/>
                <w:lang w:eastAsia="hr-HR"/>
              </w:rPr>
            </w:pPr>
            <w:r w:rsidRPr="008C7825">
              <w:rPr>
                <w:rFonts w:asciiTheme="minorHAnsi" w:hAnsiTheme="minorHAnsi" w:cs="Calibri"/>
                <w:b/>
                <w:bCs/>
                <w:color w:val="000000"/>
                <w:szCs w:val="20"/>
                <w:lang w:eastAsia="hr-HR"/>
              </w:rPr>
              <w:t>obiteljske</w:t>
            </w:r>
          </w:p>
        </w:tc>
      </w:tr>
      <w:tr w:rsidR="006B32B1" w:rsidRPr="006B32B1" w14:paraId="08FE146F" w14:textId="77777777" w:rsidTr="008C7825">
        <w:trPr>
          <w:trHeight w:val="288"/>
        </w:trPr>
        <w:tc>
          <w:tcPr>
            <w:tcW w:w="1831" w:type="dxa"/>
            <w:noWrap/>
            <w:vAlign w:val="bottom"/>
          </w:tcPr>
          <w:p w14:paraId="00184638"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p>
        </w:tc>
        <w:tc>
          <w:tcPr>
            <w:tcW w:w="1385" w:type="dxa"/>
            <w:noWrap/>
          </w:tcPr>
          <w:p w14:paraId="3E4A89B7" w14:textId="77777777" w:rsidR="006B32B1"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color w:val="000000"/>
                <w:szCs w:val="20"/>
                <w:lang w:eastAsia="hr-HR"/>
              </w:rPr>
              <w:t>površina</w:t>
            </w:r>
          </w:p>
        </w:tc>
        <w:tc>
          <w:tcPr>
            <w:tcW w:w="1385" w:type="dxa"/>
            <w:noWrap/>
          </w:tcPr>
          <w:p w14:paraId="4C92143D" w14:textId="77777777" w:rsidR="006B32B1"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color w:val="000000"/>
                <w:szCs w:val="20"/>
                <w:lang w:eastAsia="hr-HR"/>
              </w:rPr>
              <w:t>broj zgrada</w:t>
            </w:r>
          </w:p>
        </w:tc>
        <w:tc>
          <w:tcPr>
            <w:tcW w:w="1385" w:type="dxa"/>
            <w:noWrap/>
          </w:tcPr>
          <w:p w14:paraId="1B1F38B6" w14:textId="77777777" w:rsidR="006B32B1"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color w:val="000000"/>
                <w:szCs w:val="20"/>
                <w:lang w:eastAsia="hr-HR"/>
              </w:rPr>
              <w:t>površina</w:t>
            </w:r>
          </w:p>
        </w:tc>
        <w:tc>
          <w:tcPr>
            <w:tcW w:w="1385" w:type="dxa"/>
            <w:noWrap/>
          </w:tcPr>
          <w:p w14:paraId="17CF5BB6" w14:textId="77777777" w:rsidR="006B32B1"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color w:val="000000"/>
                <w:szCs w:val="20"/>
                <w:lang w:eastAsia="hr-HR"/>
              </w:rPr>
              <w:t>broj zgrada</w:t>
            </w:r>
          </w:p>
        </w:tc>
      </w:tr>
      <w:tr w:rsidR="006B32B1" w:rsidRPr="006B32B1" w14:paraId="0163F77F" w14:textId="77777777" w:rsidTr="008C7825">
        <w:trPr>
          <w:trHeight w:val="288"/>
        </w:trPr>
        <w:tc>
          <w:tcPr>
            <w:tcW w:w="1831" w:type="dxa"/>
            <w:noWrap/>
            <w:vAlign w:val="bottom"/>
          </w:tcPr>
          <w:p w14:paraId="1662AC76"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p>
        </w:tc>
        <w:tc>
          <w:tcPr>
            <w:tcW w:w="1385" w:type="dxa"/>
            <w:noWrap/>
          </w:tcPr>
          <w:p w14:paraId="627EDEF1"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color w:val="000000"/>
                <w:szCs w:val="20"/>
                <w:lang w:eastAsia="hr-HR"/>
              </w:rPr>
              <w:t>m²</w:t>
            </w:r>
          </w:p>
        </w:tc>
        <w:tc>
          <w:tcPr>
            <w:tcW w:w="1385" w:type="dxa"/>
            <w:noWrap/>
          </w:tcPr>
          <w:p w14:paraId="383BA69B"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color w:val="000000"/>
                <w:szCs w:val="20"/>
                <w:lang w:eastAsia="hr-HR"/>
              </w:rPr>
              <w:t>-</w:t>
            </w:r>
          </w:p>
        </w:tc>
        <w:tc>
          <w:tcPr>
            <w:tcW w:w="1385" w:type="dxa"/>
            <w:noWrap/>
          </w:tcPr>
          <w:p w14:paraId="63736717"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color w:val="000000"/>
                <w:szCs w:val="20"/>
                <w:lang w:eastAsia="hr-HR"/>
              </w:rPr>
              <w:t>m²</w:t>
            </w:r>
          </w:p>
        </w:tc>
        <w:tc>
          <w:tcPr>
            <w:tcW w:w="1385" w:type="dxa"/>
            <w:noWrap/>
          </w:tcPr>
          <w:p w14:paraId="5D46D4F1"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color w:val="000000"/>
                <w:szCs w:val="20"/>
                <w:lang w:eastAsia="hr-HR"/>
              </w:rPr>
              <w:t>-</w:t>
            </w:r>
          </w:p>
        </w:tc>
      </w:tr>
      <w:tr w:rsidR="006B32B1" w:rsidRPr="006B32B1" w14:paraId="54C95C68" w14:textId="77777777" w:rsidTr="008C7825">
        <w:trPr>
          <w:trHeight w:val="288"/>
        </w:trPr>
        <w:tc>
          <w:tcPr>
            <w:tcW w:w="1831" w:type="dxa"/>
            <w:noWrap/>
            <w:vAlign w:val="bottom"/>
            <w:hideMark/>
          </w:tcPr>
          <w:p w14:paraId="731A83B9"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urbano</w:t>
            </w:r>
          </w:p>
        </w:tc>
        <w:tc>
          <w:tcPr>
            <w:tcW w:w="1385" w:type="dxa"/>
            <w:noWrap/>
            <w:vAlign w:val="bottom"/>
            <w:hideMark/>
          </w:tcPr>
          <w:p w14:paraId="5B3C4013"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165.609</w:t>
            </w:r>
          </w:p>
        </w:tc>
        <w:tc>
          <w:tcPr>
            <w:tcW w:w="1385" w:type="dxa"/>
            <w:noWrap/>
            <w:vAlign w:val="bottom"/>
            <w:hideMark/>
          </w:tcPr>
          <w:p w14:paraId="317305A0"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29.090.865</w:t>
            </w:r>
          </w:p>
        </w:tc>
        <w:tc>
          <w:tcPr>
            <w:tcW w:w="1385" w:type="dxa"/>
            <w:noWrap/>
            <w:vAlign w:val="bottom"/>
            <w:hideMark/>
          </w:tcPr>
          <w:p w14:paraId="24AB941B"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269.410</w:t>
            </w:r>
          </w:p>
        </w:tc>
        <w:tc>
          <w:tcPr>
            <w:tcW w:w="1385" w:type="dxa"/>
            <w:noWrap/>
            <w:vAlign w:val="bottom"/>
            <w:hideMark/>
          </w:tcPr>
          <w:p w14:paraId="655DA680"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45.746.845</w:t>
            </w:r>
          </w:p>
        </w:tc>
      </w:tr>
      <w:tr w:rsidR="006B32B1" w:rsidRPr="006B32B1" w14:paraId="2A66F341" w14:textId="77777777" w:rsidTr="008C7825">
        <w:trPr>
          <w:trHeight w:val="288"/>
        </w:trPr>
        <w:tc>
          <w:tcPr>
            <w:tcW w:w="1831" w:type="dxa"/>
            <w:noWrap/>
            <w:vAlign w:val="bottom"/>
            <w:hideMark/>
          </w:tcPr>
          <w:p w14:paraId="4BEAEECD"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ruralno</w:t>
            </w:r>
          </w:p>
        </w:tc>
        <w:tc>
          <w:tcPr>
            <w:tcW w:w="1385" w:type="dxa"/>
            <w:noWrap/>
            <w:vAlign w:val="bottom"/>
            <w:hideMark/>
          </w:tcPr>
          <w:p w14:paraId="0ED81354"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130.727</w:t>
            </w:r>
          </w:p>
        </w:tc>
        <w:tc>
          <w:tcPr>
            <w:tcW w:w="1385" w:type="dxa"/>
            <w:noWrap/>
            <w:vAlign w:val="bottom"/>
            <w:hideMark/>
          </w:tcPr>
          <w:p w14:paraId="126A43BA"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28.021.599</w:t>
            </w:r>
          </w:p>
        </w:tc>
        <w:tc>
          <w:tcPr>
            <w:tcW w:w="1385" w:type="dxa"/>
            <w:noWrap/>
            <w:vAlign w:val="bottom"/>
            <w:hideMark/>
          </w:tcPr>
          <w:p w14:paraId="11B4F19E"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212.663</w:t>
            </w:r>
          </w:p>
        </w:tc>
        <w:tc>
          <w:tcPr>
            <w:tcW w:w="1385" w:type="dxa"/>
            <w:noWrap/>
            <w:vAlign w:val="bottom"/>
            <w:hideMark/>
          </w:tcPr>
          <w:p w14:paraId="65A5F2F8"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44.065.369</w:t>
            </w:r>
          </w:p>
        </w:tc>
      </w:tr>
      <w:tr w:rsidR="006B32B1" w:rsidRPr="006B32B1" w14:paraId="251EBF8E" w14:textId="77777777" w:rsidTr="008C7825">
        <w:trPr>
          <w:trHeight w:val="288"/>
        </w:trPr>
        <w:tc>
          <w:tcPr>
            <w:tcW w:w="1831" w:type="dxa"/>
            <w:noWrap/>
            <w:vAlign w:val="bottom"/>
            <w:hideMark/>
          </w:tcPr>
          <w:p w14:paraId="4A8ED250" w14:textId="77777777" w:rsidR="006B32B1" w:rsidRPr="00925A4B" w:rsidRDefault="006B32B1" w:rsidP="006B32B1">
            <w:pPr>
              <w:tabs>
                <w:tab w:val="clear" w:pos="431"/>
              </w:tabs>
              <w:spacing w:after="0" w:line="240" w:lineRule="auto"/>
              <w:ind w:left="0"/>
              <w:jc w:val="left"/>
              <w:rPr>
                <w:rFonts w:ascii="Calibri" w:hAnsi="Calibri" w:cs="Calibri"/>
                <w:b/>
                <w:bCs/>
                <w:color w:val="000000"/>
                <w:szCs w:val="20"/>
                <w:lang w:eastAsia="hr-HR"/>
              </w:rPr>
            </w:pPr>
            <w:r w:rsidRPr="00925A4B">
              <w:rPr>
                <w:rFonts w:ascii="Calibri" w:hAnsi="Calibri" w:cs="Calibri"/>
                <w:b/>
                <w:bCs/>
                <w:color w:val="000000"/>
                <w:szCs w:val="20"/>
                <w:lang w:eastAsia="hr-HR"/>
              </w:rPr>
              <w:t>ukupno</w:t>
            </w:r>
          </w:p>
        </w:tc>
        <w:tc>
          <w:tcPr>
            <w:tcW w:w="1385" w:type="dxa"/>
            <w:noWrap/>
            <w:vAlign w:val="bottom"/>
            <w:hideMark/>
          </w:tcPr>
          <w:p w14:paraId="64272EC3"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lang w:eastAsia="hr-HR"/>
              </w:rPr>
              <w:t>296.336</w:t>
            </w:r>
          </w:p>
        </w:tc>
        <w:tc>
          <w:tcPr>
            <w:tcW w:w="1385" w:type="dxa"/>
            <w:noWrap/>
            <w:vAlign w:val="bottom"/>
            <w:hideMark/>
          </w:tcPr>
          <w:p w14:paraId="4E39D7AA"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lang w:eastAsia="hr-HR"/>
              </w:rPr>
              <w:t>57.112.464</w:t>
            </w:r>
          </w:p>
        </w:tc>
        <w:tc>
          <w:tcPr>
            <w:tcW w:w="1385" w:type="dxa"/>
            <w:noWrap/>
            <w:vAlign w:val="bottom"/>
            <w:hideMark/>
          </w:tcPr>
          <w:p w14:paraId="1C137305"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lang w:eastAsia="hr-HR"/>
              </w:rPr>
              <w:t>482.073</w:t>
            </w:r>
          </w:p>
        </w:tc>
        <w:tc>
          <w:tcPr>
            <w:tcW w:w="1385" w:type="dxa"/>
            <w:noWrap/>
            <w:vAlign w:val="bottom"/>
            <w:hideMark/>
          </w:tcPr>
          <w:p w14:paraId="31304DA0" w14:textId="77777777" w:rsidR="006B32B1" w:rsidRPr="00925A4B" w:rsidRDefault="006B32B1" w:rsidP="008C7825">
            <w:pPr>
              <w:keepNext/>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lang w:eastAsia="hr-HR"/>
              </w:rPr>
              <w:t>89.812.214</w:t>
            </w:r>
          </w:p>
        </w:tc>
      </w:tr>
    </w:tbl>
    <w:p w14:paraId="27A7688E" w14:textId="77777777" w:rsidR="00A422E6" w:rsidRDefault="00A422E6"/>
    <w:p w14:paraId="5C62CB61" w14:textId="4B76F84A" w:rsidR="006B32B1" w:rsidRDefault="006B32B1" w:rsidP="006253D7">
      <w:pPr>
        <w:pStyle w:val="Opisslike"/>
        <w:keepNext/>
      </w:pPr>
      <w:bookmarkStart w:id="50" w:name="_Toc40089030"/>
      <w:r>
        <w:t xml:space="preserve">Tablica </w:t>
      </w:r>
      <w:r w:rsidR="00A50909">
        <w:fldChar w:fldCharType="begin"/>
      </w:r>
      <w:r w:rsidR="00A50909">
        <w:instrText xml:space="preserve"> SEQ Tablica \* ARABIC </w:instrText>
      </w:r>
      <w:r w:rsidR="00A50909">
        <w:fldChar w:fldCharType="separate"/>
      </w:r>
      <w:r w:rsidR="00CE61F3">
        <w:rPr>
          <w:noProof/>
        </w:rPr>
        <w:t>13</w:t>
      </w:r>
      <w:r w:rsidR="00A50909">
        <w:rPr>
          <w:noProof/>
        </w:rPr>
        <w:fldChar w:fldCharType="end"/>
      </w:r>
      <w:r>
        <w:t xml:space="preserve"> </w:t>
      </w:r>
      <w:r w:rsidRPr="00762564">
        <w:t xml:space="preserve">Raspodjela </w:t>
      </w:r>
      <w:r>
        <w:t>ne</w:t>
      </w:r>
      <w:r w:rsidRPr="00762564">
        <w:t>stambenih zgrada urbano/ruralno u 2018 godini</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619"/>
        <w:gridCol w:w="1797"/>
        <w:gridCol w:w="1733"/>
        <w:gridCol w:w="1869"/>
      </w:tblGrid>
      <w:tr w:rsidR="006B32B1" w:rsidRPr="00352CC3" w14:paraId="132E60CC" w14:textId="77777777" w:rsidTr="001B6973">
        <w:trPr>
          <w:trHeight w:val="288"/>
        </w:trPr>
        <w:tc>
          <w:tcPr>
            <w:tcW w:w="2385" w:type="dxa"/>
            <w:noWrap/>
            <w:vAlign w:val="bottom"/>
          </w:tcPr>
          <w:p w14:paraId="55212021" w14:textId="77777777" w:rsidR="006B32B1" w:rsidRPr="008C7825" w:rsidRDefault="006B32B1" w:rsidP="00334A49">
            <w:pPr>
              <w:keepNext/>
              <w:tabs>
                <w:tab w:val="clear" w:pos="431"/>
              </w:tabs>
              <w:spacing w:after="0" w:line="240" w:lineRule="auto"/>
              <w:ind w:left="0"/>
              <w:jc w:val="left"/>
              <w:rPr>
                <w:rFonts w:ascii="Calibri" w:hAnsi="Calibri" w:cs="Calibri"/>
                <w:b/>
                <w:bCs/>
                <w:color w:val="000000"/>
                <w:szCs w:val="20"/>
                <w:lang w:eastAsia="hr-HR"/>
              </w:rPr>
            </w:pPr>
          </w:p>
        </w:tc>
        <w:tc>
          <w:tcPr>
            <w:tcW w:w="3497" w:type="dxa"/>
            <w:gridSpan w:val="2"/>
            <w:noWrap/>
          </w:tcPr>
          <w:p w14:paraId="72DA6E4C" w14:textId="77777777" w:rsidR="006B32B1" w:rsidRPr="008C7825" w:rsidRDefault="006B32B1" w:rsidP="00334A49">
            <w:pPr>
              <w:keepNext/>
              <w:tabs>
                <w:tab w:val="clear" w:pos="431"/>
              </w:tabs>
              <w:spacing w:after="0" w:line="240" w:lineRule="auto"/>
              <w:ind w:left="0"/>
              <w:jc w:val="center"/>
              <w:rPr>
                <w:rFonts w:ascii="Calibri" w:hAnsi="Calibri" w:cs="Calibri"/>
                <w:b/>
                <w:bCs/>
                <w:color w:val="000000"/>
                <w:szCs w:val="20"/>
                <w:lang w:eastAsia="hr-HR"/>
              </w:rPr>
            </w:pPr>
            <w:r w:rsidRPr="008C7825">
              <w:rPr>
                <w:rFonts w:asciiTheme="minorHAnsi" w:hAnsiTheme="minorHAnsi" w:cs="Calibri"/>
                <w:b/>
                <w:bCs/>
                <w:szCs w:val="20"/>
                <w:lang w:eastAsia="hr-HR"/>
              </w:rPr>
              <w:t>komercijalne</w:t>
            </w:r>
          </w:p>
        </w:tc>
        <w:tc>
          <w:tcPr>
            <w:tcW w:w="3688" w:type="dxa"/>
            <w:gridSpan w:val="2"/>
            <w:noWrap/>
          </w:tcPr>
          <w:p w14:paraId="40C6516C" w14:textId="77777777" w:rsidR="006B32B1" w:rsidRPr="008C7825" w:rsidRDefault="006B32B1" w:rsidP="00334A49">
            <w:pPr>
              <w:keepNext/>
              <w:tabs>
                <w:tab w:val="clear" w:pos="431"/>
              </w:tabs>
              <w:spacing w:after="0" w:line="240" w:lineRule="auto"/>
              <w:ind w:left="0"/>
              <w:jc w:val="center"/>
              <w:rPr>
                <w:rFonts w:ascii="Calibri" w:hAnsi="Calibri" w:cs="Calibri"/>
                <w:b/>
                <w:bCs/>
                <w:color w:val="000000"/>
                <w:szCs w:val="20"/>
                <w:lang w:eastAsia="hr-HR"/>
              </w:rPr>
            </w:pPr>
            <w:r w:rsidRPr="008C7825">
              <w:rPr>
                <w:rFonts w:asciiTheme="minorHAnsi" w:hAnsiTheme="minorHAnsi" w:cs="Calibri"/>
                <w:b/>
                <w:bCs/>
                <w:szCs w:val="20"/>
                <w:lang w:eastAsia="hr-HR"/>
              </w:rPr>
              <w:t>javne</w:t>
            </w:r>
          </w:p>
        </w:tc>
      </w:tr>
      <w:tr w:rsidR="001B6973" w:rsidRPr="006B32B1" w14:paraId="3F722470" w14:textId="77777777" w:rsidTr="001B6973">
        <w:trPr>
          <w:trHeight w:val="288"/>
        </w:trPr>
        <w:tc>
          <w:tcPr>
            <w:tcW w:w="2385" w:type="dxa"/>
            <w:noWrap/>
            <w:vAlign w:val="bottom"/>
          </w:tcPr>
          <w:p w14:paraId="75442D4D" w14:textId="77777777" w:rsidR="001B6973" w:rsidRPr="008C7825" w:rsidRDefault="001B6973" w:rsidP="00334A49">
            <w:pPr>
              <w:keepNext/>
              <w:tabs>
                <w:tab w:val="clear" w:pos="431"/>
              </w:tabs>
              <w:spacing w:after="0" w:line="240" w:lineRule="auto"/>
              <w:ind w:left="0"/>
              <w:jc w:val="left"/>
              <w:rPr>
                <w:rFonts w:ascii="Calibri" w:hAnsi="Calibri" w:cs="Calibri"/>
                <w:color w:val="000000"/>
                <w:szCs w:val="20"/>
                <w:lang w:eastAsia="hr-HR"/>
              </w:rPr>
            </w:pPr>
          </w:p>
        </w:tc>
        <w:tc>
          <w:tcPr>
            <w:tcW w:w="1657" w:type="dxa"/>
            <w:noWrap/>
          </w:tcPr>
          <w:p w14:paraId="538ACFD8" w14:textId="77777777" w:rsidR="001B6973"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szCs w:val="20"/>
                <w:lang w:eastAsia="hr-HR"/>
              </w:rPr>
              <w:t>broj zgrada</w:t>
            </w:r>
          </w:p>
        </w:tc>
        <w:tc>
          <w:tcPr>
            <w:tcW w:w="1840" w:type="dxa"/>
            <w:noWrap/>
          </w:tcPr>
          <w:p w14:paraId="0F546877" w14:textId="77777777" w:rsidR="001B6973"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szCs w:val="20"/>
                <w:lang w:eastAsia="hr-HR"/>
              </w:rPr>
              <w:t>površina</w:t>
            </w:r>
          </w:p>
        </w:tc>
        <w:tc>
          <w:tcPr>
            <w:tcW w:w="1774" w:type="dxa"/>
            <w:noWrap/>
          </w:tcPr>
          <w:p w14:paraId="34384C49" w14:textId="77777777" w:rsidR="001B6973"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szCs w:val="20"/>
                <w:lang w:eastAsia="hr-HR"/>
              </w:rPr>
              <w:t>broj zgrada</w:t>
            </w:r>
          </w:p>
        </w:tc>
        <w:tc>
          <w:tcPr>
            <w:tcW w:w="1914" w:type="dxa"/>
            <w:noWrap/>
          </w:tcPr>
          <w:p w14:paraId="6ED3690E" w14:textId="77777777" w:rsidR="001B6973"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szCs w:val="20"/>
                <w:lang w:eastAsia="hr-HR"/>
              </w:rPr>
              <w:t>površina</w:t>
            </w:r>
          </w:p>
        </w:tc>
      </w:tr>
      <w:tr w:rsidR="006B32B1" w:rsidRPr="006B32B1" w14:paraId="36DECE00" w14:textId="77777777" w:rsidTr="001B6973">
        <w:trPr>
          <w:trHeight w:val="288"/>
        </w:trPr>
        <w:tc>
          <w:tcPr>
            <w:tcW w:w="2385" w:type="dxa"/>
            <w:noWrap/>
            <w:vAlign w:val="bottom"/>
          </w:tcPr>
          <w:p w14:paraId="18ECBB53"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p>
        </w:tc>
        <w:tc>
          <w:tcPr>
            <w:tcW w:w="1657" w:type="dxa"/>
            <w:noWrap/>
          </w:tcPr>
          <w:p w14:paraId="4CDB2270"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szCs w:val="20"/>
                <w:lang w:eastAsia="hr-HR"/>
              </w:rPr>
              <w:t>-</w:t>
            </w:r>
          </w:p>
        </w:tc>
        <w:tc>
          <w:tcPr>
            <w:tcW w:w="1840" w:type="dxa"/>
            <w:noWrap/>
          </w:tcPr>
          <w:p w14:paraId="0DC500E0"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szCs w:val="20"/>
                <w:lang w:eastAsia="hr-HR"/>
              </w:rPr>
              <w:t>m²</w:t>
            </w:r>
          </w:p>
        </w:tc>
        <w:tc>
          <w:tcPr>
            <w:tcW w:w="1774" w:type="dxa"/>
            <w:noWrap/>
          </w:tcPr>
          <w:p w14:paraId="59BF5136"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szCs w:val="20"/>
                <w:lang w:eastAsia="hr-HR"/>
              </w:rPr>
              <w:t>-</w:t>
            </w:r>
          </w:p>
        </w:tc>
        <w:tc>
          <w:tcPr>
            <w:tcW w:w="1914" w:type="dxa"/>
            <w:noWrap/>
          </w:tcPr>
          <w:p w14:paraId="1B9B7B88"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szCs w:val="20"/>
                <w:lang w:eastAsia="hr-HR"/>
              </w:rPr>
              <w:t>m²</w:t>
            </w:r>
          </w:p>
        </w:tc>
      </w:tr>
      <w:tr w:rsidR="006B32B1" w:rsidRPr="006B32B1" w14:paraId="4B171E2B" w14:textId="77777777" w:rsidTr="001B6973">
        <w:trPr>
          <w:trHeight w:val="288"/>
        </w:trPr>
        <w:tc>
          <w:tcPr>
            <w:tcW w:w="2385" w:type="dxa"/>
            <w:noWrap/>
            <w:vAlign w:val="bottom"/>
            <w:hideMark/>
          </w:tcPr>
          <w:p w14:paraId="1C919551"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urbano</w:t>
            </w:r>
          </w:p>
        </w:tc>
        <w:tc>
          <w:tcPr>
            <w:tcW w:w="1657" w:type="dxa"/>
            <w:noWrap/>
            <w:vAlign w:val="bottom"/>
            <w:hideMark/>
          </w:tcPr>
          <w:p w14:paraId="181A0A90"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35.956</w:t>
            </w:r>
          </w:p>
        </w:tc>
        <w:tc>
          <w:tcPr>
            <w:tcW w:w="1840" w:type="dxa"/>
            <w:noWrap/>
            <w:vAlign w:val="bottom"/>
            <w:hideMark/>
          </w:tcPr>
          <w:p w14:paraId="3A13EA63"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29.374.539</w:t>
            </w:r>
          </w:p>
        </w:tc>
        <w:tc>
          <w:tcPr>
            <w:tcW w:w="1774" w:type="dxa"/>
            <w:noWrap/>
            <w:vAlign w:val="bottom"/>
            <w:hideMark/>
          </w:tcPr>
          <w:p w14:paraId="2913BB06"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64.469</w:t>
            </w:r>
          </w:p>
        </w:tc>
        <w:tc>
          <w:tcPr>
            <w:tcW w:w="1914" w:type="dxa"/>
            <w:noWrap/>
            <w:vAlign w:val="bottom"/>
            <w:hideMark/>
          </w:tcPr>
          <w:p w14:paraId="74FA8D99"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11.095.223</w:t>
            </w:r>
          </w:p>
        </w:tc>
      </w:tr>
      <w:tr w:rsidR="006B32B1" w:rsidRPr="006B32B1" w14:paraId="58B3D01C" w14:textId="77777777" w:rsidTr="001B6973">
        <w:trPr>
          <w:trHeight w:val="288"/>
        </w:trPr>
        <w:tc>
          <w:tcPr>
            <w:tcW w:w="2385" w:type="dxa"/>
            <w:noWrap/>
            <w:vAlign w:val="bottom"/>
            <w:hideMark/>
          </w:tcPr>
          <w:p w14:paraId="50ED2D90"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ruralno</w:t>
            </w:r>
          </w:p>
        </w:tc>
        <w:tc>
          <w:tcPr>
            <w:tcW w:w="1657" w:type="dxa"/>
            <w:noWrap/>
            <w:vAlign w:val="bottom"/>
            <w:hideMark/>
          </w:tcPr>
          <w:p w14:paraId="35F9D444"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15.125</w:t>
            </w:r>
          </w:p>
        </w:tc>
        <w:tc>
          <w:tcPr>
            <w:tcW w:w="1840" w:type="dxa"/>
            <w:noWrap/>
            <w:vAlign w:val="bottom"/>
            <w:hideMark/>
          </w:tcPr>
          <w:p w14:paraId="4C50FE35"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12.356.536</w:t>
            </w:r>
          </w:p>
        </w:tc>
        <w:tc>
          <w:tcPr>
            <w:tcW w:w="1774" w:type="dxa"/>
            <w:noWrap/>
            <w:vAlign w:val="bottom"/>
            <w:hideMark/>
          </w:tcPr>
          <w:p w14:paraId="5A35185C"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27.119</w:t>
            </w:r>
          </w:p>
        </w:tc>
        <w:tc>
          <w:tcPr>
            <w:tcW w:w="1914" w:type="dxa"/>
            <w:noWrap/>
            <w:vAlign w:val="bottom"/>
            <w:hideMark/>
          </w:tcPr>
          <w:p w14:paraId="41F46AD9"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4.667.257</w:t>
            </w:r>
          </w:p>
        </w:tc>
      </w:tr>
      <w:tr w:rsidR="006B32B1" w:rsidRPr="006B32B1" w14:paraId="046796A7" w14:textId="77777777" w:rsidTr="001B6973">
        <w:trPr>
          <w:trHeight w:val="288"/>
        </w:trPr>
        <w:tc>
          <w:tcPr>
            <w:tcW w:w="2385" w:type="dxa"/>
            <w:noWrap/>
            <w:vAlign w:val="bottom"/>
            <w:hideMark/>
          </w:tcPr>
          <w:p w14:paraId="0543B4BE" w14:textId="77777777" w:rsidR="006B32B1" w:rsidRPr="00925A4B" w:rsidRDefault="006B32B1" w:rsidP="006B32B1">
            <w:pPr>
              <w:tabs>
                <w:tab w:val="clear" w:pos="431"/>
              </w:tabs>
              <w:spacing w:after="0" w:line="240" w:lineRule="auto"/>
              <w:ind w:left="0"/>
              <w:jc w:val="left"/>
              <w:rPr>
                <w:rFonts w:ascii="Calibri" w:hAnsi="Calibri" w:cs="Calibri"/>
                <w:b/>
                <w:bCs/>
                <w:color w:val="000000"/>
                <w:szCs w:val="20"/>
                <w:lang w:eastAsia="hr-HR"/>
              </w:rPr>
            </w:pPr>
            <w:r w:rsidRPr="00925A4B">
              <w:rPr>
                <w:rFonts w:ascii="Calibri" w:hAnsi="Calibri" w:cs="Calibri"/>
                <w:b/>
                <w:bCs/>
                <w:color w:val="000000"/>
                <w:szCs w:val="20"/>
                <w:lang w:eastAsia="hr-HR"/>
              </w:rPr>
              <w:t>ukupno</w:t>
            </w:r>
          </w:p>
        </w:tc>
        <w:tc>
          <w:tcPr>
            <w:tcW w:w="1657" w:type="dxa"/>
            <w:noWrap/>
            <w:vAlign w:val="bottom"/>
            <w:hideMark/>
          </w:tcPr>
          <w:p w14:paraId="11798616"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rPr>
              <w:t>51.082</w:t>
            </w:r>
          </w:p>
        </w:tc>
        <w:tc>
          <w:tcPr>
            <w:tcW w:w="1840" w:type="dxa"/>
            <w:noWrap/>
            <w:vAlign w:val="bottom"/>
            <w:hideMark/>
          </w:tcPr>
          <w:p w14:paraId="7E19C225"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rPr>
              <w:t>41.731.075</w:t>
            </w:r>
          </w:p>
        </w:tc>
        <w:tc>
          <w:tcPr>
            <w:tcW w:w="1774" w:type="dxa"/>
            <w:noWrap/>
            <w:vAlign w:val="bottom"/>
            <w:hideMark/>
          </w:tcPr>
          <w:p w14:paraId="3D3A0292"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rPr>
              <w:t>91.588</w:t>
            </w:r>
          </w:p>
        </w:tc>
        <w:tc>
          <w:tcPr>
            <w:tcW w:w="1914" w:type="dxa"/>
            <w:noWrap/>
            <w:vAlign w:val="bottom"/>
            <w:hideMark/>
          </w:tcPr>
          <w:p w14:paraId="75818210"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rPr>
              <w:t>15.762.480</w:t>
            </w:r>
          </w:p>
        </w:tc>
      </w:tr>
    </w:tbl>
    <w:p w14:paraId="150B3B72" w14:textId="77777777" w:rsidR="006B32B1" w:rsidRPr="00A422E6" w:rsidRDefault="006B32B1" w:rsidP="008C7825"/>
    <w:p w14:paraId="0FB75070" w14:textId="77777777" w:rsidR="00E51F37" w:rsidRDefault="00A422E6" w:rsidP="00E51F37">
      <w:pPr>
        <w:pStyle w:val="Naslov20"/>
      </w:pPr>
      <w:bookmarkStart w:id="51" w:name="_Toc34052861"/>
      <w:bookmarkStart w:id="52" w:name="_Toc46163804"/>
      <w:r w:rsidRPr="00A422E6">
        <w:lastRenderedPageBreak/>
        <w:t>Energetska svojstva i karakteristike zgrada</w:t>
      </w:r>
      <w:bookmarkEnd w:id="51"/>
      <w:bookmarkEnd w:id="52"/>
    </w:p>
    <w:p w14:paraId="6AF42F6C" w14:textId="30E0394E" w:rsidR="00A422E6" w:rsidRDefault="00925A4B" w:rsidP="00E51F37">
      <w:pPr>
        <w:pStyle w:val="Naslov3"/>
      </w:pPr>
      <w:bookmarkStart w:id="53" w:name="_Toc46163805"/>
      <w:r>
        <w:t>Energetski razredi zgrada</w:t>
      </w:r>
      <w:bookmarkEnd w:id="53"/>
      <w:r w:rsidRPr="00A422E6">
        <w:tab/>
      </w:r>
    </w:p>
    <w:p w14:paraId="1AFF773A" w14:textId="77777777" w:rsidR="00925A4B" w:rsidRDefault="0062156D" w:rsidP="008C7825">
      <w:pPr>
        <w:rPr>
          <w:lang w:eastAsia="hr-HR"/>
        </w:rPr>
      </w:pPr>
      <w:r>
        <w:rPr>
          <w:lang w:eastAsia="hr-HR"/>
        </w:rPr>
        <w:t xml:space="preserve">Energetska svojstva zgrada su utvrđena </w:t>
      </w:r>
      <w:r w:rsidR="001B6973">
        <w:rPr>
          <w:lang w:eastAsia="hr-HR"/>
        </w:rPr>
        <w:t xml:space="preserve">korištenjem podataka </w:t>
      </w:r>
      <w:r w:rsidR="005C073E">
        <w:rPr>
          <w:lang w:eastAsia="hr-HR"/>
        </w:rPr>
        <w:t>prikupljenih u</w:t>
      </w:r>
      <w:r w:rsidR="001B6973">
        <w:rPr>
          <w:lang w:eastAsia="hr-HR"/>
        </w:rPr>
        <w:t xml:space="preserve"> </w:t>
      </w:r>
      <w:r>
        <w:rPr>
          <w:lang w:eastAsia="hr-HR"/>
        </w:rPr>
        <w:t xml:space="preserve">IEC bazi podataka energetskih certifikata, prema podacima </w:t>
      </w:r>
      <w:r w:rsidR="00457E54">
        <w:rPr>
          <w:lang w:eastAsia="hr-HR"/>
        </w:rPr>
        <w:t xml:space="preserve">iz energetskih </w:t>
      </w:r>
      <w:r>
        <w:rPr>
          <w:lang w:eastAsia="hr-HR"/>
        </w:rPr>
        <w:t xml:space="preserve">certifikata unesenih u bazu od 30.9.2017. </w:t>
      </w:r>
      <w:r w:rsidR="00457E54">
        <w:rPr>
          <w:lang w:eastAsia="hr-HR"/>
        </w:rPr>
        <w:t xml:space="preserve">do 19. 10. 2019. </w:t>
      </w:r>
      <w:r>
        <w:rPr>
          <w:lang w:eastAsia="hr-HR"/>
        </w:rPr>
        <w:t xml:space="preserve">godine. </w:t>
      </w:r>
    </w:p>
    <w:p w14:paraId="16CC27ED" w14:textId="71F5315A" w:rsidR="00925A4B" w:rsidRPr="008C7825" w:rsidRDefault="00925A4B" w:rsidP="00925A4B">
      <w:r>
        <w:rPr>
          <w:lang w:eastAsia="hr-HR"/>
        </w:rPr>
        <w:t>Distribucija energetskih razreda određenih prema energiji potrebnoj za grijanje (QH,nd) po vrstama zgrada prema udjelu u ukupnoj površini zgrada prema namjeni (</w:t>
      </w:r>
      <w:r>
        <w:rPr>
          <w:lang w:eastAsia="hr-HR"/>
        </w:rPr>
        <w:fldChar w:fldCharType="begin"/>
      </w:r>
      <w:r>
        <w:rPr>
          <w:lang w:eastAsia="hr-HR"/>
        </w:rPr>
        <w:instrText xml:space="preserve"> REF _Ref45722087 \h </w:instrText>
      </w:r>
      <w:r>
        <w:rPr>
          <w:lang w:eastAsia="hr-HR"/>
        </w:rPr>
      </w:r>
      <w:r>
        <w:rPr>
          <w:lang w:eastAsia="hr-HR"/>
        </w:rPr>
        <w:fldChar w:fldCharType="separate"/>
      </w:r>
      <w:r w:rsidR="00CE61F3">
        <w:t xml:space="preserve">Slika </w:t>
      </w:r>
      <w:r w:rsidR="00CE61F3">
        <w:rPr>
          <w:noProof/>
        </w:rPr>
        <w:t>2</w:t>
      </w:r>
      <w:r w:rsidR="00CE61F3">
        <w:t>.</w:t>
      </w:r>
      <w:r w:rsidR="00CE61F3">
        <w:rPr>
          <w:noProof/>
        </w:rPr>
        <w:t>8</w:t>
      </w:r>
      <w:r>
        <w:rPr>
          <w:lang w:eastAsia="hr-HR"/>
        </w:rPr>
        <w:fldChar w:fldCharType="end"/>
      </w:r>
      <w:r>
        <w:rPr>
          <w:lang w:eastAsia="hr-HR"/>
        </w:rPr>
        <w:t xml:space="preserve">) je ravnomjerna u višestambenim zgradama te donekle kod uredskih zgrada (stambene i uredske su najzastupljenije vrste zgrada), dok kod ostalih dolazi do pomaka prema lošijim energetskim razredima (bolnice, obiteljske kuće) ili boljim (trgovina, hoteli i restorani). </w:t>
      </w:r>
    </w:p>
    <w:p w14:paraId="16DF0553" w14:textId="77777777" w:rsidR="00690D6C" w:rsidRDefault="002508DB" w:rsidP="008C7825">
      <w:pPr>
        <w:keepNext/>
        <w:jc w:val="center"/>
      </w:pPr>
      <w:r w:rsidRPr="00283F5D">
        <w:rPr>
          <w:noProof/>
          <w:lang w:eastAsia="hr-HR"/>
        </w:rPr>
        <w:drawing>
          <wp:inline distT="0" distB="0" distL="0" distR="0" wp14:anchorId="5973EF3E" wp14:editId="0E89120E">
            <wp:extent cx="5942965" cy="3141980"/>
            <wp:effectExtent l="0" t="0" r="635" b="1270"/>
            <wp:docPr id="9"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DBEC04" w14:textId="390F5719" w:rsidR="00253F9C" w:rsidRDefault="00690D6C" w:rsidP="008C7825">
      <w:pPr>
        <w:pStyle w:val="Opisslike"/>
        <w:jc w:val="center"/>
      </w:pPr>
      <w:bookmarkStart w:id="54" w:name="_Ref45722087"/>
      <w:bookmarkStart w:id="55" w:name="_Toc40089003"/>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8</w:t>
      </w:r>
      <w:r w:rsidR="00A50909">
        <w:rPr>
          <w:noProof/>
        </w:rPr>
        <w:fldChar w:fldCharType="end"/>
      </w:r>
      <w:bookmarkEnd w:id="54"/>
      <w:r>
        <w:t xml:space="preserve"> Distribucija energetskih razreda</w:t>
      </w:r>
      <w:r w:rsidR="007C60B3">
        <w:t xml:space="preserve"> po QH,nd</w:t>
      </w:r>
      <w:r>
        <w:t xml:space="preserve"> po vrstama zgrada</w:t>
      </w:r>
      <w:bookmarkEnd w:id="55"/>
    </w:p>
    <w:p w14:paraId="03FA0509" w14:textId="77777777" w:rsidR="007C60B3" w:rsidRDefault="002508DB" w:rsidP="007C60B3">
      <w:pPr>
        <w:keepNext/>
      </w:pPr>
      <w:r w:rsidRPr="00283F5D">
        <w:rPr>
          <w:noProof/>
          <w:lang w:eastAsia="hr-HR"/>
        </w:rPr>
        <w:drawing>
          <wp:inline distT="0" distB="0" distL="0" distR="0" wp14:anchorId="619849B4" wp14:editId="2D809E68">
            <wp:extent cx="5942965" cy="3559175"/>
            <wp:effectExtent l="0" t="0" r="635" b="3175"/>
            <wp:docPr id="10"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9FEADC" w14:textId="66E6E90F" w:rsidR="00253F9C" w:rsidRDefault="007C60B3" w:rsidP="00264992">
      <w:pPr>
        <w:pStyle w:val="Opisslike"/>
        <w:jc w:val="center"/>
      </w:pPr>
      <w:bookmarkStart w:id="56" w:name="_Toc40089004"/>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9</w:t>
      </w:r>
      <w:r w:rsidR="00A50909">
        <w:rPr>
          <w:noProof/>
        </w:rPr>
        <w:fldChar w:fldCharType="end"/>
      </w:r>
      <w:r>
        <w:t xml:space="preserve"> </w:t>
      </w:r>
      <w:r w:rsidRPr="00610F0A">
        <w:t xml:space="preserve">Distribucija energetskih razreda po </w:t>
      </w:r>
      <w:r>
        <w:t xml:space="preserve">Eprim </w:t>
      </w:r>
      <w:r w:rsidRPr="00610F0A">
        <w:t>po vrstama zgrada</w:t>
      </w:r>
      <w:bookmarkEnd w:id="56"/>
    </w:p>
    <w:p w14:paraId="7701C36C" w14:textId="0DD54FB6" w:rsidR="00264992" w:rsidRPr="00264992" w:rsidRDefault="001F3A00" w:rsidP="00264992">
      <w:r>
        <w:t>Pregled e</w:t>
      </w:r>
      <w:r w:rsidR="00CE2511">
        <w:t>nergetski</w:t>
      </w:r>
      <w:r>
        <w:t>h</w:t>
      </w:r>
      <w:r w:rsidR="00CE2511">
        <w:t xml:space="preserve"> razred</w:t>
      </w:r>
      <w:r>
        <w:t>a</w:t>
      </w:r>
      <w:r w:rsidR="00CE2511">
        <w:t xml:space="preserve"> zgrada po primarnoj energiji pokazuju </w:t>
      </w:r>
      <w:r>
        <w:t xml:space="preserve">veći broj energetskih certifikata </w:t>
      </w:r>
      <w:r w:rsidR="00813083">
        <w:t xml:space="preserve">s lošijim razredom </w:t>
      </w:r>
      <w:r w:rsidR="000D060B">
        <w:t>prema primar</w:t>
      </w:r>
      <w:r w:rsidR="000D060B">
        <w:lastRenderedPageBreak/>
        <w:t xml:space="preserve">noj energiji, kao </w:t>
      </w:r>
      <w:r w:rsidR="004D0257">
        <w:t xml:space="preserve">vjerojatnu posljedicu </w:t>
      </w:r>
      <w:r w:rsidR="001433C1">
        <w:t xml:space="preserve">relativno nedavnog uvođenja primarne energije </w:t>
      </w:r>
      <w:r w:rsidR="001433C1" w:rsidRPr="00A92C0C">
        <w:t xml:space="preserve">kao </w:t>
      </w:r>
      <w:r w:rsidR="00A06FC8" w:rsidRPr="00A92C0C">
        <w:t xml:space="preserve">osnovnog pokazatelja energetskog svojstva zgrada. </w:t>
      </w:r>
      <w:r w:rsidR="00DB7449" w:rsidRPr="00A92C0C">
        <w:t xml:space="preserve">Kod zgrada hotela i restorana, te uredskih zgrada dolazi do </w:t>
      </w:r>
      <w:r w:rsidR="00A47E03" w:rsidRPr="00A92C0C">
        <w:t xml:space="preserve">znatne razlike energetskog razreda </w:t>
      </w:r>
      <w:r w:rsidR="003A5BAB" w:rsidRPr="00A92C0C">
        <w:t xml:space="preserve">prema potrebnoj toplinskoj energiji za grijanje i </w:t>
      </w:r>
      <w:r w:rsidR="00450EB0" w:rsidRPr="00A92C0C">
        <w:t>ocjeni prema primarnoj energiji</w:t>
      </w:r>
      <w:r w:rsidR="008C52EA" w:rsidRPr="00A92C0C">
        <w:t xml:space="preserve">. Osnovni razlog za to je što primarna energija uključuje i energiju za </w:t>
      </w:r>
      <w:r w:rsidR="00DE6814" w:rsidRPr="00A92C0C">
        <w:t xml:space="preserve">hlađenje i rasvjetu koja </w:t>
      </w:r>
      <w:r w:rsidR="00941645" w:rsidRPr="00A92C0C">
        <w:t xml:space="preserve">čini značajan udio kod </w:t>
      </w:r>
      <w:r w:rsidR="00860BD6" w:rsidRPr="00A92C0C">
        <w:t xml:space="preserve">tih </w:t>
      </w:r>
      <w:r w:rsidR="00A47E03" w:rsidRPr="00A92C0C">
        <w:t>vrsta</w:t>
      </w:r>
      <w:r w:rsidR="00C8147C" w:rsidRPr="00A92C0C">
        <w:t xml:space="preserve"> </w:t>
      </w:r>
      <w:r w:rsidR="00860BD6" w:rsidRPr="00A92C0C">
        <w:t>zgrada</w:t>
      </w:r>
      <w:r w:rsidR="00AA1F5B" w:rsidRPr="00A92C0C">
        <w:t xml:space="preserve">. Skala energetskih certifikata se određuje prema </w:t>
      </w:r>
      <w:r w:rsidR="00DB7BC6" w:rsidRPr="00A92C0C">
        <w:t xml:space="preserve">minimalnim zahtjevima za nove zgrade i </w:t>
      </w:r>
      <w:r w:rsidR="000A6E1B" w:rsidRPr="00A92C0C">
        <w:t xml:space="preserve">prosječnim karakteristikama postojeće zgrade, te </w:t>
      </w:r>
      <w:r w:rsidR="0008252D" w:rsidRPr="00A92C0C">
        <w:t xml:space="preserve">su granice </w:t>
      </w:r>
      <w:r w:rsidR="00DE07BA" w:rsidRPr="00A92C0C">
        <w:t xml:space="preserve">energetskih razreda prema primarnoj energiji </w:t>
      </w:r>
      <w:r w:rsidR="006B75FC" w:rsidRPr="00A92C0C">
        <w:t xml:space="preserve">takve da </w:t>
      </w:r>
      <w:r w:rsidR="00B025ED" w:rsidRPr="00A92C0C">
        <w:t xml:space="preserve">računski </w:t>
      </w:r>
      <w:r w:rsidR="00B025ED">
        <w:t xml:space="preserve">rezultati postojećih zgrada koja ne koriste </w:t>
      </w:r>
      <w:r w:rsidR="00011F99">
        <w:t>kvalitetna tehnička rješenja</w:t>
      </w:r>
      <w:r w:rsidR="00880B3E">
        <w:t xml:space="preserve"> (</w:t>
      </w:r>
      <w:r w:rsidR="00011F99">
        <w:t xml:space="preserve">ili su prema </w:t>
      </w:r>
      <w:r w:rsidR="00816126">
        <w:t xml:space="preserve">Metodologiji </w:t>
      </w:r>
      <w:r w:rsidR="00355BB8">
        <w:t>provođenja energetskog pregleda zgrada</w:t>
      </w:r>
      <w:sdt>
        <w:sdtPr>
          <w:id w:val="-785584804"/>
          <w:citation/>
        </w:sdtPr>
        <w:sdtEndPr/>
        <w:sdtContent>
          <w:r w:rsidR="00355BB8">
            <w:fldChar w:fldCharType="begin"/>
          </w:r>
          <w:r w:rsidR="00355BB8">
            <w:instrText xml:space="preserve"> CITATION MGI174 \l 1050 </w:instrText>
          </w:r>
          <w:r w:rsidR="00355BB8">
            <w:fldChar w:fldCharType="separate"/>
          </w:r>
          <w:r w:rsidR="002D258B">
            <w:rPr>
              <w:noProof/>
            </w:rPr>
            <w:t xml:space="preserve"> (MGIPU, 2017.)</w:t>
          </w:r>
          <w:r w:rsidR="00355BB8">
            <w:fldChar w:fldCharType="end"/>
          </w:r>
        </w:sdtContent>
      </w:sdt>
      <w:r w:rsidR="00355BB8">
        <w:t xml:space="preserve"> po </w:t>
      </w:r>
      <w:r w:rsidR="00011F99">
        <w:t xml:space="preserve">namjeni </w:t>
      </w:r>
      <w:r w:rsidR="006A707C">
        <w:t xml:space="preserve">zgrade </w:t>
      </w:r>
      <w:r w:rsidR="00011F99">
        <w:t>penalizirane za sustave koje nemaju ugrađene</w:t>
      </w:r>
      <w:r w:rsidR="007620E5">
        <w:t xml:space="preserve"> a </w:t>
      </w:r>
      <w:r w:rsidR="006A707C">
        <w:t xml:space="preserve">koji se </w:t>
      </w:r>
      <w:r w:rsidR="007620E5">
        <w:t>moraju uzeti u obzir kod ocjene energetskog razreda</w:t>
      </w:r>
      <w:r w:rsidR="00880B3E">
        <w:t xml:space="preserve">) </w:t>
      </w:r>
      <w:r w:rsidR="00B8710E">
        <w:t xml:space="preserve">brzo dolaze u niži energetski razred. </w:t>
      </w:r>
    </w:p>
    <w:p w14:paraId="19B30DB5" w14:textId="77777777" w:rsidR="00A422E6" w:rsidRDefault="00C83CD6" w:rsidP="00B85DB6">
      <w:pPr>
        <w:pStyle w:val="Naslov3"/>
      </w:pPr>
      <w:bookmarkStart w:id="57" w:name="_Toc34052862"/>
      <w:bookmarkStart w:id="58" w:name="_Toc46163806"/>
      <w:r>
        <w:t>K</w:t>
      </w:r>
      <w:r w:rsidR="00A422E6" w:rsidRPr="00B85DB6">
        <w:t xml:space="preserve">oeficijenti </w:t>
      </w:r>
      <w:r>
        <w:t xml:space="preserve">prolaska topline </w:t>
      </w:r>
      <w:r w:rsidR="00A422E6" w:rsidRPr="00B85DB6">
        <w:t>građevinskih dijelova i elemenata</w:t>
      </w:r>
      <w:bookmarkEnd w:id="57"/>
      <w:bookmarkEnd w:id="58"/>
      <w:r w:rsidR="00A422E6" w:rsidRPr="00B85DB6">
        <w:tab/>
      </w:r>
    </w:p>
    <w:p w14:paraId="05219BD2" w14:textId="77777777" w:rsidR="0028624C" w:rsidRDefault="00C22414" w:rsidP="00C22414">
      <w:pPr>
        <w:rPr>
          <w:lang w:eastAsia="hr-HR"/>
        </w:rPr>
      </w:pPr>
      <w:r>
        <w:rPr>
          <w:lang w:eastAsia="hr-HR"/>
        </w:rPr>
        <w:t>Koeficijenti prolaska topline karakteristič</w:t>
      </w:r>
      <w:r w:rsidR="00D645B6">
        <w:rPr>
          <w:lang w:eastAsia="hr-HR"/>
        </w:rPr>
        <w:t>n</w:t>
      </w:r>
      <w:r>
        <w:rPr>
          <w:lang w:eastAsia="hr-HR"/>
        </w:rPr>
        <w:t xml:space="preserve">ih konstrukcija vanjske ovojnice se snižavaju kontinuirano prema razdoblju gradnje zgrada. </w:t>
      </w:r>
      <w:r w:rsidR="0028624C">
        <w:rPr>
          <w:lang w:eastAsia="hr-HR"/>
        </w:rPr>
        <w:t>Najzamjetnije je snižavanje koeficijenta prolaska topline ostakljenih konstrukcija, pri čemu je prosječna vrijednost U</w:t>
      </w:r>
      <w:r w:rsidR="0028624C" w:rsidRPr="008C7825">
        <w:rPr>
          <w:vertAlign w:val="subscript"/>
          <w:lang w:eastAsia="hr-HR"/>
        </w:rPr>
        <w:t>w</w:t>
      </w:r>
      <w:r w:rsidR="0028624C">
        <w:rPr>
          <w:lang w:eastAsia="hr-HR"/>
        </w:rPr>
        <w:t xml:space="preserve"> dosegla vrijednost 1,3 W/m²K. Na konstrukcijama vanjskih zidova vidljivo je kako je nakon pogoršanja u 70-im godinama 20. stoljeća dosegnuta vrijednost 0,30 W/m²K, kao i kod ravnih i kosih krovova 0,25 W/m²K, dok je kod podova i zidova na tlu prosječni koeficijent prolaska topline 0,45 W/m²K.</w:t>
      </w:r>
      <w:r w:rsidR="00D645B6">
        <w:rPr>
          <w:lang w:eastAsia="hr-HR"/>
        </w:rPr>
        <w:t xml:space="preserve"> </w:t>
      </w:r>
    </w:p>
    <w:p w14:paraId="75636A34" w14:textId="77777777" w:rsidR="0068044F" w:rsidRDefault="002508DB" w:rsidP="008C7825">
      <w:pPr>
        <w:keepNext/>
        <w:jc w:val="center"/>
      </w:pPr>
      <w:r w:rsidRPr="00283F5D">
        <w:rPr>
          <w:noProof/>
          <w:lang w:eastAsia="hr-HR"/>
        </w:rPr>
        <w:drawing>
          <wp:inline distT="0" distB="0" distL="0" distR="0" wp14:anchorId="69B425D1" wp14:editId="7BC38101">
            <wp:extent cx="5942965" cy="3248025"/>
            <wp:effectExtent l="0" t="0" r="635" b="9525"/>
            <wp:docPr id="1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EE3F76" w14:textId="42D9884E" w:rsidR="0020166C" w:rsidRPr="008C7825" w:rsidRDefault="0068044F" w:rsidP="008C7825">
      <w:pPr>
        <w:pStyle w:val="Opisslike"/>
        <w:jc w:val="center"/>
      </w:pPr>
      <w:bookmarkStart w:id="59" w:name="_Toc40089005"/>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10</w:t>
      </w:r>
      <w:r w:rsidR="00A50909">
        <w:rPr>
          <w:noProof/>
        </w:rPr>
        <w:fldChar w:fldCharType="end"/>
      </w:r>
      <w:r>
        <w:t xml:space="preserve"> Kretanje karakterističnih koeficijenata prolaska topline po razdobljima gradnje</w:t>
      </w:r>
      <w:bookmarkEnd w:id="59"/>
    </w:p>
    <w:p w14:paraId="2C053B01" w14:textId="77777777" w:rsidR="00FD77B2" w:rsidRPr="008C7825" w:rsidRDefault="00D645B6" w:rsidP="008C7825">
      <w:r>
        <w:rPr>
          <w:lang w:eastAsia="hr-HR"/>
        </w:rPr>
        <w:t xml:space="preserve">Prosječni koeficijenti prolaska topline konstrukcija svih zgrada pokazuju prosječno stanje građevinskog fonda, te iznose 1,02 W/m²K za vanjske zidove, zidove prema garaži i provjetravanom tavanu; 0,63 W/m²K za </w:t>
      </w:r>
      <w:r w:rsidR="00FA2DC4">
        <w:rPr>
          <w:lang w:eastAsia="hr-HR"/>
        </w:rPr>
        <w:t xml:space="preserve">ravne i kose krovove i stropove prema negrijanom tavanu; 0,97 W/m²K  za zidove prema tlu te 2,21 </w:t>
      </w:r>
      <w:r w:rsidR="00FA2DC4">
        <w:rPr>
          <w:lang w:eastAsia="hr-HR"/>
        </w:rPr>
        <w:lastRenderedPageBreak/>
        <w:t xml:space="preserve">W/m²K za prozore i ostakljene konstrukcije. Promjena prosječnih koeficijenata prolaska topline konstrukcija može se koristiti kao direktni pokazatelj povećanja energetske učinkovitosti fonda zgrada. </w:t>
      </w:r>
    </w:p>
    <w:p w14:paraId="5FB5647D" w14:textId="77777777" w:rsidR="00255FF1" w:rsidRDefault="00A422E6" w:rsidP="00B85DB6">
      <w:pPr>
        <w:pStyle w:val="Naslov3"/>
      </w:pPr>
      <w:bookmarkStart w:id="60" w:name="_Toc34052863"/>
      <w:bookmarkStart w:id="61" w:name="_Toc46163807"/>
      <w:r w:rsidRPr="00B85DB6">
        <w:t>Sustavi grijanja</w:t>
      </w:r>
      <w:bookmarkEnd w:id="60"/>
      <w:bookmarkEnd w:id="61"/>
    </w:p>
    <w:p w14:paraId="4CDCF90F" w14:textId="1FCA8987" w:rsidR="0068044F" w:rsidRDefault="00B8710E" w:rsidP="008C7825">
      <w:r>
        <w:t>Karakteristike s</w:t>
      </w:r>
      <w:r w:rsidR="00DB45CB">
        <w:t>ustav</w:t>
      </w:r>
      <w:r>
        <w:t>a</w:t>
      </w:r>
      <w:r w:rsidR="00DB45CB">
        <w:t xml:space="preserve"> grijanja, hlađenja, pripreme PTV i rasvjete u zgradama se </w:t>
      </w:r>
      <w:r w:rsidR="003E056C">
        <w:t>mogu pratiti</w:t>
      </w:r>
      <w:r w:rsidR="00AF4856">
        <w:t xml:space="preserve"> </w:t>
      </w:r>
      <w:r w:rsidR="008F334E">
        <w:t xml:space="preserve">indirektno, preko </w:t>
      </w:r>
      <w:r w:rsidR="00432485">
        <w:t>omjer</w:t>
      </w:r>
      <w:r w:rsidR="00C167CE">
        <w:t>a</w:t>
      </w:r>
      <w:r w:rsidR="00432485">
        <w:t xml:space="preserve"> </w:t>
      </w:r>
      <w:r w:rsidR="00C167CE">
        <w:t>potrebne</w:t>
      </w:r>
      <w:r w:rsidR="00432485">
        <w:t xml:space="preserve"> i isporučene energije za grijanje, hlađenje i pripremu PTV. </w:t>
      </w:r>
      <w:r w:rsidR="00EA7353">
        <w:t xml:space="preserve">Prosječni omjer </w:t>
      </w:r>
      <w:r w:rsidR="00367984">
        <w:t xml:space="preserve">isporučene i potrebne energije iznosi </w:t>
      </w:r>
      <w:r w:rsidR="00540991">
        <w:t xml:space="preserve">1,27 kWh/kWh. </w:t>
      </w:r>
      <w:r w:rsidR="00EE1EB6">
        <w:t xml:space="preserve">Ovim </w:t>
      </w:r>
      <w:r w:rsidR="006A7B80">
        <w:t xml:space="preserve">pokazateljem </w:t>
      </w:r>
      <w:r w:rsidR="00EE1EB6">
        <w:t xml:space="preserve">se pokazuje </w:t>
      </w:r>
      <w:r w:rsidR="002D43B7">
        <w:t>prosječno povećanje učinkovitosti sustava grijanja, hlađenj</w:t>
      </w:r>
      <w:r w:rsidR="000D4B1C">
        <w:t>a, pripreme PTV i rasvjete</w:t>
      </w:r>
      <w:r w:rsidR="00B070C8">
        <w:t xml:space="preserve"> za zgrade prema razdoblju </w:t>
      </w:r>
      <w:r w:rsidR="003A56F9">
        <w:t xml:space="preserve">gradnje. </w:t>
      </w:r>
      <w:r w:rsidR="00E637F8">
        <w:t xml:space="preserve">Kod svih zgrada </w:t>
      </w:r>
      <w:r w:rsidR="00E90FF7">
        <w:t xml:space="preserve">se, s obzirom na godinu izgradnje, smanjuje omjer isporučene i potrebne </w:t>
      </w:r>
      <w:r w:rsidR="006C3BF6">
        <w:t xml:space="preserve">energije (osim kod </w:t>
      </w:r>
      <w:r w:rsidR="003871A5">
        <w:t>hotela</w:t>
      </w:r>
      <w:r w:rsidR="006C3BF6">
        <w:t xml:space="preserve"> </w:t>
      </w:r>
      <w:r w:rsidR="003871A5">
        <w:t xml:space="preserve">kod kojih dolazi do skoka u razdoblju 2005. do 2009. godine, što je moguća </w:t>
      </w:r>
      <w:r w:rsidR="006F6AAB">
        <w:t>posljedica premalog uzorka</w:t>
      </w:r>
      <w:r w:rsidR="001B695B">
        <w:t>)</w:t>
      </w:r>
      <w:r w:rsidR="00747F5B">
        <w:t xml:space="preserve">. </w:t>
      </w:r>
      <w:r w:rsidR="0009052B">
        <w:t xml:space="preserve">Pozitivno je što kod ukupnog fonda dolazi do kontinuiranog poboljšanja omjera </w:t>
      </w:r>
      <w:r w:rsidR="000E5B3F">
        <w:t>isporučene i potrebne energij</w:t>
      </w:r>
      <w:r w:rsidR="00271804">
        <w:t>a.</w:t>
      </w:r>
      <w:r w:rsidR="001063B5">
        <w:t xml:space="preserve"> Očekivan</w:t>
      </w:r>
      <w:r w:rsidR="004C1052">
        <w:t xml:space="preserve">i razvoj </w:t>
      </w:r>
      <w:r w:rsidR="00194212">
        <w:t xml:space="preserve">prema </w:t>
      </w:r>
      <w:r w:rsidR="006A7B80">
        <w:t xml:space="preserve">pokazatelju </w:t>
      </w:r>
      <w:r w:rsidR="00A04776">
        <w:t>omjera isporučene i potrebne energije za grijanje i hlađenje je u smjeru smanjenja omjera</w:t>
      </w:r>
      <w:r w:rsidR="0091725C">
        <w:t xml:space="preserve">, odnosno </w:t>
      </w:r>
      <w:r w:rsidR="00420CF3">
        <w:t>smanjenja isporučene energije za jedinicu potrebne energije za grijanje i hlađenje.</w:t>
      </w:r>
      <w:r w:rsidR="00194212">
        <w:t xml:space="preserve"> </w:t>
      </w:r>
      <w:r w:rsidR="00271804">
        <w:t xml:space="preserve"> </w:t>
      </w:r>
    </w:p>
    <w:p w14:paraId="544B92A2" w14:textId="7C24D9D7" w:rsidR="00540991" w:rsidRDefault="00540991" w:rsidP="00F67D16">
      <w:pPr>
        <w:pStyle w:val="Opisslike"/>
        <w:keepNext/>
      </w:pPr>
      <w:bookmarkStart w:id="62" w:name="_Toc40089031"/>
      <w:r>
        <w:t xml:space="preserve">Tablica </w:t>
      </w:r>
      <w:r w:rsidR="00A50909">
        <w:fldChar w:fldCharType="begin"/>
      </w:r>
      <w:r w:rsidR="00A50909">
        <w:instrText xml:space="preserve"> SEQ Tablica \* ARABIC </w:instrText>
      </w:r>
      <w:r w:rsidR="00A50909">
        <w:fldChar w:fldCharType="separate"/>
      </w:r>
      <w:r w:rsidR="00CE61F3">
        <w:rPr>
          <w:noProof/>
        </w:rPr>
        <w:t>14</w:t>
      </w:r>
      <w:r w:rsidR="00A50909">
        <w:rPr>
          <w:noProof/>
        </w:rPr>
        <w:fldChar w:fldCharType="end"/>
      </w:r>
      <w:r>
        <w:t xml:space="preserve"> O</w:t>
      </w:r>
      <w:r w:rsidR="00556D3D">
        <w:t>m</w:t>
      </w:r>
      <w:r>
        <w:t>jer ukupne isporučene i potrebne energije za grijanje i hlađenje</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7"/>
        <w:gridCol w:w="2307"/>
      </w:tblGrid>
      <w:tr w:rsidR="00540991" w:rsidRPr="00540991" w14:paraId="0118FEE3" w14:textId="77777777" w:rsidTr="00540991">
        <w:trPr>
          <w:trHeight w:val="288"/>
        </w:trPr>
        <w:tc>
          <w:tcPr>
            <w:tcW w:w="7037" w:type="dxa"/>
            <w:noWrap/>
            <w:vAlign w:val="bottom"/>
            <w:hideMark/>
          </w:tcPr>
          <w:p w14:paraId="7245370D" w14:textId="77777777" w:rsidR="00540991" w:rsidRPr="00540991" w:rsidRDefault="00540991" w:rsidP="00334A49">
            <w:pPr>
              <w:keepNext/>
              <w:tabs>
                <w:tab w:val="clear" w:pos="431"/>
              </w:tabs>
              <w:spacing w:after="0" w:line="240" w:lineRule="auto"/>
              <w:ind w:left="0"/>
              <w:jc w:val="left"/>
              <w:rPr>
                <w:rFonts w:ascii="Calibri" w:hAnsi="Calibri" w:cs="Calibri"/>
                <w:b/>
                <w:bCs/>
                <w:color w:val="000000"/>
                <w:sz w:val="22"/>
                <w:lang w:eastAsia="hr-HR"/>
              </w:rPr>
            </w:pPr>
          </w:p>
        </w:tc>
        <w:tc>
          <w:tcPr>
            <w:tcW w:w="2307" w:type="dxa"/>
            <w:noWrap/>
            <w:vAlign w:val="bottom"/>
            <w:hideMark/>
          </w:tcPr>
          <w:p w14:paraId="645DE4A2" w14:textId="77777777" w:rsidR="00540991" w:rsidRPr="00540991" w:rsidRDefault="00540991" w:rsidP="00334A49">
            <w:pPr>
              <w:keepNext/>
              <w:tabs>
                <w:tab w:val="clear" w:pos="431"/>
              </w:tabs>
              <w:spacing w:after="0" w:line="240" w:lineRule="auto"/>
              <w:ind w:left="0"/>
              <w:jc w:val="left"/>
              <w:rPr>
                <w:rFonts w:ascii="Calibri" w:hAnsi="Calibri" w:cs="Calibri"/>
                <w:b/>
                <w:bCs/>
                <w:color w:val="000000"/>
                <w:sz w:val="22"/>
                <w:lang w:eastAsia="hr-HR"/>
              </w:rPr>
            </w:pPr>
            <w:r w:rsidRPr="00540991">
              <w:rPr>
                <w:rFonts w:ascii="Calibri" w:hAnsi="Calibri" w:cs="Calibri"/>
                <w:b/>
                <w:color w:val="000000"/>
                <w:sz w:val="22"/>
                <w:lang w:eastAsia="hr-HR"/>
              </w:rPr>
              <w:t>omjer ukupne isporučene i potrebne energije za grijanje i hlađenje</w:t>
            </w:r>
          </w:p>
        </w:tc>
      </w:tr>
      <w:tr w:rsidR="00540991" w:rsidRPr="00540991" w14:paraId="1541F21A" w14:textId="77777777" w:rsidTr="00540991">
        <w:trPr>
          <w:trHeight w:val="288"/>
        </w:trPr>
        <w:tc>
          <w:tcPr>
            <w:tcW w:w="7037" w:type="dxa"/>
            <w:noWrap/>
            <w:vAlign w:val="bottom"/>
            <w:hideMark/>
          </w:tcPr>
          <w:p w14:paraId="36F6EA63"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Bolnice</w:t>
            </w:r>
          </w:p>
        </w:tc>
        <w:tc>
          <w:tcPr>
            <w:tcW w:w="2307" w:type="dxa"/>
            <w:noWrap/>
            <w:vAlign w:val="bottom"/>
            <w:hideMark/>
          </w:tcPr>
          <w:p w14:paraId="398A99FB"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1,54</w:t>
            </w:r>
          </w:p>
        </w:tc>
      </w:tr>
      <w:tr w:rsidR="00540991" w:rsidRPr="00540991" w14:paraId="15A9C190" w14:textId="77777777" w:rsidTr="00540991">
        <w:trPr>
          <w:trHeight w:val="288"/>
        </w:trPr>
        <w:tc>
          <w:tcPr>
            <w:tcW w:w="7037" w:type="dxa"/>
            <w:noWrap/>
            <w:vAlign w:val="bottom"/>
            <w:hideMark/>
          </w:tcPr>
          <w:p w14:paraId="1DF1809A"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Hoteli i restorani</w:t>
            </w:r>
          </w:p>
        </w:tc>
        <w:tc>
          <w:tcPr>
            <w:tcW w:w="2307" w:type="dxa"/>
            <w:noWrap/>
            <w:vAlign w:val="bottom"/>
            <w:hideMark/>
          </w:tcPr>
          <w:p w14:paraId="54DF4D6A"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1,19</w:t>
            </w:r>
          </w:p>
        </w:tc>
      </w:tr>
      <w:tr w:rsidR="00540991" w:rsidRPr="00540991" w14:paraId="161D5F64" w14:textId="77777777" w:rsidTr="00540991">
        <w:trPr>
          <w:trHeight w:val="288"/>
        </w:trPr>
        <w:tc>
          <w:tcPr>
            <w:tcW w:w="7037" w:type="dxa"/>
            <w:noWrap/>
            <w:vAlign w:val="bottom"/>
            <w:hideMark/>
          </w:tcPr>
          <w:p w14:paraId="2C7373ED"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Obiteljske kuće</w:t>
            </w:r>
          </w:p>
        </w:tc>
        <w:tc>
          <w:tcPr>
            <w:tcW w:w="2307" w:type="dxa"/>
            <w:noWrap/>
            <w:vAlign w:val="bottom"/>
            <w:hideMark/>
          </w:tcPr>
          <w:p w14:paraId="643310EE"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1,12</w:t>
            </w:r>
          </w:p>
        </w:tc>
      </w:tr>
      <w:tr w:rsidR="00540991" w:rsidRPr="00540991" w14:paraId="2E316731" w14:textId="77777777" w:rsidTr="00540991">
        <w:trPr>
          <w:trHeight w:val="288"/>
        </w:trPr>
        <w:tc>
          <w:tcPr>
            <w:tcW w:w="7037" w:type="dxa"/>
            <w:noWrap/>
            <w:vAlign w:val="bottom"/>
            <w:hideMark/>
          </w:tcPr>
          <w:p w14:paraId="7FE14C80"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Ostale nestambene zgrade koje se griju na temperaturu + 18 ili višu</w:t>
            </w:r>
          </w:p>
        </w:tc>
        <w:tc>
          <w:tcPr>
            <w:tcW w:w="2307" w:type="dxa"/>
            <w:noWrap/>
            <w:vAlign w:val="bottom"/>
            <w:hideMark/>
          </w:tcPr>
          <w:p w14:paraId="0140CE27"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1,21</w:t>
            </w:r>
          </w:p>
        </w:tc>
      </w:tr>
      <w:tr w:rsidR="00540991" w:rsidRPr="00540991" w14:paraId="7E347703" w14:textId="77777777" w:rsidTr="00540991">
        <w:trPr>
          <w:trHeight w:val="288"/>
        </w:trPr>
        <w:tc>
          <w:tcPr>
            <w:tcW w:w="7037" w:type="dxa"/>
            <w:noWrap/>
            <w:vAlign w:val="bottom"/>
            <w:hideMark/>
          </w:tcPr>
          <w:p w14:paraId="38507F0C"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Sportske dvorane</w:t>
            </w:r>
          </w:p>
        </w:tc>
        <w:tc>
          <w:tcPr>
            <w:tcW w:w="2307" w:type="dxa"/>
            <w:noWrap/>
            <w:vAlign w:val="bottom"/>
            <w:hideMark/>
          </w:tcPr>
          <w:p w14:paraId="0326AFD7"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1,58</w:t>
            </w:r>
          </w:p>
        </w:tc>
      </w:tr>
      <w:tr w:rsidR="00540991" w:rsidRPr="00540991" w14:paraId="573DF054" w14:textId="77777777" w:rsidTr="00540991">
        <w:trPr>
          <w:trHeight w:val="288"/>
        </w:trPr>
        <w:tc>
          <w:tcPr>
            <w:tcW w:w="7037" w:type="dxa"/>
            <w:noWrap/>
            <w:vAlign w:val="bottom"/>
            <w:hideMark/>
          </w:tcPr>
          <w:p w14:paraId="3DC698DE"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Uredske zgrade</w:t>
            </w:r>
          </w:p>
        </w:tc>
        <w:tc>
          <w:tcPr>
            <w:tcW w:w="2307" w:type="dxa"/>
            <w:noWrap/>
            <w:vAlign w:val="bottom"/>
            <w:hideMark/>
          </w:tcPr>
          <w:p w14:paraId="06E340E9"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1,14</w:t>
            </w:r>
          </w:p>
        </w:tc>
      </w:tr>
      <w:tr w:rsidR="00540991" w:rsidRPr="00540991" w14:paraId="08E7EB7B" w14:textId="77777777" w:rsidTr="00540991">
        <w:trPr>
          <w:trHeight w:val="288"/>
        </w:trPr>
        <w:tc>
          <w:tcPr>
            <w:tcW w:w="7037" w:type="dxa"/>
            <w:noWrap/>
            <w:vAlign w:val="bottom"/>
            <w:hideMark/>
          </w:tcPr>
          <w:p w14:paraId="7E399D81"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Višestambene zgrade</w:t>
            </w:r>
          </w:p>
        </w:tc>
        <w:tc>
          <w:tcPr>
            <w:tcW w:w="2307" w:type="dxa"/>
            <w:noWrap/>
            <w:vAlign w:val="bottom"/>
            <w:hideMark/>
          </w:tcPr>
          <w:p w14:paraId="035C59A6"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1,36</w:t>
            </w:r>
          </w:p>
        </w:tc>
      </w:tr>
      <w:tr w:rsidR="00540991" w:rsidRPr="00540991" w14:paraId="64244ECE" w14:textId="77777777" w:rsidTr="00540991">
        <w:trPr>
          <w:trHeight w:val="288"/>
        </w:trPr>
        <w:tc>
          <w:tcPr>
            <w:tcW w:w="7037" w:type="dxa"/>
            <w:noWrap/>
            <w:vAlign w:val="bottom"/>
            <w:hideMark/>
          </w:tcPr>
          <w:p w14:paraId="44418DAC"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Zgrade trgovine - veleprodaja i maloprodaja</w:t>
            </w:r>
          </w:p>
        </w:tc>
        <w:tc>
          <w:tcPr>
            <w:tcW w:w="2307" w:type="dxa"/>
            <w:noWrap/>
            <w:vAlign w:val="bottom"/>
            <w:hideMark/>
          </w:tcPr>
          <w:p w14:paraId="21E4DDF9"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1,51</w:t>
            </w:r>
          </w:p>
        </w:tc>
      </w:tr>
      <w:tr w:rsidR="00540991" w:rsidRPr="00540991" w14:paraId="166E4957" w14:textId="77777777" w:rsidTr="00540991">
        <w:trPr>
          <w:trHeight w:val="288"/>
        </w:trPr>
        <w:tc>
          <w:tcPr>
            <w:tcW w:w="7037" w:type="dxa"/>
            <w:noWrap/>
            <w:vAlign w:val="bottom"/>
            <w:hideMark/>
          </w:tcPr>
          <w:p w14:paraId="5FF01B43"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Zgrade za obrazovanje</w:t>
            </w:r>
          </w:p>
        </w:tc>
        <w:tc>
          <w:tcPr>
            <w:tcW w:w="2307" w:type="dxa"/>
            <w:noWrap/>
            <w:vAlign w:val="bottom"/>
            <w:hideMark/>
          </w:tcPr>
          <w:p w14:paraId="1952BECC"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1,05</w:t>
            </w:r>
          </w:p>
        </w:tc>
      </w:tr>
      <w:tr w:rsidR="00540991" w:rsidRPr="00540991" w14:paraId="63127F72" w14:textId="77777777" w:rsidTr="00540991">
        <w:trPr>
          <w:trHeight w:val="288"/>
        </w:trPr>
        <w:tc>
          <w:tcPr>
            <w:tcW w:w="7037" w:type="dxa"/>
            <w:noWrap/>
            <w:vAlign w:val="bottom"/>
            <w:hideMark/>
          </w:tcPr>
          <w:p w14:paraId="20004F0C" w14:textId="77777777" w:rsidR="00540991" w:rsidRPr="00540991" w:rsidRDefault="00540991" w:rsidP="00540991">
            <w:pPr>
              <w:tabs>
                <w:tab w:val="clear" w:pos="431"/>
              </w:tabs>
              <w:spacing w:after="0" w:line="240" w:lineRule="auto"/>
              <w:ind w:left="0"/>
              <w:jc w:val="left"/>
              <w:rPr>
                <w:rFonts w:ascii="Calibri" w:hAnsi="Calibri" w:cs="Calibri"/>
                <w:b/>
                <w:bCs/>
                <w:color w:val="000000"/>
                <w:sz w:val="22"/>
                <w:lang w:eastAsia="hr-HR"/>
              </w:rPr>
            </w:pPr>
            <w:r>
              <w:rPr>
                <w:rFonts w:ascii="Calibri" w:hAnsi="Calibri" w:cs="Calibri"/>
                <w:b/>
                <w:color w:val="000000"/>
                <w:sz w:val="22"/>
                <w:lang w:eastAsia="hr-HR"/>
              </w:rPr>
              <w:t>ukupno</w:t>
            </w:r>
          </w:p>
        </w:tc>
        <w:tc>
          <w:tcPr>
            <w:tcW w:w="2307" w:type="dxa"/>
            <w:noWrap/>
            <w:vAlign w:val="bottom"/>
            <w:hideMark/>
          </w:tcPr>
          <w:p w14:paraId="46E53AED" w14:textId="77777777" w:rsidR="00540991" w:rsidRPr="00540991" w:rsidRDefault="00540991" w:rsidP="00540991">
            <w:pPr>
              <w:tabs>
                <w:tab w:val="clear" w:pos="431"/>
              </w:tabs>
              <w:spacing w:after="0" w:line="240" w:lineRule="auto"/>
              <w:ind w:left="0"/>
              <w:jc w:val="right"/>
              <w:rPr>
                <w:rFonts w:ascii="Calibri" w:hAnsi="Calibri" w:cs="Calibri"/>
                <w:b/>
                <w:bCs/>
                <w:color w:val="000000"/>
                <w:sz w:val="22"/>
                <w:lang w:eastAsia="hr-HR"/>
              </w:rPr>
            </w:pPr>
            <w:r>
              <w:rPr>
                <w:rFonts w:ascii="Calibri" w:hAnsi="Calibri" w:cs="Calibri"/>
                <w:b/>
                <w:color w:val="000000"/>
                <w:sz w:val="22"/>
                <w:lang w:eastAsia="hr-HR"/>
              </w:rPr>
              <w:t>1,27</w:t>
            </w:r>
          </w:p>
        </w:tc>
      </w:tr>
    </w:tbl>
    <w:p w14:paraId="57B02116" w14:textId="77777777" w:rsidR="00540991" w:rsidRDefault="00540991" w:rsidP="008C7825"/>
    <w:p w14:paraId="1AF23FAE" w14:textId="380AB6AB" w:rsidR="00F369B3" w:rsidRDefault="00F369B3" w:rsidP="008C7825">
      <w:r>
        <w:t xml:space="preserve">Pregled vrijednosti za zgrade prema razdoblju gradnje </w:t>
      </w:r>
      <w:r w:rsidR="00CB3E9D">
        <w:t xml:space="preserve">pokazuje </w:t>
      </w:r>
      <w:r w:rsidR="00F77BFE">
        <w:t>bolje svojstvo zgrada kroz</w:t>
      </w:r>
      <w:r w:rsidR="00CB3E9D">
        <w:t xml:space="preserve"> omjer isporučene i </w:t>
      </w:r>
      <w:r w:rsidR="00C95A2A">
        <w:t xml:space="preserve">potrebne energije za grijanje </w:t>
      </w:r>
      <w:r w:rsidR="00286E0C">
        <w:t xml:space="preserve">za novije zgrade. Praćenjem </w:t>
      </w:r>
      <w:r w:rsidR="006A7B80">
        <w:t xml:space="preserve">ovog pokazatelja </w:t>
      </w:r>
      <w:r w:rsidR="00F67D16">
        <w:t xml:space="preserve">očekuje se poboljšanje za sve zgrade i sva razdoblja gradnje zbog poboljšanja karakteristika sustava grijanja i hlađenja i povećanog udjela obnovljivih izvora energije. </w:t>
      </w:r>
    </w:p>
    <w:p w14:paraId="5A81C542" w14:textId="77777777" w:rsidR="00932F53" w:rsidRPr="008C7825" w:rsidRDefault="00932F53" w:rsidP="008C7825"/>
    <w:p w14:paraId="3F796705" w14:textId="6B5AD049" w:rsidR="00556D3D" w:rsidRDefault="00556D3D" w:rsidP="00F67D16">
      <w:pPr>
        <w:pStyle w:val="Opisslike"/>
        <w:keepNext/>
      </w:pPr>
      <w:bookmarkStart w:id="63" w:name="_Toc40089032"/>
      <w:r>
        <w:t xml:space="preserve">Tablica </w:t>
      </w:r>
      <w:r w:rsidR="00A50909">
        <w:fldChar w:fldCharType="begin"/>
      </w:r>
      <w:r w:rsidR="00A50909">
        <w:instrText xml:space="preserve"> SEQ Tablica \* ARABIC </w:instrText>
      </w:r>
      <w:r w:rsidR="00A50909">
        <w:fldChar w:fldCharType="separate"/>
      </w:r>
      <w:r w:rsidR="00CE61F3">
        <w:rPr>
          <w:noProof/>
        </w:rPr>
        <w:t>15</w:t>
      </w:r>
      <w:r w:rsidR="00A50909">
        <w:rPr>
          <w:noProof/>
        </w:rPr>
        <w:fldChar w:fldCharType="end"/>
      </w:r>
      <w:r>
        <w:t xml:space="preserve"> </w:t>
      </w:r>
      <w:r w:rsidRPr="008F6DC2">
        <w:t>Omjer ukupne isporučene i potrebne energije za grijanje i hlađenje</w:t>
      </w:r>
      <w:r>
        <w:t xml:space="preserve"> po vrsti zgrade i razdoblju gradnje</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894"/>
        <w:gridCol w:w="771"/>
        <w:gridCol w:w="771"/>
        <w:gridCol w:w="771"/>
        <w:gridCol w:w="771"/>
        <w:gridCol w:w="771"/>
        <w:gridCol w:w="771"/>
      </w:tblGrid>
      <w:tr w:rsidR="00556D3D" w:rsidRPr="00C800DE" w14:paraId="7D80367C" w14:textId="77777777" w:rsidTr="00556D3D">
        <w:trPr>
          <w:trHeight w:val="288"/>
        </w:trPr>
        <w:tc>
          <w:tcPr>
            <w:tcW w:w="3824" w:type="dxa"/>
            <w:noWrap/>
            <w:vAlign w:val="bottom"/>
            <w:hideMark/>
          </w:tcPr>
          <w:p w14:paraId="2F71EFD4"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Pr>
                <w:rFonts w:asciiTheme="minorHAnsi" w:hAnsiTheme="minorHAnsi" w:cs="Calibri"/>
                <w:color w:val="000000"/>
                <w:szCs w:val="20"/>
                <w:lang w:eastAsia="hr-HR"/>
              </w:rPr>
              <w:t>zgrada/razdoblje</w:t>
            </w:r>
          </w:p>
        </w:tc>
        <w:tc>
          <w:tcPr>
            <w:tcW w:w="894" w:type="dxa"/>
            <w:noWrap/>
            <w:vAlign w:val="bottom"/>
            <w:hideMark/>
          </w:tcPr>
          <w:p w14:paraId="410A56A8"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&lt;1941</w:t>
            </w:r>
          </w:p>
        </w:tc>
        <w:tc>
          <w:tcPr>
            <w:tcW w:w="771" w:type="dxa"/>
            <w:noWrap/>
            <w:vAlign w:val="bottom"/>
            <w:hideMark/>
          </w:tcPr>
          <w:p w14:paraId="44AB3F2D"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1941-1970</w:t>
            </w:r>
          </w:p>
        </w:tc>
        <w:tc>
          <w:tcPr>
            <w:tcW w:w="771" w:type="dxa"/>
            <w:noWrap/>
            <w:vAlign w:val="bottom"/>
            <w:hideMark/>
          </w:tcPr>
          <w:p w14:paraId="78A37A82"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1971-1980</w:t>
            </w:r>
          </w:p>
        </w:tc>
        <w:tc>
          <w:tcPr>
            <w:tcW w:w="771" w:type="dxa"/>
            <w:noWrap/>
            <w:vAlign w:val="bottom"/>
            <w:hideMark/>
          </w:tcPr>
          <w:p w14:paraId="329FD346"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1981-1987</w:t>
            </w:r>
          </w:p>
        </w:tc>
        <w:tc>
          <w:tcPr>
            <w:tcW w:w="771" w:type="dxa"/>
            <w:noWrap/>
            <w:vAlign w:val="bottom"/>
            <w:hideMark/>
          </w:tcPr>
          <w:p w14:paraId="3878FC9F"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1988-2005</w:t>
            </w:r>
          </w:p>
        </w:tc>
        <w:tc>
          <w:tcPr>
            <w:tcW w:w="771" w:type="dxa"/>
            <w:noWrap/>
            <w:vAlign w:val="bottom"/>
            <w:hideMark/>
          </w:tcPr>
          <w:p w14:paraId="14803196"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2005-2009</w:t>
            </w:r>
          </w:p>
        </w:tc>
        <w:tc>
          <w:tcPr>
            <w:tcW w:w="771" w:type="dxa"/>
            <w:noWrap/>
            <w:vAlign w:val="bottom"/>
            <w:hideMark/>
          </w:tcPr>
          <w:p w14:paraId="14FB0875"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2012-2018</w:t>
            </w:r>
          </w:p>
        </w:tc>
      </w:tr>
      <w:tr w:rsidR="00C800DE" w:rsidRPr="00C800DE" w14:paraId="53740B84" w14:textId="77777777" w:rsidTr="00556D3D">
        <w:trPr>
          <w:trHeight w:val="288"/>
        </w:trPr>
        <w:tc>
          <w:tcPr>
            <w:tcW w:w="3824" w:type="dxa"/>
            <w:noWrap/>
            <w:vAlign w:val="bottom"/>
            <w:hideMark/>
          </w:tcPr>
          <w:p w14:paraId="3AB725EA"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Bolnice</w:t>
            </w:r>
          </w:p>
        </w:tc>
        <w:tc>
          <w:tcPr>
            <w:tcW w:w="894" w:type="dxa"/>
            <w:noWrap/>
            <w:vAlign w:val="bottom"/>
            <w:hideMark/>
          </w:tcPr>
          <w:p w14:paraId="1F36470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1,57</w:t>
            </w:r>
          </w:p>
        </w:tc>
        <w:tc>
          <w:tcPr>
            <w:tcW w:w="771" w:type="dxa"/>
            <w:noWrap/>
            <w:vAlign w:val="bottom"/>
            <w:hideMark/>
          </w:tcPr>
          <w:p w14:paraId="004F4976"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1,68</w:t>
            </w:r>
          </w:p>
        </w:tc>
        <w:tc>
          <w:tcPr>
            <w:tcW w:w="771" w:type="dxa"/>
            <w:noWrap/>
            <w:vAlign w:val="bottom"/>
            <w:hideMark/>
          </w:tcPr>
          <w:p w14:paraId="7CC1E1A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1,52</w:t>
            </w:r>
          </w:p>
        </w:tc>
        <w:tc>
          <w:tcPr>
            <w:tcW w:w="771" w:type="dxa"/>
            <w:noWrap/>
            <w:vAlign w:val="bottom"/>
            <w:hideMark/>
          </w:tcPr>
          <w:p w14:paraId="34FA7679"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1,38</w:t>
            </w:r>
          </w:p>
        </w:tc>
        <w:tc>
          <w:tcPr>
            <w:tcW w:w="771" w:type="dxa"/>
            <w:noWrap/>
            <w:vAlign w:val="bottom"/>
            <w:hideMark/>
          </w:tcPr>
          <w:p w14:paraId="079FC7AB"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1,62</w:t>
            </w:r>
          </w:p>
        </w:tc>
        <w:tc>
          <w:tcPr>
            <w:tcW w:w="771" w:type="dxa"/>
            <w:noWrap/>
            <w:vAlign w:val="bottom"/>
          </w:tcPr>
          <w:p w14:paraId="17BB981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p>
        </w:tc>
        <w:tc>
          <w:tcPr>
            <w:tcW w:w="771" w:type="dxa"/>
            <w:noWrap/>
            <w:vAlign w:val="bottom"/>
            <w:hideMark/>
          </w:tcPr>
          <w:p w14:paraId="12C61082"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1,33</w:t>
            </w:r>
          </w:p>
        </w:tc>
      </w:tr>
      <w:tr w:rsidR="00C800DE" w:rsidRPr="00C800DE" w14:paraId="3F1CE1F5" w14:textId="77777777" w:rsidTr="00556D3D">
        <w:trPr>
          <w:trHeight w:val="288"/>
        </w:trPr>
        <w:tc>
          <w:tcPr>
            <w:tcW w:w="3824" w:type="dxa"/>
            <w:noWrap/>
            <w:vAlign w:val="bottom"/>
            <w:hideMark/>
          </w:tcPr>
          <w:p w14:paraId="25EA9AF3"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Hoteli i restorani</w:t>
            </w:r>
          </w:p>
        </w:tc>
        <w:tc>
          <w:tcPr>
            <w:tcW w:w="894" w:type="dxa"/>
            <w:noWrap/>
            <w:vAlign w:val="bottom"/>
            <w:hideMark/>
          </w:tcPr>
          <w:p w14:paraId="34472782"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1,30</w:t>
            </w:r>
          </w:p>
        </w:tc>
        <w:tc>
          <w:tcPr>
            <w:tcW w:w="771" w:type="dxa"/>
            <w:noWrap/>
            <w:vAlign w:val="bottom"/>
            <w:hideMark/>
          </w:tcPr>
          <w:p w14:paraId="28C367CA"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1,24</w:t>
            </w:r>
          </w:p>
        </w:tc>
        <w:tc>
          <w:tcPr>
            <w:tcW w:w="771" w:type="dxa"/>
            <w:noWrap/>
            <w:vAlign w:val="bottom"/>
            <w:hideMark/>
          </w:tcPr>
          <w:p w14:paraId="6B7187BF"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0,96</w:t>
            </w:r>
          </w:p>
        </w:tc>
        <w:tc>
          <w:tcPr>
            <w:tcW w:w="771" w:type="dxa"/>
            <w:noWrap/>
            <w:vAlign w:val="bottom"/>
            <w:hideMark/>
          </w:tcPr>
          <w:p w14:paraId="7D71A2A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1,42</w:t>
            </w:r>
          </w:p>
        </w:tc>
        <w:tc>
          <w:tcPr>
            <w:tcW w:w="771" w:type="dxa"/>
            <w:noWrap/>
            <w:vAlign w:val="bottom"/>
            <w:hideMark/>
          </w:tcPr>
          <w:p w14:paraId="0B798250"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1,32</w:t>
            </w:r>
          </w:p>
        </w:tc>
        <w:tc>
          <w:tcPr>
            <w:tcW w:w="771" w:type="dxa"/>
            <w:noWrap/>
            <w:vAlign w:val="bottom"/>
          </w:tcPr>
          <w:p w14:paraId="4F88FFF8"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0,98</w:t>
            </w:r>
          </w:p>
        </w:tc>
        <w:tc>
          <w:tcPr>
            <w:tcW w:w="771" w:type="dxa"/>
            <w:noWrap/>
            <w:vAlign w:val="bottom"/>
            <w:hideMark/>
          </w:tcPr>
          <w:p w14:paraId="55D09CD1"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1,15</w:t>
            </w:r>
          </w:p>
        </w:tc>
      </w:tr>
      <w:tr w:rsidR="00C800DE" w:rsidRPr="00C800DE" w14:paraId="5098D92D" w14:textId="77777777" w:rsidTr="00556D3D">
        <w:trPr>
          <w:trHeight w:val="288"/>
        </w:trPr>
        <w:tc>
          <w:tcPr>
            <w:tcW w:w="3824" w:type="dxa"/>
            <w:noWrap/>
            <w:vAlign w:val="bottom"/>
            <w:hideMark/>
          </w:tcPr>
          <w:p w14:paraId="52153A49"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Obiteljske kuće</w:t>
            </w:r>
          </w:p>
        </w:tc>
        <w:tc>
          <w:tcPr>
            <w:tcW w:w="894" w:type="dxa"/>
            <w:noWrap/>
            <w:vAlign w:val="bottom"/>
            <w:hideMark/>
          </w:tcPr>
          <w:p w14:paraId="1369EAE6"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1,15</w:t>
            </w:r>
          </w:p>
        </w:tc>
        <w:tc>
          <w:tcPr>
            <w:tcW w:w="771" w:type="dxa"/>
            <w:noWrap/>
            <w:vAlign w:val="bottom"/>
            <w:hideMark/>
          </w:tcPr>
          <w:p w14:paraId="61652E01"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1,21</w:t>
            </w:r>
          </w:p>
        </w:tc>
        <w:tc>
          <w:tcPr>
            <w:tcW w:w="771" w:type="dxa"/>
            <w:noWrap/>
            <w:vAlign w:val="bottom"/>
            <w:hideMark/>
          </w:tcPr>
          <w:p w14:paraId="01A2BBE7"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1,21</w:t>
            </w:r>
          </w:p>
        </w:tc>
        <w:tc>
          <w:tcPr>
            <w:tcW w:w="771" w:type="dxa"/>
            <w:noWrap/>
            <w:vAlign w:val="bottom"/>
            <w:hideMark/>
          </w:tcPr>
          <w:p w14:paraId="5B0F30BB"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1,20</w:t>
            </w:r>
          </w:p>
        </w:tc>
        <w:tc>
          <w:tcPr>
            <w:tcW w:w="771" w:type="dxa"/>
            <w:noWrap/>
            <w:vAlign w:val="bottom"/>
            <w:hideMark/>
          </w:tcPr>
          <w:p w14:paraId="70CD6F6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1,19</w:t>
            </w:r>
          </w:p>
        </w:tc>
        <w:tc>
          <w:tcPr>
            <w:tcW w:w="771" w:type="dxa"/>
            <w:noWrap/>
            <w:vAlign w:val="bottom"/>
          </w:tcPr>
          <w:p w14:paraId="1437457E"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1,19</w:t>
            </w:r>
          </w:p>
        </w:tc>
        <w:tc>
          <w:tcPr>
            <w:tcW w:w="771" w:type="dxa"/>
            <w:noWrap/>
            <w:vAlign w:val="bottom"/>
            <w:hideMark/>
          </w:tcPr>
          <w:p w14:paraId="2771B77C"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0,91</w:t>
            </w:r>
          </w:p>
        </w:tc>
      </w:tr>
      <w:tr w:rsidR="00C800DE" w:rsidRPr="00C800DE" w14:paraId="1934125F" w14:textId="77777777" w:rsidTr="00556D3D">
        <w:trPr>
          <w:trHeight w:val="288"/>
        </w:trPr>
        <w:tc>
          <w:tcPr>
            <w:tcW w:w="3824" w:type="dxa"/>
            <w:noWrap/>
            <w:vAlign w:val="bottom"/>
            <w:hideMark/>
          </w:tcPr>
          <w:p w14:paraId="12D077FB"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Ostale nestambene zgrade koje se griju na temperaturu + 18 ili višu</w:t>
            </w:r>
          </w:p>
        </w:tc>
        <w:tc>
          <w:tcPr>
            <w:tcW w:w="894" w:type="dxa"/>
            <w:noWrap/>
            <w:vAlign w:val="bottom"/>
            <w:hideMark/>
          </w:tcPr>
          <w:p w14:paraId="6297897C"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1,10</w:t>
            </w:r>
          </w:p>
        </w:tc>
        <w:tc>
          <w:tcPr>
            <w:tcW w:w="771" w:type="dxa"/>
            <w:noWrap/>
            <w:vAlign w:val="bottom"/>
            <w:hideMark/>
          </w:tcPr>
          <w:p w14:paraId="6A8247D1"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1,36</w:t>
            </w:r>
          </w:p>
        </w:tc>
        <w:tc>
          <w:tcPr>
            <w:tcW w:w="771" w:type="dxa"/>
            <w:noWrap/>
            <w:vAlign w:val="bottom"/>
            <w:hideMark/>
          </w:tcPr>
          <w:p w14:paraId="2309FAB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1,21</w:t>
            </w:r>
          </w:p>
        </w:tc>
        <w:tc>
          <w:tcPr>
            <w:tcW w:w="771" w:type="dxa"/>
            <w:noWrap/>
            <w:vAlign w:val="bottom"/>
            <w:hideMark/>
          </w:tcPr>
          <w:p w14:paraId="50E4E80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1,21</w:t>
            </w:r>
          </w:p>
        </w:tc>
        <w:tc>
          <w:tcPr>
            <w:tcW w:w="771" w:type="dxa"/>
            <w:noWrap/>
            <w:vAlign w:val="bottom"/>
            <w:hideMark/>
          </w:tcPr>
          <w:p w14:paraId="78A5ECF7"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1,28</w:t>
            </w:r>
          </w:p>
        </w:tc>
        <w:tc>
          <w:tcPr>
            <w:tcW w:w="771" w:type="dxa"/>
            <w:noWrap/>
            <w:vAlign w:val="bottom"/>
          </w:tcPr>
          <w:p w14:paraId="1080C82E"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1,13</w:t>
            </w:r>
          </w:p>
        </w:tc>
        <w:tc>
          <w:tcPr>
            <w:tcW w:w="771" w:type="dxa"/>
            <w:noWrap/>
            <w:vAlign w:val="bottom"/>
            <w:hideMark/>
          </w:tcPr>
          <w:p w14:paraId="378C3759"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1,11</w:t>
            </w:r>
          </w:p>
        </w:tc>
      </w:tr>
      <w:tr w:rsidR="00C800DE" w:rsidRPr="00C800DE" w14:paraId="245756DA" w14:textId="77777777" w:rsidTr="00556D3D">
        <w:trPr>
          <w:trHeight w:val="288"/>
        </w:trPr>
        <w:tc>
          <w:tcPr>
            <w:tcW w:w="3824" w:type="dxa"/>
            <w:noWrap/>
            <w:vAlign w:val="bottom"/>
            <w:hideMark/>
          </w:tcPr>
          <w:p w14:paraId="7DB19376"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Sportske dvorane</w:t>
            </w:r>
          </w:p>
        </w:tc>
        <w:tc>
          <w:tcPr>
            <w:tcW w:w="894" w:type="dxa"/>
            <w:noWrap/>
            <w:vAlign w:val="bottom"/>
            <w:hideMark/>
          </w:tcPr>
          <w:p w14:paraId="2073049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1,58</w:t>
            </w:r>
          </w:p>
        </w:tc>
        <w:tc>
          <w:tcPr>
            <w:tcW w:w="771" w:type="dxa"/>
            <w:noWrap/>
            <w:vAlign w:val="bottom"/>
            <w:hideMark/>
          </w:tcPr>
          <w:p w14:paraId="7784C07E"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1,65</w:t>
            </w:r>
          </w:p>
        </w:tc>
        <w:tc>
          <w:tcPr>
            <w:tcW w:w="771" w:type="dxa"/>
            <w:noWrap/>
            <w:vAlign w:val="bottom"/>
            <w:hideMark/>
          </w:tcPr>
          <w:p w14:paraId="3AD98A39"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1,45</w:t>
            </w:r>
          </w:p>
        </w:tc>
        <w:tc>
          <w:tcPr>
            <w:tcW w:w="771" w:type="dxa"/>
            <w:noWrap/>
            <w:vAlign w:val="bottom"/>
            <w:hideMark/>
          </w:tcPr>
          <w:p w14:paraId="46988EA3"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1,77</w:t>
            </w:r>
          </w:p>
        </w:tc>
        <w:tc>
          <w:tcPr>
            <w:tcW w:w="771" w:type="dxa"/>
            <w:noWrap/>
            <w:vAlign w:val="bottom"/>
            <w:hideMark/>
          </w:tcPr>
          <w:p w14:paraId="65A4EC90"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1,61</w:t>
            </w:r>
          </w:p>
        </w:tc>
        <w:tc>
          <w:tcPr>
            <w:tcW w:w="771" w:type="dxa"/>
            <w:noWrap/>
            <w:vAlign w:val="bottom"/>
          </w:tcPr>
          <w:p w14:paraId="031438FE"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1,55</w:t>
            </w:r>
          </w:p>
        </w:tc>
        <w:tc>
          <w:tcPr>
            <w:tcW w:w="771" w:type="dxa"/>
            <w:noWrap/>
            <w:vAlign w:val="bottom"/>
            <w:hideMark/>
          </w:tcPr>
          <w:p w14:paraId="39DB123C"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1,52</w:t>
            </w:r>
          </w:p>
        </w:tc>
      </w:tr>
      <w:tr w:rsidR="00C800DE" w:rsidRPr="00C800DE" w14:paraId="1513A8F2" w14:textId="77777777" w:rsidTr="00556D3D">
        <w:trPr>
          <w:trHeight w:val="288"/>
        </w:trPr>
        <w:tc>
          <w:tcPr>
            <w:tcW w:w="3824" w:type="dxa"/>
            <w:noWrap/>
            <w:vAlign w:val="bottom"/>
            <w:hideMark/>
          </w:tcPr>
          <w:p w14:paraId="45ABA583"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Uredske zgrade</w:t>
            </w:r>
          </w:p>
        </w:tc>
        <w:tc>
          <w:tcPr>
            <w:tcW w:w="894" w:type="dxa"/>
            <w:noWrap/>
            <w:vAlign w:val="bottom"/>
            <w:hideMark/>
          </w:tcPr>
          <w:p w14:paraId="64F974E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1,19</w:t>
            </w:r>
          </w:p>
        </w:tc>
        <w:tc>
          <w:tcPr>
            <w:tcW w:w="771" w:type="dxa"/>
            <w:noWrap/>
            <w:vAlign w:val="bottom"/>
            <w:hideMark/>
          </w:tcPr>
          <w:p w14:paraId="51065B0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1,26</w:t>
            </w:r>
          </w:p>
        </w:tc>
        <w:tc>
          <w:tcPr>
            <w:tcW w:w="771" w:type="dxa"/>
            <w:noWrap/>
            <w:vAlign w:val="bottom"/>
            <w:hideMark/>
          </w:tcPr>
          <w:p w14:paraId="7BDEA2E2"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1,17</w:t>
            </w:r>
          </w:p>
        </w:tc>
        <w:tc>
          <w:tcPr>
            <w:tcW w:w="771" w:type="dxa"/>
            <w:noWrap/>
            <w:vAlign w:val="bottom"/>
            <w:hideMark/>
          </w:tcPr>
          <w:p w14:paraId="271BB0AA"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1,23</w:t>
            </w:r>
          </w:p>
        </w:tc>
        <w:tc>
          <w:tcPr>
            <w:tcW w:w="771" w:type="dxa"/>
            <w:noWrap/>
            <w:vAlign w:val="bottom"/>
            <w:hideMark/>
          </w:tcPr>
          <w:p w14:paraId="6C552746"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1,16</w:t>
            </w:r>
          </w:p>
        </w:tc>
        <w:tc>
          <w:tcPr>
            <w:tcW w:w="771" w:type="dxa"/>
            <w:noWrap/>
            <w:vAlign w:val="bottom"/>
          </w:tcPr>
          <w:p w14:paraId="19D0872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1,12</w:t>
            </w:r>
          </w:p>
        </w:tc>
        <w:tc>
          <w:tcPr>
            <w:tcW w:w="771" w:type="dxa"/>
            <w:noWrap/>
            <w:vAlign w:val="bottom"/>
            <w:hideMark/>
          </w:tcPr>
          <w:p w14:paraId="6FDD3A5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0,94</w:t>
            </w:r>
          </w:p>
        </w:tc>
      </w:tr>
      <w:tr w:rsidR="00C800DE" w:rsidRPr="00C800DE" w14:paraId="031D076B" w14:textId="77777777" w:rsidTr="00556D3D">
        <w:trPr>
          <w:trHeight w:val="288"/>
        </w:trPr>
        <w:tc>
          <w:tcPr>
            <w:tcW w:w="3824" w:type="dxa"/>
            <w:noWrap/>
            <w:vAlign w:val="bottom"/>
            <w:hideMark/>
          </w:tcPr>
          <w:p w14:paraId="2E450C47"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Višestambene zgrade</w:t>
            </w:r>
          </w:p>
        </w:tc>
        <w:tc>
          <w:tcPr>
            <w:tcW w:w="894" w:type="dxa"/>
            <w:noWrap/>
            <w:vAlign w:val="bottom"/>
            <w:hideMark/>
          </w:tcPr>
          <w:p w14:paraId="29F4DAC2"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1,30</w:t>
            </w:r>
          </w:p>
        </w:tc>
        <w:tc>
          <w:tcPr>
            <w:tcW w:w="771" w:type="dxa"/>
            <w:noWrap/>
            <w:vAlign w:val="bottom"/>
            <w:hideMark/>
          </w:tcPr>
          <w:p w14:paraId="31790B96"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1,20</w:t>
            </w:r>
          </w:p>
        </w:tc>
        <w:tc>
          <w:tcPr>
            <w:tcW w:w="771" w:type="dxa"/>
            <w:noWrap/>
            <w:vAlign w:val="bottom"/>
            <w:hideMark/>
          </w:tcPr>
          <w:p w14:paraId="0BBE3B6F"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1,17</w:t>
            </w:r>
          </w:p>
        </w:tc>
        <w:tc>
          <w:tcPr>
            <w:tcW w:w="771" w:type="dxa"/>
            <w:noWrap/>
            <w:vAlign w:val="bottom"/>
            <w:hideMark/>
          </w:tcPr>
          <w:p w14:paraId="1BFABECF"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1,23</w:t>
            </w:r>
          </w:p>
        </w:tc>
        <w:tc>
          <w:tcPr>
            <w:tcW w:w="771" w:type="dxa"/>
            <w:noWrap/>
            <w:vAlign w:val="bottom"/>
            <w:hideMark/>
          </w:tcPr>
          <w:p w14:paraId="7D76C87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1,24</w:t>
            </w:r>
          </w:p>
        </w:tc>
        <w:tc>
          <w:tcPr>
            <w:tcW w:w="771" w:type="dxa"/>
            <w:noWrap/>
            <w:vAlign w:val="bottom"/>
          </w:tcPr>
          <w:p w14:paraId="50F6539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1,29</w:t>
            </w:r>
          </w:p>
        </w:tc>
        <w:tc>
          <w:tcPr>
            <w:tcW w:w="771" w:type="dxa"/>
            <w:noWrap/>
            <w:vAlign w:val="bottom"/>
            <w:hideMark/>
          </w:tcPr>
          <w:p w14:paraId="14F12B76"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0,92</w:t>
            </w:r>
          </w:p>
        </w:tc>
      </w:tr>
      <w:tr w:rsidR="00C800DE" w:rsidRPr="00C800DE" w14:paraId="3CC16D76" w14:textId="77777777" w:rsidTr="00556D3D">
        <w:trPr>
          <w:trHeight w:val="288"/>
        </w:trPr>
        <w:tc>
          <w:tcPr>
            <w:tcW w:w="3824" w:type="dxa"/>
            <w:noWrap/>
            <w:vAlign w:val="bottom"/>
            <w:hideMark/>
          </w:tcPr>
          <w:p w14:paraId="0BB2342B"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Zgrade trgovine - veleprodaja i maloprodaja</w:t>
            </w:r>
          </w:p>
        </w:tc>
        <w:tc>
          <w:tcPr>
            <w:tcW w:w="894" w:type="dxa"/>
            <w:noWrap/>
            <w:vAlign w:val="bottom"/>
            <w:hideMark/>
          </w:tcPr>
          <w:p w14:paraId="4E88141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1,58</w:t>
            </w:r>
          </w:p>
        </w:tc>
        <w:tc>
          <w:tcPr>
            <w:tcW w:w="771" w:type="dxa"/>
            <w:noWrap/>
            <w:vAlign w:val="bottom"/>
            <w:hideMark/>
          </w:tcPr>
          <w:p w14:paraId="557879BC"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1,42</w:t>
            </w:r>
          </w:p>
        </w:tc>
        <w:tc>
          <w:tcPr>
            <w:tcW w:w="771" w:type="dxa"/>
            <w:noWrap/>
            <w:vAlign w:val="bottom"/>
            <w:hideMark/>
          </w:tcPr>
          <w:p w14:paraId="09E310B8"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1,41</w:t>
            </w:r>
          </w:p>
        </w:tc>
        <w:tc>
          <w:tcPr>
            <w:tcW w:w="771" w:type="dxa"/>
            <w:noWrap/>
            <w:vAlign w:val="bottom"/>
            <w:hideMark/>
          </w:tcPr>
          <w:p w14:paraId="67051A2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1,45</w:t>
            </w:r>
          </w:p>
        </w:tc>
        <w:tc>
          <w:tcPr>
            <w:tcW w:w="771" w:type="dxa"/>
            <w:noWrap/>
            <w:vAlign w:val="bottom"/>
            <w:hideMark/>
          </w:tcPr>
          <w:p w14:paraId="49C8B2D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1,53</w:t>
            </w:r>
          </w:p>
        </w:tc>
        <w:tc>
          <w:tcPr>
            <w:tcW w:w="771" w:type="dxa"/>
            <w:noWrap/>
            <w:vAlign w:val="bottom"/>
          </w:tcPr>
          <w:p w14:paraId="3382B5AE"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1,45</w:t>
            </w:r>
          </w:p>
        </w:tc>
        <w:tc>
          <w:tcPr>
            <w:tcW w:w="771" w:type="dxa"/>
            <w:noWrap/>
            <w:vAlign w:val="bottom"/>
            <w:hideMark/>
          </w:tcPr>
          <w:p w14:paraId="3880B58B"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1,41</w:t>
            </w:r>
          </w:p>
        </w:tc>
      </w:tr>
      <w:tr w:rsidR="00C800DE" w:rsidRPr="00C800DE" w14:paraId="2167C9C9" w14:textId="77777777" w:rsidTr="00556D3D">
        <w:trPr>
          <w:trHeight w:val="288"/>
        </w:trPr>
        <w:tc>
          <w:tcPr>
            <w:tcW w:w="3824" w:type="dxa"/>
            <w:noWrap/>
            <w:vAlign w:val="bottom"/>
            <w:hideMark/>
          </w:tcPr>
          <w:p w14:paraId="63912B25"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Zgrade za obrazovanje</w:t>
            </w:r>
          </w:p>
        </w:tc>
        <w:tc>
          <w:tcPr>
            <w:tcW w:w="894" w:type="dxa"/>
            <w:noWrap/>
            <w:vAlign w:val="bottom"/>
            <w:hideMark/>
          </w:tcPr>
          <w:p w14:paraId="53311E21"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1,06</w:t>
            </w:r>
          </w:p>
        </w:tc>
        <w:tc>
          <w:tcPr>
            <w:tcW w:w="771" w:type="dxa"/>
            <w:noWrap/>
            <w:vAlign w:val="bottom"/>
            <w:hideMark/>
          </w:tcPr>
          <w:p w14:paraId="1E5DC337"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1,06</w:t>
            </w:r>
          </w:p>
        </w:tc>
        <w:tc>
          <w:tcPr>
            <w:tcW w:w="771" w:type="dxa"/>
            <w:noWrap/>
            <w:vAlign w:val="bottom"/>
            <w:hideMark/>
          </w:tcPr>
          <w:p w14:paraId="0E16C5B0"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1,13</w:t>
            </w:r>
          </w:p>
        </w:tc>
        <w:tc>
          <w:tcPr>
            <w:tcW w:w="771" w:type="dxa"/>
            <w:noWrap/>
            <w:vAlign w:val="bottom"/>
            <w:hideMark/>
          </w:tcPr>
          <w:p w14:paraId="1AAAA6F7"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1,01</w:t>
            </w:r>
          </w:p>
        </w:tc>
        <w:tc>
          <w:tcPr>
            <w:tcW w:w="771" w:type="dxa"/>
            <w:noWrap/>
            <w:vAlign w:val="bottom"/>
            <w:hideMark/>
          </w:tcPr>
          <w:p w14:paraId="1FD403C9"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1,02</w:t>
            </w:r>
          </w:p>
        </w:tc>
        <w:tc>
          <w:tcPr>
            <w:tcW w:w="771" w:type="dxa"/>
            <w:noWrap/>
            <w:vAlign w:val="bottom"/>
          </w:tcPr>
          <w:p w14:paraId="23A1F663"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1,36</w:t>
            </w:r>
          </w:p>
        </w:tc>
        <w:tc>
          <w:tcPr>
            <w:tcW w:w="771" w:type="dxa"/>
            <w:noWrap/>
            <w:vAlign w:val="bottom"/>
            <w:hideMark/>
          </w:tcPr>
          <w:p w14:paraId="1775E891"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0,87</w:t>
            </w:r>
          </w:p>
        </w:tc>
      </w:tr>
      <w:tr w:rsidR="00C800DE" w:rsidRPr="00C800DE" w14:paraId="64C9B246" w14:textId="77777777" w:rsidTr="00556D3D">
        <w:trPr>
          <w:trHeight w:val="288"/>
        </w:trPr>
        <w:tc>
          <w:tcPr>
            <w:tcW w:w="3824" w:type="dxa"/>
            <w:noWrap/>
            <w:vAlign w:val="bottom"/>
            <w:hideMark/>
          </w:tcPr>
          <w:p w14:paraId="25B4E5F5" w14:textId="77777777" w:rsidR="00C800DE" w:rsidRPr="00C800DE" w:rsidRDefault="00C800DE" w:rsidP="00C800DE">
            <w:pPr>
              <w:tabs>
                <w:tab w:val="clear" w:pos="431"/>
              </w:tabs>
              <w:spacing w:after="0" w:line="240" w:lineRule="auto"/>
              <w:ind w:left="0"/>
              <w:jc w:val="left"/>
              <w:rPr>
                <w:rFonts w:asciiTheme="minorHAnsi" w:hAnsiTheme="minorHAnsi" w:cs="Calibri"/>
                <w:b/>
                <w:bCs/>
                <w:color w:val="000000"/>
                <w:szCs w:val="20"/>
                <w:lang w:eastAsia="hr-HR"/>
              </w:rPr>
            </w:pPr>
            <w:r>
              <w:rPr>
                <w:rFonts w:asciiTheme="minorHAnsi" w:hAnsiTheme="minorHAnsi" w:cs="Calibri"/>
                <w:b/>
                <w:bCs/>
                <w:color w:val="000000"/>
                <w:szCs w:val="20"/>
                <w:lang w:eastAsia="hr-HR"/>
              </w:rPr>
              <w:t>ukupno</w:t>
            </w:r>
          </w:p>
        </w:tc>
        <w:tc>
          <w:tcPr>
            <w:tcW w:w="894" w:type="dxa"/>
            <w:noWrap/>
            <w:vAlign w:val="bottom"/>
            <w:hideMark/>
          </w:tcPr>
          <w:p w14:paraId="27E6BBDA"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1,29</w:t>
            </w:r>
          </w:p>
        </w:tc>
        <w:tc>
          <w:tcPr>
            <w:tcW w:w="771" w:type="dxa"/>
            <w:noWrap/>
            <w:vAlign w:val="bottom"/>
            <w:hideMark/>
          </w:tcPr>
          <w:p w14:paraId="59C1577C"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1,22</w:t>
            </w:r>
          </w:p>
        </w:tc>
        <w:tc>
          <w:tcPr>
            <w:tcW w:w="771" w:type="dxa"/>
            <w:noWrap/>
            <w:vAlign w:val="bottom"/>
            <w:hideMark/>
          </w:tcPr>
          <w:p w14:paraId="69462036"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1,19</w:t>
            </w:r>
          </w:p>
        </w:tc>
        <w:tc>
          <w:tcPr>
            <w:tcW w:w="771" w:type="dxa"/>
            <w:noWrap/>
            <w:vAlign w:val="bottom"/>
            <w:hideMark/>
          </w:tcPr>
          <w:p w14:paraId="424EB499"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1,22</w:t>
            </w:r>
          </w:p>
        </w:tc>
        <w:tc>
          <w:tcPr>
            <w:tcW w:w="771" w:type="dxa"/>
            <w:noWrap/>
            <w:vAlign w:val="bottom"/>
            <w:hideMark/>
          </w:tcPr>
          <w:p w14:paraId="60732A85"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1,24</w:t>
            </w:r>
          </w:p>
        </w:tc>
        <w:tc>
          <w:tcPr>
            <w:tcW w:w="771" w:type="dxa"/>
            <w:noWrap/>
            <w:vAlign w:val="bottom"/>
            <w:hideMark/>
          </w:tcPr>
          <w:p w14:paraId="3D332175"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1,27</w:t>
            </w:r>
          </w:p>
        </w:tc>
        <w:tc>
          <w:tcPr>
            <w:tcW w:w="771" w:type="dxa"/>
            <w:noWrap/>
            <w:vAlign w:val="bottom"/>
            <w:hideMark/>
          </w:tcPr>
          <w:p w14:paraId="6D9769FB"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0,96</w:t>
            </w:r>
          </w:p>
        </w:tc>
      </w:tr>
    </w:tbl>
    <w:p w14:paraId="28C91D72" w14:textId="77777777" w:rsidR="00FD77B2" w:rsidRDefault="00FD77B2" w:rsidP="008C7825"/>
    <w:p w14:paraId="467B551D" w14:textId="0E0E818F" w:rsidR="00932F53" w:rsidRDefault="00932F53" w:rsidP="008C7825">
      <w:r>
        <w:t xml:space="preserve">Praćenjem vrijednosti </w:t>
      </w:r>
      <w:r w:rsidR="006A7B80">
        <w:t xml:space="preserve">pokazatelja </w:t>
      </w:r>
      <w:r w:rsidR="000030BB">
        <w:t xml:space="preserve">u gornjim tablicama moguće je prema </w:t>
      </w:r>
      <w:r w:rsidR="00A3528E">
        <w:t xml:space="preserve">njihovim promjenama pratiti promjenu prosječnih karakteristika sustava, čime se dobiva informacija o potrebnim prilagodbama politika kako bi se utjecalo na povećanje energetske učinkovitosti sustava. </w:t>
      </w:r>
    </w:p>
    <w:p w14:paraId="047D03F1" w14:textId="77777777" w:rsidR="00255FF1" w:rsidRDefault="00255FF1" w:rsidP="007649C2">
      <w:pPr>
        <w:pStyle w:val="Naslov20"/>
      </w:pPr>
      <w:bookmarkStart w:id="64" w:name="_Toc34052864"/>
      <w:bookmarkStart w:id="65" w:name="_Toc46163808"/>
      <w:r w:rsidRPr="00255FF1">
        <w:t>Očekivani udjel obnovljenih zgrada u 2020</w:t>
      </w:r>
      <w:r>
        <w:t>.godini</w:t>
      </w:r>
      <w:bookmarkEnd w:id="64"/>
      <w:bookmarkEnd w:id="65"/>
    </w:p>
    <w:p w14:paraId="4B0CF630" w14:textId="77777777" w:rsidR="003675D0" w:rsidRPr="00E806C8" w:rsidRDefault="003675D0" w:rsidP="008C7825">
      <w:r>
        <w:rPr>
          <w:lang w:eastAsia="hr-HR"/>
        </w:rPr>
        <w:t xml:space="preserve">Udio obnovljenih zgrada u 2020. </w:t>
      </w:r>
      <w:r w:rsidR="00797C8D">
        <w:rPr>
          <w:lang w:eastAsia="hr-HR"/>
        </w:rPr>
        <w:t>ovisan je</w:t>
      </w:r>
      <w:r w:rsidR="00E806C8">
        <w:rPr>
          <w:lang w:eastAsia="hr-HR"/>
        </w:rPr>
        <w:t xml:space="preserve"> o pristupu načinu obnove zgrada, te </w:t>
      </w:r>
      <w:r w:rsidR="00FD77B2">
        <w:rPr>
          <w:lang w:eastAsia="hr-HR"/>
        </w:rPr>
        <w:t>ukupnoj veličini fonda zgrada – neobnovljenih, obnovljenih i novih</w:t>
      </w:r>
      <w:r w:rsidR="00B442C0">
        <w:rPr>
          <w:lang w:eastAsia="hr-HR"/>
        </w:rPr>
        <w:t xml:space="preserve">. Promjena broja stanovnika, čak i uz očekivano povećanje prostornog standarda sa sadašnjih 30 m²/osobi na 48 m²/osobi u 2050. godini pokazuje kako će 2050. godine u RH biti stalno nastanjeno 158 milijuna m² stambene površine. </w:t>
      </w:r>
    </w:p>
    <w:p w14:paraId="4B4D6DC6" w14:textId="77777777" w:rsidR="008D4A23" w:rsidRDefault="002508DB" w:rsidP="008C7825">
      <w:pPr>
        <w:keepNext/>
        <w:jc w:val="center"/>
      </w:pPr>
      <w:r w:rsidRPr="00283F5D">
        <w:rPr>
          <w:noProof/>
          <w:lang w:eastAsia="hr-HR"/>
        </w:rPr>
        <w:drawing>
          <wp:inline distT="0" distB="0" distL="0" distR="0" wp14:anchorId="2334278A" wp14:editId="22DD96BA">
            <wp:extent cx="4391025" cy="2428875"/>
            <wp:effectExtent l="0" t="0" r="0" b="0"/>
            <wp:docPr id="12" name="Picture 25" descr="A close up of a 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close up of a map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1025" cy="2428875"/>
                    </a:xfrm>
                    <a:prstGeom prst="rect">
                      <a:avLst/>
                    </a:prstGeom>
                    <a:noFill/>
                    <a:ln>
                      <a:noFill/>
                    </a:ln>
                  </pic:spPr>
                </pic:pic>
              </a:graphicData>
            </a:graphic>
          </wp:inline>
        </w:drawing>
      </w:r>
    </w:p>
    <w:p w14:paraId="747912B4" w14:textId="057C1531" w:rsidR="00776044" w:rsidRDefault="008D4A23" w:rsidP="008C7825">
      <w:pPr>
        <w:pStyle w:val="Opisslike"/>
        <w:jc w:val="center"/>
      </w:pPr>
      <w:bookmarkStart w:id="66" w:name="_Toc40089006"/>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11</w:t>
      </w:r>
      <w:r w:rsidR="00A50909">
        <w:rPr>
          <w:noProof/>
        </w:rPr>
        <w:fldChar w:fldCharType="end"/>
      </w:r>
      <w:r>
        <w:t xml:space="preserve"> </w:t>
      </w:r>
      <w:r w:rsidRPr="00E65887">
        <w:t>Kretanje broja stanovnika u ES RH - srednja projekcija demografskog razvoja</w:t>
      </w:r>
      <w:bookmarkEnd w:id="66"/>
    </w:p>
    <w:p w14:paraId="63CF720F" w14:textId="77777777" w:rsidR="00797C8D" w:rsidRDefault="00797C8D" w:rsidP="00B442C0"/>
    <w:p w14:paraId="28578E3B" w14:textId="77777777" w:rsidR="00894B95" w:rsidRDefault="00B442C0" w:rsidP="00894B95">
      <w:r>
        <w:t xml:space="preserve">Promatrano po županijama, </w:t>
      </w:r>
      <w:r w:rsidR="00A06FC8">
        <w:t xml:space="preserve">u razdoblju do 2050. godine </w:t>
      </w:r>
      <w:r>
        <w:t>neće doći do značajne teritorijalne redistribucije stambenog fonda prvenstveno zbog malog udjela novogradnje u odnosu na veličinu postojećeg fonda zgrada</w:t>
      </w:r>
      <w:r w:rsidR="00797C8D">
        <w:t xml:space="preserve">, ali zbog obnove će se promijeniti energetska svojstva zgrada. </w:t>
      </w:r>
    </w:p>
    <w:p w14:paraId="41F82CAC" w14:textId="77777777" w:rsidR="00B42C0C" w:rsidRDefault="00894B95" w:rsidP="00894B95">
      <w:r>
        <w:t>Registrirana stopa energetske obnove fonda zgrada u RH od 2014. do 2020. godine je 0,7% fonda zgrada, odnosno 1,35 milijuna m² godišnje</w:t>
      </w:r>
      <w:r w:rsidR="00494AF6">
        <w:t xml:space="preserve">. </w:t>
      </w:r>
    </w:p>
    <w:p w14:paraId="2A877FE0" w14:textId="77777777" w:rsidR="00925A4B" w:rsidRDefault="00925A4B" w:rsidP="00925A4B">
      <w:r>
        <w:t xml:space="preserve">Daljnje povećanje stope obnove u razdoblju od 2021. do 2050. godine u najvećoj mjeri ovisi o dva kritična faktora – prvi je financijska sposobnost vlasnika i društva u cjelini da podrži visoku stopu investiranja u zgrade u trenucima ograničenog gospodarskog rasta i depopulacije, a drugi je kapacitet građevinskog sektora za izvedbu radova u odgovarajućem opsegu. Trenutni kapacitet proizvodnje građevinskog sektora u visokogradnji je prema statističkim </w:t>
      </w:r>
      <w:r>
        <w:lastRenderedPageBreak/>
        <w:t xml:space="preserve">podacima cca 3,0 milijuna m² godišnje (2,948 u 2017. godini), a maksimum je bio dosegnut 2007. godine (5,5 milijuna m²). S obzirom na pad broja stanovnika, pretpostavlja se da će takva veličina sektora teško biti dosegnuta i da će krajnji doseg biti cca 5 milijuna m² godišnje u 2050. godini, uz pretpostavku linearnog rasta. </w:t>
      </w:r>
    </w:p>
    <w:p w14:paraId="0DF859A7" w14:textId="77777777" w:rsidR="00B442C0" w:rsidRDefault="00B442C0" w:rsidP="008C7825">
      <w:pPr>
        <w:keepNext/>
        <w:jc w:val="center"/>
      </w:pPr>
    </w:p>
    <w:p w14:paraId="0B9417FD" w14:textId="77777777" w:rsidR="008C47B7" w:rsidRDefault="008C47B7" w:rsidP="008C7825">
      <w:pPr>
        <w:keepNext/>
        <w:jc w:val="center"/>
      </w:pPr>
      <w:r w:rsidRPr="008C47B7">
        <w:rPr>
          <w:noProof/>
          <w:lang w:eastAsia="hr-HR"/>
        </w:rPr>
        <w:drawing>
          <wp:inline distT="0" distB="0" distL="0" distR="0" wp14:anchorId="06C11977" wp14:editId="1638FE79">
            <wp:extent cx="5939790" cy="5200650"/>
            <wp:effectExtent l="0" t="0" r="3810" b="0"/>
            <wp:docPr id="28" name="Chart 28">
              <a:extLst xmlns:a="http://schemas.openxmlformats.org/drawingml/2006/main">
                <a:ext uri="{FF2B5EF4-FFF2-40B4-BE49-F238E27FC236}">
                  <a16:creationId xmlns:a16="http://schemas.microsoft.com/office/drawing/2014/main" id="{EE18AD6A-6F96-4EFF-8BAE-605F81962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6900DA" w14:textId="14FD81C2" w:rsidR="00F66914" w:rsidRPr="008D4A23" w:rsidRDefault="00B442C0" w:rsidP="008C7825">
      <w:pPr>
        <w:pStyle w:val="Opisslike"/>
        <w:jc w:val="center"/>
      </w:pPr>
      <w:bookmarkStart w:id="67" w:name="_Toc40089007"/>
      <w:r>
        <w:t xml:space="preserve">Slika </w:t>
      </w:r>
      <w:r w:rsidR="00A50909">
        <w:fldChar w:fldCharType="begin"/>
      </w:r>
      <w:r w:rsidR="00A50909">
        <w:instrText xml:space="preserve"> STYLEREF 1 \s </w:instrText>
      </w:r>
      <w:r w:rsidR="00A50909">
        <w:fldChar w:fldCharType="separate"/>
      </w:r>
      <w:r w:rsidR="00CE61F3">
        <w:rPr>
          <w:noProof/>
        </w:rPr>
        <w:t>2</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12</w:t>
      </w:r>
      <w:r w:rsidR="00A50909">
        <w:rPr>
          <w:noProof/>
        </w:rPr>
        <w:fldChar w:fldCharType="end"/>
      </w:r>
      <w:r>
        <w:t xml:space="preserve"> Planirani razvoj stambenog fonda u RH do 2050. godine po županijama</w:t>
      </w:r>
      <w:bookmarkEnd w:id="67"/>
    </w:p>
    <w:p w14:paraId="16529107" w14:textId="77777777" w:rsidR="00255FF1" w:rsidRDefault="00255FF1" w:rsidP="007649C2">
      <w:pPr>
        <w:pStyle w:val="Naslov20"/>
      </w:pPr>
      <w:bookmarkStart w:id="68" w:name="_Toc34052865"/>
      <w:bookmarkStart w:id="69" w:name="_Toc46163809"/>
      <w:r w:rsidRPr="00255FF1">
        <w:t>Udjel/broj nZEB zgrada</w:t>
      </w:r>
      <w:bookmarkEnd w:id="68"/>
      <w:bookmarkEnd w:id="69"/>
    </w:p>
    <w:p w14:paraId="7892673F" w14:textId="0F4BD62F" w:rsidR="00271591" w:rsidRDefault="000139D5" w:rsidP="008C7825">
      <w:r w:rsidRPr="00992029">
        <w:t xml:space="preserve">Prema podacima </w:t>
      </w:r>
      <w:r w:rsidR="00660630" w:rsidRPr="00992029">
        <w:t xml:space="preserve">koji se prikupljaju u Ministarstvu graditeljstva i prostornoga uređenja </w:t>
      </w:r>
      <w:r w:rsidR="005313D1" w:rsidRPr="00992029">
        <w:t xml:space="preserve">od </w:t>
      </w:r>
      <w:r w:rsidR="00191F6B" w:rsidRPr="00992029">
        <w:t>provedbenih tijela</w:t>
      </w:r>
      <w:r w:rsidR="005313D1" w:rsidRPr="00992029">
        <w:t xml:space="preserve"> za prostorno uređenje </w:t>
      </w:r>
      <w:r w:rsidR="00191F6B" w:rsidRPr="00992029">
        <w:t xml:space="preserve">županija i gradova </w:t>
      </w:r>
      <w:r w:rsidR="00965F07" w:rsidRPr="00992029">
        <w:t>u razdoblju od 1.1.2014. do 31.12.2019</w:t>
      </w:r>
      <w:r w:rsidR="00E00B45" w:rsidRPr="00992029">
        <w:t xml:space="preserve">. izgrađeno je ukupno 145 nZEB zgrada, ukupne površine </w:t>
      </w:r>
      <w:r w:rsidR="00F86EBE" w:rsidRPr="00992029">
        <w:t xml:space="preserve">176.981 m². </w:t>
      </w:r>
      <w:r w:rsidR="007D5E87" w:rsidRPr="00992029">
        <w:t xml:space="preserve">U bazi podataka energetskih certifikata zgrada </w:t>
      </w:r>
      <w:r w:rsidR="00142EE4" w:rsidRPr="00992029">
        <w:t>(za certifikate unesene u IEC sustav do 29.10.2019.) postoji ukupno 616 zgrada koje zadovoljavaju uvjete</w:t>
      </w:r>
      <w:r w:rsidR="00051729" w:rsidRPr="00992029">
        <w:t>, ali</w:t>
      </w:r>
      <w:r w:rsidR="0029749F" w:rsidRPr="00992029">
        <w:t xml:space="preserve"> kako nije postojala obaveza </w:t>
      </w:r>
      <w:r w:rsidR="00DC5101" w:rsidRPr="00992029">
        <w:t>ispunjavanja zah</w:t>
      </w:r>
      <w:r w:rsidR="001E6876" w:rsidRPr="00992029">
        <w:t>tj</w:t>
      </w:r>
      <w:r w:rsidR="00DC5101" w:rsidRPr="00992029">
        <w:t xml:space="preserve">eva za nZEB, </w:t>
      </w:r>
      <w:r w:rsidR="001E6876" w:rsidRPr="00992029">
        <w:t>u iz</w:t>
      </w:r>
      <w:r w:rsidR="003E095C" w:rsidRPr="00992029">
        <w:t xml:space="preserve">radi energetskih certifikata taj podatak nije unesen. Prema tome, </w:t>
      </w:r>
      <w:r w:rsidR="00142EE4" w:rsidRPr="00992029">
        <w:t xml:space="preserve">1,6 % zgrada za koje su izdani energetski certifikati </w:t>
      </w:r>
      <w:r w:rsidR="00925A4B">
        <w:t>tijekom</w:t>
      </w:r>
      <w:r w:rsidR="00142EE4" w:rsidRPr="00992029">
        <w:t xml:space="preserve"> 2018. i 2019. godine su zgrade</w:t>
      </w:r>
      <w:r w:rsidR="007D5E87" w:rsidRPr="00992029">
        <w:t xml:space="preserve"> </w:t>
      </w:r>
      <w:r w:rsidR="00BB5CAD" w:rsidRPr="00992029">
        <w:t>gotovo nulte energije.</w:t>
      </w:r>
      <w:r w:rsidR="000731B4">
        <w:t xml:space="preserve"> </w:t>
      </w:r>
    </w:p>
    <w:p w14:paraId="238FD473" w14:textId="71E77A65" w:rsidR="0024295E" w:rsidRDefault="0024295E" w:rsidP="00334A49">
      <w:pPr>
        <w:pStyle w:val="Opisslike"/>
        <w:keepNext/>
      </w:pPr>
      <w:bookmarkStart w:id="70" w:name="_Toc40089033"/>
      <w:r>
        <w:t xml:space="preserve">Tablica </w:t>
      </w:r>
      <w:r w:rsidR="00A50909">
        <w:fldChar w:fldCharType="begin"/>
      </w:r>
      <w:r w:rsidR="00A50909">
        <w:instrText xml:space="preserve"> SEQ Tab</w:instrText>
      </w:r>
      <w:r w:rsidR="00A50909">
        <w:instrText xml:space="preserve">lica \* ARABIC </w:instrText>
      </w:r>
      <w:r w:rsidR="00A50909">
        <w:fldChar w:fldCharType="separate"/>
      </w:r>
      <w:r w:rsidR="00CE61F3">
        <w:rPr>
          <w:noProof/>
        </w:rPr>
        <w:t>16</w:t>
      </w:r>
      <w:r w:rsidR="00A50909">
        <w:rPr>
          <w:noProof/>
        </w:rPr>
        <w:fldChar w:fldCharType="end"/>
      </w:r>
      <w:r>
        <w:t xml:space="preserve"> Broj zgrada nZEB prema izvještajima provedbenih tijela za </w:t>
      </w:r>
      <w:r>
        <w:rPr>
          <w:noProof/>
        </w:rPr>
        <w:t xml:space="preserve">prostorno uređenje </w:t>
      </w:r>
      <w:r w:rsidRPr="0024295E">
        <w:rPr>
          <w:noProof/>
        </w:rPr>
        <w:t>županija i gradova</w:t>
      </w:r>
      <w:bookmarkEnd w:id="70"/>
    </w:p>
    <w:tbl>
      <w:tblPr>
        <w:tblW w:w="5000" w:type="pct"/>
        <w:jc w:val="right"/>
        <w:tblCellMar>
          <w:left w:w="0" w:type="dxa"/>
          <w:right w:w="0" w:type="dxa"/>
        </w:tblCellMar>
        <w:tblLook w:val="04A0" w:firstRow="1" w:lastRow="0" w:firstColumn="1" w:lastColumn="0" w:noHBand="0" w:noVBand="1"/>
      </w:tblPr>
      <w:tblGrid>
        <w:gridCol w:w="1848"/>
        <w:gridCol w:w="2285"/>
        <w:gridCol w:w="1946"/>
        <w:gridCol w:w="3255"/>
      </w:tblGrid>
      <w:tr w:rsidR="00A42290" w:rsidRPr="00A42290" w14:paraId="0BAFC937" w14:textId="77777777" w:rsidTr="00334A49">
        <w:trPr>
          <w:trHeight w:val="765"/>
          <w:jc w:val="right"/>
        </w:trPr>
        <w:tc>
          <w:tcPr>
            <w:tcW w:w="1893" w:type="dxa"/>
            <w:tcBorders>
              <w:top w:val="single" w:sz="8" w:space="0" w:color="auto"/>
              <w:left w:val="single" w:sz="8" w:space="0" w:color="auto"/>
              <w:bottom w:val="single" w:sz="8" w:space="0" w:color="auto"/>
              <w:right w:val="single" w:sz="8" w:space="0" w:color="auto"/>
            </w:tcBorders>
            <w:shd w:val="clear" w:color="auto" w:fill="D6DCE4"/>
            <w:tcMar>
              <w:top w:w="0" w:type="dxa"/>
              <w:left w:w="108" w:type="dxa"/>
              <w:bottom w:w="0" w:type="dxa"/>
              <w:right w:w="108" w:type="dxa"/>
            </w:tcMar>
            <w:vAlign w:val="center"/>
            <w:hideMark/>
          </w:tcPr>
          <w:p w14:paraId="5FD5FD4B" w14:textId="77777777" w:rsidR="00A42290" w:rsidRPr="00334A49" w:rsidRDefault="00A42290" w:rsidP="00334A49">
            <w:pPr>
              <w:jc w:val="center"/>
              <w:rPr>
                <w:rFonts w:asciiTheme="minorHAnsi" w:hAnsiTheme="minorHAnsi" w:cstheme="minorHAnsi"/>
                <w:b/>
                <w:bCs/>
              </w:rPr>
            </w:pPr>
            <w:r w:rsidRPr="00334A49">
              <w:rPr>
                <w:rFonts w:asciiTheme="minorHAnsi" w:hAnsiTheme="minorHAnsi" w:cstheme="minorHAnsi"/>
                <w:b/>
                <w:bCs/>
              </w:rPr>
              <w:t>ukupan broj nZEB zgrada za razdoblje</w:t>
            </w:r>
          </w:p>
        </w:tc>
        <w:tc>
          <w:tcPr>
            <w:tcW w:w="2343" w:type="dxa"/>
            <w:tcBorders>
              <w:top w:val="single" w:sz="8" w:space="0" w:color="auto"/>
              <w:left w:val="nil"/>
              <w:bottom w:val="single" w:sz="8" w:space="0" w:color="auto"/>
              <w:right w:val="single" w:sz="8" w:space="0" w:color="auto"/>
            </w:tcBorders>
            <w:shd w:val="clear" w:color="auto" w:fill="D6DCE4"/>
            <w:tcMar>
              <w:top w:w="0" w:type="dxa"/>
              <w:left w:w="108" w:type="dxa"/>
              <w:bottom w:w="0" w:type="dxa"/>
              <w:right w:w="108" w:type="dxa"/>
            </w:tcMar>
            <w:vAlign w:val="center"/>
            <w:hideMark/>
          </w:tcPr>
          <w:p w14:paraId="2F6304F5" w14:textId="77777777" w:rsidR="00A42290" w:rsidRPr="00334A49" w:rsidRDefault="00A42290" w:rsidP="00334A49">
            <w:pPr>
              <w:jc w:val="center"/>
              <w:rPr>
                <w:rFonts w:asciiTheme="minorHAnsi" w:hAnsiTheme="minorHAnsi" w:cstheme="minorHAnsi"/>
                <w:b/>
                <w:bCs/>
              </w:rPr>
            </w:pPr>
            <w:r w:rsidRPr="00334A49">
              <w:rPr>
                <w:rFonts w:asciiTheme="minorHAnsi" w:hAnsiTheme="minorHAnsi" w:cstheme="minorHAnsi"/>
                <w:b/>
                <w:bCs/>
              </w:rPr>
              <w:t>ukupna površina bruto (m2)</w:t>
            </w:r>
          </w:p>
        </w:tc>
        <w:tc>
          <w:tcPr>
            <w:tcW w:w="1994" w:type="dxa"/>
            <w:tcBorders>
              <w:top w:val="single" w:sz="8" w:space="0" w:color="auto"/>
              <w:left w:val="nil"/>
              <w:bottom w:val="single" w:sz="8" w:space="0" w:color="auto"/>
              <w:right w:val="single" w:sz="8" w:space="0" w:color="auto"/>
            </w:tcBorders>
            <w:shd w:val="clear" w:color="auto" w:fill="D6DCE4"/>
            <w:tcMar>
              <w:top w:w="0" w:type="dxa"/>
              <w:left w:w="108" w:type="dxa"/>
              <w:bottom w:w="0" w:type="dxa"/>
              <w:right w:w="108" w:type="dxa"/>
            </w:tcMar>
            <w:vAlign w:val="center"/>
            <w:hideMark/>
          </w:tcPr>
          <w:p w14:paraId="04C1F543" w14:textId="77777777" w:rsidR="00A42290" w:rsidRPr="00334A49" w:rsidRDefault="00A42290" w:rsidP="00334A49">
            <w:pPr>
              <w:jc w:val="center"/>
              <w:rPr>
                <w:rFonts w:asciiTheme="minorHAnsi" w:hAnsiTheme="minorHAnsi" w:cstheme="minorHAnsi"/>
                <w:b/>
                <w:bCs/>
              </w:rPr>
            </w:pPr>
            <w:r w:rsidRPr="00334A49">
              <w:rPr>
                <w:rFonts w:asciiTheme="minorHAnsi" w:hAnsiTheme="minorHAnsi" w:cstheme="minorHAnsi"/>
                <w:b/>
                <w:bCs/>
              </w:rPr>
              <w:t>ukupna površina neto (m2)</w:t>
            </w:r>
          </w:p>
        </w:tc>
        <w:tc>
          <w:tcPr>
            <w:tcW w:w="3340" w:type="dxa"/>
            <w:tcBorders>
              <w:top w:val="single" w:sz="8" w:space="0" w:color="auto"/>
              <w:left w:val="nil"/>
              <w:bottom w:val="single" w:sz="8" w:space="0" w:color="auto"/>
              <w:right w:val="single" w:sz="8" w:space="0" w:color="auto"/>
            </w:tcBorders>
            <w:shd w:val="clear" w:color="auto" w:fill="D6DCE4"/>
            <w:tcMar>
              <w:top w:w="0" w:type="dxa"/>
              <w:left w:w="108" w:type="dxa"/>
              <w:bottom w:w="0" w:type="dxa"/>
              <w:right w:w="108" w:type="dxa"/>
            </w:tcMar>
            <w:vAlign w:val="center"/>
            <w:hideMark/>
          </w:tcPr>
          <w:p w14:paraId="1FEABF0B" w14:textId="77777777" w:rsidR="00A42290" w:rsidRPr="00334A49" w:rsidRDefault="00A42290" w:rsidP="00334A49">
            <w:pPr>
              <w:jc w:val="center"/>
              <w:rPr>
                <w:rFonts w:asciiTheme="minorHAnsi" w:hAnsiTheme="minorHAnsi" w:cstheme="minorHAnsi"/>
                <w:b/>
                <w:bCs/>
              </w:rPr>
            </w:pPr>
            <w:r w:rsidRPr="00334A49">
              <w:rPr>
                <w:rFonts w:asciiTheme="minorHAnsi" w:hAnsiTheme="minorHAnsi" w:cstheme="minorHAnsi"/>
                <w:b/>
                <w:bCs/>
              </w:rPr>
              <w:t>razdoblje</w:t>
            </w:r>
          </w:p>
        </w:tc>
      </w:tr>
      <w:tr w:rsidR="00A42290" w:rsidRPr="00A42290" w14:paraId="12E604E2" w14:textId="77777777" w:rsidTr="00334A49">
        <w:trPr>
          <w:trHeight w:val="300"/>
          <w:jc w:val="right"/>
        </w:trPr>
        <w:tc>
          <w:tcPr>
            <w:tcW w:w="1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C6E9A4"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22</w:t>
            </w:r>
          </w:p>
        </w:tc>
        <w:tc>
          <w:tcPr>
            <w:tcW w:w="23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E2E4A"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47790</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42B483"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42879</w:t>
            </w:r>
          </w:p>
        </w:tc>
        <w:tc>
          <w:tcPr>
            <w:tcW w:w="3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3C128"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01.01.2014. - 30.06.2017.</w:t>
            </w:r>
          </w:p>
        </w:tc>
      </w:tr>
      <w:tr w:rsidR="00A42290" w:rsidRPr="00A42290" w14:paraId="2CB3FB97" w14:textId="77777777" w:rsidTr="00334A49">
        <w:trPr>
          <w:trHeight w:val="300"/>
          <w:jc w:val="right"/>
        </w:trPr>
        <w:tc>
          <w:tcPr>
            <w:tcW w:w="1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56146A"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18</w:t>
            </w:r>
          </w:p>
        </w:tc>
        <w:tc>
          <w:tcPr>
            <w:tcW w:w="23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59F6D6"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14220</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5F186E"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8171</w:t>
            </w:r>
          </w:p>
        </w:tc>
        <w:tc>
          <w:tcPr>
            <w:tcW w:w="3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38FFA4"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01.07.2017. - 31.12.2017.</w:t>
            </w:r>
          </w:p>
        </w:tc>
      </w:tr>
      <w:tr w:rsidR="00A42290" w:rsidRPr="00A42290" w14:paraId="30D0D3D1" w14:textId="77777777" w:rsidTr="00334A49">
        <w:trPr>
          <w:trHeight w:val="300"/>
          <w:jc w:val="right"/>
        </w:trPr>
        <w:tc>
          <w:tcPr>
            <w:tcW w:w="1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C78E80"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17</w:t>
            </w:r>
          </w:p>
        </w:tc>
        <w:tc>
          <w:tcPr>
            <w:tcW w:w="23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B27247"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9007</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70D52"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8360</w:t>
            </w:r>
          </w:p>
        </w:tc>
        <w:tc>
          <w:tcPr>
            <w:tcW w:w="3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26E2A0"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01.01.2018. - 30.06.2018.</w:t>
            </w:r>
          </w:p>
        </w:tc>
      </w:tr>
      <w:tr w:rsidR="00A42290" w:rsidRPr="00A42290" w14:paraId="3F055032" w14:textId="77777777" w:rsidTr="00334A49">
        <w:trPr>
          <w:trHeight w:val="300"/>
          <w:jc w:val="right"/>
        </w:trPr>
        <w:tc>
          <w:tcPr>
            <w:tcW w:w="1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5ABB89"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38</w:t>
            </w:r>
          </w:p>
        </w:tc>
        <w:tc>
          <w:tcPr>
            <w:tcW w:w="23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D962F7"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73931</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B682A9"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59632</w:t>
            </w:r>
          </w:p>
        </w:tc>
        <w:tc>
          <w:tcPr>
            <w:tcW w:w="3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BF5AA5"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01.07.2018. -  31.12.2018.</w:t>
            </w:r>
          </w:p>
        </w:tc>
      </w:tr>
      <w:tr w:rsidR="00A42290" w:rsidRPr="00A42290" w14:paraId="19F2C329" w14:textId="77777777" w:rsidTr="00334A49">
        <w:trPr>
          <w:trHeight w:val="300"/>
          <w:jc w:val="right"/>
        </w:trPr>
        <w:tc>
          <w:tcPr>
            <w:tcW w:w="1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E2695A"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lastRenderedPageBreak/>
              <w:t>49</w:t>
            </w:r>
          </w:p>
        </w:tc>
        <w:tc>
          <w:tcPr>
            <w:tcW w:w="23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F07DB6"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31668</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1364B0"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28494</w:t>
            </w:r>
          </w:p>
        </w:tc>
        <w:tc>
          <w:tcPr>
            <w:tcW w:w="3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0AAF45"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01.01.2019. - 30.06.2019.</w:t>
            </w:r>
          </w:p>
        </w:tc>
      </w:tr>
      <w:tr w:rsidR="00A42290" w:rsidRPr="00A42290" w14:paraId="66AB15B8" w14:textId="77777777" w:rsidTr="00334A49">
        <w:trPr>
          <w:trHeight w:val="510"/>
          <w:jc w:val="right"/>
        </w:trPr>
        <w:tc>
          <w:tcPr>
            <w:tcW w:w="1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35AE40"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1</w:t>
            </w:r>
          </w:p>
        </w:tc>
        <w:tc>
          <w:tcPr>
            <w:tcW w:w="23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6A831F"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365</w:t>
            </w:r>
          </w:p>
        </w:tc>
        <w:tc>
          <w:tcPr>
            <w:tcW w:w="19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52D1B"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307</w:t>
            </w:r>
          </w:p>
        </w:tc>
        <w:tc>
          <w:tcPr>
            <w:tcW w:w="33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102D69"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 xml:space="preserve">01.07.2019 - 31.12.2019. </w:t>
            </w:r>
          </w:p>
        </w:tc>
      </w:tr>
      <w:tr w:rsidR="00A42290" w:rsidRPr="00A42290" w14:paraId="12E962EF" w14:textId="77777777" w:rsidTr="00334A49">
        <w:trPr>
          <w:trHeight w:val="300"/>
          <w:jc w:val="right"/>
        </w:trPr>
        <w:tc>
          <w:tcPr>
            <w:tcW w:w="1893" w:type="dxa"/>
            <w:noWrap/>
            <w:tcMar>
              <w:top w:w="0" w:type="dxa"/>
              <w:left w:w="108" w:type="dxa"/>
              <w:bottom w:w="0" w:type="dxa"/>
              <w:right w:w="108" w:type="dxa"/>
            </w:tcMar>
            <w:vAlign w:val="bottom"/>
            <w:hideMark/>
          </w:tcPr>
          <w:p w14:paraId="4C6D285B" w14:textId="77777777" w:rsidR="00A42290" w:rsidRPr="00334A49" w:rsidRDefault="00A42290" w:rsidP="00334A49">
            <w:pPr>
              <w:jc w:val="right"/>
              <w:rPr>
                <w:rFonts w:asciiTheme="minorHAnsi" w:hAnsiTheme="minorHAnsi" w:cstheme="minorHAnsi"/>
                <w:b/>
                <w:bCs/>
              </w:rPr>
            </w:pPr>
            <w:r w:rsidRPr="00334A49">
              <w:rPr>
                <w:rFonts w:asciiTheme="minorHAnsi" w:hAnsiTheme="minorHAnsi" w:cstheme="minorHAnsi"/>
                <w:b/>
                <w:bCs/>
              </w:rPr>
              <w:t>145</w:t>
            </w:r>
          </w:p>
        </w:tc>
        <w:tc>
          <w:tcPr>
            <w:tcW w:w="2343" w:type="dxa"/>
            <w:noWrap/>
            <w:tcMar>
              <w:top w:w="0" w:type="dxa"/>
              <w:left w:w="108" w:type="dxa"/>
              <w:bottom w:w="0" w:type="dxa"/>
              <w:right w:w="108" w:type="dxa"/>
            </w:tcMar>
            <w:vAlign w:val="bottom"/>
            <w:hideMark/>
          </w:tcPr>
          <w:p w14:paraId="12B21636" w14:textId="77777777" w:rsidR="00A42290" w:rsidRPr="00334A49" w:rsidRDefault="00A42290" w:rsidP="00334A49">
            <w:pPr>
              <w:jc w:val="right"/>
              <w:rPr>
                <w:rFonts w:asciiTheme="minorHAnsi" w:hAnsiTheme="minorHAnsi" w:cstheme="minorHAnsi"/>
                <w:b/>
                <w:bCs/>
              </w:rPr>
            </w:pPr>
            <w:r w:rsidRPr="00334A49">
              <w:rPr>
                <w:rFonts w:asciiTheme="minorHAnsi" w:hAnsiTheme="minorHAnsi" w:cstheme="minorHAnsi"/>
                <w:b/>
                <w:bCs/>
              </w:rPr>
              <w:t>176981</w:t>
            </w:r>
          </w:p>
        </w:tc>
        <w:tc>
          <w:tcPr>
            <w:tcW w:w="1994" w:type="dxa"/>
            <w:noWrap/>
            <w:tcMar>
              <w:top w:w="0" w:type="dxa"/>
              <w:left w:w="108" w:type="dxa"/>
              <w:bottom w:w="0" w:type="dxa"/>
              <w:right w:w="108" w:type="dxa"/>
            </w:tcMar>
            <w:vAlign w:val="bottom"/>
            <w:hideMark/>
          </w:tcPr>
          <w:p w14:paraId="550ABF5A" w14:textId="77777777" w:rsidR="00A42290" w:rsidRPr="00334A49" w:rsidRDefault="00A42290" w:rsidP="00334A49">
            <w:pPr>
              <w:jc w:val="right"/>
              <w:rPr>
                <w:rFonts w:asciiTheme="minorHAnsi" w:hAnsiTheme="minorHAnsi" w:cstheme="minorHAnsi"/>
                <w:b/>
                <w:bCs/>
              </w:rPr>
            </w:pPr>
            <w:r w:rsidRPr="00334A49">
              <w:rPr>
                <w:rFonts w:asciiTheme="minorHAnsi" w:hAnsiTheme="minorHAnsi" w:cstheme="minorHAnsi"/>
                <w:b/>
                <w:bCs/>
              </w:rPr>
              <w:t>147843</w:t>
            </w:r>
          </w:p>
        </w:tc>
        <w:tc>
          <w:tcPr>
            <w:tcW w:w="3340" w:type="dxa"/>
            <w:noWrap/>
            <w:tcMar>
              <w:top w:w="0" w:type="dxa"/>
              <w:left w:w="108" w:type="dxa"/>
              <w:bottom w:w="0" w:type="dxa"/>
              <w:right w:w="108" w:type="dxa"/>
            </w:tcMar>
            <w:vAlign w:val="bottom"/>
            <w:hideMark/>
          </w:tcPr>
          <w:p w14:paraId="185BC035" w14:textId="77777777" w:rsidR="00A42290" w:rsidRPr="00334A49" w:rsidRDefault="00A42290" w:rsidP="00334A49">
            <w:pPr>
              <w:jc w:val="right"/>
              <w:rPr>
                <w:rFonts w:asciiTheme="minorHAnsi" w:hAnsiTheme="minorHAnsi" w:cstheme="minorHAnsi"/>
                <w:b/>
                <w:bCs/>
              </w:rPr>
            </w:pPr>
          </w:p>
        </w:tc>
      </w:tr>
    </w:tbl>
    <w:p w14:paraId="1E852EB6" w14:textId="77777777" w:rsidR="00A42290" w:rsidRPr="008C7825" w:rsidRDefault="00A42290" w:rsidP="008C7825"/>
    <w:p w14:paraId="765DC552" w14:textId="7EAA098B" w:rsidR="00255FF1" w:rsidRDefault="00255FF1" w:rsidP="007649C2">
      <w:pPr>
        <w:pStyle w:val="Naslov20"/>
      </w:pPr>
      <w:bookmarkStart w:id="71" w:name="_Toc34052866"/>
      <w:bookmarkStart w:id="72" w:name="_Toc46163810"/>
      <w:r w:rsidRPr="00255FF1">
        <w:t xml:space="preserve">Zgrade </w:t>
      </w:r>
      <w:bookmarkEnd w:id="71"/>
      <w:r w:rsidR="00830249">
        <w:t>sa statusom nepokretnog kulturnog dobra</w:t>
      </w:r>
      <w:bookmarkEnd w:id="72"/>
    </w:p>
    <w:p w14:paraId="0B388957" w14:textId="6307F302" w:rsidR="00307B0B" w:rsidRPr="006202B5" w:rsidRDefault="00307B0B" w:rsidP="00307B0B">
      <w:r w:rsidRPr="008C7825">
        <w:rPr>
          <w:bCs/>
        </w:rPr>
        <w:t xml:space="preserve">Registar kulturnih dobara Republike Hrvatske </w:t>
      </w:r>
      <w:r w:rsidRPr="00E806C8">
        <w:rPr>
          <w:bCs/>
        </w:rPr>
        <w:t>javna je knjiga kulturnih dobara koju vodi Ministarstvo</w:t>
      </w:r>
      <w:r w:rsidRPr="006202B5">
        <w:t xml:space="preserve"> kulture. </w:t>
      </w:r>
      <w:r>
        <w:t xml:space="preserve">Registar sadrži sva kulturna dobra, a </w:t>
      </w:r>
      <w:r w:rsidRPr="00D2017E">
        <w:rPr>
          <w:bCs/>
        </w:rPr>
        <w:t xml:space="preserve">prema prijedlogu teksta </w:t>
      </w:r>
      <w:r w:rsidRPr="00D2017E">
        <w:rPr>
          <w:lang w:eastAsia="hr-HR"/>
        </w:rPr>
        <w:t>Programa energetske obnove zgrada koje imaju status kulturnog dobra za razdoblje 2021. - 2030. godine</w:t>
      </w:r>
      <w:r w:rsidRPr="006202B5">
        <w:t xml:space="preserve"> </w:t>
      </w:r>
      <w:r>
        <w:t xml:space="preserve">iz registra je </w:t>
      </w:r>
      <w:r w:rsidRPr="006202B5">
        <w:t xml:space="preserve">izdvojen od strane Ministarstva kulture popis zgrada </w:t>
      </w:r>
      <w:r>
        <w:t>koje imaju status</w:t>
      </w:r>
      <w:r w:rsidRPr="006202B5">
        <w:t xml:space="preserve"> pojedinačnog kulturnog dobra.</w:t>
      </w:r>
      <w:r>
        <w:t xml:space="preserve"> U</w:t>
      </w:r>
      <w:r w:rsidRPr="006202B5">
        <w:t>nutar kulturno-povijesnih cjelina koje imaju status kulturnih dobara</w:t>
      </w:r>
      <w:r>
        <w:t xml:space="preserve"> i sadržane su u registru nalazi se također određeni broj zgrada</w:t>
      </w:r>
      <w:r w:rsidRPr="006202B5">
        <w:t xml:space="preserve">. </w:t>
      </w:r>
      <w:r w:rsidRPr="00812233">
        <w:t xml:space="preserve">Postoji samo podatak </w:t>
      </w:r>
      <w:r w:rsidRPr="006202B5">
        <w:t xml:space="preserve">o broju takvih zgrada i njihovoj lokaciji (mjesto, konzervatorski odjel odnosno županija). </w:t>
      </w:r>
      <w:r>
        <w:t>U</w:t>
      </w:r>
      <w:r w:rsidRPr="006202B5">
        <w:t xml:space="preserve"> Republici Hrvatskoj postoji 102.615 </w:t>
      </w:r>
      <w:r>
        <w:t>zgrada u</w:t>
      </w:r>
      <w:r w:rsidRPr="000E5479">
        <w:t>nutar kulturno-povijesnih cjelina koje imaju status kulturnih dobara</w:t>
      </w:r>
      <w:r w:rsidRPr="006202B5">
        <w:t xml:space="preserve">, od toga 44.889 u </w:t>
      </w:r>
      <w:r>
        <w:t>k</w:t>
      </w:r>
      <w:r w:rsidRPr="006202B5">
        <w:t xml:space="preserve">ontinentalnoj Hrvatskoj te 57.726 u </w:t>
      </w:r>
      <w:r>
        <w:t>p</w:t>
      </w:r>
      <w:r w:rsidRPr="006202B5">
        <w:t xml:space="preserve">rimorskoj Hrvatskoj. Unutar ovoga broja nalazi se i 1.950 zgrada </w:t>
      </w:r>
      <w:r>
        <w:t>koje imaju status</w:t>
      </w:r>
      <w:r w:rsidRPr="006202B5">
        <w:t xml:space="preserve"> pojedinačn</w:t>
      </w:r>
      <w:r>
        <w:t xml:space="preserve">og </w:t>
      </w:r>
      <w:r w:rsidRPr="006202B5">
        <w:t xml:space="preserve">kulturnog dobra. Za zgrade unutar kulturno-povijesnih cjelina koje nemaju status pojedinačnog kulturnog dobra </w:t>
      </w:r>
      <w:r>
        <w:t>klasifikacija</w:t>
      </w:r>
      <w:r w:rsidRPr="006202B5">
        <w:t xml:space="preserve"> prema namjeni i razdoblju gradnje</w:t>
      </w:r>
      <w:r>
        <w:t xml:space="preserve"> nije provedena unutar kategorije zgrada kulturne baštine, već ukupno sa svim zgradama fonda RH</w:t>
      </w:r>
      <w:r w:rsidRPr="006202B5">
        <w:t xml:space="preserve">. </w:t>
      </w:r>
      <w:r w:rsidR="00EC4BA7">
        <w:t xml:space="preserve">Također, u Republici Hrvatskoj </w:t>
      </w:r>
      <w:r w:rsidR="00EC4BA7">
        <w:rPr>
          <w:color w:val="000000"/>
          <w:lang w:eastAsia="hr-HR" w:bidi="hr-HR"/>
        </w:rPr>
        <w:t>postoji još 467 pojedinačno zaštićenih zgrada izvan zaštićenih cjelina, koje se mogu uključiti u ovaj program energetske obnove zgrada.</w:t>
      </w:r>
    </w:p>
    <w:p w14:paraId="12F97EB6" w14:textId="0B323C9B" w:rsidR="00307B0B" w:rsidRDefault="00307B0B" w:rsidP="00307B0B">
      <w:pPr>
        <w:rPr>
          <w:lang w:eastAsia="hr-HR"/>
        </w:rPr>
      </w:pPr>
      <w:r w:rsidRPr="006202B5">
        <w:t xml:space="preserve">Ministarstvo kulture nema podatke </w:t>
      </w:r>
      <w:r>
        <w:t>iz</w:t>
      </w:r>
      <w:r w:rsidRPr="006202B5">
        <w:t xml:space="preserve"> Registra kulturnih dobara ili </w:t>
      </w:r>
      <w:r>
        <w:t>iz</w:t>
      </w:r>
      <w:r w:rsidRPr="006202B5">
        <w:t xml:space="preserve"> drug</w:t>
      </w:r>
      <w:r>
        <w:t>ih</w:t>
      </w:r>
      <w:r w:rsidRPr="006202B5">
        <w:t xml:space="preserve"> baz</w:t>
      </w:r>
      <w:r>
        <w:t>a</w:t>
      </w:r>
      <w:r w:rsidRPr="006202B5">
        <w:t xml:space="preserve"> podataka i izvor</w:t>
      </w:r>
      <w:r>
        <w:t>a</w:t>
      </w:r>
      <w:r w:rsidRPr="006202B5">
        <w:t xml:space="preserve"> o površini zgrada </w:t>
      </w:r>
      <w:r>
        <w:t>koje imaju status</w:t>
      </w:r>
      <w:r w:rsidRPr="006202B5">
        <w:t xml:space="preserve"> kulturnog dobra (bilo pojedinačno ili za zgrade kao dijelove kulturno-povijesnih cjelina). </w:t>
      </w:r>
      <w:r>
        <w:t xml:space="preserve">Kroz analizu fonda zgrada i baze </w:t>
      </w:r>
      <w:r w:rsidRPr="00F005EB">
        <w:t xml:space="preserve">Informacijskog sustava za gospodarenje energijom </w:t>
      </w:r>
      <w:r>
        <w:t xml:space="preserve">(ISGE) u prijedlogu </w:t>
      </w:r>
      <w:r>
        <w:rPr>
          <w:lang w:eastAsia="hr-HR"/>
        </w:rPr>
        <w:t xml:space="preserve">Programa energetske obnove zgrada koje imaju status kulturnog dobra za razdoblje 2021. - 2030. godine utvrđeno je da zgrade u okviru programa s pojedinačnom zaštitom, s ukupnom površinom od </w:t>
      </w:r>
      <w:r w:rsidRPr="00307B0B">
        <w:rPr>
          <w:lang w:eastAsia="hr-HR"/>
        </w:rPr>
        <w:t>2.304.157 m²,</w:t>
      </w:r>
      <w:r>
        <w:rPr>
          <w:lang w:eastAsia="hr-HR"/>
        </w:rPr>
        <w:t xml:space="preserve"> prema namjeni mogu biti podijeljene kao što prikazuje </w:t>
      </w:r>
      <w:r>
        <w:rPr>
          <w:lang w:eastAsia="hr-HR"/>
        </w:rPr>
        <w:fldChar w:fldCharType="begin"/>
      </w:r>
      <w:r>
        <w:rPr>
          <w:lang w:eastAsia="hr-HR"/>
        </w:rPr>
        <w:instrText xml:space="preserve"> REF _Ref45722475 \h </w:instrText>
      </w:r>
      <w:r>
        <w:rPr>
          <w:lang w:eastAsia="hr-HR"/>
        </w:rPr>
      </w:r>
      <w:r>
        <w:rPr>
          <w:lang w:eastAsia="hr-HR"/>
        </w:rPr>
        <w:fldChar w:fldCharType="separate"/>
      </w:r>
      <w:r w:rsidR="00CE61F3">
        <w:t xml:space="preserve">Tablica </w:t>
      </w:r>
      <w:r w:rsidR="00CE61F3">
        <w:rPr>
          <w:noProof/>
        </w:rPr>
        <w:t>17</w:t>
      </w:r>
      <w:r>
        <w:rPr>
          <w:lang w:eastAsia="hr-HR"/>
        </w:rPr>
        <w:fldChar w:fldCharType="end"/>
      </w:r>
      <w:r>
        <w:rPr>
          <w:lang w:eastAsia="hr-HR"/>
        </w:rPr>
        <w:t>.</w:t>
      </w:r>
    </w:p>
    <w:p w14:paraId="6DEB445E" w14:textId="2A697E8E" w:rsidR="00DF5B50" w:rsidRDefault="00DF5B50" w:rsidP="00334A49">
      <w:pPr>
        <w:pStyle w:val="Opisslike"/>
        <w:keepNext/>
      </w:pPr>
      <w:bookmarkStart w:id="73" w:name="_Ref45722475"/>
      <w:bookmarkStart w:id="74" w:name="_Ref33448482"/>
      <w:bookmarkStart w:id="75" w:name="_Toc40089034"/>
      <w:r>
        <w:t xml:space="preserve">Tablica </w:t>
      </w:r>
      <w:r w:rsidR="00A50909">
        <w:fldChar w:fldCharType="begin"/>
      </w:r>
      <w:r w:rsidR="00A50909">
        <w:instrText xml:space="preserve"> SEQ Tablica \* ARABIC </w:instrText>
      </w:r>
      <w:r w:rsidR="00A50909">
        <w:fldChar w:fldCharType="separate"/>
      </w:r>
      <w:r w:rsidR="00CE61F3">
        <w:rPr>
          <w:noProof/>
        </w:rPr>
        <w:t>17</w:t>
      </w:r>
      <w:r w:rsidR="00A50909">
        <w:rPr>
          <w:noProof/>
        </w:rPr>
        <w:fldChar w:fldCharType="end"/>
      </w:r>
      <w:bookmarkEnd w:id="73"/>
      <w:r>
        <w:t xml:space="preserve"> Zgrade </w:t>
      </w:r>
      <w:r w:rsidR="00F379BF">
        <w:t xml:space="preserve">sa statusom nepokretnog kulturnog dobra </w:t>
      </w:r>
      <w:r>
        <w:t>po namjeni</w:t>
      </w:r>
      <w:bookmarkEnd w:id="74"/>
      <w:bookmarkEnd w:id="75"/>
    </w:p>
    <w:tbl>
      <w:tblPr>
        <w:tblW w:w="7480" w:type="dxa"/>
        <w:jc w:val="center"/>
        <w:tblLook w:val="04A0" w:firstRow="1" w:lastRow="0" w:firstColumn="1" w:lastColumn="0" w:noHBand="0" w:noVBand="1"/>
      </w:tblPr>
      <w:tblGrid>
        <w:gridCol w:w="2500"/>
        <w:gridCol w:w="1660"/>
        <w:gridCol w:w="1660"/>
        <w:gridCol w:w="1660"/>
      </w:tblGrid>
      <w:tr w:rsidR="00DF5B50" w:rsidRPr="004B7F5C" w14:paraId="69C57E7B" w14:textId="77777777" w:rsidTr="009E12C4">
        <w:trPr>
          <w:trHeight w:val="585"/>
          <w:tblHeader/>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AACACC" w14:textId="77777777" w:rsidR="00DF5B50" w:rsidRPr="00334A49" w:rsidRDefault="00DF5B50" w:rsidP="009E12C4">
            <w:pPr>
              <w:jc w:val="center"/>
              <w:rPr>
                <w:bCs/>
                <w:color w:val="000000"/>
                <w:szCs w:val="20"/>
                <w:lang w:eastAsia="hr-HR"/>
              </w:rPr>
            </w:pPr>
            <w:r w:rsidRPr="00334A49">
              <w:rPr>
                <w:bCs/>
                <w:color w:val="000000"/>
                <w:szCs w:val="20"/>
                <w:lang w:eastAsia="hr-HR"/>
              </w:rPr>
              <w:t>Namjena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3432EFAB" w14:textId="77777777" w:rsidR="00DF5B50" w:rsidRPr="00334A49" w:rsidRDefault="00DF5B50" w:rsidP="009E12C4">
            <w:pPr>
              <w:jc w:val="center"/>
              <w:rPr>
                <w:bCs/>
                <w:color w:val="000000"/>
                <w:szCs w:val="20"/>
                <w:lang w:eastAsia="hr-HR"/>
              </w:rPr>
            </w:pPr>
            <w:r w:rsidRPr="00334A49">
              <w:rPr>
                <w:bCs/>
                <w:color w:val="000000"/>
                <w:szCs w:val="20"/>
                <w:lang w:eastAsia="hr-HR"/>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21213AD4" w14:textId="77777777" w:rsidR="00DF5B50" w:rsidRPr="00334A49" w:rsidRDefault="00DF5B50" w:rsidP="009E12C4">
            <w:pPr>
              <w:jc w:val="center"/>
              <w:rPr>
                <w:bCs/>
                <w:color w:val="000000"/>
                <w:szCs w:val="20"/>
                <w:lang w:eastAsia="hr-HR"/>
              </w:rPr>
            </w:pPr>
            <w:r w:rsidRPr="00334A49">
              <w:rPr>
                <w:bCs/>
                <w:color w:val="000000"/>
                <w:szCs w:val="20"/>
                <w:lang w:eastAsia="hr-HR"/>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12DAAA57" w14:textId="77777777" w:rsidR="00DF5B50" w:rsidRPr="00334A49" w:rsidRDefault="00DF5B50" w:rsidP="009E12C4">
            <w:pPr>
              <w:jc w:val="center"/>
              <w:rPr>
                <w:bCs/>
                <w:color w:val="000000"/>
                <w:szCs w:val="20"/>
                <w:lang w:eastAsia="hr-HR"/>
              </w:rPr>
            </w:pPr>
            <w:r w:rsidRPr="00334A49">
              <w:rPr>
                <w:bCs/>
                <w:color w:val="000000"/>
                <w:szCs w:val="20"/>
                <w:lang w:eastAsia="hr-HR"/>
              </w:rPr>
              <w:t>Ukupno</w:t>
            </w:r>
          </w:p>
        </w:tc>
      </w:tr>
      <w:tr w:rsidR="00DF5B50" w:rsidRPr="004B7F5C" w14:paraId="0CDF3A41" w14:textId="77777777" w:rsidTr="009E12C4">
        <w:trPr>
          <w:trHeight w:val="315"/>
          <w:tblHeader/>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8921B56" w14:textId="77777777" w:rsidR="00DF5B50" w:rsidRPr="00334A49" w:rsidRDefault="00DF5B50" w:rsidP="009E12C4">
            <w:pPr>
              <w:jc w:val="center"/>
              <w:rPr>
                <w:bCs/>
                <w:color w:val="000000"/>
                <w:szCs w:val="20"/>
                <w:lang w:eastAsia="hr-HR"/>
              </w:rPr>
            </w:pPr>
          </w:p>
        </w:tc>
        <w:tc>
          <w:tcPr>
            <w:tcW w:w="1660" w:type="dxa"/>
            <w:tcBorders>
              <w:top w:val="nil"/>
              <w:left w:val="nil"/>
              <w:bottom w:val="single" w:sz="8" w:space="0" w:color="auto"/>
              <w:right w:val="single" w:sz="4" w:space="0" w:color="auto"/>
            </w:tcBorders>
            <w:shd w:val="clear" w:color="auto" w:fill="auto"/>
            <w:vAlign w:val="center"/>
            <w:hideMark/>
          </w:tcPr>
          <w:p w14:paraId="782F863C" w14:textId="77777777" w:rsidR="00DF5B50" w:rsidRDefault="00DF5B50" w:rsidP="009E12C4">
            <w:pPr>
              <w:jc w:val="center"/>
              <w:rPr>
                <w:bCs/>
                <w:color w:val="000000"/>
                <w:szCs w:val="20"/>
                <w:lang w:eastAsia="hr-HR"/>
              </w:rPr>
            </w:pPr>
            <w:r>
              <w:rPr>
                <w:bCs/>
                <w:color w:val="000000"/>
                <w:szCs w:val="20"/>
                <w:lang w:eastAsia="hr-HR"/>
              </w:rPr>
              <w:t xml:space="preserve">površina </w:t>
            </w:r>
          </w:p>
          <w:p w14:paraId="523D9D63" w14:textId="77777777" w:rsidR="00DF5B50" w:rsidRPr="00334A49" w:rsidRDefault="00DF5B50" w:rsidP="009E12C4">
            <w:pPr>
              <w:jc w:val="center"/>
              <w:rPr>
                <w:bCs/>
                <w:color w:val="000000"/>
                <w:szCs w:val="20"/>
                <w:lang w:eastAsia="hr-HR"/>
              </w:rPr>
            </w:pPr>
            <w:r w:rsidRPr="00334A49">
              <w:rPr>
                <w:bCs/>
                <w:color w:val="000000"/>
                <w:szCs w:val="20"/>
                <w:lang w:eastAsia="hr-HR"/>
              </w:rPr>
              <w:t>A</w:t>
            </w:r>
            <w:r w:rsidRPr="00334A49">
              <w:rPr>
                <w:bCs/>
                <w:color w:val="000000"/>
                <w:szCs w:val="20"/>
                <w:vertAlign w:val="subscript"/>
              </w:rPr>
              <w:t>k</w:t>
            </w:r>
            <w:r w:rsidRPr="00334A49">
              <w:rPr>
                <w:bCs/>
                <w:color w:val="000000"/>
                <w:szCs w:val="20"/>
                <w:lang w:eastAsia="hr-HR"/>
              </w:rPr>
              <w:t xml:space="preserve"> (m</w:t>
            </w:r>
            <w:r w:rsidRPr="00334A49">
              <w:rPr>
                <w:bCs/>
                <w:color w:val="000000"/>
                <w:szCs w:val="20"/>
                <w:vertAlign w:val="superscript"/>
              </w:rPr>
              <w:t>2</w:t>
            </w:r>
            <w:r w:rsidRPr="00334A49">
              <w:rPr>
                <w:bCs/>
                <w:color w:val="000000"/>
                <w:szCs w:val="20"/>
                <w:lang w:eastAsia="hr-HR"/>
              </w:rPr>
              <w:t>)</w:t>
            </w:r>
          </w:p>
        </w:tc>
        <w:tc>
          <w:tcPr>
            <w:tcW w:w="1660" w:type="dxa"/>
            <w:tcBorders>
              <w:top w:val="nil"/>
              <w:left w:val="nil"/>
              <w:bottom w:val="single" w:sz="8" w:space="0" w:color="auto"/>
              <w:right w:val="single" w:sz="4" w:space="0" w:color="auto"/>
            </w:tcBorders>
            <w:shd w:val="clear" w:color="auto" w:fill="auto"/>
            <w:vAlign w:val="center"/>
            <w:hideMark/>
          </w:tcPr>
          <w:p w14:paraId="20CBC6E5" w14:textId="77777777" w:rsidR="00DF5B50" w:rsidRDefault="00DF5B50" w:rsidP="009E12C4">
            <w:pPr>
              <w:jc w:val="center"/>
              <w:rPr>
                <w:bCs/>
                <w:color w:val="000000"/>
                <w:szCs w:val="20"/>
                <w:lang w:eastAsia="hr-HR"/>
              </w:rPr>
            </w:pPr>
            <w:r>
              <w:rPr>
                <w:bCs/>
                <w:color w:val="000000"/>
                <w:szCs w:val="20"/>
                <w:lang w:eastAsia="hr-HR"/>
              </w:rPr>
              <w:t>površina</w:t>
            </w:r>
          </w:p>
          <w:p w14:paraId="4499F032" w14:textId="77777777" w:rsidR="00DF5B50" w:rsidRPr="00334A49" w:rsidRDefault="00DF5B50" w:rsidP="009E12C4">
            <w:pPr>
              <w:jc w:val="center"/>
              <w:rPr>
                <w:bCs/>
                <w:color w:val="000000"/>
                <w:szCs w:val="20"/>
                <w:lang w:eastAsia="hr-HR"/>
              </w:rPr>
            </w:pPr>
            <w:r w:rsidRPr="00334A49">
              <w:rPr>
                <w:bCs/>
                <w:color w:val="000000"/>
                <w:szCs w:val="20"/>
                <w:lang w:eastAsia="hr-HR"/>
              </w:rPr>
              <w:t>A</w:t>
            </w:r>
            <w:r w:rsidRPr="00334A49">
              <w:rPr>
                <w:bCs/>
                <w:color w:val="000000"/>
                <w:szCs w:val="20"/>
                <w:vertAlign w:val="subscript"/>
              </w:rPr>
              <w:t>k</w:t>
            </w:r>
            <w:r w:rsidRPr="00334A49">
              <w:rPr>
                <w:bCs/>
                <w:color w:val="000000"/>
                <w:szCs w:val="20"/>
                <w:lang w:eastAsia="hr-HR"/>
              </w:rPr>
              <w:t xml:space="preserve"> (m</w:t>
            </w:r>
            <w:r w:rsidRPr="00334A49">
              <w:rPr>
                <w:bCs/>
                <w:color w:val="000000"/>
                <w:szCs w:val="20"/>
                <w:vertAlign w:val="superscript"/>
              </w:rPr>
              <w:t>2</w:t>
            </w:r>
            <w:r w:rsidRPr="00334A49">
              <w:rPr>
                <w:bCs/>
                <w:color w:val="000000"/>
                <w:szCs w:val="20"/>
                <w:lang w:eastAsia="hr-HR"/>
              </w:rPr>
              <w:t>)</w:t>
            </w:r>
          </w:p>
        </w:tc>
        <w:tc>
          <w:tcPr>
            <w:tcW w:w="1660" w:type="dxa"/>
            <w:tcBorders>
              <w:top w:val="nil"/>
              <w:left w:val="nil"/>
              <w:bottom w:val="single" w:sz="8" w:space="0" w:color="auto"/>
              <w:right w:val="single" w:sz="8" w:space="0" w:color="auto"/>
            </w:tcBorders>
            <w:shd w:val="clear" w:color="auto" w:fill="auto"/>
            <w:vAlign w:val="center"/>
            <w:hideMark/>
          </w:tcPr>
          <w:p w14:paraId="60A0800F" w14:textId="77777777" w:rsidR="00DF5B50" w:rsidRDefault="00DF5B50" w:rsidP="009E12C4">
            <w:pPr>
              <w:jc w:val="center"/>
              <w:rPr>
                <w:bCs/>
                <w:color w:val="000000"/>
                <w:szCs w:val="20"/>
                <w:lang w:eastAsia="hr-HR"/>
              </w:rPr>
            </w:pPr>
            <w:r>
              <w:rPr>
                <w:bCs/>
                <w:color w:val="000000"/>
                <w:szCs w:val="20"/>
                <w:lang w:eastAsia="hr-HR"/>
              </w:rPr>
              <w:t>površina</w:t>
            </w:r>
          </w:p>
          <w:p w14:paraId="085DADBF" w14:textId="77777777" w:rsidR="00DF5B50" w:rsidRPr="00334A49" w:rsidRDefault="00DF5B50" w:rsidP="009E12C4">
            <w:pPr>
              <w:jc w:val="center"/>
              <w:rPr>
                <w:bCs/>
                <w:color w:val="000000"/>
                <w:szCs w:val="20"/>
                <w:lang w:eastAsia="hr-HR"/>
              </w:rPr>
            </w:pPr>
            <w:r w:rsidRPr="00334A49">
              <w:rPr>
                <w:bCs/>
                <w:color w:val="000000"/>
                <w:szCs w:val="20"/>
                <w:lang w:eastAsia="hr-HR"/>
              </w:rPr>
              <w:t>A</w:t>
            </w:r>
            <w:r w:rsidRPr="00334A49">
              <w:rPr>
                <w:bCs/>
                <w:color w:val="000000"/>
                <w:szCs w:val="20"/>
                <w:vertAlign w:val="subscript"/>
              </w:rPr>
              <w:t>k</w:t>
            </w:r>
            <w:r w:rsidRPr="00334A49">
              <w:rPr>
                <w:bCs/>
                <w:color w:val="000000"/>
                <w:szCs w:val="20"/>
                <w:lang w:eastAsia="hr-HR"/>
              </w:rPr>
              <w:t xml:space="preserve"> (m</w:t>
            </w:r>
            <w:r w:rsidRPr="00334A49">
              <w:rPr>
                <w:bCs/>
                <w:color w:val="000000"/>
                <w:szCs w:val="20"/>
                <w:vertAlign w:val="superscript"/>
              </w:rPr>
              <w:t>2</w:t>
            </w:r>
            <w:r w:rsidRPr="00334A49">
              <w:rPr>
                <w:bCs/>
                <w:color w:val="000000"/>
                <w:szCs w:val="20"/>
                <w:lang w:eastAsia="hr-HR"/>
              </w:rPr>
              <w:t>)</w:t>
            </w:r>
          </w:p>
        </w:tc>
      </w:tr>
      <w:tr w:rsidR="00DF5B50" w:rsidRPr="004B7F5C" w14:paraId="545F5479" w14:textId="77777777" w:rsidTr="009E12C4">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6ACA7620" w14:textId="77777777" w:rsidR="00DF5B50" w:rsidRPr="00334A49" w:rsidRDefault="00DF5B50" w:rsidP="009E12C4">
            <w:pPr>
              <w:jc w:val="left"/>
              <w:rPr>
                <w:bCs/>
                <w:color w:val="000000"/>
                <w:szCs w:val="20"/>
                <w:lang w:eastAsia="hr-HR"/>
              </w:rPr>
            </w:pPr>
            <w:r w:rsidRPr="00334A49">
              <w:rPr>
                <w:bCs/>
                <w:color w:val="000000"/>
                <w:szCs w:val="20"/>
                <w:lang w:eastAsia="hr-HR"/>
              </w:rPr>
              <w:t>Bolnička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74229166" w14:textId="77777777" w:rsidR="00DF5B50" w:rsidRPr="00334A49" w:rsidRDefault="00DF5B50" w:rsidP="009E12C4">
            <w:pPr>
              <w:jc w:val="right"/>
              <w:rPr>
                <w:bCs/>
                <w:color w:val="000000"/>
                <w:szCs w:val="20"/>
                <w:lang w:eastAsia="hr-HR"/>
              </w:rPr>
            </w:pPr>
            <w:r w:rsidRPr="00334A49">
              <w:rPr>
                <w:bCs/>
                <w:color w:val="000000"/>
                <w:szCs w:val="20"/>
                <w:lang w:eastAsia="hr-HR"/>
              </w:rPr>
              <w:t>125.946,89</w:t>
            </w:r>
          </w:p>
        </w:tc>
        <w:tc>
          <w:tcPr>
            <w:tcW w:w="1660" w:type="dxa"/>
            <w:tcBorders>
              <w:top w:val="nil"/>
              <w:left w:val="nil"/>
              <w:bottom w:val="single" w:sz="4" w:space="0" w:color="auto"/>
              <w:right w:val="single" w:sz="4" w:space="0" w:color="auto"/>
            </w:tcBorders>
            <w:shd w:val="clear" w:color="auto" w:fill="auto"/>
            <w:vAlign w:val="center"/>
            <w:hideMark/>
          </w:tcPr>
          <w:p w14:paraId="6D30E5EC" w14:textId="77777777" w:rsidR="00DF5B50" w:rsidRPr="00334A49" w:rsidRDefault="00DF5B50" w:rsidP="009E12C4">
            <w:pPr>
              <w:jc w:val="right"/>
              <w:rPr>
                <w:bCs/>
                <w:color w:val="000000"/>
                <w:szCs w:val="20"/>
                <w:lang w:eastAsia="hr-HR"/>
              </w:rPr>
            </w:pPr>
            <w:r w:rsidRPr="00334A49">
              <w:rPr>
                <w:bCs/>
                <w:color w:val="000000"/>
                <w:szCs w:val="20"/>
                <w:lang w:eastAsia="hr-HR"/>
              </w:rPr>
              <w:t>340.688,40</w:t>
            </w:r>
          </w:p>
        </w:tc>
        <w:tc>
          <w:tcPr>
            <w:tcW w:w="1660" w:type="dxa"/>
            <w:tcBorders>
              <w:top w:val="nil"/>
              <w:left w:val="nil"/>
              <w:bottom w:val="single" w:sz="4" w:space="0" w:color="auto"/>
              <w:right w:val="single" w:sz="8" w:space="0" w:color="auto"/>
            </w:tcBorders>
            <w:shd w:val="clear" w:color="auto" w:fill="auto"/>
            <w:vAlign w:val="center"/>
            <w:hideMark/>
          </w:tcPr>
          <w:p w14:paraId="07F16FEC" w14:textId="77777777" w:rsidR="00DF5B50" w:rsidRPr="00334A49" w:rsidRDefault="00DF5B50" w:rsidP="009E12C4">
            <w:pPr>
              <w:jc w:val="right"/>
              <w:rPr>
                <w:bCs/>
                <w:color w:val="000000"/>
                <w:szCs w:val="20"/>
                <w:lang w:eastAsia="hr-HR"/>
              </w:rPr>
            </w:pPr>
            <w:r w:rsidRPr="00334A49">
              <w:rPr>
                <w:bCs/>
                <w:color w:val="000000"/>
                <w:szCs w:val="20"/>
                <w:lang w:eastAsia="hr-HR"/>
              </w:rPr>
              <w:t>466.635,29</w:t>
            </w:r>
          </w:p>
        </w:tc>
      </w:tr>
      <w:tr w:rsidR="00DF5B50" w:rsidRPr="004B7F5C" w14:paraId="761480B7" w14:textId="77777777" w:rsidTr="009E12C4">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68389872" w14:textId="77777777" w:rsidR="00DF5B50" w:rsidRPr="00334A49" w:rsidRDefault="00DF5B50" w:rsidP="009E12C4">
            <w:pPr>
              <w:jc w:val="left"/>
              <w:rPr>
                <w:bCs/>
                <w:color w:val="000000"/>
                <w:szCs w:val="20"/>
                <w:lang w:eastAsia="hr-HR"/>
              </w:rPr>
            </w:pPr>
            <w:r w:rsidRPr="00334A49">
              <w:rPr>
                <w:bCs/>
                <w:color w:val="000000"/>
                <w:szCs w:val="20"/>
                <w:lang w:eastAsia="hr-HR"/>
              </w:rPr>
              <w:t>Obrazovna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5E3D3C3B" w14:textId="77777777" w:rsidR="00DF5B50" w:rsidRPr="00334A49" w:rsidRDefault="00DF5B50" w:rsidP="009E12C4">
            <w:pPr>
              <w:jc w:val="right"/>
              <w:rPr>
                <w:bCs/>
                <w:color w:val="000000"/>
                <w:szCs w:val="20"/>
                <w:lang w:eastAsia="hr-HR"/>
              </w:rPr>
            </w:pPr>
            <w:r w:rsidRPr="00334A49">
              <w:rPr>
                <w:bCs/>
                <w:color w:val="000000"/>
                <w:szCs w:val="20"/>
                <w:lang w:eastAsia="hr-HR"/>
              </w:rPr>
              <w:t>111.350,08</w:t>
            </w:r>
          </w:p>
        </w:tc>
        <w:tc>
          <w:tcPr>
            <w:tcW w:w="1660" w:type="dxa"/>
            <w:tcBorders>
              <w:top w:val="nil"/>
              <w:left w:val="nil"/>
              <w:bottom w:val="single" w:sz="4" w:space="0" w:color="auto"/>
              <w:right w:val="single" w:sz="4" w:space="0" w:color="auto"/>
            </w:tcBorders>
            <w:shd w:val="clear" w:color="auto" w:fill="auto"/>
            <w:vAlign w:val="center"/>
            <w:hideMark/>
          </w:tcPr>
          <w:p w14:paraId="6E3C9612" w14:textId="77777777" w:rsidR="00DF5B50" w:rsidRPr="00334A49" w:rsidRDefault="00DF5B50" w:rsidP="009E12C4">
            <w:pPr>
              <w:jc w:val="right"/>
              <w:rPr>
                <w:bCs/>
                <w:color w:val="000000"/>
                <w:szCs w:val="20"/>
                <w:lang w:eastAsia="hr-HR"/>
              </w:rPr>
            </w:pPr>
            <w:r w:rsidRPr="00334A49">
              <w:rPr>
                <w:bCs/>
                <w:color w:val="000000"/>
                <w:szCs w:val="20"/>
                <w:lang w:eastAsia="hr-HR"/>
              </w:rPr>
              <w:t>616.178,78</w:t>
            </w:r>
          </w:p>
        </w:tc>
        <w:tc>
          <w:tcPr>
            <w:tcW w:w="1660" w:type="dxa"/>
            <w:tcBorders>
              <w:top w:val="nil"/>
              <w:left w:val="nil"/>
              <w:bottom w:val="single" w:sz="4" w:space="0" w:color="auto"/>
              <w:right w:val="single" w:sz="8" w:space="0" w:color="auto"/>
            </w:tcBorders>
            <w:shd w:val="clear" w:color="auto" w:fill="auto"/>
            <w:vAlign w:val="center"/>
            <w:hideMark/>
          </w:tcPr>
          <w:p w14:paraId="25562D4C" w14:textId="77777777" w:rsidR="00DF5B50" w:rsidRPr="00334A49" w:rsidRDefault="00DF5B50" w:rsidP="009E12C4">
            <w:pPr>
              <w:jc w:val="right"/>
              <w:rPr>
                <w:bCs/>
                <w:color w:val="000000"/>
                <w:szCs w:val="20"/>
                <w:lang w:eastAsia="hr-HR"/>
              </w:rPr>
            </w:pPr>
            <w:r w:rsidRPr="00334A49">
              <w:rPr>
                <w:bCs/>
                <w:color w:val="000000"/>
                <w:szCs w:val="20"/>
                <w:lang w:eastAsia="hr-HR"/>
              </w:rPr>
              <w:t>727.528,86</w:t>
            </w:r>
          </w:p>
        </w:tc>
      </w:tr>
      <w:tr w:rsidR="00DF5B50" w:rsidRPr="004B7F5C" w14:paraId="3E39E69A" w14:textId="77777777" w:rsidTr="009E12C4">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0B9AF0F5" w14:textId="77777777" w:rsidR="00DF5B50" w:rsidRPr="00334A49" w:rsidRDefault="00DF5B50" w:rsidP="009E12C4">
            <w:pPr>
              <w:jc w:val="left"/>
              <w:rPr>
                <w:bCs/>
                <w:color w:val="000000"/>
                <w:szCs w:val="20"/>
                <w:lang w:eastAsia="hr-HR"/>
              </w:rPr>
            </w:pPr>
            <w:r w:rsidRPr="00334A49">
              <w:rPr>
                <w:bCs/>
                <w:color w:val="000000"/>
                <w:szCs w:val="20"/>
                <w:lang w:eastAsia="hr-HR"/>
              </w:rPr>
              <w:t>Sportska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521A9FE0" w14:textId="77777777" w:rsidR="00DF5B50" w:rsidRPr="00334A49" w:rsidRDefault="00DF5B50" w:rsidP="009E12C4">
            <w:pPr>
              <w:jc w:val="right"/>
              <w:rPr>
                <w:bCs/>
                <w:color w:val="000000"/>
                <w:szCs w:val="20"/>
                <w:lang w:eastAsia="hr-HR"/>
              </w:rPr>
            </w:pPr>
            <w:r w:rsidRPr="00334A49">
              <w:rPr>
                <w:bCs/>
                <w:color w:val="000000"/>
                <w:szCs w:val="20"/>
                <w:lang w:eastAsia="hr-HR"/>
              </w:rPr>
              <w:t>9.153,88</w:t>
            </w:r>
          </w:p>
        </w:tc>
        <w:tc>
          <w:tcPr>
            <w:tcW w:w="1660" w:type="dxa"/>
            <w:tcBorders>
              <w:top w:val="nil"/>
              <w:left w:val="nil"/>
              <w:bottom w:val="single" w:sz="4" w:space="0" w:color="auto"/>
              <w:right w:val="single" w:sz="4" w:space="0" w:color="auto"/>
            </w:tcBorders>
            <w:shd w:val="clear" w:color="auto" w:fill="auto"/>
            <w:vAlign w:val="center"/>
            <w:hideMark/>
          </w:tcPr>
          <w:p w14:paraId="6274290B" w14:textId="77777777" w:rsidR="00DF5B50" w:rsidRPr="00334A49" w:rsidRDefault="00DF5B50" w:rsidP="009E12C4">
            <w:pPr>
              <w:jc w:val="right"/>
              <w:rPr>
                <w:bCs/>
                <w:color w:val="000000"/>
                <w:szCs w:val="20"/>
                <w:lang w:eastAsia="hr-HR"/>
              </w:rPr>
            </w:pPr>
            <w:r w:rsidRPr="00334A49">
              <w:rPr>
                <w:bCs/>
                <w:color w:val="000000"/>
                <w:szCs w:val="20"/>
                <w:lang w:eastAsia="hr-HR"/>
              </w:rPr>
              <w:t>8.394,16</w:t>
            </w:r>
          </w:p>
        </w:tc>
        <w:tc>
          <w:tcPr>
            <w:tcW w:w="1660" w:type="dxa"/>
            <w:tcBorders>
              <w:top w:val="nil"/>
              <w:left w:val="nil"/>
              <w:bottom w:val="single" w:sz="4" w:space="0" w:color="auto"/>
              <w:right w:val="single" w:sz="8" w:space="0" w:color="auto"/>
            </w:tcBorders>
            <w:shd w:val="clear" w:color="auto" w:fill="auto"/>
            <w:vAlign w:val="center"/>
            <w:hideMark/>
          </w:tcPr>
          <w:p w14:paraId="1D576E94" w14:textId="77777777" w:rsidR="00DF5B50" w:rsidRPr="00334A49" w:rsidRDefault="00DF5B50" w:rsidP="009E12C4">
            <w:pPr>
              <w:jc w:val="right"/>
              <w:rPr>
                <w:bCs/>
                <w:color w:val="000000"/>
                <w:szCs w:val="20"/>
                <w:lang w:eastAsia="hr-HR"/>
              </w:rPr>
            </w:pPr>
            <w:r w:rsidRPr="00334A49">
              <w:rPr>
                <w:bCs/>
                <w:color w:val="000000"/>
                <w:szCs w:val="20"/>
                <w:lang w:eastAsia="hr-HR"/>
              </w:rPr>
              <w:t>17.548,04</w:t>
            </w:r>
          </w:p>
        </w:tc>
      </w:tr>
      <w:tr w:rsidR="00DF5B50" w:rsidRPr="004B7F5C" w14:paraId="770160B9" w14:textId="77777777" w:rsidTr="009E12C4">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4E507CAF" w14:textId="77777777" w:rsidR="00DF5B50" w:rsidRPr="00334A49" w:rsidRDefault="00DF5B50" w:rsidP="009E12C4">
            <w:pPr>
              <w:jc w:val="left"/>
              <w:rPr>
                <w:bCs/>
                <w:color w:val="000000"/>
                <w:szCs w:val="20"/>
                <w:lang w:eastAsia="hr-HR"/>
              </w:rPr>
            </w:pPr>
            <w:r w:rsidRPr="00334A49">
              <w:rPr>
                <w:bCs/>
                <w:color w:val="000000"/>
                <w:szCs w:val="20"/>
                <w:lang w:eastAsia="hr-HR"/>
              </w:rPr>
              <w:t>Uredska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00CC1E25" w14:textId="77777777" w:rsidR="00DF5B50" w:rsidRPr="00334A49" w:rsidRDefault="00DF5B50" w:rsidP="009E12C4">
            <w:pPr>
              <w:jc w:val="right"/>
              <w:rPr>
                <w:bCs/>
                <w:color w:val="000000"/>
                <w:szCs w:val="20"/>
                <w:lang w:eastAsia="hr-HR"/>
              </w:rPr>
            </w:pPr>
            <w:r w:rsidRPr="00334A49">
              <w:rPr>
                <w:bCs/>
                <w:color w:val="000000"/>
                <w:szCs w:val="20"/>
                <w:lang w:eastAsia="hr-HR"/>
              </w:rPr>
              <w:t>181.951,52</w:t>
            </w:r>
          </w:p>
        </w:tc>
        <w:tc>
          <w:tcPr>
            <w:tcW w:w="1660" w:type="dxa"/>
            <w:tcBorders>
              <w:top w:val="nil"/>
              <w:left w:val="nil"/>
              <w:bottom w:val="single" w:sz="4" w:space="0" w:color="auto"/>
              <w:right w:val="single" w:sz="4" w:space="0" w:color="auto"/>
            </w:tcBorders>
            <w:shd w:val="clear" w:color="auto" w:fill="auto"/>
            <w:vAlign w:val="center"/>
            <w:hideMark/>
          </w:tcPr>
          <w:p w14:paraId="31AD1961" w14:textId="77777777" w:rsidR="00DF5B50" w:rsidRPr="00334A49" w:rsidRDefault="00DF5B50" w:rsidP="009E12C4">
            <w:pPr>
              <w:jc w:val="right"/>
              <w:rPr>
                <w:bCs/>
                <w:color w:val="000000"/>
                <w:szCs w:val="20"/>
                <w:lang w:eastAsia="hr-HR"/>
              </w:rPr>
            </w:pPr>
            <w:r w:rsidRPr="00334A49">
              <w:rPr>
                <w:bCs/>
                <w:color w:val="000000"/>
                <w:szCs w:val="20"/>
                <w:lang w:eastAsia="hr-HR"/>
              </w:rPr>
              <w:t>615.912,99</w:t>
            </w:r>
          </w:p>
        </w:tc>
        <w:tc>
          <w:tcPr>
            <w:tcW w:w="1660" w:type="dxa"/>
            <w:tcBorders>
              <w:top w:val="nil"/>
              <w:left w:val="nil"/>
              <w:bottom w:val="single" w:sz="4" w:space="0" w:color="auto"/>
              <w:right w:val="single" w:sz="8" w:space="0" w:color="auto"/>
            </w:tcBorders>
            <w:shd w:val="clear" w:color="auto" w:fill="auto"/>
            <w:vAlign w:val="center"/>
            <w:hideMark/>
          </w:tcPr>
          <w:p w14:paraId="58B370F6" w14:textId="77777777" w:rsidR="00DF5B50" w:rsidRPr="00334A49" w:rsidRDefault="00DF5B50" w:rsidP="009E12C4">
            <w:pPr>
              <w:jc w:val="right"/>
              <w:rPr>
                <w:bCs/>
                <w:color w:val="000000"/>
                <w:szCs w:val="20"/>
                <w:lang w:eastAsia="hr-HR"/>
              </w:rPr>
            </w:pPr>
            <w:r w:rsidRPr="00334A49">
              <w:rPr>
                <w:bCs/>
                <w:color w:val="000000"/>
                <w:szCs w:val="20"/>
                <w:lang w:eastAsia="hr-HR"/>
              </w:rPr>
              <w:t>797.864,51</w:t>
            </w:r>
          </w:p>
        </w:tc>
      </w:tr>
      <w:tr w:rsidR="00DF5B50" w:rsidRPr="004B7F5C" w14:paraId="3FD4DDC1" w14:textId="77777777" w:rsidTr="009E12C4">
        <w:trPr>
          <w:trHeight w:val="585"/>
          <w:jc w:val="center"/>
        </w:trPr>
        <w:tc>
          <w:tcPr>
            <w:tcW w:w="2500" w:type="dxa"/>
            <w:tcBorders>
              <w:top w:val="nil"/>
              <w:left w:val="single" w:sz="8" w:space="0" w:color="auto"/>
              <w:bottom w:val="single" w:sz="4" w:space="0" w:color="auto"/>
              <w:right w:val="nil"/>
            </w:tcBorders>
            <w:shd w:val="clear" w:color="auto" w:fill="auto"/>
            <w:vAlign w:val="center"/>
            <w:hideMark/>
          </w:tcPr>
          <w:p w14:paraId="0AE88927" w14:textId="77777777" w:rsidR="00DF5B50" w:rsidRPr="00334A49" w:rsidRDefault="00DF5B50" w:rsidP="009E12C4">
            <w:pPr>
              <w:jc w:val="left"/>
              <w:rPr>
                <w:bCs/>
                <w:color w:val="000000"/>
                <w:szCs w:val="20"/>
                <w:lang w:eastAsia="hr-HR"/>
              </w:rPr>
            </w:pPr>
            <w:r w:rsidRPr="00334A49">
              <w:rPr>
                <w:bCs/>
                <w:color w:val="000000"/>
                <w:szCs w:val="20"/>
                <w:lang w:eastAsia="hr-HR"/>
              </w:rPr>
              <w:t>Zgrade za boravak zajednica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15E25F08" w14:textId="77777777" w:rsidR="00DF5B50" w:rsidRPr="00334A49" w:rsidRDefault="00DF5B50" w:rsidP="009E12C4">
            <w:pPr>
              <w:jc w:val="right"/>
              <w:rPr>
                <w:bCs/>
                <w:color w:val="000000"/>
                <w:szCs w:val="20"/>
                <w:lang w:eastAsia="hr-HR"/>
              </w:rPr>
            </w:pPr>
            <w:r w:rsidRPr="00334A49">
              <w:rPr>
                <w:bCs/>
                <w:color w:val="000000"/>
                <w:szCs w:val="20"/>
                <w:lang w:eastAsia="hr-HR"/>
              </w:rPr>
              <w:t>39.310,19</w:t>
            </w:r>
          </w:p>
        </w:tc>
        <w:tc>
          <w:tcPr>
            <w:tcW w:w="1660" w:type="dxa"/>
            <w:tcBorders>
              <w:top w:val="nil"/>
              <w:left w:val="nil"/>
              <w:bottom w:val="single" w:sz="4" w:space="0" w:color="auto"/>
              <w:right w:val="single" w:sz="4" w:space="0" w:color="auto"/>
            </w:tcBorders>
            <w:shd w:val="clear" w:color="auto" w:fill="auto"/>
            <w:vAlign w:val="center"/>
            <w:hideMark/>
          </w:tcPr>
          <w:p w14:paraId="286482C9" w14:textId="77777777" w:rsidR="00DF5B50" w:rsidRPr="00334A49" w:rsidRDefault="00DF5B50" w:rsidP="009E12C4">
            <w:pPr>
              <w:jc w:val="right"/>
              <w:rPr>
                <w:bCs/>
                <w:color w:val="000000"/>
                <w:szCs w:val="20"/>
                <w:lang w:eastAsia="hr-HR"/>
              </w:rPr>
            </w:pPr>
            <w:r w:rsidRPr="00334A49">
              <w:rPr>
                <w:bCs/>
                <w:color w:val="000000"/>
                <w:szCs w:val="20"/>
                <w:lang w:eastAsia="hr-HR"/>
              </w:rPr>
              <w:t>110.260,93</w:t>
            </w:r>
          </w:p>
        </w:tc>
        <w:tc>
          <w:tcPr>
            <w:tcW w:w="1660" w:type="dxa"/>
            <w:tcBorders>
              <w:top w:val="nil"/>
              <w:left w:val="nil"/>
              <w:bottom w:val="single" w:sz="4" w:space="0" w:color="auto"/>
              <w:right w:val="single" w:sz="8" w:space="0" w:color="auto"/>
            </w:tcBorders>
            <w:shd w:val="clear" w:color="auto" w:fill="auto"/>
            <w:vAlign w:val="center"/>
            <w:hideMark/>
          </w:tcPr>
          <w:p w14:paraId="32FA1A6F" w14:textId="77777777" w:rsidR="00DF5B50" w:rsidRPr="00334A49" w:rsidRDefault="00DF5B50" w:rsidP="009E12C4">
            <w:pPr>
              <w:jc w:val="right"/>
              <w:rPr>
                <w:bCs/>
                <w:color w:val="000000"/>
                <w:szCs w:val="20"/>
                <w:lang w:eastAsia="hr-HR"/>
              </w:rPr>
            </w:pPr>
            <w:r w:rsidRPr="00334A49">
              <w:rPr>
                <w:bCs/>
                <w:color w:val="000000"/>
                <w:szCs w:val="20"/>
                <w:lang w:eastAsia="hr-HR"/>
              </w:rPr>
              <w:t>149.571,13</w:t>
            </w:r>
          </w:p>
        </w:tc>
      </w:tr>
      <w:tr w:rsidR="00DF5B50" w:rsidRPr="004B7F5C" w14:paraId="6F740D60" w14:textId="77777777" w:rsidTr="009E12C4">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644C0F40" w14:textId="77777777" w:rsidR="00DF5B50" w:rsidRPr="00334A49" w:rsidRDefault="00DF5B50" w:rsidP="009E12C4">
            <w:pPr>
              <w:jc w:val="left"/>
              <w:rPr>
                <w:bCs/>
                <w:color w:val="000000"/>
                <w:szCs w:val="20"/>
                <w:lang w:eastAsia="hr-HR"/>
              </w:rPr>
            </w:pPr>
            <w:r w:rsidRPr="00334A49">
              <w:rPr>
                <w:bCs/>
                <w:color w:val="000000"/>
                <w:szCs w:val="20"/>
                <w:lang w:eastAsia="hr-HR"/>
              </w:rPr>
              <w:t>Ostale</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54F1F7CB" w14:textId="77777777" w:rsidR="00DF5B50" w:rsidRPr="00334A49" w:rsidRDefault="00DF5B50" w:rsidP="009E12C4">
            <w:pPr>
              <w:jc w:val="right"/>
              <w:rPr>
                <w:bCs/>
                <w:color w:val="000000"/>
                <w:szCs w:val="20"/>
                <w:lang w:eastAsia="hr-HR"/>
              </w:rPr>
            </w:pPr>
            <w:r w:rsidRPr="00334A49">
              <w:rPr>
                <w:bCs/>
                <w:color w:val="000000"/>
                <w:szCs w:val="20"/>
                <w:lang w:eastAsia="hr-HR"/>
              </w:rPr>
              <w:t>45.272,13</w:t>
            </w:r>
          </w:p>
        </w:tc>
        <w:tc>
          <w:tcPr>
            <w:tcW w:w="1660" w:type="dxa"/>
            <w:tcBorders>
              <w:top w:val="nil"/>
              <w:left w:val="nil"/>
              <w:bottom w:val="single" w:sz="8" w:space="0" w:color="auto"/>
              <w:right w:val="single" w:sz="4" w:space="0" w:color="auto"/>
            </w:tcBorders>
            <w:shd w:val="clear" w:color="auto" w:fill="auto"/>
            <w:vAlign w:val="center"/>
            <w:hideMark/>
          </w:tcPr>
          <w:p w14:paraId="61BC1603" w14:textId="77777777" w:rsidR="00DF5B50" w:rsidRPr="00334A49" w:rsidRDefault="00DF5B50" w:rsidP="009E12C4">
            <w:pPr>
              <w:jc w:val="right"/>
              <w:rPr>
                <w:bCs/>
                <w:color w:val="000000"/>
                <w:szCs w:val="20"/>
                <w:lang w:eastAsia="hr-HR"/>
              </w:rPr>
            </w:pPr>
            <w:r w:rsidRPr="00334A49">
              <w:rPr>
                <w:bCs/>
                <w:color w:val="000000"/>
                <w:szCs w:val="20"/>
                <w:lang w:eastAsia="hr-HR"/>
              </w:rPr>
              <w:t>97.737,46</w:t>
            </w:r>
          </w:p>
        </w:tc>
        <w:tc>
          <w:tcPr>
            <w:tcW w:w="1660" w:type="dxa"/>
            <w:tcBorders>
              <w:top w:val="nil"/>
              <w:left w:val="nil"/>
              <w:bottom w:val="single" w:sz="8" w:space="0" w:color="auto"/>
              <w:right w:val="single" w:sz="8" w:space="0" w:color="auto"/>
            </w:tcBorders>
            <w:shd w:val="clear" w:color="auto" w:fill="auto"/>
            <w:vAlign w:val="center"/>
            <w:hideMark/>
          </w:tcPr>
          <w:p w14:paraId="07A5672E" w14:textId="77777777" w:rsidR="00DF5B50" w:rsidRPr="00334A49" w:rsidRDefault="00DF5B50" w:rsidP="009E12C4">
            <w:pPr>
              <w:jc w:val="right"/>
              <w:rPr>
                <w:bCs/>
                <w:color w:val="000000"/>
                <w:szCs w:val="20"/>
                <w:lang w:eastAsia="hr-HR"/>
              </w:rPr>
            </w:pPr>
            <w:r w:rsidRPr="00334A49">
              <w:rPr>
                <w:bCs/>
                <w:color w:val="000000"/>
                <w:szCs w:val="20"/>
                <w:lang w:eastAsia="hr-HR"/>
              </w:rPr>
              <w:t>143.009,59</w:t>
            </w:r>
          </w:p>
        </w:tc>
      </w:tr>
      <w:tr w:rsidR="00DF5B50" w:rsidRPr="004B7F5C" w14:paraId="15A65420" w14:textId="77777777" w:rsidTr="009E12C4">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52320885" w14:textId="77777777" w:rsidR="00DF5B50" w:rsidRPr="00334A49" w:rsidRDefault="00DF5B50" w:rsidP="009E12C4">
            <w:pPr>
              <w:jc w:val="left"/>
              <w:rPr>
                <w:bCs/>
                <w:color w:val="000000"/>
                <w:szCs w:val="20"/>
                <w:lang w:eastAsia="hr-HR"/>
              </w:rPr>
            </w:pPr>
            <w:r w:rsidRPr="00334A49">
              <w:rPr>
                <w:bCs/>
                <w:color w:val="000000"/>
                <w:szCs w:val="20"/>
                <w:lang w:eastAsia="hr-HR"/>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647DBED7" w14:textId="77777777" w:rsidR="00DF5B50" w:rsidRPr="00334A49" w:rsidRDefault="00DF5B50" w:rsidP="009E12C4">
            <w:pPr>
              <w:jc w:val="right"/>
              <w:rPr>
                <w:bCs/>
                <w:color w:val="000000"/>
                <w:szCs w:val="20"/>
                <w:lang w:eastAsia="hr-HR"/>
              </w:rPr>
            </w:pPr>
            <w:r w:rsidRPr="00334A49">
              <w:rPr>
                <w:bCs/>
                <w:color w:val="000000"/>
                <w:szCs w:val="20"/>
                <w:lang w:eastAsia="hr-HR"/>
              </w:rPr>
              <w:t>512.984,69</w:t>
            </w:r>
          </w:p>
        </w:tc>
        <w:tc>
          <w:tcPr>
            <w:tcW w:w="1660" w:type="dxa"/>
            <w:tcBorders>
              <w:top w:val="nil"/>
              <w:left w:val="nil"/>
              <w:bottom w:val="single" w:sz="8" w:space="0" w:color="auto"/>
              <w:right w:val="single" w:sz="4" w:space="0" w:color="auto"/>
            </w:tcBorders>
            <w:shd w:val="clear" w:color="auto" w:fill="auto"/>
            <w:vAlign w:val="center"/>
            <w:hideMark/>
          </w:tcPr>
          <w:p w14:paraId="470F26DB" w14:textId="77777777" w:rsidR="00DF5B50" w:rsidRPr="00334A49" w:rsidRDefault="00DF5B50" w:rsidP="009E12C4">
            <w:pPr>
              <w:jc w:val="right"/>
              <w:rPr>
                <w:bCs/>
                <w:color w:val="000000"/>
                <w:szCs w:val="20"/>
                <w:lang w:eastAsia="hr-HR"/>
              </w:rPr>
            </w:pPr>
            <w:r w:rsidRPr="00334A49">
              <w:rPr>
                <w:bCs/>
                <w:color w:val="000000"/>
                <w:szCs w:val="20"/>
                <w:lang w:eastAsia="hr-HR"/>
              </w:rPr>
              <w:t>1.789.172,73</w:t>
            </w:r>
          </w:p>
        </w:tc>
        <w:tc>
          <w:tcPr>
            <w:tcW w:w="1660" w:type="dxa"/>
            <w:tcBorders>
              <w:top w:val="nil"/>
              <w:left w:val="nil"/>
              <w:bottom w:val="single" w:sz="8" w:space="0" w:color="auto"/>
              <w:right w:val="single" w:sz="8" w:space="0" w:color="auto"/>
            </w:tcBorders>
            <w:shd w:val="clear" w:color="auto" w:fill="auto"/>
            <w:vAlign w:val="center"/>
            <w:hideMark/>
          </w:tcPr>
          <w:p w14:paraId="2B5276DA" w14:textId="77777777" w:rsidR="00DF5B50" w:rsidRPr="00334A49" w:rsidRDefault="00DF5B50" w:rsidP="009E12C4">
            <w:pPr>
              <w:jc w:val="right"/>
              <w:rPr>
                <w:bCs/>
                <w:color w:val="000000"/>
                <w:szCs w:val="20"/>
                <w:lang w:eastAsia="hr-HR"/>
              </w:rPr>
            </w:pPr>
            <w:r w:rsidRPr="00334A49">
              <w:rPr>
                <w:bCs/>
                <w:color w:val="000000"/>
                <w:szCs w:val="20"/>
                <w:lang w:eastAsia="hr-HR"/>
              </w:rPr>
              <w:t>2.302.157,42</w:t>
            </w:r>
          </w:p>
        </w:tc>
      </w:tr>
    </w:tbl>
    <w:p w14:paraId="28F61BAE" w14:textId="77777777" w:rsidR="005033EA" w:rsidRPr="006202B5" w:rsidRDefault="005033EA" w:rsidP="005E546A"/>
    <w:p w14:paraId="0490A3B4" w14:textId="77777777" w:rsidR="000768F1" w:rsidRPr="00E806C8" w:rsidRDefault="003E19BE" w:rsidP="008C7825">
      <w:r>
        <w:t xml:space="preserve">Procjena u okviru programa </w:t>
      </w:r>
      <w:r w:rsidR="009031CF">
        <w:t xml:space="preserve">za zgrade ostalih namjena, koje nisu obuhvaćene </w:t>
      </w:r>
      <w:r w:rsidR="009031CF" w:rsidRPr="009031CF">
        <w:t>Informacijsk</w:t>
      </w:r>
      <w:r w:rsidR="009031CF">
        <w:t>im</w:t>
      </w:r>
      <w:r w:rsidR="009031CF" w:rsidRPr="009031CF">
        <w:t xml:space="preserve"> sustav</w:t>
      </w:r>
      <w:r w:rsidR="009031CF">
        <w:t>om</w:t>
      </w:r>
      <w:r w:rsidR="009031CF" w:rsidRPr="009031CF">
        <w:t xml:space="preserve"> za gospodarenje energijom</w:t>
      </w:r>
      <w:r w:rsidR="000626C2">
        <w:t xml:space="preserve"> iznosi </w:t>
      </w:r>
      <w:r w:rsidR="00C8723D">
        <w:t xml:space="preserve">9.247.086 m² višestambenih zgrada te </w:t>
      </w:r>
      <w:r w:rsidR="00C000AC">
        <w:t xml:space="preserve">14.468.001 m² obiteljskih kuća. </w:t>
      </w:r>
    </w:p>
    <w:p w14:paraId="3BE4DA6D" w14:textId="77777777" w:rsidR="00255FF1" w:rsidRDefault="00255FF1" w:rsidP="007649C2">
      <w:pPr>
        <w:pStyle w:val="Naslov20"/>
      </w:pPr>
      <w:bookmarkStart w:id="76" w:name="_Toc34052867"/>
      <w:bookmarkStart w:id="77" w:name="_Toc46163811"/>
      <w:r>
        <w:t>Z</w:t>
      </w:r>
      <w:r w:rsidRPr="00255FF1">
        <w:t>grade u vlasništvu i korištenju oružanih snaga RH</w:t>
      </w:r>
      <w:bookmarkEnd w:id="76"/>
      <w:bookmarkEnd w:id="77"/>
    </w:p>
    <w:p w14:paraId="559C5D9D" w14:textId="77777777" w:rsidR="00000EF6" w:rsidRDefault="00000EF6" w:rsidP="00000EF6">
      <w:r>
        <w:t xml:space="preserve">Dugoročni plan razvoja oružanih snaga RH za razdoblje od 2015. do 2024. godine razdvaja ciljano preseljenje postrojbi Oružanih snaga na predviđene lokacije i napuštanje neperspektivnih lokacija na dvije faze kroz desetogodišnje razdoblje – prva faza do kraja 2019. godine, te druga faza 2020. do 2024. godine. </w:t>
      </w:r>
    </w:p>
    <w:p w14:paraId="6AC03DF4" w14:textId="77777777" w:rsidR="00000EF6" w:rsidRDefault="00000EF6" w:rsidP="00000EF6">
      <w:r>
        <w:t>Nekretnine koje su namijenjene za potrebe obrane u vlasništvu su Republike Hrvatske, a dane su na korištenje i upravljanje Ministarstvu obrane. Svrstavaju se u sljedeće kategorije:</w:t>
      </w:r>
    </w:p>
    <w:p w14:paraId="6C15A563" w14:textId="77777777" w:rsidR="00000EF6" w:rsidRDefault="00000EF6" w:rsidP="00000EF6">
      <w:r>
        <w:t>- perspektivne nekretnine (nekretnine građene za vojnu namjenu koje koristi</w:t>
      </w:r>
      <w:r w:rsidR="00467F85">
        <w:t xml:space="preserve"> </w:t>
      </w:r>
      <w:r>
        <w:t>Ministarstvo obrane)</w:t>
      </w:r>
    </w:p>
    <w:p w14:paraId="1576A873" w14:textId="77777777" w:rsidR="00000EF6" w:rsidRDefault="00000EF6" w:rsidP="00000EF6">
      <w:r>
        <w:t>- privremeno perspektivne nekretnine (nekretnine građene za vojnu namjenu koje</w:t>
      </w:r>
      <w:r w:rsidR="00467F85">
        <w:t xml:space="preserve"> </w:t>
      </w:r>
      <w:r>
        <w:t>koristi Ministarstvo obrane, a u postupku su napuštanja)</w:t>
      </w:r>
      <w:r w:rsidR="00467F85">
        <w:t xml:space="preserve"> </w:t>
      </w:r>
    </w:p>
    <w:p w14:paraId="04290365" w14:textId="77777777" w:rsidR="00000EF6" w:rsidRDefault="00000EF6" w:rsidP="00000EF6">
      <w:r>
        <w:t>- neperspektivne nekretnine (nekretnine građene za vojnu namjenu koje ne koristi</w:t>
      </w:r>
      <w:r w:rsidR="00467F85">
        <w:t xml:space="preserve"> </w:t>
      </w:r>
      <w:r>
        <w:t>Ministarstvo obrane).</w:t>
      </w:r>
    </w:p>
    <w:p w14:paraId="3473F556" w14:textId="77777777" w:rsidR="00000EF6" w:rsidRDefault="00000EF6" w:rsidP="00000EF6">
      <w:r>
        <w:t>Racionalizacijom korištenja vojnih nekretnina Ministarstvo obrane koristit će samo perspektivne</w:t>
      </w:r>
      <w:r w:rsidR="00467F85">
        <w:t xml:space="preserve"> </w:t>
      </w:r>
      <w:r>
        <w:t>nekretnine, a sve neperspektivne te privremeno perspektivne nekretnine (nakon iseljenja) predat</w:t>
      </w:r>
      <w:r w:rsidR="00467F85">
        <w:t xml:space="preserve"> </w:t>
      </w:r>
      <w:r>
        <w:t>će se na upravljanje Državnom uredu za upravljanje državnom imovinom.</w:t>
      </w:r>
    </w:p>
    <w:p w14:paraId="5F97AE32" w14:textId="77777777" w:rsidR="00467F85" w:rsidRDefault="00467F85" w:rsidP="00467F85">
      <w:r>
        <w:t xml:space="preserve">Radi povećanja učinkovitosti, na perspektivnim lokacijama, u prvom redu poligonima i vojarnama, okrupnjavat će se smještajni, obučni i logistički kapaciteti. Racionalizirat će se ukupan broj i ubrzati napuštanje i predaja neperspektivnih nekretnina radi smanjivanja troškova za njihovo osiguranje i održavanje. Planom je iskazana namjera da se kontinuirano podižu standardi rada, smještaja i obuke na perspektivnim lokacijama te usklađuje stanje objekata u skladu sa zahtjevima određenim propisima iz područja prostornog uređenja, građenja, zaštite od požara, zaštite na radu, zaštite okoliša i tehničke zaštite. </w:t>
      </w:r>
    </w:p>
    <w:p w14:paraId="590298B7" w14:textId="77777777" w:rsidR="00467F85" w:rsidRDefault="00467F85">
      <w:r>
        <w:t>Planira se istražiti i razviti koncept izgradnje smještajnih, logističkih i drugih objekata u obliku montažnih i modularnih građevina i sustava brze gradnje, uz primjenu postupaka za postizanje energetske učinkovitosti i gospodarenja otpadom. Na vojnim poligonima i drugim vojnim lokacijama na kojima postoje resursi i mogućnosti pripreme biomase, projektirat će se i izgraditi energetska postrojenja na biomasu.</w:t>
      </w:r>
    </w:p>
    <w:p w14:paraId="53A99B8A" w14:textId="3D3F41F3" w:rsidR="00467F85" w:rsidRDefault="004A76C4" w:rsidP="00467F85">
      <w:r>
        <w:t>U prvom redu prioriteta nalazi se sedam lokacija, na ko</w:t>
      </w:r>
      <w:r w:rsidR="000D222F">
        <w:t>ji</w:t>
      </w:r>
      <w:r>
        <w:t>ma je pr</w:t>
      </w:r>
      <w:r w:rsidR="000D222F">
        <w:t xml:space="preserve">edviđena rekonstrukcija i povećanje energetske učinkovitosti postojećih kapaciteta te izgradnja nastavnih, administrativnih, smještajnih i tehničkih kapaciteta. U drugom redu prioriteta je još petnaest lokacija koje uz rekonstrukcije, dogradnje i novu gradnju uključuju i primjenu obnovljivih izvora energije. </w:t>
      </w:r>
    </w:p>
    <w:p w14:paraId="019C5951" w14:textId="77777777" w:rsidR="00827B0A" w:rsidRDefault="00827B0A" w:rsidP="00827B0A">
      <w:bookmarkStart w:id="78" w:name="_Toc34052868"/>
      <w:r>
        <w:br w:type="page"/>
      </w:r>
    </w:p>
    <w:p w14:paraId="5F04F247" w14:textId="364EA1A7" w:rsidR="00F601D7" w:rsidRDefault="00BD5976" w:rsidP="008129E7">
      <w:pPr>
        <w:pStyle w:val="Naslov10"/>
      </w:pPr>
      <w:bookmarkStart w:id="79" w:name="_Toc46163812"/>
      <w:r>
        <w:t>A</w:t>
      </w:r>
      <w:r w:rsidR="00A829B7">
        <w:t xml:space="preserve">naliza ključnih </w:t>
      </w:r>
      <w:r w:rsidR="00BC11B5">
        <w:t xml:space="preserve">elemenata </w:t>
      </w:r>
      <w:r w:rsidR="000F27B5">
        <w:t>programa obnove zgrada</w:t>
      </w:r>
      <w:bookmarkEnd w:id="78"/>
      <w:bookmarkEnd w:id="79"/>
    </w:p>
    <w:p w14:paraId="03E45A13" w14:textId="399356DA" w:rsidR="00B9513C" w:rsidRDefault="00155EA9" w:rsidP="00B9513C">
      <w:r>
        <w:t>Program</w:t>
      </w:r>
      <w:r w:rsidR="00020B08">
        <w:t>i</w:t>
      </w:r>
      <w:r>
        <w:t xml:space="preserve"> energetske obnove u dosadašnjem razdoblju </w:t>
      </w:r>
      <w:r w:rsidR="00020B08">
        <w:t xml:space="preserve">obuhvatili su sve namjene zgrada, privatne, javne i komercijalne korisnike </w:t>
      </w:r>
      <w:r w:rsidR="009A7680">
        <w:t>te</w:t>
      </w:r>
      <w:r w:rsidR="00020B08">
        <w:t xml:space="preserve"> zgrade najlošijih energetskih svojstava na </w:t>
      </w:r>
      <w:r w:rsidR="006D39EB">
        <w:t xml:space="preserve">potpomognutim područjima i područjima od posebne državne skrbi. </w:t>
      </w:r>
      <w:r w:rsidR="00B9513C">
        <w:t>Svi programi obnove temelje se na financijskoj potpori vlasnicima zgrada bilo k</w:t>
      </w:r>
      <w:r w:rsidR="00496406">
        <w:t>ro</w:t>
      </w:r>
      <w:r w:rsidR="00B9513C">
        <w:t>z dodjelu bespovratnih sredstava bilo kroz druge modele financiranja, kao što je ugovaranje prema energets</w:t>
      </w:r>
      <w:r w:rsidR="00C66D52">
        <w:t>k</w:t>
      </w:r>
      <w:r w:rsidR="00B9513C">
        <w:t xml:space="preserve">om učinku. </w:t>
      </w:r>
    </w:p>
    <w:p w14:paraId="439017E5" w14:textId="77777777" w:rsidR="00A25B4E" w:rsidRDefault="00A25B4E" w:rsidP="00DC33B0">
      <w:r w:rsidRPr="00A25B4E">
        <w:t xml:space="preserve">Ključni elementi </w:t>
      </w:r>
      <w:r w:rsidR="00775FD2">
        <w:t xml:space="preserve">svih </w:t>
      </w:r>
      <w:r w:rsidRPr="00A25B4E">
        <w:t xml:space="preserve">programa obnove zgrada </w:t>
      </w:r>
      <w:r w:rsidR="00775FD2">
        <w:t xml:space="preserve">uključuju: </w:t>
      </w:r>
    </w:p>
    <w:p w14:paraId="09F186B5" w14:textId="77777777" w:rsidR="00C63694" w:rsidRPr="00C63694" w:rsidRDefault="00775FD2" w:rsidP="00DC33B0">
      <w:pPr>
        <w:rPr>
          <w:lang w:eastAsia="hr-HR"/>
        </w:rPr>
      </w:pPr>
      <w:r>
        <w:rPr>
          <w:lang w:eastAsia="hr-HR"/>
        </w:rPr>
        <w:t>-</w:t>
      </w:r>
      <w:r w:rsidR="00C63694" w:rsidRPr="00C63694">
        <w:rPr>
          <w:lang w:eastAsia="hr-HR"/>
        </w:rPr>
        <w:t xml:space="preserve"> uvjet</w:t>
      </w:r>
      <w:r>
        <w:rPr>
          <w:lang w:eastAsia="hr-HR"/>
        </w:rPr>
        <w:t>e za</w:t>
      </w:r>
      <w:r w:rsidR="00C63694" w:rsidRPr="00C63694">
        <w:rPr>
          <w:lang w:eastAsia="hr-HR"/>
        </w:rPr>
        <w:t xml:space="preserve"> prihvatljivost prijavitelja</w:t>
      </w:r>
    </w:p>
    <w:p w14:paraId="11C9916B" w14:textId="77777777" w:rsidR="00C63694" w:rsidRPr="00C63694" w:rsidRDefault="00775FD2" w:rsidP="00DC33B0">
      <w:pPr>
        <w:rPr>
          <w:lang w:eastAsia="hr-HR"/>
        </w:rPr>
      </w:pPr>
      <w:r>
        <w:rPr>
          <w:lang w:eastAsia="hr-HR"/>
        </w:rPr>
        <w:t>-</w:t>
      </w:r>
      <w:r w:rsidR="00C63694" w:rsidRPr="00C63694">
        <w:rPr>
          <w:lang w:eastAsia="hr-HR"/>
        </w:rPr>
        <w:t xml:space="preserve"> popis prihvatljivih aktivnosti</w:t>
      </w:r>
    </w:p>
    <w:p w14:paraId="7CDC6A2B" w14:textId="77777777" w:rsidR="00C63694" w:rsidRPr="00C63694" w:rsidRDefault="00775FD2" w:rsidP="00DC33B0">
      <w:pPr>
        <w:rPr>
          <w:lang w:eastAsia="hr-HR"/>
        </w:rPr>
      </w:pPr>
      <w:r>
        <w:rPr>
          <w:lang w:eastAsia="hr-HR"/>
        </w:rPr>
        <w:t>-</w:t>
      </w:r>
      <w:r w:rsidR="00C63694" w:rsidRPr="00C63694">
        <w:rPr>
          <w:lang w:eastAsia="hr-HR"/>
        </w:rPr>
        <w:t xml:space="preserve"> ukupni iznos bespovratnih sredstava koja se mogu dodijeliti </w:t>
      </w:r>
    </w:p>
    <w:p w14:paraId="2EE1EB95" w14:textId="77777777" w:rsidR="00C63694" w:rsidRPr="00C63694" w:rsidRDefault="00775FD2" w:rsidP="00DC33B0">
      <w:pPr>
        <w:rPr>
          <w:lang w:eastAsia="hr-HR"/>
        </w:rPr>
      </w:pPr>
      <w:r>
        <w:rPr>
          <w:lang w:eastAsia="hr-HR"/>
        </w:rPr>
        <w:t xml:space="preserve">- </w:t>
      </w:r>
      <w:r w:rsidR="00C63694" w:rsidRPr="00C63694">
        <w:rPr>
          <w:lang w:eastAsia="hr-HR"/>
        </w:rPr>
        <w:t xml:space="preserve">najniži i najviši iznos bespovratnih sredstava koja se mogu dodijeliti </w:t>
      </w:r>
    </w:p>
    <w:p w14:paraId="2C1785A0" w14:textId="77777777" w:rsidR="00C63694" w:rsidRPr="00C63694" w:rsidRDefault="00775FD2" w:rsidP="00DC33B0">
      <w:pPr>
        <w:rPr>
          <w:lang w:eastAsia="hr-HR"/>
        </w:rPr>
      </w:pPr>
      <w:r>
        <w:rPr>
          <w:lang w:eastAsia="hr-HR"/>
        </w:rPr>
        <w:t>-</w:t>
      </w:r>
      <w:r w:rsidR="00C63694" w:rsidRPr="00C63694">
        <w:rPr>
          <w:lang w:eastAsia="hr-HR"/>
        </w:rPr>
        <w:t xml:space="preserve"> udio prijavitelja u sufinanciranju</w:t>
      </w:r>
    </w:p>
    <w:p w14:paraId="1D6E2471" w14:textId="77777777" w:rsidR="00C63694" w:rsidRPr="00C63694" w:rsidRDefault="00775FD2" w:rsidP="00DC33B0">
      <w:pPr>
        <w:rPr>
          <w:lang w:eastAsia="hr-HR"/>
        </w:rPr>
      </w:pPr>
      <w:r>
        <w:rPr>
          <w:lang w:eastAsia="hr-HR"/>
        </w:rPr>
        <w:t>-</w:t>
      </w:r>
      <w:r w:rsidR="00C63694" w:rsidRPr="00C63694">
        <w:rPr>
          <w:lang w:eastAsia="hr-HR"/>
        </w:rPr>
        <w:t xml:space="preserve"> prihvatljiva lokacija projekta</w:t>
      </w:r>
    </w:p>
    <w:p w14:paraId="2578CA4F" w14:textId="77777777" w:rsidR="00C63694" w:rsidRPr="00C63694" w:rsidRDefault="00775FD2" w:rsidP="00DC33B0">
      <w:pPr>
        <w:rPr>
          <w:lang w:eastAsia="hr-HR"/>
        </w:rPr>
      </w:pPr>
      <w:r>
        <w:rPr>
          <w:lang w:eastAsia="hr-HR"/>
        </w:rPr>
        <w:t>-</w:t>
      </w:r>
      <w:r w:rsidR="00C63694" w:rsidRPr="00C63694">
        <w:rPr>
          <w:lang w:eastAsia="hr-HR"/>
        </w:rPr>
        <w:t xml:space="preserve"> osnovni kriterij</w:t>
      </w:r>
      <w:r>
        <w:rPr>
          <w:lang w:eastAsia="hr-HR"/>
        </w:rPr>
        <w:t>i</w:t>
      </w:r>
      <w:r w:rsidR="00C63694" w:rsidRPr="00C63694">
        <w:rPr>
          <w:lang w:eastAsia="hr-HR"/>
        </w:rPr>
        <w:t xml:space="preserve"> prihvatljivosti i kriterij</w:t>
      </w:r>
      <w:r>
        <w:rPr>
          <w:lang w:eastAsia="hr-HR"/>
        </w:rPr>
        <w:t>i</w:t>
      </w:r>
      <w:r w:rsidR="00C63694" w:rsidRPr="00C63694">
        <w:rPr>
          <w:lang w:eastAsia="hr-HR"/>
        </w:rPr>
        <w:t xml:space="preserve"> odabira projektnih prijedloga</w:t>
      </w:r>
    </w:p>
    <w:p w14:paraId="25F60893" w14:textId="77777777" w:rsidR="00C63694" w:rsidRPr="00C63694" w:rsidRDefault="00775FD2" w:rsidP="00DC33B0">
      <w:pPr>
        <w:rPr>
          <w:lang w:eastAsia="hr-HR"/>
        </w:rPr>
      </w:pPr>
      <w:r>
        <w:rPr>
          <w:lang w:eastAsia="hr-HR"/>
        </w:rPr>
        <w:t>-</w:t>
      </w:r>
      <w:r w:rsidR="00C63694" w:rsidRPr="00C63694">
        <w:rPr>
          <w:lang w:eastAsia="hr-HR"/>
        </w:rPr>
        <w:t xml:space="preserve"> popis popratne dokumentacije koja se zahtijeva od prijavitelja</w:t>
      </w:r>
    </w:p>
    <w:p w14:paraId="6AB3BB01" w14:textId="77777777" w:rsidR="00C63694" w:rsidRDefault="00775FD2" w:rsidP="00DC33B0">
      <w:pPr>
        <w:rPr>
          <w:lang w:eastAsia="hr-HR"/>
        </w:rPr>
      </w:pPr>
      <w:r>
        <w:rPr>
          <w:lang w:eastAsia="hr-HR"/>
        </w:rPr>
        <w:t>-</w:t>
      </w:r>
      <w:r w:rsidR="00C63694" w:rsidRPr="00C63694">
        <w:rPr>
          <w:lang w:eastAsia="hr-HR"/>
        </w:rPr>
        <w:t xml:space="preserve"> popis neprihvatljivih troškova/izdataka</w:t>
      </w:r>
    </w:p>
    <w:p w14:paraId="0C19F9C5" w14:textId="159895B2" w:rsidR="00775FD2" w:rsidRDefault="00B9513C" w:rsidP="00DC33B0">
      <w:pPr>
        <w:rPr>
          <w:lang w:eastAsia="hr-HR"/>
        </w:rPr>
      </w:pPr>
      <w:r>
        <w:rPr>
          <w:lang w:eastAsia="hr-HR"/>
        </w:rPr>
        <w:t>U programima</w:t>
      </w:r>
      <w:r w:rsidR="00BC11B5">
        <w:rPr>
          <w:lang w:eastAsia="hr-HR"/>
        </w:rPr>
        <w:t xml:space="preserve"> energetske obnove</w:t>
      </w:r>
      <w:r w:rsidR="00FC766C">
        <w:rPr>
          <w:lang w:eastAsia="hr-HR"/>
        </w:rPr>
        <w:t xml:space="preserve"> </w:t>
      </w:r>
      <w:r>
        <w:rPr>
          <w:lang w:eastAsia="hr-HR"/>
        </w:rPr>
        <w:t>zahtijevano je</w:t>
      </w:r>
      <w:r w:rsidRPr="00A92C0C">
        <w:rPr>
          <w:lang w:eastAsia="hr-HR"/>
        </w:rPr>
        <w:t xml:space="preserve"> </w:t>
      </w:r>
      <w:r w:rsidR="001D668A" w:rsidRPr="00A92C0C">
        <w:rPr>
          <w:lang w:eastAsia="hr-HR"/>
        </w:rPr>
        <w:t>ostvaren</w:t>
      </w:r>
      <w:r>
        <w:rPr>
          <w:lang w:eastAsia="hr-HR"/>
        </w:rPr>
        <w:t>je</w:t>
      </w:r>
      <w:r w:rsidR="00812233" w:rsidRPr="00A92C0C">
        <w:rPr>
          <w:lang w:eastAsia="hr-HR"/>
        </w:rPr>
        <w:t xml:space="preserve"> minimalno</w:t>
      </w:r>
      <w:r w:rsidR="006A4811" w:rsidRPr="00A92C0C">
        <w:rPr>
          <w:lang w:eastAsia="hr-HR"/>
        </w:rPr>
        <w:t xml:space="preserve"> 50% uštede energije </w:t>
      </w:r>
      <w:r w:rsidR="006A4811">
        <w:rPr>
          <w:lang w:eastAsia="hr-HR"/>
        </w:rPr>
        <w:t xml:space="preserve">(potrebne energije za grijanje zgrada), s detaljnijom razradom u pojedinim programima. </w:t>
      </w:r>
    </w:p>
    <w:p w14:paraId="115DB5F1" w14:textId="4EDE0873" w:rsidR="00B9513C" w:rsidRDefault="00B9513C" w:rsidP="00B9513C">
      <w:pPr>
        <w:rPr>
          <w:lang w:eastAsia="hr-HR"/>
        </w:rPr>
      </w:pPr>
      <w:r>
        <w:rPr>
          <w:lang w:eastAsia="hr-HR"/>
        </w:rPr>
        <w:t>Izrada, usvajanje i provođenje ovakvih programa pokazalo se djelotvornim načinom poticanja energetske obnove u RH u razdoblju od 2014. do 2020. godine te se Zakonom o gradnji kao i Integriranim nacionalnim energetskim i klimatskim planom predviđa donošenje ovakvih programa i za razdoblje od 2021. do 2030. godine.</w:t>
      </w:r>
    </w:p>
    <w:p w14:paraId="5B8FBD53" w14:textId="77777777" w:rsidR="008E39A2" w:rsidRPr="00F05594" w:rsidRDefault="008E39A2" w:rsidP="007649C2">
      <w:pPr>
        <w:pStyle w:val="Naslov20"/>
      </w:pPr>
      <w:bookmarkStart w:id="80" w:name="_Toc34052869"/>
      <w:bookmarkStart w:id="81" w:name="_Toc46163813"/>
      <w:r w:rsidRPr="00F05594">
        <w:t>Tehničke mogućnosti za energetsku obnovu („retrofit“) primjenom mjera energetske učinkovitosti i uvođenja OIE za svaku kategoriju odnosno tipologiju zgrada</w:t>
      </w:r>
      <w:bookmarkEnd w:id="80"/>
      <w:bookmarkEnd w:id="81"/>
      <w:r w:rsidRPr="00F05594">
        <w:t xml:space="preserve"> </w:t>
      </w:r>
    </w:p>
    <w:p w14:paraId="345F1349" w14:textId="63EC89C8" w:rsidR="00DC33B0" w:rsidRPr="00DC33B0" w:rsidRDefault="00681A2E" w:rsidP="00DC33B0">
      <w:pPr>
        <w:rPr>
          <w:lang w:eastAsia="hr-HR"/>
        </w:rPr>
      </w:pPr>
      <w:r>
        <w:rPr>
          <w:lang w:eastAsia="hr-HR"/>
        </w:rPr>
        <w:t>M</w:t>
      </w:r>
      <w:r w:rsidR="00DC33B0" w:rsidRPr="00DC33B0">
        <w:rPr>
          <w:lang w:eastAsia="hr-HR"/>
        </w:rPr>
        <w:t xml:space="preserve">jera energetske učinkovitosti koja ima prioritet </w:t>
      </w:r>
      <w:r w:rsidR="00B9513C">
        <w:rPr>
          <w:lang w:eastAsia="hr-HR"/>
        </w:rPr>
        <w:t xml:space="preserve">prilikom energetske obnove </w:t>
      </w:r>
      <w:r w:rsidR="00DC33B0" w:rsidRPr="00DC33B0">
        <w:rPr>
          <w:lang w:eastAsia="hr-HR"/>
        </w:rPr>
        <w:t>je rekonstrukcija vanjske ovojnice grijanog prostora. Iako pri postupku obnove nije moguće u velikoj mjeri utjecati na arhitektonsko oblikovanje zgrade, pri obnovi svake zgrade zasebno potrebno je razmotriti mogućnosti oblikovanja arhitektonskih detalja zgrade poput pokretnih elemenata zasjenjenja, primjene većih staklenih površina na južnim (jugoistočnim, jugozapadnim) dijelovima pročelja, toplinsku zaštitu nezaštićenih istaka i prodora u svrhu eliminacije pojave toplinskih mostova i dr. Uz sve prethodno navedene aktivnosti, mjerom je potrebno zadovoljiti maksimalne dozvoljene koeficijente prolaska topline konstrukcijskih dijelova.</w:t>
      </w:r>
    </w:p>
    <w:p w14:paraId="3E73B435" w14:textId="731221F7" w:rsidR="00DC33B0" w:rsidRPr="00DC33B0" w:rsidRDefault="00DC33B0" w:rsidP="00544C5A">
      <w:pPr>
        <w:rPr>
          <w:lang w:eastAsia="hr-HR"/>
        </w:rPr>
      </w:pPr>
      <w:r w:rsidRPr="00DC33B0">
        <w:rPr>
          <w:lang w:eastAsia="hr-HR"/>
        </w:rPr>
        <w:t>Standard gradnje zgrade gotovo nulte energije (nZEB standard) u Republici Hrvatskoj je u potpunosti definiran Tehničkim propisom o racionalnoj uporabi energije i toplinskoj zaštiti u zgradama</w:t>
      </w:r>
      <w:r w:rsidR="00BA2F20">
        <w:rPr>
          <w:lang w:eastAsia="hr-HR"/>
        </w:rPr>
        <w:t xml:space="preserve"> </w:t>
      </w:r>
      <w:r w:rsidR="00BA2F20" w:rsidRPr="00BA2F20">
        <w:rPr>
          <w:lang w:eastAsia="hr-HR"/>
        </w:rPr>
        <w:t>(NN 128/15, 70/18, 73/18, 86/18)</w:t>
      </w:r>
      <w:r w:rsidR="00032C88">
        <w:rPr>
          <w:lang w:eastAsia="hr-HR"/>
        </w:rPr>
        <w:t xml:space="preserve">. </w:t>
      </w:r>
      <w:r w:rsidR="00032C88" w:rsidRPr="00032C88">
        <w:rPr>
          <w:lang w:eastAsia="hr-HR"/>
        </w:rPr>
        <w:t xml:space="preserve">Prijelaznom odredbom članka 43. podstavka 1. </w:t>
      </w:r>
      <w:r w:rsidR="00A003AA">
        <w:rPr>
          <w:lang w:eastAsia="hr-HR"/>
        </w:rPr>
        <w:t>Zakona o i</w:t>
      </w:r>
      <w:r w:rsidR="005B3093">
        <w:rPr>
          <w:lang w:eastAsia="hr-HR"/>
        </w:rPr>
        <w:t xml:space="preserve">zmjenama i dopunama Zakona o gradnji </w:t>
      </w:r>
      <w:r w:rsidR="00A4630C">
        <w:rPr>
          <w:lang w:eastAsia="hr-HR"/>
        </w:rPr>
        <w:t>(</w:t>
      </w:r>
      <w:r w:rsidR="00A4630C" w:rsidRPr="00A4630C">
        <w:rPr>
          <w:lang w:eastAsia="hr-HR"/>
        </w:rPr>
        <w:t>NN 153/13, NN 20/17, NN 39/19, NN 125/19</w:t>
      </w:r>
      <w:r w:rsidR="00A4630C">
        <w:rPr>
          <w:lang w:eastAsia="hr-HR"/>
        </w:rPr>
        <w:t>)</w:t>
      </w:r>
      <w:r w:rsidR="00032C88" w:rsidRPr="00032C88">
        <w:rPr>
          <w:lang w:eastAsia="hr-HR"/>
        </w:rPr>
        <w:t>, propisano je da od 31. prosinca 2020. godine sve nove zgrade moraju biti zgrade gotovo nulte energije</w:t>
      </w:r>
      <w:r w:rsidR="003B250C">
        <w:rPr>
          <w:lang w:eastAsia="hr-HR"/>
        </w:rPr>
        <w:t xml:space="preserve">. Također, propisano je da </w:t>
      </w:r>
      <w:r w:rsidR="00E77EFE" w:rsidRPr="00E77EFE">
        <w:rPr>
          <w:lang w:eastAsia="hr-HR"/>
        </w:rPr>
        <w:t>glavni projekt zgrade, koji se prilaže uz zahtjev za izdavanje građevinske dozvole mora biti izrađen u skladu s odredbama za zgrade gotovo nulte energije propisane Tehničkim propisom</w:t>
      </w:r>
      <w:r w:rsidR="000C025A">
        <w:rPr>
          <w:lang w:eastAsia="hr-HR"/>
        </w:rPr>
        <w:t xml:space="preserve">. </w:t>
      </w:r>
      <w:r w:rsidR="00C27DB6" w:rsidRPr="00C27DB6">
        <w:rPr>
          <w:lang w:eastAsia="hr-HR"/>
        </w:rPr>
        <w:t>Od ovih obaveza izuzete su zgrade za koje je zahtjev za izdavanje lokacijske ili građevinske dozvole podnesen prije 31. prosinca 2019., a za zgrade koje kao vlasnici koriste tijela javne vlasti ako je zahtjev za izdavanje lokacijske ili građevinske dozvole podnesen prije 31. prosinca 2017.</w:t>
      </w:r>
      <w:r w:rsidR="00C27DB6">
        <w:rPr>
          <w:lang w:eastAsia="hr-HR"/>
        </w:rPr>
        <w:t xml:space="preserve"> </w:t>
      </w:r>
      <w:r w:rsidR="00A21EC9">
        <w:rPr>
          <w:lang w:eastAsia="hr-HR"/>
        </w:rPr>
        <w:t>K</w:t>
      </w:r>
      <w:r w:rsidR="00A21EC9" w:rsidRPr="00A21EC9">
        <w:rPr>
          <w:lang w:eastAsia="hr-HR"/>
        </w:rPr>
        <w:t xml:space="preserve">ontrola nZEB </w:t>
      </w:r>
      <w:r w:rsidR="00A21EC9" w:rsidRPr="00A92C0C">
        <w:rPr>
          <w:lang w:eastAsia="hr-HR"/>
        </w:rPr>
        <w:t>standarda</w:t>
      </w:r>
      <w:r w:rsidR="00812233" w:rsidRPr="00A92C0C">
        <w:rPr>
          <w:lang w:eastAsia="hr-HR"/>
        </w:rPr>
        <w:t xml:space="preserve"> u RH</w:t>
      </w:r>
      <w:r w:rsidR="00A21EC9" w:rsidRPr="00A92C0C">
        <w:rPr>
          <w:lang w:eastAsia="hr-HR"/>
        </w:rPr>
        <w:t xml:space="preserve"> vrši u trenutku predaje zahtjeva za izdavanje građevinske dozvole kada je zgrada još u fazi projektiranja, a </w:t>
      </w:r>
      <w:r w:rsidR="00A21EC9" w:rsidRPr="00A21EC9">
        <w:rPr>
          <w:lang w:eastAsia="hr-HR"/>
        </w:rPr>
        <w:t>ne u trenutku ishođenja uporabne dozvole kada je  zgrada već izgrađena.</w:t>
      </w:r>
      <w:r w:rsidR="00681A2E">
        <w:rPr>
          <w:lang w:eastAsia="hr-HR"/>
        </w:rPr>
        <w:t xml:space="preserve"> </w:t>
      </w:r>
    </w:p>
    <w:p w14:paraId="77D5232D" w14:textId="77777777" w:rsidR="00DC33B0" w:rsidRPr="00DC33B0" w:rsidRDefault="00DC33B0" w:rsidP="00DC33B0">
      <w:pPr>
        <w:rPr>
          <w:lang w:eastAsia="hr-HR"/>
        </w:rPr>
      </w:pPr>
      <w:r w:rsidRPr="00DC33B0">
        <w:rPr>
          <w:lang w:eastAsia="hr-HR"/>
        </w:rPr>
        <w:t xml:space="preserve">Svojstva zgrada gotovo nulte energije određena su prema karakteristikama fonda utvrđenim za definiciju referentnih zgrada, uz optimizaciju geometrijskih karakteristika s ciljem postizanja što niže razine potrebne energije za zadovoljavanje energetskih potreba zgrada. Definicija zgrade gotovo nulte energije u RH primjenjuje se za nove zgrade prema sljedećim namjenama: </w:t>
      </w:r>
    </w:p>
    <w:p w14:paraId="46B371F4" w14:textId="77777777" w:rsidR="00DC33B0" w:rsidRPr="00DC33B0" w:rsidRDefault="00DC33B0" w:rsidP="00DC33B0">
      <w:pPr>
        <w:rPr>
          <w:lang w:eastAsia="hr-HR"/>
        </w:rPr>
      </w:pPr>
      <w:r w:rsidRPr="00DC33B0">
        <w:rPr>
          <w:lang w:eastAsia="hr-HR"/>
        </w:rPr>
        <w:t>•</w:t>
      </w:r>
      <w:r w:rsidRPr="00DC33B0">
        <w:rPr>
          <w:lang w:eastAsia="hr-HR"/>
        </w:rPr>
        <w:tab/>
        <w:t>obiteljska zgrada</w:t>
      </w:r>
    </w:p>
    <w:p w14:paraId="6D277A2D" w14:textId="77777777" w:rsidR="00DC33B0" w:rsidRPr="00DC33B0" w:rsidRDefault="00DC33B0" w:rsidP="00DC33B0">
      <w:pPr>
        <w:rPr>
          <w:lang w:eastAsia="hr-HR"/>
        </w:rPr>
      </w:pPr>
      <w:r w:rsidRPr="00DC33B0">
        <w:rPr>
          <w:lang w:eastAsia="hr-HR"/>
        </w:rPr>
        <w:t>•</w:t>
      </w:r>
      <w:r w:rsidRPr="00DC33B0">
        <w:rPr>
          <w:lang w:eastAsia="hr-HR"/>
        </w:rPr>
        <w:tab/>
        <w:t>višestambena zgrada</w:t>
      </w:r>
    </w:p>
    <w:p w14:paraId="1E86F6B4" w14:textId="77777777" w:rsidR="00DC33B0" w:rsidRPr="00DC33B0" w:rsidRDefault="00DC33B0" w:rsidP="00DC33B0">
      <w:pPr>
        <w:rPr>
          <w:lang w:eastAsia="hr-HR"/>
        </w:rPr>
      </w:pPr>
      <w:r w:rsidRPr="00DC33B0">
        <w:rPr>
          <w:lang w:eastAsia="hr-HR"/>
        </w:rPr>
        <w:t>•</w:t>
      </w:r>
      <w:r w:rsidRPr="00DC33B0">
        <w:rPr>
          <w:lang w:eastAsia="hr-HR"/>
        </w:rPr>
        <w:tab/>
        <w:t>uredska zgrada</w:t>
      </w:r>
    </w:p>
    <w:p w14:paraId="3AB30FAA" w14:textId="77777777" w:rsidR="00DC33B0" w:rsidRPr="00DC33B0" w:rsidRDefault="00DC33B0" w:rsidP="00DC33B0">
      <w:pPr>
        <w:rPr>
          <w:lang w:eastAsia="hr-HR"/>
        </w:rPr>
      </w:pPr>
      <w:r w:rsidRPr="00DC33B0">
        <w:rPr>
          <w:lang w:eastAsia="hr-HR"/>
        </w:rPr>
        <w:t>•</w:t>
      </w:r>
      <w:r w:rsidRPr="00DC33B0">
        <w:rPr>
          <w:lang w:eastAsia="hr-HR"/>
        </w:rPr>
        <w:tab/>
        <w:t>zgrada za obrazovanje</w:t>
      </w:r>
    </w:p>
    <w:p w14:paraId="026CB00C" w14:textId="77777777" w:rsidR="00DC33B0" w:rsidRPr="00DC33B0" w:rsidRDefault="00DC33B0" w:rsidP="00DC33B0">
      <w:pPr>
        <w:rPr>
          <w:lang w:eastAsia="hr-HR"/>
        </w:rPr>
      </w:pPr>
      <w:r w:rsidRPr="00DC33B0">
        <w:rPr>
          <w:lang w:eastAsia="hr-HR"/>
        </w:rPr>
        <w:t>•</w:t>
      </w:r>
      <w:r w:rsidRPr="00DC33B0">
        <w:rPr>
          <w:lang w:eastAsia="hr-HR"/>
        </w:rPr>
        <w:tab/>
        <w:t xml:space="preserve">zgrada za trgovinu (maloprodaja i veleprodaja) </w:t>
      </w:r>
    </w:p>
    <w:p w14:paraId="1EAA742F" w14:textId="77777777" w:rsidR="00DC33B0" w:rsidRPr="00DC33B0" w:rsidRDefault="00DC33B0" w:rsidP="00DC33B0">
      <w:pPr>
        <w:rPr>
          <w:lang w:eastAsia="hr-HR"/>
        </w:rPr>
      </w:pPr>
      <w:r w:rsidRPr="00DC33B0">
        <w:rPr>
          <w:lang w:eastAsia="hr-HR"/>
        </w:rPr>
        <w:t>•</w:t>
      </w:r>
      <w:r w:rsidRPr="00DC33B0">
        <w:rPr>
          <w:lang w:eastAsia="hr-HR"/>
        </w:rPr>
        <w:tab/>
        <w:t>zgrada hotela i restorana</w:t>
      </w:r>
    </w:p>
    <w:p w14:paraId="0C37EEEB" w14:textId="77777777" w:rsidR="00DC33B0" w:rsidRPr="00DC33B0" w:rsidRDefault="00DC33B0" w:rsidP="00DC33B0">
      <w:pPr>
        <w:rPr>
          <w:lang w:eastAsia="hr-HR"/>
        </w:rPr>
      </w:pPr>
      <w:r w:rsidRPr="00DC33B0">
        <w:rPr>
          <w:lang w:eastAsia="hr-HR"/>
        </w:rPr>
        <w:t>•</w:t>
      </w:r>
      <w:r w:rsidRPr="00DC33B0">
        <w:rPr>
          <w:lang w:eastAsia="hr-HR"/>
        </w:rPr>
        <w:tab/>
        <w:t>zgrada bolnica</w:t>
      </w:r>
    </w:p>
    <w:p w14:paraId="58D56E8F" w14:textId="77777777" w:rsidR="00DC33B0" w:rsidRPr="00DC33B0" w:rsidRDefault="00DC33B0" w:rsidP="00DC33B0">
      <w:pPr>
        <w:rPr>
          <w:lang w:eastAsia="hr-HR"/>
        </w:rPr>
      </w:pPr>
      <w:r w:rsidRPr="00DC33B0">
        <w:rPr>
          <w:lang w:eastAsia="hr-HR"/>
        </w:rPr>
        <w:t>•</w:t>
      </w:r>
      <w:r w:rsidRPr="00DC33B0">
        <w:rPr>
          <w:lang w:eastAsia="hr-HR"/>
        </w:rPr>
        <w:tab/>
        <w:t>zgrada sportskih dvorana</w:t>
      </w:r>
    </w:p>
    <w:p w14:paraId="0EFF3ED7" w14:textId="77777777" w:rsidR="00DC33B0" w:rsidRDefault="00DC33B0" w:rsidP="00DC33B0">
      <w:pPr>
        <w:rPr>
          <w:lang w:eastAsia="hr-HR"/>
        </w:rPr>
      </w:pPr>
      <w:r w:rsidRPr="00DC33B0">
        <w:rPr>
          <w:lang w:eastAsia="hr-HR"/>
        </w:rPr>
        <w:t xml:space="preserve">Zgrada gotovo nulte energije definirana je potrošnjom primarne energije za grijanje, hlađenje, ventilaciju, pripremu potrošne tople vode i rasvjetu te minimalnim udjelom obnovljivih izvora energije od 30% u </w:t>
      </w:r>
      <w:r w:rsidR="00971A22">
        <w:rPr>
          <w:lang w:eastAsia="hr-HR"/>
        </w:rPr>
        <w:t>isporučenoj</w:t>
      </w:r>
      <w:r w:rsidR="00971A22" w:rsidRPr="00DC33B0">
        <w:rPr>
          <w:lang w:eastAsia="hr-HR"/>
        </w:rPr>
        <w:t xml:space="preserve"> </w:t>
      </w:r>
      <w:r w:rsidRPr="00DC33B0">
        <w:rPr>
          <w:lang w:eastAsia="hr-HR"/>
        </w:rPr>
        <w:t xml:space="preserve">energiji potrebnoj za zadovoljavanje energetskih potreba zgrade. Tehničkim propisom definirana su ograničenja iznosa godišnje potrebne toplinske energije za grijanje po jedinici ploštine korisne površine zgrade Q’’H,nd [kWh/(m2·a)], godišnje primarne energije Eprim, koja uključuje energiju za grijanje, hlađenje, ventilaciju, pripremu potrošne tople vode te kod nestambenih zgrada i rasvjetu, za svaki tip zgrade prema namjeni. </w:t>
      </w:r>
    </w:p>
    <w:p w14:paraId="711A7E3E" w14:textId="77777777" w:rsidR="00B05B34" w:rsidRDefault="00B05B34" w:rsidP="00B05B34">
      <w:pPr>
        <w:pStyle w:val="Naslov3"/>
      </w:pPr>
      <w:bookmarkStart w:id="82" w:name="_Toc34052870"/>
      <w:bookmarkStart w:id="83" w:name="_Toc46163814"/>
      <w:r w:rsidRPr="00B05B34">
        <w:t>Mjera centralizacije i modernizacije sustava grijanja</w:t>
      </w:r>
      <w:r w:rsidR="008F7CC0">
        <w:t>, hlađenja i ventilacije te pripreme PTV</w:t>
      </w:r>
      <w:r w:rsidRPr="00B05B34">
        <w:t xml:space="preserve"> uz primjenu obnovljivih izvora energije</w:t>
      </w:r>
      <w:bookmarkEnd w:id="82"/>
      <w:bookmarkEnd w:id="83"/>
      <w:r w:rsidRPr="00B05B34">
        <w:tab/>
      </w:r>
    </w:p>
    <w:p w14:paraId="2069FCF2" w14:textId="77777777" w:rsidR="008F7CC0" w:rsidRPr="006400D7" w:rsidRDefault="008F7CC0" w:rsidP="008F7CC0">
      <w:pPr>
        <w:rPr>
          <w:lang w:eastAsia="hr-HR"/>
        </w:rPr>
      </w:pPr>
      <w:r>
        <w:rPr>
          <w:lang w:eastAsia="hr-HR"/>
        </w:rPr>
        <w:t>C</w:t>
      </w:r>
      <w:r w:rsidRPr="006400D7">
        <w:rPr>
          <w:lang w:eastAsia="hr-HR"/>
        </w:rPr>
        <w:t>entralizacij</w:t>
      </w:r>
      <w:r>
        <w:rPr>
          <w:lang w:eastAsia="hr-HR"/>
        </w:rPr>
        <w:t>a</w:t>
      </w:r>
      <w:r w:rsidRPr="006400D7">
        <w:rPr>
          <w:lang w:eastAsia="hr-HR"/>
        </w:rPr>
        <w:t xml:space="preserve"> sustava grijanja, odnosno modernizacij</w:t>
      </w:r>
      <w:r>
        <w:rPr>
          <w:lang w:eastAsia="hr-HR"/>
        </w:rPr>
        <w:t>a</w:t>
      </w:r>
      <w:r w:rsidRPr="006400D7">
        <w:rPr>
          <w:lang w:eastAsia="hr-HR"/>
        </w:rPr>
        <w:t xml:space="preserve"> postojećih kotlovnica na način da se zamijene kotlovima na biomasu (piroliza, peleti i sječka), odnosno dizalicama topline uz uporabu postojećih radijatorskih sustava</w:t>
      </w:r>
      <w:r>
        <w:rPr>
          <w:lang w:eastAsia="hr-HR"/>
        </w:rPr>
        <w:t xml:space="preserve"> </w:t>
      </w:r>
      <w:r w:rsidR="00002AC3">
        <w:rPr>
          <w:lang w:eastAsia="hr-HR"/>
        </w:rPr>
        <w:t xml:space="preserve">predstavlja </w:t>
      </w:r>
      <w:r>
        <w:rPr>
          <w:lang w:eastAsia="hr-HR"/>
        </w:rPr>
        <w:t>moguće rješenje uključivanja obnovljivih izvora energije u zgradama kod kojih su tehničke mogućnosti na samoj zgradi ograničene. Ukoliko</w:t>
      </w:r>
      <w:r w:rsidRPr="006400D7">
        <w:rPr>
          <w:lang w:eastAsia="hr-HR"/>
        </w:rPr>
        <w:t xml:space="preserve"> su ukupne energetske potrebe objekta male, a sustav pogodan niskotemperaturnom režimu grijanja te je izražena potreba za hlađenjem, preporučuje se primijeniti geotermalnu ili zračnu dizalicu topline za grijanje, hlađenje i pripremu potrošne tople vode. </w:t>
      </w:r>
    </w:p>
    <w:p w14:paraId="1D19A376" w14:textId="77777777" w:rsidR="008F7CC0" w:rsidRPr="006400D7" w:rsidRDefault="008F7CC0" w:rsidP="008F7CC0">
      <w:pPr>
        <w:rPr>
          <w:lang w:eastAsia="hr-HR"/>
        </w:rPr>
      </w:pPr>
      <w:r w:rsidRPr="006400D7">
        <w:rPr>
          <w:lang w:eastAsia="hr-HR"/>
        </w:rPr>
        <w:t>U svrhu definiranja najpogodnijeg načina grijanja, za svaku zgradu zasebno potrebno je razmotriti mogućnosti:</w:t>
      </w:r>
    </w:p>
    <w:p w14:paraId="7BA0ADA5" w14:textId="77777777" w:rsidR="008F7CC0" w:rsidRPr="006400D7" w:rsidRDefault="008F7CC0" w:rsidP="008F7CC0">
      <w:pPr>
        <w:rPr>
          <w:lang w:eastAsia="hr-HR"/>
        </w:rPr>
      </w:pPr>
      <w:r w:rsidRPr="006400D7">
        <w:rPr>
          <w:lang w:eastAsia="hr-HR"/>
        </w:rPr>
        <w:t>●</w:t>
      </w:r>
      <w:r w:rsidRPr="006400D7">
        <w:rPr>
          <w:lang w:eastAsia="hr-HR"/>
        </w:rPr>
        <w:tab/>
        <w:t>zasebnog (samostalnog) kotlovskog sustava</w:t>
      </w:r>
    </w:p>
    <w:p w14:paraId="5E329397" w14:textId="77777777" w:rsidR="008F7CC0" w:rsidRPr="006400D7" w:rsidRDefault="008F7CC0" w:rsidP="008F7CC0">
      <w:pPr>
        <w:rPr>
          <w:lang w:eastAsia="hr-HR"/>
        </w:rPr>
      </w:pPr>
      <w:r w:rsidRPr="006400D7">
        <w:rPr>
          <w:lang w:eastAsia="hr-HR"/>
        </w:rPr>
        <w:t>●</w:t>
      </w:r>
      <w:r w:rsidRPr="006400D7">
        <w:rPr>
          <w:lang w:eastAsia="hr-HR"/>
        </w:rPr>
        <w:tab/>
        <w:t>sustava područnog grijanja - kotlovski sustav na biomasu - sječku (model ugovorne prodaje topline)</w:t>
      </w:r>
    </w:p>
    <w:p w14:paraId="55550369" w14:textId="77777777" w:rsidR="008F7CC0" w:rsidRDefault="008F7CC0" w:rsidP="008F7CC0">
      <w:pPr>
        <w:rPr>
          <w:lang w:eastAsia="hr-HR"/>
        </w:rPr>
      </w:pPr>
      <w:r w:rsidRPr="006A2161">
        <w:rPr>
          <w:lang w:eastAsia="hr-HR"/>
        </w:rPr>
        <w:t>Kod zasebnih kotlovskih sustava kotlovnica se nalazi u sklopu zgrade na postojećoj lokaciji. U slučaju sustava područnog grijanja kotlovnica se ne mora nalaziti u zgradi već se može nalaziti u sklopu ostalih objekata priključenih na cijevni sustav. U ovome slučaju neophodno je osigurati podstanicu za predaju toplinske energije iz područnog grijanja objektu. Mjera uključuje primjenu regulacije i balansiranja sustava grijanja (termostatski setovi, regulatori diferencijalnog tlaka i frekventno upravljane pum</w:t>
      </w:r>
      <w:r w:rsidR="00BC6F5A">
        <w:rPr>
          <w:lang w:eastAsia="hr-HR"/>
        </w:rPr>
        <w:t>p</w:t>
      </w:r>
      <w:r w:rsidRPr="006A2161">
        <w:rPr>
          <w:lang w:eastAsia="hr-HR"/>
        </w:rPr>
        <w:t>e i dr.), kao i provedbu detaljnog čišćenja cijevnog radijatorskog sustava i svih izmjenjivača. Kod zasebnih kotlovskih sustava, za svaku zgradu zasebno potrebno je razmotriti i potrebu za rekonstrukcijom dimnjaka.</w:t>
      </w:r>
    </w:p>
    <w:p w14:paraId="3970C124" w14:textId="748CBD7C" w:rsidR="00BC6F5A" w:rsidRDefault="00B3434B" w:rsidP="008F7CC0">
      <w:r>
        <w:t>Ograničena primjenjivost korištenja obnovljivih izvora energije u urbanim sredinama na zgradama preusmjerava težište primjene obnovljivih</w:t>
      </w:r>
      <w:r w:rsidR="00AE029C">
        <w:t xml:space="preserve"> izvora energije</w:t>
      </w:r>
      <w:r>
        <w:t xml:space="preserve"> prema većim centraliziranim sustavima. Centralizacijom i modernizacijom sustava grijanja moguće je promijeniti strukturu energenta na ulazu u zgradu i osigurati, kroz certifikaciju obnovljivog izvora energije, zadovoljavanje minimalnih uvjeta u pogledu udjela obnovljivih izvora energije u zgradama. Troškovno optimalni model može uključiti povećanje cijene energije iz daljinskih sustava kojim bi se omogućila održivost daljinskih sustava grijanja i hlađenja. </w:t>
      </w:r>
    </w:p>
    <w:p w14:paraId="7B03AF51" w14:textId="77777777" w:rsidR="00355DAE" w:rsidRDefault="00473BAF" w:rsidP="00334A49">
      <w:pPr>
        <w:pStyle w:val="Naslov3"/>
      </w:pPr>
      <w:bookmarkStart w:id="84" w:name="_Toc34052871"/>
      <w:bookmarkStart w:id="85" w:name="_Toc46163815"/>
      <w:r w:rsidRPr="00473BAF">
        <w:t>Tehničke mogućnosti centraliziranog toplinskog sustava (CTS) grijanja</w:t>
      </w:r>
      <w:bookmarkEnd w:id="84"/>
      <w:bookmarkEnd w:id="85"/>
    </w:p>
    <w:p w14:paraId="5769C311" w14:textId="77777777" w:rsidR="00643383" w:rsidRDefault="00643383" w:rsidP="00643383">
      <w:pPr>
        <w:rPr>
          <w:lang w:eastAsia="hr-HR"/>
        </w:rPr>
      </w:pPr>
      <w:r w:rsidRPr="00DE17B6">
        <w:rPr>
          <w:lang w:eastAsia="hr-HR"/>
        </w:rPr>
        <w:t xml:space="preserve">Sustavi daljinskog grijanja, odnosno centralizirani toplinski sustavi (CTS) postoje u znatnom broju većih gradova u Republici Hrvatskoj, i to sljedećim: Zagrebu, Osijeku, Sisku, Velikoj Gorici, Karlovcu, Zaprešiću, Samoboru, Slavonskom Brodu, Splitu, Varaždinu, Rijeci, Virovitici, Vinkovcima, Vukovaru i Požegi. </w:t>
      </w:r>
      <w:r>
        <w:rPr>
          <w:lang w:eastAsia="hr-HR"/>
        </w:rPr>
        <w:t>T</w:t>
      </w:r>
      <w:r w:rsidRPr="004F2773">
        <w:rPr>
          <w:lang w:eastAsia="hr-HR"/>
        </w:rPr>
        <w:t>ehničke mogućnosti i uvjeti priključka zgrade na centralizirani toplinski sustav detaljno su opisane u okviru Mrežnih pravila za distribuciju toplinske energije, pri čemu ne postoji razlika u tehničkim mogućnostima i uvjetima u ovisnosti o kategorijama zgrada razmatranih u okviru ove Dugoročne strategije za poticanje ulaganja u obnovu nacionalnog fonda zgrada Republike Hrvatske.</w:t>
      </w:r>
    </w:p>
    <w:p w14:paraId="0F6D3AC5" w14:textId="77777777" w:rsidR="00E551DD" w:rsidRDefault="00643383" w:rsidP="00643383">
      <w:pPr>
        <w:rPr>
          <w:lang w:eastAsia="hr-HR"/>
        </w:rPr>
      </w:pPr>
      <w:r w:rsidRPr="00F9318C">
        <w:rPr>
          <w:lang w:eastAsia="hr-HR"/>
        </w:rPr>
        <w:t>Sustavi centralizirane toplinske opskrbe imaju prednost</w:t>
      </w:r>
      <w:r w:rsidR="00E551DD">
        <w:rPr>
          <w:lang w:eastAsia="hr-HR"/>
        </w:rPr>
        <w:t>i</w:t>
      </w:r>
      <w:r w:rsidRPr="00F9318C">
        <w:rPr>
          <w:lang w:eastAsia="hr-HR"/>
        </w:rPr>
        <w:t xml:space="preserve"> u odnosu na pojedinačne sustave proizvodnje toplinske energije koje uključuju</w:t>
      </w:r>
      <w:r w:rsidR="00E551DD">
        <w:rPr>
          <w:lang w:eastAsia="hr-HR"/>
        </w:rPr>
        <w:t>:</w:t>
      </w:r>
    </w:p>
    <w:p w14:paraId="6C745801" w14:textId="77777777" w:rsidR="00E551DD" w:rsidRDefault="00643383" w:rsidP="00853D9C">
      <w:pPr>
        <w:pStyle w:val="Odlomakpopisa"/>
        <w:numPr>
          <w:ilvl w:val="0"/>
          <w:numId w:val="54"/>
        </w:numPr>
      </w:pPr>
      <w:r w:rsidRPr="00F9318C">
        <w:t xml:space="preserve">mogućnost iskorištavanja otpadne toplinske energije iz kogeneracijskih postrojenja (čime se znatno povećava ukupna učinkovitost takvih postrojenja u odnosu na slučaj kad se otpadna toplina ne koristi) </w:t>
      </w:r>
    </w:p>
    <w:p w14:paraId="4661004B" w14:textId="77777777" w:rsidR="004950FA" w:rsidRDefault="004950FA" w:rsidP="00853D9C">
      <w:pPr>
        <w:pStyle w:val="Odlomakpopisa"/>
        <w:numPr>
          <w:ilvl w:val="0"/>
          <w:numId w:val="54"/>
        </w:numPr>
      </w:pPr>
      <w:r w:rsidRPr="00F9318C">
        <w:t>moguć</w:t>
      </w:r>
      <w:r>
        <w:t>nost</w:t>
      </w:r>
      <w:r w:rsidRPr="00F9318C">
        <w:t xml:space="preserve"> </w:t>
      </w:r>
      <w:r w:rsidR="00643383" w:rsidRPr="00F9318C">
        <w:t xml:space="preserve">interpolacije u druge sustave (zbrinjavanje otpada, iskorištenje otpadne topline iz industrije, itd.) </w:t>
      </w:r>
    </w:p>
    <w:p w14:paraId="125526AC" w14:textId="77777777" w:rsidR="004950FA" w:rsidRDefault="004950FA" w:rsidP="00853D9C">
      <w:pPr>
        <w:pStyle w:val="Odlomakpopisa"/>
        <w:numPr>
          <w:ilvl w:val="0"/>
          <w:numId w:val="54"/>
        </w:numPr>
      </w:pPr>
      <w:r>
        <w:t xml:space="preserve">centralizirano korištenje obnovljivih izvora energije </w:t>
      </w:r>
      <w:r w:rsidR="00872B2C">
        <w:t>za</w:t>
      </w:r>
      <w:r>
        <w:t xml:space="preserve"> </w:t>
      </w:r>
      <w:r w:rsidR="00872B2C">
        <w:t>uključivanje obnovljivih izvora energije u zgradama kod kojih su tehničke mogućnosti na samoj lokaciji zgrade ograničene</w:t>
      </w:r>
    </w:p>
    <w:p w14:paraId="67B95DC3" w14:textId="77777777" w:rsidR="00643383" w:rsidRDefault="00643383" w:rsidP="00872B2C">
      <w:r w:rsidRPr="00F9318C">
        <w:t>U slučaju korištenja obnovljivih izvora energije (u prvom redu energije biomase) u CTS pri određivanju optimalne varijante postrojenja u smislu proizvodnje samo toplinske energije (toplana) ili istovremene proizvodnje toplinske i električne energije (kogeneracija) potrebno je uzeti u obzir ograničenja vezana uz energetsku učinkovitost koja su propisana u okviru Tarifnog sustava za proizvodnju električne energije iz obnovljivih izvora energije i kogeneracije</w:t>
      </w:r>
      <w:r w:rsidR="00C17CE7">
        <w:t xml:space="preserve">. </w:t>
      </w:r>
    </w:p>
    <w:p w14:paraId="4D4EF468" w14:textId="77777777" w:rsidR="008F7CC0" w:rsidRPr="00773AE6" w:rsidRDefault="00C17CE7" w:rsidP="008F7CC0">
      <w:r>
        <w:rPr>
          <w:lang w:eastAsia="hr-HR"/>
        </w:rPr>
        <w:t xml:space="preserve">Energetska obnova zgrada </w:t>
      </w:r>
      <w:r w:rsidR="002628CF">
        <w:rPr>
          <w:lang w:eastAsia="hr-HR"/>
        </w:rPr>
        <w:t xml:space="preserve">je u užem smislu </w:t>
      </w:r>
      <w:r w:rsidR="00DE4813">
        <w:rPr>
          <w:lang w:eastAsia="hr-HR"/>
        </w:rPr>
        <w:t xml:space="preserve">prepreka </w:t>
      </w:r>
      <w:r w:rsidR="00E55BBC">
        <w:rPr>
          <w:lang w:eastAsia="hr-HR"/>
        </w:rPr>
        <w:t xml:space="preserve">održivom funkcioniranju </w:t>
      </w:r>
      <w:r w:rsidR="00910F6A">
        <w:rPr>
          <w:lang w:eastAsia="hr-HR"/>
        </w:rPr>
        <w:t>centraliziranih toplinskih sustav</w:t>
      </w:r>
      <w:r w:rsidR="008747E9">
        <w:rPr>
          <w:lang w:eastAsia="hr-HR"/>
        </w:rPr>
        <w:t xml:space="preserve">a – odnosno, zbog smanjene potrebe za energijom, sam daljinski sustav se nalazi pred povećanim troškovima investicije i održavanja, dok sa strane korisnika </w:t>
      </w:r>
      <w:r w:rsidR="00F64331">
        <w:rPr>
          <w:lang w:eastAsia="hr-HR"/>
        </w:rPr>
        <w:t xml:space="preserve">djeluje kontinuirani pritisak na </w:t>
      </w:r>
      <w:r w:rsidR="00E2367E">
        <w:rPr>
          <w:lang w:eastAsia="hr-HR"/>
        </w:rPr>
        <w:t xml:space="preserve">smanjenje cijene energije. </w:t>
      </w:r>
      <w:r w:rsidR="00DA0021">
        <w:t>P</w:t>
      </w:r>
      <w:r w:rsidR="008F7CC0">
        <w:t xml:space="preserve">roblemi CTS sustava, uz potrebu za ulaganjem koju je teško opravdati kod smanjenja potrošnje energije koja se događa kroz energetsku obnovu zgrada, mogu se ublažiti promjenom strukture energenta i odgovarajućim faktorima primarne energije – obnovljive i neobnovljive komponente. </w:t>
      </w:r>
      <w:r w:rsidR="000C2AE4">
        <w:t xml:space="preserve">Energetsko svojstvo zgrade </w:t>
      </w:r>
    </w:p>
    <w:p w14:paraId="69030934" w14:textId="77777777" w:rsidR="00643383" w:rsidRDefault="00643383" w:rsidP="00643383">
      <w:pPr>
        <w:rPr>
          <w:lang w:eastAsia="hr-HR"/>
        </w:rPr>
      </w:pPr>
      <w:r>
        <w:rPr>
          <w:lang w:eastAsia="hr-HR"/>
        </w:rPr>
        <w:t xml:space="preserve">Trenutno regulativom nije obuhvaćena mogućnost uključivanja obnovljivih izvora energije koji fizički, odnosno organizacijski nisu neodvojivo povezani sa zgradom zbog korištenja isključivo neobnovljive komponente faktora primarne energije za određivanje energetskog svojstva zgrade. Zbog tehničkih ograničenja zgrada u urbanim središtima, te razine ulaganja u održavanje i pogon postojećih sustava, budućim mjerama je potrebno razraditi model većeg sudjelovanja centraliziranih sustava upravo kroz mogućnost osiguranja obnovljivih izvora energije zgradama koje u suprotnom ne mogu zadovoljiti minimalne zahtjeve regulative. </w:t>
      </w:r>
      <w:r w:rsidR="00B323FE">
        <w:rPr>
          <w:lang w:eastAsia="hr-HR"/>
        </w:rPr>
        <w:t>Kao prvi korak potre</w:t>
      </w:r>
      <w:r w:rsidR="006962BF">
        <w:rPr>
          <w:lang w:eastAsia="hr-HR"/>
        </w:rPr>
        <w:t>bno je, uz i</w:t>
      </w:r>
      <w:r w:rsidR="0008113F">
        <w:rPr>
          <w:lang w:eastAsia="hr-HR"/>
        </w:rPr>
        <w:t xml:space="preserve">ndividualno </w:t>
      </w:r>
      <w:r w:rsidR="00ED2B87">
        <w:rPr>
          <w:lang w:eastAsia="hr-HR"/>
        </w:rPr>
        <w:t>određen</w:t>
      </w:r>
      <w:r w:rsidR="006962BF">
        <w:rPr>
          <w:lang w:eastAsia="hr-HR"/>
        </w:rPr>
        <w:t>e</w:t>
      </w:r>
      <w:r w:rsidR="0008113F">
        <w:rPr>
          <w:lang w:eastAsia="hr-HR"/>
        </w:rPr>
        <w:t xml:space="preserve"> faktor</w:t>
      </w:r>
      <w:r w:rsidR="006C7FA8">
        <w:rPr>
          <w:lang w:eastAsia="hr-HR"/>
        </w:rPr>
        <w:t>e</w:t>
      </w:r>
      <w:r w:rsidR="0008113F">
        <w:rPr>
          <w:lang w:eastAsia="hr-HR"/>
        </w:rPr>
        <w:t xml:space="preserve"> primarne energije po </w:t>
      </w:r>
      <w:r w:rsidR="00ED2B87">
        <w:rPr>
          <w:lang w:eastAsia="hr-HR"/>
        </w:rPr>
        <w:t>postojećim sustavima daljinskog grijanja</w:t>
      </w:r>
      <w:r w:rsidR="006962BF">
        <w:rPr>
          <w:lang w:eastAsia="hr-HR"/>
        </w:rPr>
        <w:t xml:space="preserve">, odrediti i perspektivu promjena faktora primarne energije za sve </w:t>
      </w:r>
      <w:r w:rsidR="00D10213">
        <w:rPr>
          <w:lang w:eastAsia="hr-HR"/>
        </w:rPr>
        <w:t>energente za dul</w:t>
      </w:r>
      <w:r w:rsidR="006150A4">
        <w:rPr>
          <w:lang w:eastAsia="hr-HR"/>
        </w:rPr>
        <w:t>ji vremenski rok</w:t>
      </w:r>
      <w:r w:rsidR="00B40247">
        <w:rPr>
          <w:lang w:eastAsia="hr-HR"/>
        </w:rPr>
        <w:t xml:space="preserve">, </w:t>
      </w:r>
      <w:r w:rsidR="00C67203">
        <w:rPr>
          <w:lang w:eastAsia="hr-HR"/>
        </w:rPr>
        <w:t xml:space="preserve">pri čemu bi se tretman svih </w:t>
      </w:r>
      <w:r w:rsidR="00264BA1">
        <w:rPr>
          <w:lang w:eastAsia="hr-HR"/>
        </w:rPr>
        <w:t>izvora</w:t>
      </w:r>
      <w:r w:rsidR="00C67203">
        <w:rPr>
          <w:lang w:eastAsia="hr-HR"/>
        </w:rPr>
        <w:t xml:space="preserve"> primarne energije postupno izjednačio</w:t>
      </w:r>
      <w:r w:rsidR="00264BA1">
        <w:rPr>
          <w:lang w:eastAsia="hr-HR"/>
        </w:rPr>
        <w:t xml:space="preserve"> kroz jednak pristup izračunu faktora</w:t>
      </w:r>
      <w:r w:rsidR="00EF2872">
        <w:rPr>
          <w:lang w:eastAsia="hr-HR"/>
        </w:rPr>
        <w:t xml:space="preserve">. </w:t>
      </w:r>
    </w:p>
    <w:p w14:paraId="3484FE69" w14:textId="77777777" w:rsidR="00473BAF" w:rsidRDefault="00473BAF" w:rsidP="007649C2">
      <w:pPr>
        <w:pStyle w:val="Naslov20"/>
      </w:pPr>
      <w:bookmarkStart w:id="86" w:name="_Toc34052872"/>
      <w:bookmarkStart w:id="87" w:name="_Toc46163816"/>
      <w:r w:rsidRPr="00473BAF">
        <w:t>Mogući modeli održive obnove zgrada</w:t>
      </w:r>
      <w:bookmarkEnd w:id="86"/>
      <w:bookmarkEnd w:id="87"/>
      <w:r w:rsidRPr="00473BAF">
        <w:tab/>
      </w:r>
    </w:p>
    <w:p w14:paraId="6D20D8E9" w14:textId="77777777" w:rsidR="00AB1D75" w:rsidRDefault="008B0917" w:rsidP="008B0917">
      <w:pPr>
        <w:ind w:left="0"/>
      </w:pPr>
      <w:r>
        <w:t xml:space="preserve">Mogući modeli održive obnove zgrada ne mogu se oslanjati samo na subvencioniranje rekonstrukcije zgrada i </w:t>
      </w:r>
      <w:r w:rsidR="00856105">
        <w:t>gradnje</w:t>
      </w:r>
      <w:r>
        <w:t xml:space="preserve"> zgrada. </w:t>
      </w:r>
      <w:r w:rsidR="00856105">
        <w:t>Povezivanje</w:t>
      </w:r>
      <w:r w:rsidR="004928A0">
        <w:t xml:space="preserve"> energetske obnove zgrada i daljinskih sustava grijanja i hlađenja predstavlja </w:t>
      </w:r>
      <w:r w:rsidR="008F7CC0">
        <w:t xml:space="preserve">značajan korak, koji pokazuje tranziciju energetskih sustava iz </w:t>
      </w:r>
      <w:r w:rsidR="0093151D">
        <w:t xml:space="preserve">načina djelovanja baziranog na visokim operativnim troškovima </w:t>
      </w:r>
      <w:r w:rsidR="00FA17C3">
        <w:t xml:space="preserve">u način temeljen na visokim investicijskim troškovima, na isti način kao što je </w:t>
      </w:r>
      <w:r w:rsidR="00CC1B0B">
        <w:t xml:space="preserve">povećanje toplinske kvalitete vanjske ovojnice znatno povećalo investicijske troškove u zgradama. </w:t>
      </w:r>
      <w:r w:rsidR="0093151D">
        <w:t xml:space="preserve"> </w:t>
      </w:r>
    </w:p>
    <w:p w14:paraId="202E4986" w14:textId="77777777" w:rsidR="008B0917" w:rsidRDefault="008B0917" w:rsidP="008B0917">
      <w:pPr>
        <w:ind w:left="0"/>
      </w:pPr>
      <w:r>
        <w:t xml:space="preserve">Zahtjevi za zgrade gotovo nulte energije određeni su u Tehničkom propisu o racionalnoj uporabi energije i toplinskoj zaštiti u zgradama (Narodne novine Broj 128/15), temeljem troškovno optimalnih analiza referentnih zgrada. Kod analize ispunjavanja zahtjeva, primjenjuje se nacionalna metodologija određena tehničkim propisom. Unapređenje zahtjeva, uslijed ponovljenog ciklusa određivanja troškovno optimalnih zahtjeva koji će postaviti nove  granice za zgrade gotovo nulte energije, ne predstavlja ograničenje u implementaciji zahtjeva. Utvrđeni nedostaci metodologije u praksi su premostivi primjenom prihvaćenih norma i pravila struke. </w:t>
      </w:r>
    </w:p>
    <w:p w14:paraId="2AC75C4B" w14:textId="3DEF1AEB" w:rsidR="008B0917" w:rsidRDefault="008B0917" w:rsidP="008B0917">
      <w:pPr>
        <w:ind w:left="0"/>
      </w:pPr>
      <w:r>
        <w:t xml:space="preserve">Na nacionalnoj razini potrebno je razraditi specifične </w:t>
      </w:r>
      <w:r w:rsidR="0045429F">
        <w:t xml:space="preserve">dodatne </w:t>
      </w:r>
      <w:r>
        <w:t xml:space="preserve">zahtjeve za rekonstrukcije zgrada na razinu zgrada gotovo nulte energije zbog uočenih ograničenja prilikom rekonstrukcija, zbog čega je potrebno </w:t>
      </w:r>
      <w:r w:rsidR="00AB5B22">
        <w:t>kontinuirano pratiti</w:t>
      </w:r>
      <w:r w:rsidR="002B1D66">
        <w:t xml:space="preserve"> zahtjeve</w:t>
      </w:r>
      <w:r>
        <w:t xml:space="preserve"> u pogledu karakteristika vanjske ovojnice, karakteristika tehničkih sustava zgrade i uključivanju obnovljivih izvora energije. </w:t>
      </w:r>
    </w:p>
    <w:p w14:paraId="3D2C6F14" w14:textId="0E03A772" w:rsidR="004C5A66" w:rsidRDefault="008A3E7E" w:rsidP="007649C2">
      <w:pPr>
        <w:pStyle w:val="Naslov20"/>
      </w:pPr>
      <w:bookmarkStart w:id="88" w:name="_Toc34052873"/>
      <w:bookmarkStart w:id="89" w:name="_Toc46163817"/>
      <w:r w:rsidRPr="008A3E7E">
        <w:t xml:space="preserve">Energetska učinkovitost </w:t>
      </w:r>
      <w:bookmarkEnd w:id="88"/>
      <w:r w:rsidR="00FC77A8">
        <w:t>većih prostornih cjelina</w:t>
      </w:r>
      <w:r>
        <w:t xml:space="preserve"> </w:t>
      </w:r>
      <w:r w:rsidR="00FC77A8">
        <w:t>– gradskih četvrti , susjedstava</w:t>
      </w:r>
      <w:r w:rsidR="00CE37A4">
        <w:t xml:space="preserve"> ili naselja</w:t>
      </w:r>
      <w:bookmarkEnd w:id="89"/>
    </w:p>
    <w:p w14:paraId="6CAE3731" w14:textId="77777777" w:rsidR="00860DDB" w:rsidRDefault="00656A73" w:rsidP="00BF25C2">
      <w:r>
        <w:t xml:space="preserve">Pojedinačne zgrade zbog mikrolokacije i </w:t>
      </w:r>
      <w:r w:rsidR="00B37F1F">
        <w:t xml:space="preserve">drugih ograničenja koja </w:t>
      </w:r>
      <w:r w:rsidR="00455B99">
        <w:t xml:space="preserve">se prenose na lokaciju iz planova više razine </w:t>
      </w:r>
      <w:r w:rsidR="003E3904">
        <w:t xml:space="preserve">mogu biti u znatnom </w:t>
      </w:r>
      <w:r w:rsidR="008477DE">
        <w:t xml:space="preserve">tehničkom </w:t>
      </w:r>
      <w:r w:rsidR="003E3904">
        <w:t xml:space="preserve">raskoraku u odnosu na </w:t>
      </w:r>
      <w:r w:rsidR="008477DE">
        <w:t xml:space="preserve">optimalne zahtjeve za zgrade. </w:t>
      </w:r>
      <w:r w:rsidR="0000199D">
        <w:t xml:space="preserve">Promatranjem četvrti ili susjedstva moguće je </w:t>
      </w:r>
      <w:r w:rsidR="00B23C22">
        <w:t xml:space="preserve">uključiti u analizu odnose među zgradama i moguće putove </w:t>
      </w:r>
      <w:r w:rsidR="00D05122">
        <w:t>razmjene</w:t>
      </w:r>
      <w:r w:rsidR="00B23C22">
        <w:t xml:space="preserve"> </w:t>
      </w:r>
      <w:r w:rsidR="00D05122">
        <w:t>energije</w:t>
      </w:r>
      <w:r w:rsidR="004A2A08">
        <w:t xml:space="preserve">, te omogućiti </w:t>
      </w:r>
      <w:r w:rsidR="00211E7E">
        <w:t xml:space="preserve">postizanje nZEB </w:t>
      </w:r>
      <w:r w:rsidR="002D347A">
        <w:t xml:space="preserve">zahtjeva za veći broj zgrada, čime se povećava motivacija vlasnika za energetsku obnovu. </w:t>
      </w:r>
      <w:r w:rsidR="003A4043">
        <w:t xml:space="preserve">Problematika </w:t>
      </w:r>
      <w:r w:rsidR="008A3E7E">
        <w:t xml:space="preserve">energetske učinkovitosti građevinskih područja, ili </w:t>
      </w:r>
      <w:r w:rsidR="00EF3D37">
        <w:t xml:space="preserve">nearly Zero Energy Neighbourhoods - </w:t>
      </w:r>
      <w:r w:rsidR="003A4043">
        <w:t xml:space="preserve">nZEN </w:t>
      </w:r>
      <w:r w:rsidR="00700AE3">
        <w:t>–</w:t>
      </w:r>
      <w:r w:rsidR="003A4043">
        <w:t xml:space="preserve"> </w:t>
      </w:r>
      <w:r w:rsidR="0022721A">
        <w:t xml:space="preserve">većih prostornih cjelina s nultom potrošnjom energije </w:t>
      </w:r>
      <w:r w:rsidR="00BC4414">
        <w:t xml:space="preserve">dodiruje druga područja </w:t>
      </w:r>
      <w:r w:rsidR="007F6713">
        <w:t>–</w:t>
      </w:r>
      <w:r w:rsidR="00BC4414">
        <w:t xml:space="preserve"> </w:t>
      </w:r>
      <w:r w:rsidR="007F6713">
        <w:t xml:space="preserve">smart tehnologije, pametne mreže, </w:t>
      </w:r>
      <w:r w:rsidR="00F65FBD">
        <w:t xml:space="preserve">uključivanje korisnika, </w:t>
      </w:r>
      <w:r w:rsidR="006D1607">
        <w:t xml:space="preserve">dodatnih uvjeta i zahtjeva u pogledu vlasništva, </w:t>
      </w:r>
      <w:r w:rsidR="006A0DF5">
        <w:t xml:space="preserve">zbog prenošenja zahtjeva </w:t>
      </w:r>
      <w:r w:rsidR="00860DDB">
        <w:t xml:space="preserve">za energetskom učinkovitosti na šire područje. </w:t>
      </w:r>
    </w:p>
    <w:p w14:paraId="72884656" w14:textId="271F29C6" w:rsidR="002D347A" w:rsidRDefault="00860DDB" w:rsidP="00172359">
      <w:r>
        <w:t xml:space="preserve">Zahtjevi koje je potrebno </w:t>
      </w:r>
      <w:r w:rsidR="00605B35">
        <w:t xml:space="preserve">definirati </w:t>
      </w:r>
      <w:r w:rsidR="00B628F2">
        <w:t xml:space="preserve">– uz jasne ciljeve i </w:t>
      </w:r>
      <w:r w:rsidR="006A7B80">
        <w:t xml:space="preserve">pokazatelje </w:t>
      </w:r>
      <w:r w:rsidR="00B628F2">
        <w:t xml:space="preserve">za nZEN susjedstva, </w:t>
      </w:r>
      <w:r w:rsidR="000453B0">
        <w:t xml:space="preserve">su i </w:t>
      </w:r>
      <w:r w:rsidR="00327C66">
        <w:t xml:space="preserve">zahtjevi u prostornim planovima, </w:t>
      </w:r>
      <w:r w:rsidR="00B055DA">
        <w:t>administrativne kapacitete na razini četvrti</w:t>
      </w:r>
      <w:r w:rsidR="0055379D">
        <w:t xml:space="preserve">, mehanizme za </w:t>
      </w:r>
      <w:r w:rsidR="008C0210">
        <w:t>dosezanje</w:t>
      </w:r>
      <w:r w:rsidR="0055379D">
        <w:t xml:space="preserve"> konsenzusa</w:t>
      </w:r>
      <w:r w:rsidR="008C0210">
        <w:t xml:space="preserve"> na lokalnoj razini, te </w:t>
      </w:r>
      <w:r w:rsidR="0093677D">
        <w:t xml:space="preserve">jasna tržišna pravila. </w:t>
      </w:r>
    </w:p>
    <w:p w14:paraId="70FF550A" w14:textId="77777777" w:rsidR="004C5A66" w:rsidRDefault="004C5A66" w:rsidP="007649C2">
      <w:pPr>
        <w:pStyle w:val="Naslov20"/>
      </w:pPr>
      <w:bookmarkStart w:id="90" w:name="_Toc34052874"/>
      <w:bookmarkStart w:id="91" w:name="_Toc46163818"/>
      <w:r>
        <w:t>Agregiranje projekata</w:t>
      </w:r>
      <w:bookmarkEnd w:id="90"/>
      <w:bookmarkEnd w:id="91"/>
    </w:p>
    <w:p w14:paraId="049A4EB5" w14:textId="7EFFA7C0" w:rsidR="00A3412F" w:rsidRDefault="000E3BA7" w:rsidP="002C2803">
      <w:pPr>
        <w:rPr>
          <w:lang w:eastAsia="hr-HR"/>
        </w:rPr>
      </w:pPr>
      <w:r>
        <w:rPr>
          <w:lang w:eastAsia="hr-HR"/>
        </w:rPr>
        <w:t xml:space="preserve">Agregiranje projekata energetske obnove je </w:t>
      </w:r>
      <w:r w:rsidR="00432BC6">
        <w:rPr>
          <w:lang w:eastAsia="hr-HR"/>
        </w:rPr>
        <w:t xml:space="preserve">važno zbog pristupa financijskim instrumentima i drugim oblicima financiranja energetske obnove. </w:t>
      </w:r>
      <w:r w:rsidR="003E3DD0">
        <w:rPr>
          <w:lang w:eastAsia="hr-HR"/>
        </w:rPr>
        <w:t xml:space="preserve">Fiksni troškovi </w:t>
      </w:r>
      <w:r w:rsidR="00EE715F">
        <w:rPr>
          <w:lang w:eastAsia="hr-HR"/>
        </w:rPr>
        <w:t xml:space="preserve">provedbe projekata eksponencijalno rastu, kao i rizici nepostizanja zacrtanih ciljeva </w:t>
      </w:r>
      <w:r w:rsidR="00E0591A">
        <w:rPr>
          <w:lang w:eastAsia="hr-HR"/>
        </w:rPr>
        <w:t xml:space="preserve">sa smanjenjem veličine projekata. Agregiranjem projekata </w:t>
      </w:r>
      <w:r w:rsidR="00576E41">
        <w:rPr>
          <w:lang w:eastAsia="hr-HR"/>
        </w:rPr>
        <w:t xml:space="preserve">smanjuju se troškovi i rizici za financijske institucije, smanjujući time i trošak financiranja projekata. </w:t>
      </w:r>
      <w:r w:rsidR="0000533F">
        <w:rPr>
          <w:lang w:eastAsia="hr-HR"/>
        </w:rPr>
        <w:t xml:space="preserve">Primjer SEAI </w:t>
      </w:r>
      <w:r w:rsidR="00B30DA1">
        <w:rPr>
          <w:lang w:eastAsia="hr-HR"/>
        </w:rPr>
        <w:t>(</w:t>
      </w:r>
      <w:r w:rsidR="00B30DA1" w:rsidRPr="00B30DA1">
        <w:rPr>
          <w:lang w:eastAsia="hr-HR"/>
        </w:rPr>
        <w:t>Sustainable Energy Authority of Ireland</w:t>
      </w:r>
      <w:r w:rsidR="00B30DA1">
        <w:rPr>
          <w:lang w:eastAsia="hr-HR"/>
        </w:rPr>
        <w:t xml:space="preserve">) </w:t>
      </w:r>
      <w:r w:rsidR="00610AAB">
        <w:rPr>
          <w:lang w:eastAsia="hr-HR"/>
        </w:rPr>
        <w:t xml:space="preserve">u </w:t>
      </w:r>
      <w:r w:rsidR="00C15311">
        <w:rPr>
          <w:lang w:eastAsia="hr-HR"/>
        </w:rPr>
        <w:t xml:space="preserve">Deep Retrofit Pilot Programme 2019 </w:t>
      </w:r>
      <w:sdt>
        <w:sdtPr>
          <w:rPr>
            <w:lang w:eastAsia="hr-HR"/>
          </w:rPr>
          <w:id w:val="-442921186"/>
          <w:citation/>
        </w:sdtPr>
        <w:sdtEndPr/>
        <w:sdtContent>
          <w:r w:rsidR="008E49B5">
            <w:rPr>
              <w:lang w:eastAsia="hr-HR"/>
            </w:rPr>
            <w:fldChar w:fldCharType="begin"/>
          </w:r>
          <w:r w:rsidR="008E49B5">
            <w:rPr>
              <w:lang w:eastAsia="hr-HR"/>
            </w:rPr>
            <w:instrText xml:space="preserve"> CITATION SEA19 \l 1050 </w:instrText>
          </w:r>
          <w:r w:rsidR="008E49B5">
            <w:rPr>
              <w:lang w:eastAsia="hr-HR"/>
            </w:rPr>
            <w:fldChar w:fldCharType="separate"/>
          </w:r>
          <w:r w:rsidR="002D258B">
            <w:rPr>
              <w:noProof/>
              <w:lang w:eastAsia="hr-HR"/>
            </w:rPr>
            <w:t>(SEAI, 2019)</w:t>
          </w:r>
          <w:r w:rsidR="008E49B5">
            <w:rPr>
              <w:lang w:eastAsia="hr-HR"/>
            </w:rPr>
            <w:fldChar w:fldCharType="end"/>
          </w:r>
        </w:sdtContent>
      </w:sdt>
      <w:r w:rsidR="00CF38B5">
        <w:rPr>
          <w:lang w:eastAsia="hr-HR"/>
        </w:rPr>
        <w:t xml:space="preserve"> </w:t>
      </w:r>
      <w:r w:rsidR="00526A2D">
        <w:rPr>
          <w:lang w:eastAsia="hr-HR"/>
        </w:rPr>
        <w:t>pruža</w:t>
      </w:r>
      <w:r w:rsidR="00D152A2">
        <w:rPr>
          <w:lang w:eastAsia="hr-HR"/>
        </w:rPr>
        <w:t xml:space="preserve"> jednostavan model agregiranja projekata i </w:t>
      </w:r>
      <w:r w:rsidR="00526A2D">
        <w:rPr>
          <w:lang w:eastAsia="hr-HR"/>
        </w:rPr>
        <w:t>ublažavanja</w:t>
      </w:r>
      <w:r w:rsidR="00D152A2">
        <w:rPr>
          <w:lang w:eastAsia="hr-HR"/>
        </w:rPr>
        <w:t xml:space="preserve"> rizika, sa zahtjevom da projektna prijava sadrži najmanje 5 </w:t>
      </w:r>
      <w:r w:rsidR="00BB03FC">
        <w:rPr>
          <w:lang w:eastAsia="hr-HR"/>
        </w:rPr>
        <w:t>jed</w:t>
      </w:r>
      <w:r w:rsidR="00FD5D2F">
        <w:rPr>
          <w:lang w:eastAsia="hr-HR"/>
        </w:rPr>
        <w:t>n</w:t>
      </w:r>
      <w:r w:rsidR="00BB03FC">
        <w:rPr>
          <w:lang w:eastAsia="hr-HR"/>
        </w:rPr>
        <w:t>oobiteljskih kuća</w:t>
      </w:r>
      <w:r w:rsidR="00FD5D2F">
        <w:rPr>
          <w:lang w:eastAsia="hr-HR"/>
        </w:rPr>
        <w:t xml:space="preserve">, uz ostale zahtjeve za dubinsku obnovu zgrada koje je </w:t>
      </w:r>
      <w:r w:rsidR="00172359">
        <w:rPr>
          <w:lang w:eastAsia="hr-HR"/>
        </w:rPr>
        <w:t>potrebno</w:t>
      </w:r>
      <w:r w:rsidR="00FD5D2F">
        <w:rPr>
          <w:lang w:eastAsia="hr-HR"/>
        </w:rPr>
        <w:t xml:space="preserve"> ispuniti. </w:t>
      </w:r>
      <w:r w:rsidR="004B5D3C">
        <w:rPr>
          <w:lang w:eastAsia="hr-HR"/>
        </w:rPr>
        <w:t>Na taj način prijavitelj, koji može biti pružatelj energetske usluge ili drugi agregator projekata</w:t>
      </w:r>
      <w:r w:rsidR="007479B8">
        <w:rPr>
          <w:lang w:eastAsia="hr-HR"/>
        </w:rPr>
        <w:t xml:space="preserve"> (developer)</w:t>
      </w:r>
      <w:r w:rsidR="004B2023">
        <w:rPr>
          <w:lang w:eastAsia="hr-HR"/>
        </w:rPr>
        <w:t xml:space="preserve"> umanjuje rizike </w:t>
      </w:r>
      <w:r w:rsidR="002534B8">
        <w:rPr>
          <w:lang w:eastAsia="hr-HR"/>
        </w:rPr>
        <w:t xml:space="preserve">ostvarivanja ciljanih ušteda uslijed objektivnih </w:t>
      </w:r>
      <w:r w:rsidR="005577AC">
        <w:rPr>
          <w:lang w:eastAsia="hr-HR"/>
        </w:rPr>
        <w:t>okolnosti konkretnog projekta, te istodobno aplicira za veći iznos potpore smanjujući administrativno opterećenje financijskih institucija.</w:t>
      </w:r>
    </w:p>
    <w:p w14:paraId="755985F5" w14:textId="77777777" w:rsidR="00276C51" w:rsidRPr="00D877C5" w:rsidRDefault="0087381D" w:rsidP="00334A49">
      <w:pPr>
        <w:rPr>
          <w:lang w:eastAsia="hr-HR"/>
        </w:rPr>
      </w:pPr>
      <w:r w:rsidRPr="00D877C5">
        <w:rPr>
          <w:lang w:eastAsia="hr-HR"/>
        </w:rPr>
        <w:t xml:space="preserve">Agregiranje projekata </w:t>
      </w:r>
      <w:r w:rsidR="00276C51" w:rsidRPr="00D877C5">
        <w:rPr>
          <w:lang w:eastAsia="hr-HR"/>
        </w:rPr>
        <w:t xml:space="preserve">moguće je provesti putem: </w:t>
      </w:r>
    </w:p>
    <w:p w14:paraId="152D12E9" w14:textId="43DB8C01" w:rsidR="00276C51" w:rsidRPr="00D877C5" w:rsidRDefault="00276C51" w:rsidP="00276C51">
      <w:pPr>
        <w:pStyle w:val="Odlomakpopisa"/>
        <w:numPr>
          <w:ilvl w:val="0"/>
          <w:numId w:val="54"/>
        </w:numPr>
        <w:rPr>
          <w:b/>
          <w:bCs/>
        </w:rPr>
      </w:pPr>
      <w:r w:rsidRPr="00D877C5">
        <w:rPr>
          <w:b/>
          <w:bCs/>
        </w:rPr>
        <w:t>p</w:t>
      </w:r>
      <w:r w:rsidR="0087381D" w:rsidRPr="00D877C5">
        <w:rPr>
          <w:b/>
          <w:bCs/>
        </w:rPr>
        <w:t xml:space="preserve">latforme za agregiranje projekata </w:t>
      </w:r>
    </w:p>
    <w:p w14:paraId="5896CAF8" w14:textId="719249DF" w:rsidR="00276C51" w:rsidRPr="00D877C5" w:rsidRDefault="00276C51" w:rsidP="00AA0953">
      <w:pPr>
        <w:pStyle w:val="Odlomakpopisa"/>
        <w:numPr>
          <w:ilvl w:val="0"/>
          <w:numId w:val="0"/>
        </w:numPr>
        <w:ind w:left="720"/>
      </w:pPr>
      <w:r w:rsidRPr="00D877C5">
        <w:t xml:space="preserve">Platforme za agregiranje projekata u </w:t>
      </w:r>
      <w:r w:rsidR="00936A91" w:rsidRPr="00D877C5">
        <w:t>osnovi se postavljaju kao otvorene baze podataka o dostupnim projektima povećanja energetske učinkovitosti</w:t>
      </w:r>
      <w:r w:rsidR="004B570E" w:rsidRPr="00D877C5">
        <w:t xml:space="preserve">, koje omogućavaju ocjenu </w:t>
      </w:r>
      <w:r w:rsidR="00695E49" w:rsidRPr="00D877C5">
        <w:t>koristi i financijskih rizika projekata.</w:t>
      </w:r>
      <w:r w:rsidR="00E84409" w:rsidRPr="00D877C5">
        <w:t xml:space="preserve"> Agregiranje projekata</w:t>
      </w:r>
      <w:r w:rsidR="00BA1F14" w:rsidRPr="00D877C5">
        <w:t xml:space="preserve"> se može provesti na nizu kriterija – s osnovnom svrhom </w:t>
      </w:r>
      <w:r w:rsidR="004F018A" w:rsidRPr="00D877C5">
        <w:t xml:space="preserve">smanjivanja rizika za prijavitelje. </w:t>
      </w:r>
      <w:r w:rsidR="00A3412F" w:rsidRPr="00D877C5">
        <w:t xml:space="preserve">Problem agregiranja projekata je </w:t>
      </w:r>
      <w:r w:rsidR="001665C5" w:rsidRPr="00D877C5">
        <w:t xml:space="preserve">stvaranje </w:t>
      </w:r>
      <w:r w:rsidR="00882F84" w:rsidRPr="00D877C5">
        <w:t>baze projekata</w:t>
      </w:r>
      <w:r w:rsidR="00DE668C" w:rsidRPr="00D877C5">
        <w:t xml:space="preserve">, odnosno motiviranje vlasnika za pristup takvim platformama. Republika Hrvatska ima kvalitetno razvijen model nacionalnog informatičkog sustava za gospodarenje energijom, koji u </w:t>
      </w:r>
      <w:r w:rsidR="00FE5CF3" w:rsidRPr="00D877C5">
        <w:t xml:space="preserve">ovom trenu okuplja isključivo javne objekte, odnosno zgrade u vlasništvu </w:t>
      </w:r>
      <w:r w:rsidR="009207D4" w:rsidRPr="00D877C5">
        <w:t xml:space="preserve">javnog sektora </w:t>
      </w:r>
      <w:r w:rsidR="00FE5CF3" w:rsidRPr="00D877C5">
        <w:t xml:space="preserve">ili </w:t>
      </w:r>
      <w:r w:rsidR="009207D4" w:rsidRPr="00D877C5">
        <w:t>koje koristi javni sektor.</w:t>
      </w:r>
      <w:r w:rsidR="00607D62" w:rsidRPr="00D877C5">
        <w:t xml:space="preserve"> Podaci prikupljani u ISGE omogućavaju analizu </w:t>
      </w:r>
      <w:r w:rsidR="002D3B7F" w:rsidRPr="00D877C5">
        <w:t>potrošnje energije i vode</w:t>
      </w:r>
      <w:r w:rsidR="00607D62" w:rsidRPr="00D877C5">
        <w:t xml:space="preserve"> </w:t>
      </w:r>
      <w:r w:rsidR="002D3B7F" w:rsidRPr="00D877C5">
        <w:t>u zgradama</w:t>
      </w:r>
      <w:r w:rsidR="00607D62" w:rsidRPr="00D877C5">
        <w:t xml:space="preserve"> prije i nakon ulaganja u povećanje energetske učinkovitosti</w:t>
      </w:r>
      <w:r w:rsidR="004F5AF0" w:rsidRPr="00D877C5">
        <w:t xml:space="preserve">. Proširenjem sustava na ostale zgrade, </w:t>
      </w:r>
      <w:r w:rsidR="00C27C02" w:rsidRPr="00D877C5">
        <w:t xml:space="preserve">na dobrovoljnoj bazi, te povezivanjem s </w:t>
      </w:r>
      <w:r w:rsidR="00092AA3" w:rsidRPr="00D877C5">
        <w:t>informacijskim</w:t>
      </w:r>
      <w:r w:rsidR="000350F1" w:rsidRPr="00D877C5">
        <w:t xml:space="preserve"> sustavom energetsk</w:t>
      </w:r>
      <w:r w:rsidR="00092AA3" w:rsidRPr="00D877C5">
        <w:t>ih</w:t>
      </w:r>
      <w:r w:rsidR="000350F1" w:rsidRPr="00D877C5">
        <w:t xml:space="preserve"> certifi</w:t>
      </w:r>
      <w:r w:rsidR="00092AA3" w:rsidRPr="00D877C5">
        <w:t>kata – IEC</w:t>
      </w:r>
      <w:r w:rsidR="0049205C" w:rsidRPr="00D877C5">
        <w:t xml:space="preserve"> može se omogućiti </w:t>
      </w:r>
      <w:r w:rsidR="001E4E22" w:rsidRPr="00D877C5">
        <w:t xml:space="preserve">pristup najpouzdanijim informacijama o zgradama i potencijalnim investicijama </w:t>
      </w:r>
      <w:r w:rsidR="00AA0953" w:rsidRPr="00D877C5">
        <w:t xml:space="preserve">u mjere </w:t>
      </w:r>
      <w:r w:rsidR="00B9513C">
        <w:t>energetske učinkovitosti</w:t>
      </w:r>
      <w:r w:rsidR="00AA0953" w:rsidRPr="00D877C5">
        <w:t xml:space="preserve">. </w:t>
      </w:r>
      <w:r w:rsidR="00916992" w:rsidRPr="00D877C5">
        <w:t xml:space="preserve">Zbog zaštite podataka, optimalan pristup je kroz </w:t>
      </w:r>
      <w:r w:rsidR="005F7C35" w:rsidRPr="00D877C5">
        <w:t>definiranje</w:t>
      </w:r>
      <w:r w:rsidR="00916992" w:rsidRPr="00D877C5">
        <w:t xml:space="preserve"> </w:t>
      </w:r>
      <w:r w:rsidR="005F7C35" w:rsidRPr="00D877C5">
        <w:t xml:space="preserve">samostalne informatičke platforme koja </w:t>
      </w:r>
      <w:r w:rsidR="00EF2975" w:rsidRPr="00D877C5">
        <w:t xml:space="preserve">istodobno dopušta vlasnicima zgrada </w:t>
      </w:r>
      <w:r w:rsidR="00240157" w:rsidRPr="00D877C5">
        <w:t>kandidiranje</w:t>
      </w:r>
      <w:r w:rsidR="00A0549F" w:rsidRPr="00D877C5">
        <w:t xml:space="preserve"> mjera identificiranih projektima energetske obnove ili energetskim certifikatima </w:t>
      </w:r>
      <w:r w:rsidR="00517AB0" w:rsidRPr="00D877C5">
        <w:t>koje se uključuju u agregirane projekte, te investitorima ili financijskim tijelima pristup agregiranim informacijama o projektima</w:t>
      </w:r>
      <w:r w:rsidR="00F443C0" w:rsidRPr="00D877C5">
        <w:t>.</w:t>
      </w:r>
      <w:r w:rsidR="00FE7852" w:rsidRPr="00D877C5">
        <w:t xml:space="preserve"> Alternativno, moguće je i korištenje već razvijenih platformi</w:t>
      </w:r>
      <w:r w:rsidR="006C6289" w:rsidRPr="00D877C5">
        <w:t xml:space="preserve"> s otvorenim pristupom</w:t>
      </w:r>
      <w:r w:rsidR="007F1344" w:rsidRPr="00D877C5">
        <w:t>, npr. DEEP (De-risking e</w:t>
      </w:r>
      <w:r w:rsidR="005637B3" w:rsidRPr="00D877C5">
        <w:t>nergy Efficiency Platform) u vlasni</w:t>
      </w:r>
      <w:r w:rsidR="00EE1CEE" w:rsidRPr="00D877C5">
        <w:t>š</w:t>
      </w:r>
      <w:r w:rsidR="005637B3" w:rsidRPr="00D877C5">
        <w:t>tvu DG Energy</w:t>
      </w:r>
      <w:r w:rsidR="00FE3586" w:rsidRPr="00D877C5">
        <w:t xml:space="preserve">, te uključivanje ISGE kao </w:t>
      </w:r>
      <w:r w:rsidR="00861742" w:rsidRPr="00D877C5">
        <w:t xml:space="preserve">pružatelja informacija </w:t>
      </w:r>
      <w:r w:rsidR="00EE1CEE" w:rsidRPr="00D877C5">
        <w:t xml:space="preserve">o projektima. </w:t>
      </w:r>
    </w:p>
    <w:p w14:paraId="37A0D7E2" w14:textId="445413FD" w:rsidR="003B6D47" w:rsidRPr="00D877C5" w:rsidRDefault="00553D0A" w:rsidP="003B6D47">
      <w:pPr>
        <w:pStyle w:val="Odlomakpopisa"/>
        <w:numPr>
          <w:ilvl w:val="0"/>
          <w:numId w:val="54"/>
        </w:numPr>
        <w:rPr>
          <w:b/>
          <w:bCs/>
        </w:rPr>
      </w:pPr>
      <w:r w:rsidRPr="00D877C5">
        <w:rPr>
          <w:b/>
          <w:bCs/>
        </w:rPr>
        <w:t>skupine za ulaganja</w:t>
      </w:r>
    </w:p>
    <w:p w14:paraId="71AC700D" w14:textId="2EE8591D" w:rsidR="00BC39BF" w:rsidRPr="00D877C5" w:rsidRDefault="0092545F" w:rsidP="00D877C5">
      <w:pPr>
        <w:ind w:left="720"/>
      </w:pPr>
      <w:r w:rsidRPr="00D877C5">
        <w:t xml:space="preserve">Okupljanje interesnih skupina </w:t>
      </w:r>
      <w:r w:rsidR="0022112F" w:rsidRPr="00D877C5">
        <w:t>za ulaganja moguće je na strani ponude i potražnje projekata povećanja energetske učinkovitosti.</w:t>
      </w:r>
      <w:r w:rsidR="00AC1A1B" w:rsidRPr="00D877C5">
        <w:t xml:space="preserve"> </w:t>
      </w:r>
      <w:r w:rsidR="000C6E94" w:rsidRPr="00D877C5">
        <w:t>Nemoguća je sustavna identifikacija motivacije svih investitora u energe</w:t>
      </w:r>
      <w:r w:rsidR="004E63B8" w:rsidRPr="00D877C5">
        <w:t xml:space="preserve">tsku učinkovitost, ali sve investicije, neovisno o motivaciji, </w:t>
      </w:r>
      <w:r w:rsidR="000C3290" w:rsidRPr="00D877C5">
        <w:t xml:space="preserve">povećavaju energetsku učinkovitost u konačnoj potrošnji energije. </w:t>
      </w:r>
      <w:r w:rsidR="00DC7742" w:rsidRPr="00D877C5">
        <w:t>Temeljno tržište čine investitor</w:t>
      </w:r>
      <w:r w:rsidR="00B311B0" w:rsidRPr="00D877C5">
        <w:t xml:space="preserve">i koji investiraju s ciljem smanjenja potrošnje energije – ESCO tvrtke i vlasnici zgrada. </w:t>
      </w:r>
      <w:r w:rsidR="00727ECE" w:rsidRPr="00D877C5">
        <w:t xml:space="preserve">Sekundarno tržište predstavljaju </w:t>
      </w:r>
      <w:r w:rsidR="00BC51E8" w:rsidRPr="00D877C5">
        <w:t xml:space="preserve">investicije u </w:t>
      </w:r>
      <w:r w:rsidR="000C7F0E" w:rsidRPr="00D877C5">
        <w:t>specijalizirane tehnologije i proizvode za povećanje energetske učinkovitosti, kao što su LED rasvjeta</w:t>
      </w:r>
      <w:r w:rsidR="00851839" w:rsidRPr="00D877C5">
        <w:t xml:space="preserve">, EMS sustavi ili nZEB zgrade, </w:t>
      </w:r>
      <w:r w:rsidR="00725D90" w:rsidRPr="00D877C5">
        <w:t xml:space="preserve">kod kojih motivacija investitora ne mora primarno biti energetska ušteda, već </w:t>
      </w:r>
      <w:r w:rsidR="001845CF" w:rsidRPr="00D877C5">
        <w:t xml:space="preserve">se može raditi i o zakonskoj obavezi. </w:t>
      </w:r>
      <w:r w:rsidR="00D47FBE" w:rsidRPr="00D877C5">
        <w:t>T</w:t>
      </w:r>
      <w:r w:rsidR="001845CF" w:rsidRPr="00D877C5">
        <w:t xml:space="preserve">reći segment su </w:t>
      </w:r>
      <w:r w:rsidR="002E08BA" w:rsidRPr="00D877C5">
        <w:t xml:space="preserve">inkrementalne investicije koje se događaju </w:t>
      </w:r>
      <w:r w:rsidR="0000151F" w:rsidRPr="00D877C5">
        <w:t>samom zamjenom opremom i proizvodima s povećanom energetskom učinkovitosti</w:t>
      </w:r>
      <w:r w:rsidR="00D47FBE" w:rsidRPr="00D877C5">
        <w:t xml:space="preserve">. Konačno, </w:t>
      </w:r>
      <w:r w:rsidR="00C8263E" w:rsidRPr="00D877C5">
        <w:t xml:space="preserve">sustavne investicije za povećanje produktivnosti, kao npr. investicije u daljinsko grijanje, ili </w:t>
      </w:r>
      <w:r w:rsidR="001B63C3" w:rsidRPr="00D877C5">
        <w:t xml:space="preserve">poboljšanje javnog prijevoza, ili optimizacija dobavnog lanca, </w:t>
      </w:r>
      <w:r w:rsidR="00BF5D19" w:rsidRPr="00D877C5">
        <w:t xml:space="preserve">formiraju četvrtu interesnu skupinu. Sve ove skupine mogu djelovati izolirano ili koordinirano, ali je veća vjerojatnost provedbe kod jasno fokusiranih investicija s definiranim ciljevima – npr. </w:t>
      </w:r>
      <w:r w:rsidR="00BC39BF" w:rsidRPr="00D877C5">
        <w:t xml:space="preserve">povezivanje investicija u poboljšanje distribucijske mreže daljinskog grijanja s investicijom u energetsku obnovu fonda zgrada na toj mreži – </w:t>
      </w:r>
      <w:r w:rsidR="00A07CE2" w:rsidRPr="00D877C5">
        <w:t>samostalna</w:t>
      </w:r>
      <w:r w:rsidR="00BC39BF" w:rsidRPr="00D877C5">
        <w:t xml:space="preserve"> investicija u </w:t>
      </w:r>
      <w:r w:rsidR="00A07CE2" w:rsidRPr="00D877C5">
        <w:t xml:space="preserve">poboljšanje mreže s izvjesnim padom potrošnje </w:t>
      </w:r>
      <w:r w:rsidR="00E83DD0" w:rsidRPr="00D877C5">
        <w:t xml:space="preserve">zgrada je osuđena na propast </w:t>
      </w:r>
      <w:r w:rsidR="00B53633" w:rsidRPr="00D877C5">
        <w:t>iako postoji zajednički interes i vlasnika zgrada i vlasnika mreže za obnovom oba sustava</w:t>
      </w:r>
      <w:r w:rsidR="00BE7213" w:rsidRPr="00D877C5">
        <w:t xml:space="preserve"> – zbog toga je potreban zajed</w:t>
      </w:r>
      <w:r w:rsidR="00783D82" w:rsidRPr="00D877C5">
        <w:t xml:space="preserve">nički investicijski program koji dugoročno omogućava opstanak oba sustava. </w:t>
      </w:r>
    </w:p>
    <w:p w14:paraId="09AC6640" w14:textId="18929A04" w:rsidR="00553D0A" w:rsidRPr="00D877C5" w:rsidRDefault="00553D0A" w:rsidP="00C95C91">
      <w:pPr>
        <w:pStyle w:val="Odlomakpopisa"/>
        <w:numPr>
          <w:ilvl w:val="0"/>
          <w:numId w:val="54"/>
        </w:numPr>
        <w:rPr>
          <w:b/>
          <w:bCs/>
        </w:rPr>
      </w:pPr>
      <w:r w:rsidRPr="00D877C5">
        <w:rPr>
          <w:b/>
          <w:bCs/>
        </w:rPr>
        <w:t>konzorciji malih i srednjih poduzeća</w:t>
      </w:r>
    </w:p>
    <w:p w14:paraId="4B2B4EF7" w14:textId="7A9F4684" w:rsidR="00C95C91" w:rsidRPr="00425491" w:rsidRDefault="00C85983" w:rsidP="00C95C91">
      <w:pPr>
        <w:pStyle w:val="Odlomakpopisa"/>
        <w:numPr>
          <w:ilvl w:val="0"/>
          <w:numId w:val="0"/>
        </w:numPr>
        <w:ind w:left="720"/>
      </w:pPr>
      <w:r w:rsidRPr="00D877C5">
        <w:t xml:space="preserve">Na agregiranje projekata potrebno je organizacijski </w:t>
      </w:r>
      <w:r w:rsidR="008A5CA7" w:rsidRPr="00D877C5">
        <w:t xml:space="preserve">adekvatno reagirati </w:t>
      </w:r>
      <w:r w:rsidR="00130190" w:rsidRPr="00D877C5">
        <w:t xml:space="preserve">u opskrbnom lancu u građevinarstvu. Prosječna </w:t>
      </w:r>
      <w:r w:rsidR="00EC1DCF" w:rsidRPr="00D877C5">
        <w:t>investicija</w:t>
      </w:r>
      <w:r w:rsidR="00130190" w:rsidRPr="00D877C5">
        <w:t xml:space="preserve"> pojedinačnog projekta energetske obnove je </w:t>
      </w:r>
      <w:r w:rsidR="00EC1DCF" w:rsidRPr="00D877C5">
        <w:t xml:space="preserve">cca 3 milijuna kuna, </w:t>
      </w:r>
      <w:r w:rsidR="000D7F72" w:rsidRPr="00D877C5">
        <w:t xml:space="preserve">što ne predstavlja značajan zahvat, ali veliki broj projekata </w:t>
      </w:r>
      <w:r w:rsidR="009E7118" w:rsidRPr="00D877C5">
        <w:t xml:space="preserve">znatno premašuje ovaj iznos. </w:t>
      </w:r>
      <w:r w:rsidR="000B7F32" w:rsidRPr="00D877C5">
        <w:t>Gornja</w:t>
      </w:r>
      <w:r w:rsidR="009E7118" w:rsidRPr="00D877C5">
        <w:t xml:space="preserve"> granica potpore </w:t>
      </w:r>
      <w:r w:rsidR="000B7F32" w:rsidRPr="00D877C5">
        <w:t xml:space="preserve">za energetsku obnovu višestambenih zgrada </w:t>
      </w:r>
      <w:r w:rsidR="00CC7E28" w:rsidRPr="00D877C5">
        <w:t>od</w:t>
      </w:r>
      <w:r w:rsidR="009E7118" w:rsidRPr="00D877C5">
        <w:t xml:space="preserve"> 20 milijuna kuna, </w:t>
      </w:r>
      <w:r w:rsidR="000B7F32" w:rsidRPr="00D877C5">
        <w:t xml:space="preserve">predstavlja značajnu investiciju u kojoj mala poduzeća ne mogu kvalitetno konkurirati. </w:t>
      </w:r>
      <w:r w:rsidR="00DA2555" w:rsidRPr="00D877C5">
        <w:t>Konzorciji se mogu okupljati na poslovnom modelu</w:t>
      </w:r>
      <w:r w:rsidR="000D292B" w:rsidRPr="00D877C5">
        <w:t xml:space="preserve"> suradnje u građevinarstvu</w:t>
      </w:r>
      <w:r w:rsidR="00DA2555" w:rsidRPr="00D877C5">
        <w:t xml:space="preserve">, ili kao </w:t>
      </w:r>
      <w:r w:rsidR="003A78D2" w:rsidRPr="00D877C5">
        <w:t xml:space="preserve">konzorciji </w:t>
      </w:r>
      <w:r w:rsidR="00F5173B" w:rsidRPr="00D877C5">
        <w:t xml:space="preserve">okupljeni oko </w:t>
      </w:r>
      <w:r w:rsidR="0022751D" w:rsidRPr="00D877C5">
        <w:t xml:space="preserve">posebnih tema, kao što je </w:t>
      </w:r>
      <w:r w:rsidR="00B97D1C" w:rsidRPr="002C2803">
        <w:t>Klaster za energetsku učinkovitost i održiv</w:t>
      </w:r>
      <w:r w:rsidR="00B97D1C" w:rsidRPr="00424DAC">
        <w:t>ost u zgradarstvu –</w:t>
      </w:r>
      <w:r w:rsidR="00B97D1C" w:rsidRPr="00122B5A">
        <w:t xml:space="preserve"> nZEB.hr</w:t>
      </w:r>
      <w:r w:rsidR="00F5173B" w:rsidRPr="004D5506">
        <w:t xml:space="preserve"> čija je uloga prvenstv</w:t>
      </w:r>
      <w:r w:rsidR="00F5173B" w:rsidRPr="00327A50">
        <w:t>eno u dizanju svijesti</w:t>
      </w:r>
      <w:r w:rsidR="00FB1A9E" w:rsidRPr="00425491">
        <w:t xml:space="preserve"> i kapaciteta. </w:t>
      </w:r>
    </w:p>
    <w:p w14:paraId="40570086" w14:textId="69F5D50A" w:rsidR="00553D0A" w:rsidRPr="00D877C5" w:rsidRDefault="00553D0A" w:rsidP="000A5D2F">
      <w:pPr>
        <w:pStyle w:val="Odlomakpopisa"/>
        <w:numPr>
          <w:ilvl w:val="0"/>
          <w:numId w:val="54"/>
        </w:numPr>
        <w:rPr>
          <w:b/>
          <w:bCs/>
        </w:rPr>
      </w:pPr>
      <w:r w:rsidRPr="00D877C5">
        <w:rPr>
          <w:b/>
          <w:bCs/>
        </w:rPr>
        <w:t>rješenja u paketu</w:t>
      </w:r>
    </w:p>
    <w:p w14:paraId="2C65DD5A" w14:textId="73EC5708" w:rsidR="002653D2" w:rsidRPr="00D877C5" w:rsidRDefault="00673FFF" w:rsidP="000A5D2F">
      <w:pPr>
        <w:pStyle w:val="Odlomakpopisa"/>
        <w:numPr>
          <w:ilvl w:val="0"/>
          <w:numId w:val="0"/>
        </w:numPr>
        <w:ind w:left="720"/>
      </w:pPr>
      <w:r w:rsidRPr="00D877C5">
        <w:t xml:space="preserve">Povezivanje </w:t>
      </w:r>
      <w:r w:rsidR="00D6149A" w:rsidRPr="00D877C5">
        <w:t xml:space="preserve">rješenja </w:t>
      </w:r>
      <w:r w:rsidR="00547CB2" w:rsidRPr="00D877C5">
        <w:t xml:space="preserve">je </w:t>
      </w:r>
      <w:r w:rsidR="006179D6" w:rsidRPr="00D877C5">
        <w:t>jednostavan</w:t>
      </w:r>
      <w:r w:rsidR="00547CB2" w:rsidRPr="00D877C5">
        <w:t xml:space="preserve"> model za korisnika usluge. </w:t>
      </w:r>
      <w:r w:rsidR="006179D6" w:rsidRPr="00D877C5">
        <w:t xml:space="preserve">U najvećem broju slučajeva, </w:t>
      </w:r>
      <w:r w:rsidR="00370655" w:rsidRPr="00D877C5">
        <w:t xml:space="preserve">vlasnici zgrada nisu upoznati sa obavezom održavanja zgrada, kao ni mogućnostima </w:t>
      </w:r>
      <w:r w:rsidR="00406DE3" w:rsidRPr="00D877C5">
        <w:t xml:space="preserve">provedbe mjera povećanja energetske učinkovitosti. </w:t>
      </w:r>
      <w:r w:rsidR="008D0798" w:rsidRPr="00D877C5">
        <w:t xml:space="preserve">Pozivi </w:t>
      </w:r>
      <w:r w:rsidR="00CD7C0E" w:rsidRPr="00D877C5">
        <w:t xml:space="preserve">za </w:t>
      </w:r>
      <w:r w:rsidR="005C7C35" w:rsidRPr="00D877C5">
        <w:t xml:space="preserve">dodjelu potpora </w:t>
      </w:r>
      <w:r w:rsidR="00054380" w:rsidRPr="00D877C5">
        <w:t xml:space="preserve">za energetsku obnovu zgrada u pravilu omogućavaju </w:t>
      </w:r>
      <w:r w:rsidR="00142977" w:rsidRPr="00D877C5">
        <w:t xml:space="preserve">financiranje većeg raspona mjera, ali u projektima najčešće dominiraju mjere </w:t>
      </w:r>
      <w:r w:rsidR="00741DAD" w:rsidRPr="00D877C5">
        <w:t xml:space="preserve">kojima se prvenstveno utječe na smanjenje potrebe za energijom, dok se komplementarne mjere </w:t>
      </w:r>
      <w:r w:rsidR="007510B1" w:rsidRPr="00D877C5">
        <w:t xml:space="preserve">često ne uključuju. Povezivanjem mjera u pakete moguće je </w:t>
      </w:r>
      <w:r w:rsidR="008C282C" w:rsidRPr="00D877C5">
        <w:t>npr. povezati energetske preglede i projektiranje, projektiranje i izvedbu projekata energetske obnove</w:t>
      </w:r>
      <w:r w:rsidR="00C556A3" w:rsidRPr="00D877C5">
        <w:t xml:space="preserve">, </w:t>
      </w:r>
      <w:r w:rsidR="002653D2" w:rsidRPr="00D877C5">
        <w:t xml:space="preserve">agregiranje projekata i financiranje itd. Povezivanje rješenja u pakete </w:t>
      </w:r>
      <w:r w:rsidR="00E84B27" w:rsidRPr="00D877C5">
        <w:t>moguće je prilagoditi</w:t>
      </w:r>
      <w:r w:rsidR="00E51D54" w:rsidRPr="00D877C5">
        <w:t xml:space="preserve"> lokalnim uvjetima, gdje dominanti sustavi</w:t>
      </w:r>
      <w:r w:rsidR="00C91D12" w:rsidRPr="00D877C5">
        <w:t xml:space="preserve">, korišteni energenti ili karakteristike gradnje </w:t>
      </w:r>
      <w:r w:rsidR="00443FB8" w:rsidRPr="00D877C5">
        <w:t xml:space="preserve">definiraju ključne elemente paketa. Paketi također mogu biti vezani na tipologiju objekata, </w:t>
      </w:r>
      <w:r w:rsidR="001F1491" w:rsidRPr="00D877C5">
        <w:t xml:space="preserve">s prilagođenom uslugom za specifične potrebe. </w:t>
      </w:r>
    </w:p>
    <w:p w14:paraId="16FABFB8" w14:textId="46F7E44B" w:rsidR="000A5D2F" w:rsidRPr="00D877C5" w:rsidRDefault="00942E3A" w:rsidP="000A5D2F">
      <w:pPr>
        <w:pStyle w:val="Odlomakpopisa"/>
        <w:numPr>
          <w:ilvl w:val="0"/>
          <w:numId w:val="0"/>
        </w:numPr>
        <w:ind w:left="720"/>
      </w:pPr>
      <w:r w:rsidRPr="00D877C5">
        <w:t>Moguće kombinacije povezanih rješenja su neogr</w:t>
      </w:r>
      <w:r w:rsidR="00C0790A" w:rsidRPr="00D877C5">
        <w:t xml:space="preserve">aničene, a kao primjer se navode: </w:t>
      </w:r>
    </w:p>
    <w:p w14:paraId="2EFDDA01" w14:textId="3B2EC416" w:rsidR="00C0790A" w:rsidRPr="00D877C5" w:rsidRDefault="00222C2B" w:rsidP="00C0790A">
      <w:pPr>
        <w:pStyle w:val="Odlomakpopisa"/>
        <w:numPr>
          <w:ilvl w:val="1"/>
          <w:numId w:val="54"/>
        </w:numPr>
      </w:pPr>
      <w:r w:rsidRPr="00D877C5">
        <w:t>kogeneracij</w:t>
      </w:r>
      <w:r w:rsidR="005F7765" w:rsidRPr="00D877C5">
        <w:t>a</w:t>
      </w:r>
      <w:r w:rsidRPr="00D877C5">
        <w:t xml:space="preserve"> </w:t>
      </w:r>
      <w:r w:rsidR="005F7765" w:rsidRPr="00D877C5">
        <w:t xml:space="preserve">na bioplin </w:t>
      </w:r>
      <w:r w:rsidRPr="00D877C5">
        <w:t xml:space="preserve">na poljoprivrednim gospodarstvima </w:t>
      </w:r>
      <w:r w:rsidR="005F7765" w:rsidRPr="00D877C5">
        <w:t>povezana sa toplinskom izolacijom objekata</w:t>
      </w:r>
    </w:p>
    <w:p w14:paraId="0C2542C2" w14:textId="3E6CE4B3" w:rsidR="005F7765" w:rsidRPr="00D877C5" w:rsidRDefault="00DF0ED4" w:rsidP="00C0790A">
      <w:pPr>
        <w:pStyle w:val="Odlomakpopisa"/>
        <w:numPr>
          <w:ilvl w:val="1"/>
          <w:numId w:val="54"/>
        </w:numPr>
      </w:pPr>
      <w:r w:rsidRPr="00D877C5">
        <w:t>kombiniranje mjera obnovljivih izvora energije i energetske obnove za ispunjenje nZEB zahtjeva za zgrade</w:t>
      </w:r>
    </w:p>
    <w:p w14:paraId="728E7ADF" w14:textId="6514CA0F" w:rsidR="00DF0ED4" w:rsidRPr="00D877C5" w:rsidRDefault="00DF0ED4" w:rsidP="00C0790A">
      <w:pPr>
        <w:pStyle w:val="Odlomakpopisa"/>
        <w:numPr>
          <w:ilvl w:val="1"/>
          <w:numId w:val="54"/>
        </w:numPr>
      </w:pPr>
      <w:r w:rsidRPr="00D877C5">
        <w:t>izgradnja nZEB objekata</w:t>
      </w:r>
    </w:p>
    <w:p w14:paraId="69989E21" w14:textId="67CED33E" w:rsidR="005B7805" w:rsidRPr="002C2803" w:rsidRDefault="00406288" w:rsidP="00D877C5">
      <w:pPr>
        <w:pStyle w:val="Odlomakpopisa"/>
        <w:numPr>
          <w:ilvl w:val="1"/>
          <w:numId w:val="54"/>
        </w:numPr>
      </w:pPr>
      <w:r w:rsidRPr="00D877C5">
        <w:t>po</w:t>
      </w:r>
      <w:r w:rsidR="005B7805" w:rsidRPr="00D877C5">
        <w:t xml:space="preserve">vezana rekonstrukcija daljinskih sustava grijanja i hlađenja s </w:t>
      </w:r>
      <w:r w:rsidR="00B9513C">
        <w:t xml:space="preserve">energetskom </w:t>
      </w:r>
      <w:r w:rsidR="005B7805" w:rsidRPr="00D877C5">
        <w:t xml:space="preserve">obnovom </w:t>
      </w:r>
      <w:r w:rsidRPr="00D877C5">
        <w:t>zgrada</w:t>
      </w:r>
    </w:p>
    <w:p w14:paraId="38B16414" w14:textId="77777777" w:rsidR="00B64BB6" w:rsidRPr="00B64BB6" w:rsidRDefault="00B64BB6" w:rsidP="007649C2">
      <w:pPr>
        <w:pStyle w:val="Naslov20"/>
      </w:pPr>
      <w:bookmarkStart w:id="92" w:name="_Toc34052875"/>
      <w:bookmarkStart w:id="93" w:name="_Toc46163819"/>
      <w:r>
        <w:t>One-stop-shop</w:t>
      </w:r>
      <w:bookmarkEnd w:id="92"/>
      <w:bookmarkEnd w:id="93"/>
    </w:p>
    <w:p w14:paraId="08593653" w14:textId="60EDDB58" w:rsidR="003701A3" w:rsidRDefault="00100D27" w:rsidP="00334A49">
      <w:r>
        <w:t xml:space="preserve">„One stop shop“, odnosno jedinstvena točka pristupa </w:t>
      </w:r>
      <w:r w:rsidR="00A06A13">
        <w:t xml:space="preserve">informacijama i uslugama omogućava </w:t>
      </w:r>
      <w:r w:rsidR="00A7285D">
        <w:t xml:space="preserve">jednostavni pristup informacijama o </w:t>
      </w:r>
      <w:r w:rsidR="00076F4E">
        <w:t xml:space="preserve">energetskoj obnovi i mogućnostima financiranja, kao i </w:t>
      </w:r>
      <w:r w:rsidR="00F33F95">
        <w:t xml:space="preserve">promociju energetske učinkovitosti </w:t>
      </w:r>
      <w:r w:rsidR="009F4E3F">
        <w:t xml:space="preserve">za sve grupe korisnika. </w:t>
      </w:r>
      <w:r w:rsidR="001C6B3D">
        <w:t xml:space="preserve">Baziraju se na </w:t>
      </w:r>
      <w:r w:rsidR="005D194F">
        <w:t xml:space="preserve">savjetovanju u svim fazama </w:t>
      </w:r>
      <w:r w:rsidR="00C361FD">
        <w:t xml:space="preserve">procesa obnove, </w:t>
      </w:r>
      <w:r w:rsidR="005D2637">
        <w:t xml:space="preserve">dok se financiranje </w:t>
      </w:r>
      <w:r w:rsidR="00F20F50">
        <w:t>takve usluge provodi iz proračuna JL</w:t>
      </w:r>
      <w:r w:rsidR="000546CB">
        <w:t xml:space="preserve">S. </w:t>
      </w:r>
      <w:r w:rsidR="00773AE6">
        <w:t xml:space="preserve">Modeli </w:t>
      </w:r>
      <w:r w:rsidR="00A4448F">
        <w:t xml:space="preserve">organizacije „One-stop-shop-a“ </w:t>
      </w:r>
      <w:r w:rsidR="0037279E">
        <w:t xml:space="preserve">mogu biti fleksibilni i prilagodljivi – optimalno </w:t>
      </w:r>
      <w:r w:rsidR="00C35E27">
        <w:t xml:space="preserve">ih je organizirati kroz regionalne i lokalne energetske agencije, koje </w:t>
      </w:r>
      <w:r w:rsidR="00640977">
        <w:t xml:space="preserve">u okviru svojih aktivnosti mogu pružiti i </w:t>
      </w:r>
      <w:r w:rsidR="003701A3">
        <w:t xml:space="preserve">ovaj oblik usluge korisnicima. </w:t>
      </w:r>
      <w:r w:rsidR="00DF23CE">
        <w:t>Kl</w:t>
      </w:r>
      <w:r w:rsidR="005C7D7D">
        <w:t xml:space="preserve">jučno je </w:t>
      </w:r>
      <w:r w:rsidR="00E035E3">
        <w:t xml:space="preserve">na jednom mjestu objediniti informaciju o </w:t>
      </w:r>
      <w:r w:rsidR="009B5E83">
        <w:t xml:space="preserve">mogućnostima ušteda, potrebnim koracima i </w:t>
      </w:r>
      <w:r w:rsidR="009D6B33">
        <w:t xml:space="preserve">mogućim izvorima sufinanciranja i drugih oblika potpore projektima energetske obnove. </w:t>
      </w:r>
    </w:p>
    <w:p w14:paraId="3A75274B" w14:textId="560E9C20" w:rsidR="00F11079" w:rsidRDefault="00FE316E" w:rsidP="00334A49">
      <w:r>
        <w:t>Model</w:t>
      </w:r>
      <w:r w:rsidR="00911E6C">
        <w:t>i</w:t>
      </w:r>
      <w:r>
        <w:t xml:space="preserve"> razvoja </w:t>
      </w:r>
      <w:r w:rsidR="009E06CC">
        <w:t>JPT</w:t>
      </w:r>
      <w:r>
        <w:t xml:space="preserve"> za povećanje energetske učinkovitosti </w:t>
      </w:r>
      <w:r w:rsidR="00911E6C">
        <w:t>su ispitani kroz niz EU financiranih projekata i nacionalnih inicijativa</w:t>
      </w:r>
      <w:r w:rsidR="00D15820">
        <w:t xml:space="preserve">, </w:t>
      </w:r>
      <w:r w:rsidR="00C35221">
        <w:t>različitih tipova</w:t>
      </w:r>
      <w:r w:rsidR="00F11079">
        <w:t xml:space="preserve"> i ciljnih grupa.</w:t>
      </w:r>
    </w:p>
    <w:p w14:paraId="09885A16" w14:textId="269C35E0" w:rsidR="008F6CDF" w:rsidRPr="00D877C5" w:rsidRDefault="008F6CDF" w:rsidP="00334A49">
      <w:pPr>
        <w:rPr>
          <w:b/>
          <w:bCs/>
        </w:rPr>
      </w:pPr>
      <w:r w:rsidRPr="00D877C5">
        <w:rPr>
          <w:b/>
          <w:bCs/>
        </w:rPr>
        <w:t>Vrste JPT</w:t>
      </w:r>
    </w:p>
    <w:p w14:paraId="02E68ACC" w14:textId="5560CF62" w:rsidR="00F11079" w:rsidRDefault="00F11079" w:rsidP="00F11079">
      <w:r>
        <w:t xml:space="preserve">Po vrsti, </w:t>
      </w:r>
      <w:r w:rsidR="00063CF1">
        <w:t>jedinstvene pristupne točke</w:t>
      </w:r>
      <w:r>
        <w:t xml:space="preserve"> možemo identificirati kao: </w:t>
      </w:r>
    </w:p>
    <w:p w14:paraId="071176D5" w14:textId="01D93CA1" w:rsidR="00A90A8A" w:rsidRDefault="00725715" w:rsidP="00A90A8A">
      <w:pPr>
        <w:pStyle w:val="Odlomakpopisa"/>
        <w:numPr>
          <w:ilvl w:val="0"/>
          <w:numId w:val="54"/>
        </w:numPr>
      </w:pPr>
      <w:r>
        <w:t>industrijsk</w:t>
      </w:r>
      <w:r w:rsidR="00B9513C">
        <w:t>e</w:t>
      </w:r>
      <w:r>
        <w:t xml:space="preserve"> </w:t>
      </w:r>
      <w:r w:rsidR="007B2C73">
        <w:t>–</w:t>
      </w:r>
      <w:r>
        <w:t xml:space="preserve"> </w:t>
      </w:r>
      <w:r w:rsidR="007B2C73">
        <w:t xml:space="preserve">organiziraju </w:t>
      </w:r>
      <w:r w:rsidR="00B9513C">
        <w:t xml:space="preserve">ih </w:t>
      </w:r>
      <w:r w:rsidR="007B2C73">
        <w:t xml:space="preserve">proizvođači ili instalateri </w:t>
      </w:r>
      <w:r w:rsidR="00095DBF">
        <w:t xml:space="preserve">kojima je cilj </w:t>
      </w:r>
      <w:r w:rsidR="00A90A8A">
        <w:t>širenje tržišta ili poboljšana podrška korisnicima</w:t>
      </w:r>
    </w:p>
    <w:p w14:paraId="474EF954" w14:textId="05F7904F" w:rsidR="00A90A8A" w:rsidRDefault="00A90A8A" w:rsidP="00A90A8A">
      <w:pPr>
        <w:pStyle w:val="Odlomakpopisa"/>
        <w:numPr>
          <w:ilvl w:val="0"/>
          <w:numId w:val="54"/>
        </w:numPr>
      </w:pPr>
      <w:r>
        <w:t>konzultantsk</w:t>
      </w:r>
      <w:r w:rsidR="00B9513C">
        <w:t>e</w:t>
      </w:r>
      <w:r>
        <w:t xml:space="preserve"> – stvaraju </w:t>
      </w:r>
      <w:r w:rsidR="006C6127">
        <w:t>originalnu uslugu orijentiranu na korisnike, širenjem raspona postojećih usluga, kak</w:t>
      </w:r>
      <w:r w:rsidR="00664E97">
        <w:t>o bi dosegli veći broj korisnika</w:t>
      </w:r>
    </w:p>
    <w:p w14:paraId="36341B82" w14:textId="0567D370" w:rsidR="00664E97" w:rsidRDefault="00664E97" w:rsidP="00A90A8A">
      <w:pPr>
        <w:pStyle w:val="Odlomakpopisa"/>
        <w:numPr>
          <w:ilvl w:val="0"/>
          <w:numId w:val="54"/>
        </w:numPr>
      </w:pPr>
      <w:r>
        <w:t xml:space="preserve">ESCO – oslanjaju se na složenu ponudu ESCO usluge te uslugu nude u reorganiziranom </w:t>
      </w:r>
      <w:r w:rsidR="00E96880">
        <w:t>obliku koji naglašava specifične prednosti za korisnike</w:t>
      </w:r>
    </w:p>
    <w:p w14:paraId="19EC4B2B" w14:textId="3E20C97A" w:rsidR="00E96880" w:rsidRDefault="00EE2FF4" w:rsidP="00A90A8A">
      <w:pPr>
        <w:pStyle w:val="Odlomakpopisa"/>
        <w:numPr>
          <w:ilvl w:val="0"/>
          <w:numId w:val="54"/>
        </w:numPr>
      </w:pPr>
      <w:r>
        <w:t xml:space="preserve">lokalna samouprava – prvenstveno vođeni ostvarivanjem klimatskih ciljeva, ponekad i </w:t>
      </w:r>
      <w:r w:rsidR="00E22220">
        <w:t>društvenim</w:t>
      </w:r>
      <w:r>
        <w:t xml:space="preserve"> </w:t>
      </w:r>
      <w:r w:rsidR="00E22220">
        <w:t>ciljevima</w:t>
      </w:r>
    </w:p>
    <w:p w14:paraId="0ADE3028" w14:textId="7B2724A6" w:rsidR="00E22220" w:rsidRDefault="00E22220" w:rsidP="00A90A8A">
      <w:pPr>
        <w:pStyle w:val="Odlomakpopisa"/>
        <w:numPr>
          <w:ilvl w:val="0"/>
          <w:numId w:val="54"/>
        </w:numPr>
      </w:pPr>
      <w:r>
        <w:t>kooperativn</w:t>
      </w:r>
      <w:r w:rsidR="00B9513C">
        <w:t>e</w:t>
      </w:r>
      <w:r>
        <w:t xml:space="preserve"> – prvenstveno ciljaju na društvenu korist, ne nužno samo na energetske i financijske uštede</w:t>
      </w:r>
    </w:p>
    <w:p w14:paraId="6E73FBCF" w14:textId="37392B61" w:rsidR="008F6CDF" w:rsidRPr="00D877C5" w:rsidRDefault="008F6CDF" w:rsidP="00D877C5">
      <w:pPr>
        <w:rPr>
          <w:b/>
          <w:bCs/>
        </w:rPr>
      </w:pPr>
      <w:r w:rsidRPr="00D877C5">
        <w:rPr>
          <w:b/>
          <w:bCs/>
        </w:rPr>
        <w:t>Ciljne grupe korisnika</w:t>
      </w:r>
    </w:p>
    <w:p w14:paraId="47C84A3C" w14:textId="3E1CF49E" w:rsidR="00063CF1" w:rsidRDefault="00DC1E7B" w:rsidP="00063CF1">
      <w:r>
        <w:t xml:space="preserve">Ciljna grupa korisnika </w:t>
      </w:r>
      <w:r w:rsidR="009E06CC">
        <w:t>JPT</w:t>
      </w:r>
      <w:r w:rsidR="00B06B1B">
        <w:t xml:space="preserve"> su u većini slučajeva stambene zgrade, u pravilu </w:t>
      </w:r>
      <w:r w:rsidR="005E44CD">
        <w:t>jedno obiteljske</w:t>
      </w:r>
      <w:r w:rsidR="00B06B1B">
        <w:t xml:space="preserve"> stambene zgrade, budući da je upravo u </w:t>
      </w:r>
      <w:r w:rsidR="00310E0C">
        <w:t>stambenim zgradama najveći potencijal ušteda koje</w:t>
      </w:r>
      <w:r w:rsidR="00B9513C">
        <w:t>ga</w:t>
      </w:r>
      <w:r w:rsidR="00310E0C">
        <w:t xml:space="preserve"> je potrebno zahvatiti. Slijede i</w:t>
      </w:r>
      <w:r w:rsidR="00543E05">
        <w:t xml:space="preserve">h </w:t>
      </w:r>
      <w:r w:rsidR="005E44CD">
        <w:t xml:space="preserve">višestambene zgrade i </w:t>
      </w:r>
      <w:r w:rsidR="00543E05">
        <w:t xml:space="preserve">tijela lokalne uprave, </w:t>
      </w:r>
      <w:r w:rsidR="005E44CD">
        <w:t xml:space="preserve">te čak obnovljivi izvori energije. </w:t>
      </w:r>
      <w:r w:rsidR="00467F61">
        <w:t xml:space="preserve">Ponuda jedinstvenih pristupnih točaka je prilagođena strukturi </w:t>
      </w:r>
      <w:r w:rsidR="009E06CC">
        <w:t xml:space="preserve">korisnika – npr. JPT </w:t>
      </w:r>
      <w:r w:rsidR="00DD40EE">
        <w:t xml:space="preserve">koji cilja lokalnu samoupravu daje težište na velikim projektima i javnim zgradama, ili investicijama u obnovljive izvore energije, dok </w:t>
      </w:r>
      <w:r w:rsidR="00292134">
        <w:t xml:space="preserve">JPT koji daju podršku privatnim korisnicima najčešće rade </w:t>
      </w:r>
      <w:r w:rsidR="00031DA4">
        <w:t xml:space="preserve">s predefiniranim paketima za obnovu koje u pravilu definira industrija, te individualno istražuju </w:t>
      </w:r>
      <w:r w:rsidR="00B36AAC">
        <w:t xml:space="preserve">potrebe svakog klijenta i pomažu im u izboru odgovarajućeg paketa i </w:t>
      </w:r>
      <w:r w:rsidR="008F6CDF">
        <w:t xml:space="preserve">prilagođavaju ga njihovim potrebama. Na ovaj način se i agregiraju projekti i smanjuju troškovi upravljanja projektima. </w:t>
      </w:r>
    </w:p>
    <w:p w14:paraId="754DD803" w14:textId="2F43C5F9" w:rsidR="008F6CDF" w:rsidRPr="00D877C5" w:rsidRDefault="008F6CDF" w:rsidP="00063CF1">
      <w:pPr>
        <w:rPr>
          <w:b/>
          <w:bCs/>
        </w:rPr>
      </w:pPr>
      <w:r w:rsidRPr="00D877C5">
        <w:rPr>
          <w:b/>
          <w:bCs/>
        </w:rPr>
        <w:t>Prednosti JPT</w:t>
      </w:r>
    </w:p>
    <w:p w14:paraId="63D35E92" w14:textId="60D6A4DA" w:rsidR="00063CF1" w:rsidRDefault="008F6CDF" w:rsidP="00063CF1">
      <w:r>
        <w:t xml:space="preserve">Prednosti JPT se mogu identificirati s </w:t>
      </w:r>
      <w:r w:rsidR="00A312CA">
        <w:t xml:space="preserve">više gledišta. Iz perspektive </w:t>
      </w:r>
      <w:r w:rsidR="00C37B1A">
        <w:t>privatnog korisnika, korist</w:t>
      </w:r>
      <w:r w:rsidR="00CA07AE">
        <w:t xml:space="preserve">i ovise o osobnim karakteristikama </w:t>
      </w:r>
      <w:r w:rsidR="00F30E96">
        <w:t>–</w:t>
      </w:r>
      <w:r w:rsidR="00CA07AE">
        <w:t xml:space="preserve"> </w:t>
      </w:r>
      <w:r w:rsidR="00F30E96">
        <w:t xml:space="preserve">nestručnjak nasuprot dobro informiranom korisniku: </w:t>
      </w:r>
    </w:p>
    <w:p w14:paraId="257F3822" w14:textId="1AAE2B91" w:rsidR="00F30E96" w:rsidRDefault="00F30E96" w:rsidP="00F30E96">
      <w:pPr>
        <w:pStyle w:val="Odlomakpopisa"/>
        <w:numPr>
          <w:ilvl w:val="0"/>
          <w:numId w:val="54"/>
        </w:numPr>
      </w:pPr>
      <w:r>
        <w:t>generalno više informacija o energetskoj učinkovitosti</w:t>
      </w:r>
    </w:p>
    <w:p w14:paraId="5EDB35DC" w14:textId="158C42D6" w:rsidR="00F30E96" w:rsidRDefault="0051295F" w:rsidP="00F30E96">
      <w:pPr>
        <w:pStyle w:val="Odlomakpopisa"/>
        <w:numPr>
          <w:ilvl w:val="0"/>
          <w:numId w:val="54"/>
        </w:numPr>
      </w:pPr>
      <w:r>
        <w:t xml:space="preserve">informacija o mogućem visokom potencijalu poboljšanja u vlastitom domu, </w:t>
      </w:r>
      <w:r w:rsidR="00593E8A">
        <w:t>osobni savjet</w:t>
      </w:r>
    </w:p>
    <w:p w14:paraId="40ECDBD7" w14:textId="1CED261D" w:rsidR="00593E8A" w:rsidRDefault="00593E8A" w:rsidP="00F30E96">
      <w:pPr>
        <w:pStyle w:val="Odlomakpopisa"/>
        <w:numPr>
          <w:ilvl w:val="0"/>
          <w:numId w:val="54"/>
        </w:numPr>
      </w:pPr>
      <w:r>
        <w:t>jedinstvena točka kontakta i plaćanja</w:t>
      </w:r>
      <w:r w:rsidR="00B9513C">
        <w:t xml:space="preserve"> </w:t>
      </w:r>
      <w:r>
        <w:t>bez potrebe za održavanjem kontakta s velikim brojem pružatelja usluga</w:t>
      </w:r>
    </w:p>
    <w:p w14:paraId="6CCDE4EE" w14:textId="3C83CEB6" w:rsidR="00593E8A" w:rsidRDefault="00854219" w:rsidP="00F30E96">
      <w:pPr>
        <w:pStyle w:val="Odlomakpopisa"/>
        <w:numPr>
          <w:ilvl w:val="0"/>
          <w:numId w:val="54"/>
        </w:numPr>
      </w:pPr>
      <w:r>
        <w:t>povjerenje koje se razvoja prema jednom pružatelj usluge</w:t>
      </w:r>
    </w:p>
    <w:p w14:paraId="279DE09A" w14:textId="065D8BBD" w:rsidR="00854219" w:rsidRDefault="00854219" w:rsidP="00F30E96">
      <w:pPr>
        <w:pStyle w:val="Odlomakpopisa"/>
        <w:numPr>
          <w:ilvl w:val="0"/>
          <w:numId w:val="54"/>
        </w:numPr>
      </w:pPr>
      <w:r>
        <w:t xml:space="preserve">kompleksni pristup, </w:t>
      </w:r>
      <w:r w:rsidR="00163FC6">
        <w:t>umjesto pojedinačnih koraka u osobnom vođenju projekta</w:t>
      </w:r>
    </w:p>
    <w:p w14:paraId="4DC67EC4" w14:textId="73DAE83F" w:rsidR="00163FC6" w:rsidRDefault="00163FC6" w:rsidP="00F30E96">
      <w:pPr>
        <w:pStyle w:val="Odlomakpopisa"/>
        <w:numPr>
          <w:ilvl w:val="0"/>
          <w:numId w:val="54"/>
        </w:numPr>
      </w:pPr>
      <w:r>
        <w:t>procjena alternativa</w:t>
      </w:r>
    </w:p>
    <w:p w14:paraId="300CAC6D" w14:textId="30257442" w:rsidR="00163FC6" w:rsidRDefault="00163FC6" w:rsidP="00F30E96">
      <w:pPr>
        <w:pStyle w:val="Odlomakpopisa"/>
        <w:numPr>
          <w:ilvl w:val="0"/>
          <w:numId w:val="54"/>
        </w:numPr>
      </w:pPr>
      <w:r>
        <w:t>kontrola kvalitete i jamstvo kvalitete za tehničke partnere</w:t>
      </w:r>
    </w:p>
    <w:p w14:paraId="27E9DE25" w14:textId="27F84E16" w:rsidR="00163FC6" w:rsidRDefault="002A08D3" w:rsidP="00F30E96">
      <w:pPr>
        <w:pStyle w:val="Odlomakpopisa"/>
        <w:numPr>
          <w:ilvl w:val="0"/>
          <w:numId w:val="54"/>
        </w:numPr>
      </w:pPr>
      <w:r>
        <w:t>brže završavanje posla</w:t>
      </w:r>
    </w:p>
    <w:p w14:paraId="7BD86B7E" w14:textId="48CC3CCB" w:rsidR="002A08D3" w:rsidRDefault="002A08D3" w:rsidP="00F30E96">
      <w:pPr>
        <w:pStyle w:val="Odlomakpopisa"/>
        <w:numPr>
          <w:ilvl w:val="0"/>
          <w:numId w:val="54"/>
        </w:numPr>
      </w:pPr>
      <w:r>
        <w:t>pomoć u osiguravanju financiranja</w:t>
      </w:r>
    </w:p>
    <w:p w14:paraId="5E450140" w14:textId="27B5F55C" w:rsidR="002A08D3" w:rsidRDefault="00844B14" w:rsidP="002A08D3">
      <w:r>
        <w:t xml:space="preserve">JPT </w:t>
      </w:r>
      <w:r w:rsidR="00B9513C">
        <w:t xml:space="preserve">razvija </w:t>
      </w:r>
      <w:r>
        <w:t>stalne odnose prema lokalnim dionicima na tržištu</w:t>
      </w:r>
      <w:r w:rsidR="00121EE9">
        <w:t xml:space="preserve"> – instalaterima, inženjerima, izvođačima – kojima također nude </w:t>
      </w:r>
      <w:r w:rsidR="00FC3C09">
        <w:t>uslugu u obliku</w:t>
      </w:r>
    </w:p>
    <w:p w14:paraId="47357105" w14:textId="4D8B431B" w:rsidR="00FC3C09" w:rsidRDefault="00FC3C09" w:rsidP="00FC3C09">
      <w:pPr>
        <w:pStyle w:val="Odlomakpopisa"/>
        <w:numPr>
          <w:ilvl w:val="0"/>
          <w:numId w:val="54"/>
        </w:numPr>
      </w:pPr>
      <w:r>
        <w:t>edukacije</w:t>
      </w:r>
    </w:p>
    <w:p w14:paraId="729A48C9" w14:textId="0593D330" w:rsidR="00FC3C09" w:rsidRDefault="00FC3C09" w:rsidP="00FC3C09">
      <w:pPr>
        <w:pStyle w:val="Odlomakpopisa"/>
        <w:numPr>
          <w:ilvl w:val="0"/>
          <w:numId w:val="54"/>
        </w:numPr>
      </w:pPr>
      <w:r>
        <w:t>alata za proračuna, izvedbu, nadzor</w:t>
      </w:r>
    </w:p>
    <w:p w14:paraId="13199715" w14:textId="457646A5" w:rsidR="00FC3C09" w:rsidRDefault="00FC3C09" w:rsidP="00FC3C09">
      <w:pPr>
        <w:pStyle w:val="Odlomakpopisa"/>
        <w:numPr>
          <w:ilvl w:val="0"/>
          <w:numId w:val="54"/>
        </w:numPr>
      </w:pPr>
      <w:r>
        <w:t>nove poslovne kontakte</w:t>
      </w:r>
    </w:p>
    <w:p w14:paraId="6580FEC8" w14:textId="7E42A5C4" w:rsidR="006C7F2D" w:rsidRDefault="006C7F2D" w:rsidP="00FC3C09">
      <w:pPr>
        <w:pStyle w:val="Odlomakpopisa"/>
        <w:numPr>
          <w:ilvl w:val="0"/>
          <w:numId w:val="54"/>
        </w:numPr>
      </w:pPr>
      <w:r>
        <w:t>povećanje kvalitete kroz akreditaciju i kontrolu kvalitete</w:t>
      </w:r>
    </w:p>
    <w:p w14:paraId="5DDE3F78" w14:textId="40BA41E2" w:rsidR="006C7F2D" w:rsidRDefault="008507A1" w:rsidP="006C7F2D">
      <w:pPr>
        <w:ind w:left="0"/>
      </w:pPr>
      <w:r>
        <w:t xml:space="preserve">Istodobno, jedinstvena pristupna točka ostvaruje vlastitu korist u obliku </w:t>
      </w:r>
    </w:p>
    <w:p w14:paraId="447E4701" w14:textId="66935612" w:rsidR="008507A1" w:rsidRDefault="008507A1" w:rsidP="008507A1">
      <w:pPr>
        <w:pStyle w:val="Odlomakpopisa"/>
        <w:numPr>
          <w:ilvl w:val="0"/>
          <w:numId w:val="54"/>
        </w:numPr>
      </w:pPr>
      <w:r>
        <w:t xml:space="preserve">povećane </w:t>
      </w:r>
      <w:r w:rsidR="00C65163">
        <w:t>otpornosti prema zakonodavnom pritisku – prilagodljiviji su deregulaciji, liberalizaciji ili privatizaciji</w:t>
      </w:r>
    </w:p>
    <w:p w14:paraId="3D59D146" w14:textId="51C93AF1" w:rsidR="00C84DBC" w:rsidRDefault="00C84DBC" w:rsidP="008507A1">
      <w:pPr>
        <w:pStyle w:val="Odlomakpopisa"/>
        <w:numPr>
          <w:ilvl w:val="0"/>
          <w:numId w:val="54"/>
        </w:numPr>
      </w:pPr>
      <w:r>
        <w:t>zbog veće</w:t>
      </w:r>
      <w:r w:rsidR="00B9513C">
        <w:t>g</w:t>
      </w:r>
      <w:r>
        <w:t xml:space="preserve"> obujma posla otporniji su na ekonomski pritisak</w:t>
      </w:r>
    </w:p>
    <w:p w14:paraId="3EAB033C" w14:textId="5945A1A3" w:rsidR="00C84DBC" w:rsidRDefault="00C84DBC" w:rsidP="008507A1">
      <w:pPr>
        <w:pStyle w:val="Odlomakpopisa"/>
        <w:numPr>
          <w:ilvl w:val="0"/>
          <w:numId w:val="54"/>
        </w:numPr>
      </w:pPr>
      <w:r>
        <w:t>objedinjavaju</w:t>
      </w:r>
      <w:r w:rsidR="00282F2D">
        <w:t xml:space="preserve"> dulji lanac dodane vrijednosti</w:t>
      </w:r>
      <w:r w:rsidR="001127A5">
        <w:t>, kroz razvijene odnose s kupcima</w:t>
      </w:r>
    </w:p>
    <w:p w14:paraId="5F56C89F" w14:textId="15B564E1" w:rsidR="001127A5" w:rsidRDefault="001127A5" w:rsidP="008507A1">
      <w:pPr>
        <w:pStyle w:val="Odlomakpopisa"/>
        <w:numPr>
          <w:ilvl w:val="0"/>
          <w:numId w:val="54"/>
        </w:numPr>
      </w:pPr>
      <w:r>
        <w:t>ustanovljavaju stabilnije odnose i postižu bolje cijene</w:t>
      </w:r>
    </w:p>
    <w:p w14:paraId="6AEBD1CB" w14:textId="0A92A384" w:rsidR="001127A5" w:rsidRDefault="00B9513C" w:rsidP="008507A1">
      <w:pPr>
        <w:pStyle w:val="Odlomakpopisa"/>
        <w:numPr>
          <w:ilvl w:val="0"/>
          <w:numId w:val="54"/>
        </w:numPr>
      </w:pPr>
      <w:r>
        <w:t>b</w:t>
      </w:r>
      <w:r w:rsidR="007B0626">
        <w:t>olja podrška kupcima</w:t>
      </w:r>
    </w:p>
    <w:p w14:paraId="3AF8F851" w14:textId="2132EAFA" w:rsidR="007B0626" w:rsidRDefault="007B0626" w:rsidP="008507A1">
      <w:pPr>
        <w:pStyle w:val="Odlomakpopisa"/>
        <w:numPr>
          <w:ilvl w:val="0"/>
          <w:numId w:val="54"/>
        </w:numPr>
      </w:pPr>
      <w:r>
        <w:t>veća prodaja s dodatnom uslugo</w:t>
      </w:r>
      <w:r w:rsidR="00010E37">
        <w:t>m</w:t>
      </w:r>
    </w:p>
    <w:p w14:paraId="396D4C5E" w14:textId="5EFC3848" w:rsidR="00010E37" w:rsidRDefault="00010E37" w:rsidP="00D877C5">
      <w:pPr>
        <w:ind w:left="0"/>
      </w:pPr>
      <w:r>
        <w:t xml:space="preserve">Jedinstvena pristupna točka može djelovati kao javno tijelo, </w:t>
      </w:r>
      <w:r w:rsidR="00456044">
        <w:t xml:space="preserve">s ciljem ostvarivanja javnih ciljeva (energetske uštede). </w:t>
      </w:r>
    </w:p>
    <w:p w14:paraId="13450684" w14:textId="49D88C71" w:rsidR="002C2803" w:rsidRDefault="007B3469" w:rsidP="00334A49">
      <w:pPr>
        <w:rPr>
          <w:b/>
          <w:bCs/>
        </w:rPr>
      </w:pPr>
      <w:r>
        <w:rPr>
          <w:b/>
          <w:bCs/>
        </w:rPr>
        <w:t>Potpora u fina</w:t>
      </w:r>
      <w:r w:rsidR="00137793">
        <w:rPr>
          <w:b/>
          <w:bCs/>
        </w:rPr>
        <w:t>n</w:t>
      </w:r>
      <w:r>
        <w:rPr>
          <w:b/>
          <w:bCs/>
        </w:rPr>
        <w:t>ciranju</w:t>
      </w:r>
    </w:p>
    <w:p w14:paraId="1FAB36D8" w14:textId="3E77AC5E" w:rsidR="007B3469" w:rsidRDefault="007B3469" w:rsidP="00334A49">
      <w:r w:rsidRPr="00D877C5">
        <w:t xml:space="preserve">Dodatna </w:t>
      </w:r>
      <w:r>
        <w:t>usluga koju JPT u većoj ili manjoj mjeri može pružiti je pot</w:t>
      </w:r>
      <w:r w:rsidR="00C61CED">
        <w:t xml:space="preserve">pora u pristupu financiranju za projekte kojima upravlja. Potpora privatnim klijentima može biti u obliku: </w:t>
      </w:r>
    </w:p>
    <w:p w14:paraId="101C598F" w14:textId="6AA7FDDB" w:rsidR="00C61CED" w:rsidRDefault="00987848" w:rsidP="00C61CED">
      <w:pPr>
        <w:pStyle w:val="Odlomakpopisa"/>
        <w:numPr>
          <w:ilvl w:val="0"/>
          <w:numId w:val="54"/>
        </w:numPr>
      </w:pPr>
      <w:r>
        <w:t>tehničke potpore organizacijama koje prvenstveno nude financijske proizvode (banke</w:t>
      </w:r>
      <w:r w:rsidR="00BF087C">
        <w:t xml:space="preserve"> i kreditne linije)</w:t>
      </w:r>
    </w:p>
    <w:p w14:paraId="49C2A63B" w14:textId="3697B14E" w:rsidR="00BF087C" w:rsidRDefault="00BF087C" w:rsidP="00C61CED">
      <w:pPr>
        <w:pStyle w:val="Odlomakpopisa"/>
        <w:numPr>
          <w:ilvl w:val="0"/>
          <w:numId w:val="54"/>
        </w:numPr>
      </w:pPr>
      <w:r>
        <w:t>razrad</w:t>
      </w:r>
      <w:r w:rsidR="00B9513C">
        <w:t>e</w:t>
      </w:r>
      <w:r>
        <w:t xml:space="preserve"> financijskih planova za klijente i time potpora u </w:t>
      </w:r>
      <w:r w:rsidR="008F4951">
        <w:t>donošenju kvalitetne informirane odluke i odabira</w:t>
      </w:r>
    </w:p>
    <w:p w14:paraId="70E3075A" w14:textId="019CA6E3" w:rsidR="008F4951" w:rsidRDefault="008F4951" w:rsidP="00C61CED">
      <w:pPr>
        <w:pStyle w:val="Odlomakpopisa"/>
        <w:numPr>
          <w:ilvl w:val="0"/>
          <w:numId w:val="54"/>
        </w:numPr>
      </w:pPr>
      <w:r>
        <w:t>vlastiti</w:t>
      </w:r>
      <w:r w:rsidR="00B9513C">
        <w:t>h</w:t>
      </w:r>
      <w:r>
        <w:t xml:space="preserve"> izvor</w:t>
      </w:r>
      <w:r w:rsidR="00B9513C">
        <w:t>a</w:t>
      </w:r>
      <w:r>
        <w:t xml:space="preserve"> financiranja ili </w:t>
      </w:r>
      <w:r w:rsidR="00EE7A4B">
        <w:t>pribavljanj</w:t>
      </w:r>
      <w:r w:rsidR="00B9513C">
        <w:t>a</w:t>
      </w:r>
      <w:r w:rsidR="00EE7A4B">
        <w:t xml:space="preserve"> zajmova i drugih oblika financiranja</w:t>
      </w:r>
    </w:p>
    <w:p w14:paraId="4220E878" w14:textId="71BAF4DB" w:rsidR="00EE7A4B" w:rsidRDefault="00F0632E" w:rsidP="00C61CED">
      <w:pPr>
        <w:pStyle w:val="Odlomakpopisa"/>
        <w:numPr>
          <w:ilvl w:val="0"/>
          <w:numId w:val="54"/>
        </w:numPr>
      </w:pPr>
      <w:r>
        <w:t>usmjeravanj</w:t>
      </w:r>
      <w:r w:rsidR="00B9513C">
        <w:t>a</w:t>
      </w:r>
      <w:r>
        <w:t xml:space="preserve"> na potpore ili izvore kreditiranja</w:t>
      </w:r>
    </w:p>
    <w:p w14:paraId="1687F82C" w14:textId="2C505DB6" w:rsidR="00F0632E" w:rsidRPr="00424DAC" w:rsidRDefault="002137C6" w:rsidP="00D877C5">
      <w:pPr>
        <w:pStyle w:val="Odlomakpopisa"/>
        <w:numPr>
          <w:ilvl w:val="0"/>
          <w:numId w:val="54"/>
        </w:numPr>
      </w:pPr>
      <w:r>
        <w:t>izrad</w:t>
      </w:r>
      <w:r w:rsidR="00B9513C">
        <w:t>e</w:t>
      </w:r>
      <w:r>
        <w:t xml:space="preserve"> projektne dokumentacije, garancija ili financijskih planova za brzu evaluaciju kreditnih zah</w:t>
      </w:r>
      <w:r w:rsidR="00137793">
        <w:t>tj</w:t>
      </w:r>
      <w:r>
        <w:t>eva kod banaka</w:t>
      </w:r>
    </w:p>
    <w:p w14:paraId="67BE8DF9" w14:textId="60F352BA" w:rsidR="002C2803" w:rsidRPr="00424DAC" w:rsidRDefault="00137793" w:rsidP="00334A49">
      <w:r>
        <w:t xml:space="preserve">Jedinstvene pristupne točke su </w:t>
      </w:r>
      <w:r w:rsidR="0049001B">
        <w:t xml:space="preserve">učinkovite jer su lokalne, ubrzavaju energetsku obnovu kroz informiranje i motiviranje korisnika, kao i podršku vlasnicima zgrada </w:t>
      </w:r>
      <w:r w:rsidR="00690F73">
        <w:t>kroz investicije u energetsku učinkovitos</w:t>
      </w:r>
      <w:r w:rsidR="007B6029">
        <w:t xml:space="preserve">t, olakšavaju pristup financiranju, </w:t>
      </w:r>
      <w:r w:rsidR="00B424D1">
        <w:t xml:space="preserve">te mogu povećati razinu energetske obnove u pogledu ušteda energije zbog toga što </w:t>
      </w:r>
      <w:r w:rsidR="00553CA8">
        <w:t xml:space="preserve">prolaze kroz kompletan proces obnove. </w:t>
      </w:r>
    </w:p>
    <w:p w14:paraId="6BC10047" w14:textId="77777777" w:rsidR="006C6A70" w:rsidRPr="00773AE6" w:rsidRDefault="006C6A70" w:rsidP="00334A49"/>
    <w:p w14:paraId="6185C692" w14:textId="77777777" w:rsidR="00473BAF" w:rsidRPr="004E2FFF" w:rsidRDefault="00473BAF" w:rsidP="007649C2">
      <w:pPr>
        <w:pStyle w:val="Naslov20"/>
      </w:pPr>
      <w:bookmarkStart w:id="94" w:name="_Toc34052876"/>
      <w:bookmarkStart w:id="95" w:name="_Toc46163820"/>
      <w:r w:rsidRPr="004E2FFF">
        <w:t>Utvrđivanje troškovno učinkovitog pristupa obnovi ovisno o kategoriji zgrade i klimatskoj zoni</w:t>
      </w:r>
      <w:bookmarkEnd w:id="94"/>
      <w:bookmarkEnd w:id="95"/>
    </w:p>
    <w:p w14:paraId="641FC69F" w14:textId="7F02CF94" w:rsidR="004E2FFF" w:rsidRDefault="004E2FFF" w:rsidP="004E2FFF">
      <w:pPr>
        <w:rPr>
          <w:lang w:eastAsia="hr-HR"/>
        </w:rPr>
      </w:pPr>
      <w:r w:rsidRPr="004E2FFF">
        <w:rPr>
          <w:lang w:eastAsia="hr-HR"/>
        </w:rPr>
        <w:t>Minimalni zahtjev za zgrade, bez obzira na namjenu, kod rekonstrukcije danas</w:t>
      </w:r>
      <w:r>
        <w:rPr>
          <w:lang w:eastAsia="hr-HR"/>
        </w:rPr>
        <w:t>,</w:t>
      </w:r>
      <w:r w:rsidRPr="004E2FFF">
        <w:rPr>
          <w:lang w:eastAsia="hr-HR"/>
        </w:rPr>
        <w:t xml:space="preserve"> </w:t>
      </w:r>
      <w:r>
        <w:rPr>
          <w:lang w:eastAsia="hr-HR"/>
        </w:rPr>
        <w:t>treba</w:t>
      </w:r>
      <w:r w:rsidR="00847863">
        <w:rPr>
          <w:lang w:eastAsia="hr-HR"/>
        </w:rPr>
        <w:t xml:space="preserve"> težiti</w:t>
      </w:r>
      <w:r>
        <w:rPr>
          <w:lang w:eastAsia="hr-HR"/>
        </w:rPr>
        <w:t xml:space="preserve"> </w:t>
      </w:r>
      <w:r w:rsidRPr="004E2FFF">
        <w:rPr>
          <w:lang w:eastAsia="hr-HR"/>
        </w:rPr>
        <w:t>zgrad</w:t>
      </w:r>
      <w:r w:rsidR="00847863">
        <w:rPr>
          <w:lang w:eastAsia="hr-HR"/>
        </w:rPr>
        <w:t>i</w:t>
      </w:r>
      <w:r w:rsidRPr="004E2FFF">
        <w:rPr>
          <w:lang w:eastAsia="hr-HR"/>
        </w:rPr>
        <w:t xml:space="preserve"> gotovo nulte energije. </w:t>
      </w:r>
      <w:r>
        <w:rPr>
          <w:lang w:eastAsia="hr-HR"/>
        </w:rPr>
        <w:t>Troškovno optimalni zahtjev za zgrade</w:t>
      </w:r>
      <w:r w:rsidR="00E24224">
        <w:rPr>
          <w:lang w:eastAsia="hr-HR"/>
        </w:rPr>
        <w:t xml:space="preserve"> i definicija nZEB zahtjeva</w:t>
      </w:r>
      <w:r>
        <w:rPr>
          <w:lang w:eastAsia="hr-HR"/>
        </w:rPr>
        <w:t xml:space="preserve"> </w:t>
      </w:r>
      <w:r w:rsidR="007175FA">
        <w:rPr>
          <w:lang w:eastAsia="hr-HR"/>
        </w:rPr>
        <w:t>utvrđeni su</w:t>
      </w:r>
      <w:r>
        <w:rPr>
          <w:lang w:eastAsia="hr-HR"/>
        </w:rPr>
        <w:t xml:space="preserve"> 2014. godine, te je zbog proteka vremena i značajnih promjena na tržištu (40% porast cijene građenja u 5-godišnjem razdoblju od 2014. do 2019,. godine) u procesu redefinicije. </w:t>
      </w:r>
    </w:p>
    <w:p w14:paraId="5A5AC2D2" w14:textId="02981236" w:rsidR="00424DAC" w:rsidRDefault="00424DAC" w:rsidP="00424DAC">
      <w:pPr>
        <w:rPr>
          <w:lang w:eastAsia="hr-HR"/>
        </w:rPr>
      </w:pPr>
      <w:r>
        <w:rPr>
          <w:lang w:eastAsia="hr-HR"/>
        </w:rPr>
        <w:t>U postupku odabira troškovno optimalne razine energetske obnove uspoređene su vrijednosti iz TPRUETZZ s rezultatima proračuna, uz primijenjene ulazne parametre odabira zgrada</w:t>
      </w:r>
    </w:p>
    <w:p w14:paraId="66F0E201" w14:textId="77777777" w:rsidR="00424DAC" w:rsidRDefault="00424DAC" w:rsidP="00424DAC">
      <w:pPr>
        <w:rPr>
          <w:lang w:eastAsia="hr-HR"/>
        </w:rPr>
      </w:pPr>
      <w:r>
        <w:rPr>
          <w:lang w:eastAsia="hr-HR"/>
        </w:rPr>
        <w:t>-</w:t>
      </w:r>
      <w:r>
        <w:rPr>
          <w:lang w:eastAsia="hr-HR"/>
        </w:rPr>
        <w:tab/>
        <w:t xml:space="preserve">objedinjene su sve zgrade (sve varijante) po namjeni i klimi, bez obzira na razdoblje gradnje </w:t>
      </w:r>
    </w:p>
    <w:p w14:paraId="421B39E6" w14:textId="77777777" w:rsidR="00424DAC" w:rsidRDefault="00424DAC" w:rsidP="00424DAC">
      <w:pPr>
        <w:rPr>
          <w:lang w:eastAsia="hr-HR"/>
        </w:rPr>
      </w:pPr>
      <w:r>
        <w:rPr>
          <w:lang w:eastAsia="hr-HR"/>
        </w:rPr>
        <w:t>-</w:t>
      </w:r>
      <w:r>
        <w:rPr>
          <w:lang w:eastAsia="hr-HR"/>
        </w:rPr>
        <w:tab/>
        <w:t>zgrade izgrađene iza 2005. godine su izuzete iz usporedbe</w:t>
      </w:r>
    </w:p>
    <w:p w14:paraId="593920FA" w14:textId="38DE16A2" w:rsidR="00424DAC" w:rsidRDefault="00424DAC" w:rsidP="00424DAC">
      <w:pPr>
        <w:rPr>
          <w:lang w:eastAsia="hr-HR"/>
        </w:rPr>
      </w:pPr>
      <w:r>
        <w:rPr>
          <w:lang w:eastAsia="hr-HR"/>
        </w:rPr>
        <w:t>-</w:t>
      </w:r>
      <w:r>
        <w:rPr>
          <w:lang w:eastAsia="hr-HR"/>
        </w:rPr>
        <w:tab/>
        <w:t>zgrade izvan troškovno učinkovitog područja isključene su iz usporedbe</w:t>
      </w:r>
    </w:p>
    <w:p w14:paraId="3B1722BD" w14:textId="1E9A20E6" w:rsidR="00424DAC" w:rsidRDefault="00835F99" w:rsidP="00424DAC">
      <w:pPr>
        <w:rPr>
          <w:lang w:eastAsia="hr-HR"/>
        </w:rPr>
      </w:pPr>
      <w:r w:rsidRPr="00835F99">
        <w:rPr>
          <w:lang w:eastAsia="hr-HR"/>
        </w:rPr>
        <w:t xml:space="preserve">Na temelju podataka o referentnim zgradama provedena je optimizacija razine energetske obnove zgrada po isporučenoj i primarnoj energiji na troškovno optimalnu razinu, kao i na razinu zgrada gotovo nulte energije. </w:t>
      </w:r>
      <w:r>
        <w:rPr>
          <w:lang w:eastAsia="hr-HR"/>
        </w:rPr>
        <w:t xml:space="preserve">Vrijednosti dane Tehničkim propisom o racionalnoj uporabi energije i toplinskoj zaštiti u zgradama za </w:t>
      </w:r>
      <w:r w:rsidR="009C3EC5">
        <w:rPr>
          <w:lang w:eastAsia="hr-HR"/>
        </w:rPr>
        <w:t>novogradnju se uzimaju kao referentni zahtjevi za obnovu</w:t>
      </w:r>
      <w:r w:rsidR="00881ADC">
        <w:rPr>
          <w:lang w:eastAsia="hr-HR"/>
        </w:rPr>
        <w:t xml:space="preserve"> zgrada u razvoju energetskog modela </w:t>
      </w:r>
      <w:r w:rsidR="00687075">
        <w:rPr>
          <w:lang w:eastAsia="hr-HR"/>
        </w:rPr>
        <w:t xml:space="preserve">do 2050 godine, očekujući ubrzani tehnološki razvoj koji će premostiti jaz između trenutačnih zahtjeva i </w:t>
      </w:r>
      <w:r w:rsidR="00C65BFB">
        <w:rPr>
          <w:lang w:eastAsia="hr-HR"/>
        </w:rPr>
        <w:t xml:space="preserve">mogućnosti. </w:t>
      </w:r>
    </w:p>
    <w:p w14:paraId="3A3C1999" w14:textId="026ACA68" w:rsidR="008D6D12" w:rsidRDefault="00122B5A" w:rsidP="004E2FFF">
      <w:pPr>
        <w:rPr>
          <w:lang w:eastAsia="hr-HR"/>
        </w:rPr>
      </w:pPr>
      <w:r>
        <w:rPr>
          <w:lang w:eastAsia="hr-HR"/>
        </w:rPr>
        <w:t>Primjena nZEB zahtjeva u praksi je pokazala potrebu za definiranjem specifičnih zahtjeva za rekonstruirane zgrade koje zbog vanjskih ograničenja ne mogu ispuniti zahtjeve za nove zgrade.</w:t>
      </w:r>
      <w:r w:rsidR="00AE029C">
        <w:rPr>
          <w:lang w:eastAsia="hr-HR"/>
        </w:rPr>
        <w:t xml:space="preserve"> Do donoš</w:t>
      </w:r>
      <w:r w:rsidR="003C5B28">
        <w:rPr>
          <w:lang w:eastAsia="hr-HR"/>
        </w:rPr>
        <w:t xml:space="preserve">enja specifičnih zahtjeva za obnovu zgrada, koriste se zahtjevi određeni Tehničkim propisom o racionalnoj uporabi energije i toplinskoj zaštiti u zgradama.  </w:t>
      </w:r>
    </w:p>
    <w:p w14:paraId="3A6F7921" w14:textId="77777777" w:rsidR="00151ED9" w:rsidRDefault="00C36A06" w:rsidP="007649C2">
      <w:pPr>
        <w:pStyle w:val="Naslov20"/>
      </w:pPr>
      <w:r>
        <w:t xml:space="preserve"> </w:t>
      </w:r>
      <w:bookmarkStart w:id="96" w:name="_Toc34052877"/>
      <w:bookmarkStart w:id="97" w:name="_Toc46163821"/>
      <w:r w:rsidR="002B7E41">
        <w:t>„Pokretačke točke“ energetske obnove</w:t>
      </w:r>
      <w:bookmarkEnd w:id="96"/>
      <w:bookmarkEnd w:id="97"/>
      <w:r w:rsidR="00151ED9">
        <w:t xml:space="preserve"> </w:t>
      </w:r>
    </w:p>
    <w:p w14:paraId="6186B07E" w14:textId="6EDEDF28" w:rsidR="009C28F4" w:rsidRDefault="0016393C" w:rsidP="00334A49">
      <w:r>
        <w:rPr>
          <w:lang w:eastAsia="hr-HR"/>
        </w:rPr>
        <w:t>U Republici Hrvatskoj, zbog niske</w:t>
      </w:r>
      <w:r w:rsidR="00A81034">
        <w:rPr>
          <w:lang w:eastAsia="hr-HR"/>
        </w:rPr>
        <w:t xml:space="preserve"> kupovne moći koja se ocrtava i u vrlo niskoj stopi energetske obnove, </w:t>
      </w:r>
      <w:r w:rsidR="00956003">
        <w:rPr>
          <w:lang w:eastAsia="hr-HR"/>
        </w:rPr>
        <w:t xml:space="preserve">najveća pokretačka točka energetske obnove su </w:t>
      </w:r>
      <w:r w:rsidR="00B9513C">
        <w:rPr>
          <w:lang w:eastAsia="hr-HR"/>
        </w:rPr>
        <w:t xml:space="preserve">bespovratna sredstva </w:t>
      </w:r>
      <w:r w:rsidR="00B24869">
        <w:rPr>
          <w:lang w:eastAsia="hr-HR"/>
        </w:rPr>
        <w:t xml:space="preserve">s visokim postotkom sufinanciranja radova energetske obnove. </w:t>
      </w:r>
      <w:r w:rsidR="009C28F4" w:rsidRPr="00DF1712">
        <w:t xml:space="preserve">Ključne pokretačke točke u životnom ciklusu zgrade su </w:t>
      </w:r>
      <w:r w:rsidR="00DF1712" w:rsidRPr="00DF1712">
        <w:t>vezane uz veličinu investicije i trajnost građevnih dijelova i komponenti sustava.</w:t>
      </w:r>
      <w:r w:rsidR="00F834F4">
        <w:t xml:space="preserve"> </w:t>
      </w:r>
      <w:r w:rsidR="00542978">
        <w:t xml:space="preserve">Prosječna trajnost konstrukcije zgrade </w:t>
      </w:r>
      <w:r w:rsidR="003206AF">
        <w:t xml:space="preserve">u RH premašuje ekonomski životni vijek zgrada </w:t>
      </w:r>
      <w:r w:rsidR="007019C8">
        <w:t>– cca 50 godina</w:t>
      </w:r>
      <w:r w:rsidR="004037D8">
        <w:t xml:space="preserve">. Većina konstrukcija vanjske ovojnice </w:t>
      </w:r>
      <w:r w:rsidR="000D3BB4">
        <w:t>ima životni vijek oko 30 godina.</w:t>
      </w:r>
      <w:r w:rsidR="001C7BD4">
        <w:t xml:space="preserve"> Najskuplji elementi termotehničkih sustava – kotlovi i </w:t>
      </w:r>
      <w:r w:rsidR="00925E7C">
        <w:t>ventilacijski uređaji imaju životni vijek do 15 godina. Pregled prosječn</w:t>
      </w:r>
      <w:r w:rsidR="009127E1">
        <w:t xml:space="preserve">e trajnosti po komponentama na razini RH ne postoji, ali u normi </w:t>
      </w:r>
      <w:r w:rsidR="009127E1" w:rsidRPr="009127E1">
        <w:t>HRN EN 15459-1:2017. Energijska svojstva zgrada -- Postupak ekonomske ocjene za energijske sustave u zgradama</w:t>
      </w:r>
      <w:r w:rsidR="009127E1">
        <w:t xml:space="preserve"> </w:t>
      </w:r>
      <w:r w:rsidR="009127E1" w:rsidRPr="009127E1">
        <w:fldChar w:fldCharType="begin"/>
      </w:r>
      <w:r w:rsidR="009127E1" w:rsidRPr="009127E1">
        <w:instrText xml:space="preserve"> CITATION HRN17 \l 1033 </w:instrText>
      </w:r>
      <w:r w:rsidR="009127E1" w:rsidRPr="009127E1">
        <w:fldChar w:fldCharType="separate"/>
      </w:r>
      <w:r w:rsidR="002D258B">
        <w:rPr>
          <w:noProof/>
        </w:rPr>
        <w:t xml:space="preserve"> </w:t>
      </w:r>
      <w:r w:rsidR="002D258B" w:rsidRPr="002D258B">
        <w:rPr>
          <w:noProof/>
        </w:rPr>
        <w:t>(2017)</w:t>
      </w:r>
      <w:r w:rsidR="009127E1" w:rsidRPr="009127E1">
        <w:fldChar w:fldCharType="end"/>
      </w:r>
      <w:r w:rsidR="009127E1">
        <w:t xml:space="preserve"> dan je opsežan pregled po elementima sustava. </w:t>
      </w:r>
      <w:r w:rsidR="00D3666B">
        <w:t>Analizom troškov</w:t>
      </w:r>
      <w:r w:rsidR="006755ED">
        <w:t xml:space="preserve">a </w:t>
      </w:r>
      <w:r w:rsidR="00F97F63">
        <w:t xml:space="preserve">mjera energetske obnove zgrada po namjenama </w:t>
      </w:r>
      <w:r w:rsidR="00506280">
        <w:t>utvrđeno je kako se bitne investicijske točke pojavljuju u 15 godišnjim ciklusima</w:t>
      </w:r>
      <w:r w:rsidR="00F772FB">
        <w:t xml:space="preserve">. </w:t>
      </w:r>
    </w:p>
    <w:p w14:paraId="072DB2E2" w14:textId="74664C17" w:rsidR="00FE040C" w:rsidRDefault="00AE1919" w:rsidP="00925E7C">
      <w:pPr>
        <w:pStyle w:val="Default"/>
        <w:jc w:val="both"/>
        <w:rPr>
          <w:rFonts w:ascii="Tahoma" w:hAnsi="Tahoma" w:cs="Myriad Pro"/>
          <w:color w:val="auto"/>
          <w:sz w:val="20"/>
          <w:lang w:eastAsia="de-DE"/>
        </w:rPr>
      </w:pPr>
      <w:r>
        <w:rPr>
          <w:rFonts w:ascii="Tahoma" w:hAnsi="Tahoma" w:cs="Myriad Pro"/>
          <w:color w:val="auto"/>
          <w:sz w:val="20"/>
          <w:lang w:eastAsia="de-DE"/>
        </w:rPr>
        <w:t>M</w:t>
      </w:r>
      <w:r w:rsidR="00654BD8">
        <w:rPr>
          <w:rFonts w:ascii="Tahoma" w:hAnsi="Tahoma" w:cs="Myriad Pro"/>
          <w:color w:val="auto"/>
          <w:sz w:val="20"/>
          <w:lang w:eastAsia="de-DE"/>
        </w:rPr>
        <w:t>e</w:t>
      </w:r>
      <w:r>
        <w:rPr>
          <w:rFonts w:ascii="Tahoma" w:hAnsi="Tahoma" w:cs="Myriad Pro"/>
          <w:color w:val="auto"/>
          <w:sz w:val="20"/>
          <w:lang w:eastAsia="de-DE"/>
        </w:rPr>
        <w:t>dijalna</w:t>
      </w:r>
      <w:r w:rsidR="00FE040C">
        <w:rPr>
          <w:rFonts w:ascii="Tahoma" w:hAnsi="Tahoma" w:cs="Myriad Pro"/>
          <w:color w:val="auto"/>
          <w:sz w:val="20"/>
          <w:lang w:eastAsia="de-DE"/>
        </w:rPr>
        <w:t xml:space="preserve"> starost stanova </w:t>
      </w:r>
      <w:r w:rsidR="00932B9D">
        <w:rPr>
          <w:rFonts w:ascii="Tahoma" w:hAnsi="Tahoma" w:cs="Myriad Pro"/>
          <w:color w:val="auto"/>
          <w:sz w:val="20"/>
          <w:lang w:eastAsia="de-DE"/>
        </w:rPr>
        <w:t>u kupoprodajnim transakcijama</w:t>
      </w:r>
      <w:r w:rsidR="004443A1">
        <w:rPr>
          <w:rFonts w:ascii="Tahoma" w:hAnsi="Tahoma" w:cs="Myriad Pro"/>
          <w:color w:val="auto"/>
          <w:sz w:val="20"/>
          <w:lang w:eastAsia="de-DE"/>
        </w:rPr>
        <w:t xml:space="preserve"> prema </w:t>
      </w:r>
      <w:r w:rsidR="00451BAE" w:rsidRPr="00C63C8F">
        <w:rPr>
          <w:rFonts w:ascii="Tahoma" w:hAnsi="Tahoma" w:cs="Myriad Pro"/>
          <w:color w:val="auto"/>
          <w:sz w:val="20"/>
          <w:lang w:eastAsia="de-DE"/>
        </w:rPr>
        <w:fldChar w:fldCharType="begin"/>
      </w:r>
      <w:r w:rsidR="00451BAE" w:rsidRPr="00C63C8F">
        <w:rPr>
          <w:rFonts w:ascii="Tahoma" w:hAnsi="Tahoma" w:cs="Myriad Pro"/>
          <w:color w:val="auto"/>
          <w:sz w:val="20"/>
          <w:lang w:eastAsia="de-DE"/>
        </w:rPr>
        <w:instrText xml:space="preserve"> CITATION Tka18 \l 1033 </w:instrText>
      </w:r>
      <w:r w:rsidR="00451BAE" w:rsidRPr="00C63C8F">
        <w:rPr>
          <w:rFonts w:ascii="Tahoma" w:hAnsi="Tahoma" w:cs="Myriad Pro"/>
          <w:color w:val="auto"/>
          <w:sz w:val="20"/>
          <w:lang w:eastAsia="de-DE"/>
        </w:rPr>
        <w:fldChar w:fldCharType="separate"/>
      </w:r>
      <w:r w:rsidR="002D258B">
        <w:rPr>
          <w:rFonts w:ascii="Tahoma" w:hAnsi="Tahoma" w:cs="Myriad Pro"/>
          <w:noProof/>
          <w:color w:val="auto"/>
          <w:sz w:val="20"/>
          <w:lang w:eastAsia="de-DE"/>
        </w:rPr>
        <w:t xml:space="preserve"> </w:t>
      </w:r>
      <w:r w:rsidR="002D258B" w:rsidRPr="002D258B">
        <w:rPr>
          <w:rFonts w:ascii="Tahoma" w:hAnsi="Tahoma" w:cs="Myriad Pro"/>
          <w:noProof/>
          <w:color w:val="auto"/>
          <w:sz w:val="20"/>
          <w:lang w:eastAsia="de-DE"/>
        </w:rPr>
        <w:t>(Tkalec, et al., 2018.)</w:t>
      </w:r>
      <w:r w:rsidR="00451BAE" w:rsidRPr="00C63C8F">
        <w:rPr>
          <w:rFonts w:ascii="Tahoma" w:hAnsi="Tahoma" w:cs="Myriad Pro"/>
          <w:color w:val="auto"/>
          <w:sz w:val="20"/>
          <w:lang w:eastAsia="de-DE"/>
        </w:rPr>
        <w:fldChar w:fldCharType="end"/>
      </w:r>
      <w:r w:rsidR="00451BAE">
        <w:rPr>
          <w:rFonts w:ascii="Tahoma" w:hAnsi="Tahoma" w:cs="Myriad Pro"/>
          <w:color w:val="auto"/>
          <w:sz w:val="20"/>
          <w:lang w:eastAsia="de-DE"/>
        </w:rPr>
        <w:t xml:space="preserve"> je </w:t>
      </w:r>
      <w:r w:rsidR="00654BD8">
        <w:rPr>
          <w:rFonts w:ascii="Tahoma" w:hAnsi="Tahoma" w:cs="Myriad Pro"/>
          <w:color w:val="auto"/>
          <w:sz w:val="20"/>
          <w:lang w:eastAsia="de-DE"/>
        </w:rPr>
        <w:t xml:space="preserve">2017. godine bila 36 godina, </w:t>
      </w:r>
      <w:r w:rsidR="001C25D2">
        <w:rPr>
          <w:rFonts w:ascii="Tahoma" w:hAnsi="Tahoma" w:cs="Myriad Pro"/>
          <w:color w:val="auto"/>
          <w:sz w:val="20"/>
          <w:lang w:eastAsia="de-DE"/>
        </w:rPr>
        <w:t xml:space="preserve">četvrtina stanova je starosti do 10 godina, </w:t>
      </w:r>
      <w:r w:rsidR="00A27825">
        <w:rPr>
          <w:rFonts w:ascii="Tahoma" w:hAnsi="Tahoma" w:cs="Myriad Pro"/>
          <w:color w:val="auto"/>
          <w:sz w:val="20"/>
          <w:lang w:eastAsia="de-DE"/>
        </w:rPr>
        <w:t xml:space="preserve">a </w:t>
      </w:r>
      <w:r w:rsidR="001C25D2">
        <w:rPr>
          <w:rFonts w:ascii="Tahoma" w:hAnsi="Tahoma" w:cs="Myriad Pro"/>
          <w:color w:val="auto"/>
          <w:sz w:val="20"/>
          <w:lang w:eastAsia="de-DE"/>
        </w:rPr>
        <w:t>četvrtina starija od 50 godina</w:t>
      </w:r>
      <w:r w:rsidR="00A27825">
        <w:rPr>
          <w:rFonts w:ascii="Tahoma" w:hAnsi="Tahoma" w:cs="Myriad Pro"/>
          <w:color w:val="auto"/>
          <w:sz w:val="20"/>
          <w:lang w:eastAsia="de-DE"/>
        </w:rPr>
        <w:t xml:space="preserve">. </w:t>
      </w:r>
      <w:r w:rsidR="00C63C8F">
        <w:rPr>
          <w:rFonts w:ascii="Tahoma" w:hAnsi="Tahoma" w:cs="Myriad Pro"/>
          <w:color w:val="auto"/>
          <w:sz w:val="20"/>
          <w:lang w:eastAsia="de-DE"/>
        </w:rPr>
        <w:t>Prema tome, čak i „novi“ stanovi na tržištu su već blizu to</w:t>
      </w:r>
      <w:r w:rsidR="007D09C2">
        <w:rPr>
          <w:rFonts w:ascii="Tahoma" w:hAnsi="Tahoma" w:cs="Myriad Pro"/>
          <w:color w:val="auto"/>
          <w:sz w:val="20"/>
          <w:lang w:eastAsia="de-DE"/>
        </w:rPr>
        <w:t xml:space="preserve">čke na kojoj će biti potrebna znatna intervencija unutar sustava za grijanje i hlađenje, a </w:t>
      </w:r>
      <w:r w:rsidR="00C63647">
        <w:rPr>
          <w:rFonts w:ascii="Tahoma" w:hAnsi="Tahoma" w:cs="Myriad Pro"/>
          <w:color w:val="auto"/>
          <w:sz w:val="20"/>
          <w:lang w:eastAsia="de-DE"/>
        </w:rPr>
        <w:t xml:space="preserve">u medijalnoj skupini dolazimo do </w:t>
      </w:r>
      <w:r w:rsidR="00500E59">
        <w:rPr>
          <w:rFonts w:ascii="Tahoma" w:hAnsi="Tahoma" w:cs="Myriad Pro"/>
          <w:color w:val="auto"/>
          <w:sz w:val="20"/>
          <w:lang w:eastAsia="de-DE"/>
        </w:rPr>
        <w:t xml:space="preserve">potrebe za znatnom investicijom u vanjsku ovojnicu, što je prvi </w:t>
      </w:r>
      <w:r w:rsidR="00BD1857">
        <w:rPr>
          <w:rFonts w:ascii="Tahoma" w:hAnsi="Tahoma" w:cs="Myriad Pro"/>
          <w:color w:val="auto"/>
          <w:sz w:val="20"/>
          <w:lang w:eastAsia="de-DE"/>
        </w:rPr>
        <w:t xml:space="preserve">okidač za pokretanje energetske obnove. </w:t>
      </w:r>
    </w:p>
    <w:p w14:paraId="7F344B29" w14:textId="77777777" w:rsidR="00BD1857" w:rsidRDefault="001B5B64" w:rsidP="00925E7C">
      <w:pPr>
        <w:pStyle w:val="Default"/>
        <w:jc w:val="both"/>
        <w:rPr>
          <w:rFonts w:ascii="Tahoma" w:hAnsi="Tahoma" w:cs="Myriad Pro"/>
          <w:color w:val="auto"/>
          <w:sz w:val="20"/>
          <w:lang w:eastAsia="de-DE"/>
        </w:rPr>
      </w:pPr>
      <w:r>
        <w:rPr>
          <w:rFonts w:ascii="Tahoma" w:hAnsi="Tahoma" w:cs="Myriad Pro"/>
          <w:color w:val="auto"/>
          <w:sz w:val="20"/>
          <w:lang w:eastAsia="de-DE"/>
        </w:rPr>
        <w:t xml:space="preserve">Povećanje medijalne starosti </w:t>
      </w:r>
      <w:r w:rsidR="00B0581C">
        <w:rPr>
          <w:rFonts w:ascii="Tahoma" w:hAnsi="Tahoma" w:cs="Myriad Pro"/>
          <w:color w:val="auto"/>
          <w:sz w:val="20"/>
          <w:lang w:eastAsia="de-DE"/>
        </w:rPr>
        <w:t xml:space="preserve">u transakcijama </w:t>
      </w:r>
      <w:r w:rsidR="00D343CC">
        <w:rPr>
          <w:rFonts w:ascii="Tahoma" w:hAnsi="Tahoma" w:cs="Myriad Pro"/>
          <w:color w:val="auto"/>
          <w:sz w:val="20"/>
          <w:lang w:eastAsia="de-DE"/>
        </w:rPr>
        <w:t xml:space="preserve">može isto tako indicirati da je energetska obnova </w:t>
      </w:r>
      <w:r w:rsidR="00C20CA1">
        <w:rPr>
          <w:rFonts w:ascii="Tahoma" w:hAnsi="Tahoma" w:cs="Myriad Pro"/>
          <w:color w:val="auto"/>
          <w:sz w:val="20"/>
          <w:lang w:eastAsia="de-DE"/>
        </w:rPr>
        <w:t xml:space="preserve">bila pokretač za prodaju stana, </w:t>
      </w:r>
      <w:r w:rsidR="002D0C41">
        <w:rPr>
          <w:rFonts w:ascii="Tahoma" w:hAnsi="Tahoma" w:cs="Myriad Pro"/>
          <w:color w:val="auto"/>
          <w:sz w:val="20"/>
          <w:lang w:eastAsia="de-DE"/>
        </w:rPr>
        <w:t>budući da je povećala vrijednost stana na tržištu</w:t>
      </w:r>
      <w:r w:rsidR="00775E25">
        <w:rPr>
          <w:rFonts w:ascii="Tahoma" w:hAnsi="Tahoma" w:cs="Myriad Pro"/>
          <w:color w:val="auto"/>
          <w:sz w:val="20"/>
          <w:lang w:eastAsia="de-DE"/>
        </w:rPr>
        <w:t xml:space="preserve"> te stariji stanovi postaju zanimljivi kupcima</w:t>
      </w:r>
      <w:r w:rsidR="002D0C41">
        <w:rPr>
          <w:rFonts w:ascii="Tahoma" w:hAnsi="Tahoma" w:cs="Myriad Pro"/>
          <w:color w:val="auto"/>
          <w:sz w:val="20"/>
          <w:lang w:eastAsia="de-DE"/>
        </w:rPr>
        <w:t xml:space="preserve">, </w:t>
      </w:r>
      <w:r w:rsidR="007831A3">
        <w:rPr>
          <w:rFonts w:ascii="Tahoma" w:hAnsi="Tahoma" w:cs="Myriad Pro"/>
          <w:color w:val="auto"/>
          <w:sz w:val="20"/>
          <w:lang w:eastAsia="de-DE"/>
        </w:rPr>
        <w:t>ali</w:t>
      </w:r>
      <w:r w:rsidR="002D0C41">
        <w:rPr>
          <w:rFonts w:ascii="Tahoma" w:hAnsi="Tahoma" w:cs="Myriad Pro"/>
          <w:color w:val="auto"/>
          <w:sz w:val="20"/>
          <w:lang w:eastAsia="de-DE"/>
        </w:rPr>
        <w:t xml:space="preserve"> </w:t>
      </w:r>
      <w:r w:rsidR="00186369">
        <w:rPr>
          <w:rFonts w:ascii="Tahoma" w:hAnsi="Tahoma" w:cs="Myriad Pro"/>
          <w:color w:val="auto"/>
          <w:sz w:val="20"/>
          <w:lang w:eastAsia="de-DE"/>
        </w:rPr>
        <w:t xml:space="preserve">to nije vidljivo iz podataka. </w:t>
      </w:r>
    </w:p>
    <w:p w14:paraId="1434538A" w14:textId="68C4B765" w:rsidR="00186369" w:rsidRDefault="00997CD3" w:rsidP="00925E7C">
      <w:pPr>
        <w:pStyle w:val="Default"/>
        <w:jc w:val="both"/>
        <w:rPr>
          <w:rFonts w:ascii="Tahoma" w:hAnsi="Tahoma" w:cs="Myriad Pro"/>
          <w:color w:val="auto"/>
          <w:sz w:val="20"/>
          <w:lang w:eastAsia="de-DE"/>
        </w:rPr>
      </w:pPr>
      <w:r>
        <w:rPr>
          <w:rFonts w:ascii="Tahoma" w:hAnsi="Tahoma" w:cs="Myriad Pro"/>
          <w:color w:val="auto"/>
          <w:sz w:val="20"/>
          <w:lang w:eastAsia="de-DE"/>
        </w:rPr>
        <w:t xml:space="preserve">Osim </w:t>
      </w:r>
      <w:r w:rsidR="009A4EE6">
        <w:rPr>
          <w:rFonts w:ascii="Tahoma" w:hAnsi="Tahoma" w:cs="Myriad Pro"/>
          <w:color w:val="auto"/>
          <w:sz w:val="20"/>
          <w:lang w:eastAsia="de-DE"/>
        </w:rPr>
        <w:t>obaveze za održavanjem zgrade u uporabljivom stanju</w:t>
      </w:r>
      <w:r w:rsidR="00F6434B">
        <w:rPr>
          <w:rFonts w:ascii="Tahoma" w:hAnsi="Tahoma" w:cs="Myriad Pro"/>
          <w:color w:val="auto"/>
          <w:sz w:val="20"/>
          <w:lang w:eastAsia="de-DE"/>
        </w:rPr>
        <w:t xml:space="preserve"> u Zakonu o gradnji, ne postoji</w:t>
      </w:r>
      <w:r w:rsidR="00DD0741">
        <w:rPr>
          <w:rFonts w:ascii="Tahoma" w:hAnsi="Tahoma" w:cs="Myriad Pro"/>
          <w:color w:val="auto"/>
          <w:sz w:val="20"/>
          <w:lang w:eastAsia="de-DE"/>
        </w:rPr>
        <w:t xml:space="preserve"> zakonski </w:t>
      </w:r>
      <w:r w:rsidR="00992404">
        <w:rPr>
          <w:rFonts w:ascii="Tahoma" w:hAnsi="Tahoma" w:cs="Myriad Pro"/>
          <w:color w:val="auto"/>
          <w:sz w:val="20"/>
          <w:lang w:eastAsia="de-DE"/>
        </w:rPr>
        <w:t xml:space="preserve">temelj za pokretanje obnove ili energetske obnove zgrade. </w:t>
      </w:r>
      <w:r w:rsidR="00C65BFB">
        <w:rPr>
          <w:rFonts w:ascii="Tahoma" w:hAnsi="Tahoma" w:cs="Myriad Pro"/>
          <w:color w:val="auto"/>
          <w:sz w:val="20"/>
          <w:lang w:eastAsia="de-DE"/>
        </w:rPr>
        <w:t xml:space="preserve">Pravilnik o </w:t>
      </w:r>
      <w:r w:rsidR="00256721">
        <w:rPr>
          <w:rFonts w:ascii="Tahoma" w:hAnsi="Tahoma" w:cs="Myriad Pro"/>
          <w:color w:val="auto"/>
          <w:sz w:val="20"/>
          <w:lang w:eastAsia="de-DE"/>
        </w:rPr>
        <w:t xml:space="preserve">održavanju građevina </w:t>
      </w:r>
      <w:r w:rsidR="00850519">
        <w:rPr>
          <w:rFonts w:ascii="Tahoma" w:hAnsi="Tahoma" w:cs="Myriad Pro"/>
          <w:color w:val="auto"/>
          <w:sz w:val="20"/>
          <w:lang w:eastAsia="de-DE"/>
        </w:rPr>
        <w:t>(Narodne novine</w:t>
      </w:r>
      <w:r w:rsidR="00256721">
        <w:rPr>
          <w:rFonts w:ascii="Tahoma" w:hAnsi="Tahoma" w:cs="Myriad Pro"/>
          <w:color w:val="auto"/>
          <w:sz w:val="20"/>
          <w:lang w:eastAsia="de-DE"/>
        </w:rPr>
        <w:t xml:space="preserve"> 122/14 i </w:t>
      </w:r>
      <w:r w:rsidR="00850519">
        <w:rPr>
          <w:rFonts w:ascii="Tahoma" w:hAnsi="Tahoma" w:cs="Myriad Pro"/>
          <w:color w:val="auto"/>
          <w:sz w:val="20"/>
          <w:lang w:eastAsia="de-DE"/>
        </w:rPr>
        <w:t xml:space="preserve">98/19) </w:t>
      </w:r>
      <w:r w:rsidR="00B17CC1">
        <w:rPr>
          <w:rFonts w:ascii="Tahoma" w:hAnsi="Tahoma" w:cs="Myriad Pro"/>
          <w:color w:val="auto"/>
          <w:sz w:val="20"/>
          <w:lang w:eastAsia="de-DE"/>
        </w:rPr>
        <w:t xml:space="preserve">člankom 17. </w:t>
      </w:r>
      <w:r w:rsidR="00286AF4">
        <w:rPr>
          <w:rFonts w:ascii="Tahoma" w:hAnsi="Tahoma" w:cs="Myriad Pro"/>
          <w:color w:val="auto"/>
          <w:sz w:val="20"/>
          <w:lang w:eastAsia="de-DE"/>
        </w:rPr>
        <w:t xml:space="preserve">unosi obavezu unapređivanja ispunjavanja obaveznih zahtjeva za građevinu, energetskih </w:t>
      </w:r>
      <w:r w:rsidR="00A72281">
        <w:rPr>
          <w:rFonts w:ascii="Tahoma" w:hAnsi="Tahoma" w:cs="Myriad Pro"/>
          <w:color w:val="auto"/>
          <w:sz w:val="20"/>
          <w:lang w:eastAsia="de-DE"/>
        </w:rPr>
        <w:t xml:space="preserve">svojstava zgrada te </w:t>
      </w:r>
      <w:r w:rsidR="0070728D">
        <w:rPr>
          <w:rFonts w:ascii="Tahoma" w:hAnsi="Tahoma" w:cs="Myriad Pro"/>
          <w:color w:val="auto"/>
          <w:sz w:val="20"/>
          <w:lang w:eastAsia="de-DE"/>
        </w:rPr>
        <w:t>n</w:t>
      </w:r>
      <w:r w:rsidR="00A72281" w:rsidRPr="00A72281">
        <w:rPr>
          <w:rFonts w:ascii="Tahoma" w:hAnsi="Tahoma" w:cs="Myriad Pro"/>
          <w:color w:val="auto"/>
          <w:sz w:val="20"/>
          <w:lang w:eastAsia="de-DE"/>
        </w:rPr>
        <w:t>esmetani pristup i kretanje u građevini ako je to propisano posebnim propisom donesenim u skladu s odredbama Zakona o gradnji ili ako je propisano posebnim zakonom</w:t>
      </w:r>
      <w:r w:rsidR="00A72281">
        <w:rPr>
          <w:rFonts w:ascii="Tahoma" w:hAnsi="Tahoma" w:cs="Myriad Pro"/>
          <w:color w:val="auto"/>
          <w:sz w:val="20"/>
          <w:lang w:eastAsia="de-DE"/>
        </w:rPr>
        <w:t xml:space="preserve">. </w:t>
      </w:r>
      <w:r w:rsidR="00850519">
        <w:rPr>
          <w:rFonts w:ascii="Tahoma" w:hAnsi="Tahoma" w:cs="Myriad Pro"/>
          <w:color w:val="auto"/>
          <w:sz w:val="20"/>
          <w:lang w:eastAsia="de-DE"/>
        </w:rPr>
        <w:t xml:space="preserve"> </w:t>
      </w:r>
    </w:p>
    <w:p w14:paraId="59C0EF68" w14:textId="76907E8E" w:rsidR="008871A6" w:rsidRDefault="00FE5AD5" w:rsidP="00925E7C">
      <w:pPr>
        <w:pStyle w:val="Default"/>
        <w:jc w:val="both"/>
        <w:rPr>
          <w:rFonts w:ascii="Tahoma" w:hAnsi="Tahoma" w:cs="Myriad Pro"/>
          <w:color w:val="auto"/>
          <w:sz w:val="20"/>
          <w:lang w:eastAsia="de-DE"/>
        </w:rPr>
      </w:pPr>
      <w:r>
        <w:rPr>
          <w:rFonts w:ascii="Tahoma" w:hAnsi="Tahoma" w:cs="Myriad Pro"/>
          <w:color w:val="auto"/>
          <w:sz w:val="20"/>
          <w:lang w:eastAsia="de-DE"/>
        </w:rPr>
        <w:t xml:space="preserve">Najizgledniji trenuci </w:t>
      </w:r>
      <w:r w:rsidR="00420710">
        <w:rPr>
          <w:rFonts w:ascii="Tahoma" w:hAnsi="Tahoma" w:cs="Myriad Pro"/>
          <w:color w:val="auto"/>
          <w:sz w:val="20"/>
          <w:lang w:eastAsia="de-DE"/>
        </w:rPr>
        <w:t xml:space="preserve">u kojima se pokreće energetska obnova </w:t>
      </w:r>
      <w:r>
        <w:rPr>
          <w:rFonts w:ascii="Tahoma" w:hAnsi="Tahoma" w:cs="Myriad Pro"/>
          <w:color w:val="auto"/>
          <w:sz w:val="20"/>
          <w:lang w:eastAsia="de-DE"/>
        </w:rPr>
        <w:t>zgra</w:t>
      </w:r>
      <w:r w:rsidR="004C00F6">
        <w:rPr>
          <w:rFonts w:ascii="Tahoma" w:hAnsi="Tahoma" w:cs="Myriad Pro"/>
          <w:color w:val="auto"/>
          <w:sz w:val="20"/>
          <w:lang w:eastAsia="de-DE"/>
        </w:rPr>
        <w:t>da vezani su uz</w:t>
      </w:r>
      <w:r w:rsidR="00B75AC5">
        <w:rPr>
          <w:rFonts w:ascii="Tahoma" w:hAnsi="Tahoma" w:cs="Myriad Pro"/>
          <w:color w:val="auto"/>
          <w:sz w:val="20"/>
          <w:lang w:eastAsia="de-DE"/>
        </w:rPr>
        <w:t xml:space="preserve"> promjenu vlasništva </w:t>
      </w:r>
      <w:r w:rsidR="004E2759">
        <w:rPr>
          <w:rFonts w:ascii="Tahoma" w:hAnsi="Tahoma" w:cs="Myriad Pro"/>
          <w:color w:val="auto"/>
          <w:sz w:val="20"/>
          <w:lang w:eastAsia="de-DE"/>
        </w:rPr>
        <w:t>(kupoprodajom, nasljeđivanjem</w:t>
      </w:r>
      <w:r w:rsidR="005343F8">
        <w:rPr>
          <w:rFonts w:ascii="Tahoma" w:hAnsi="Tahoma" w:cs="Myriad Pro"/>
          <w:color w:val="auto"/>
          <w:sz w:val="20"/>
          <w:lang w:eastAsia="de-DE"/>
        </w:rPr>
        <w:t>, smjenom generacija</w:t>
      </w:r>
      <w:r w:rsidR="004E2759">
        <w:rPr>
          <w:rFonts w:ascii="Tahoma" w:hAnsi="Tahoma" w:cs="Myriad Pro"/>
          <w:color w:val="auto"/>
          <w:sz w:val="20"/>
          <w:lang w:eastAsia="de-DE"/>
        </w:rPr>
        <w:t xml:space="preserve">) </w:t>
      </w:r>
      <w:r w:rsidR="001C22F6">
        <w:rPr>
          <w:rFonts w:ascii="Tahoma" w:hAnsi="Tahoma" w:cs="Myriad Pro"/>
          <w:color w:val="auto"/>
          <w:sz w:val="20"/>
          <w:lang w:eastAsia="de-DE"/>
        </w:rPr>
        <w:t>većinskog dijela zgrade</w:t>
      </w:r>
      <w:r w:rsidR="002D09DD">
        <w:rPr>
          <w:rFonts w:ascii="Tahoma" w:hAnsi="Tahoma" w:cs="Myriad Pro"/>
          <w:color w:val="auto"/>
          <w:sz w:val="20"/>
          <w:lang w:eastAsia="de-DE"/>
        </w:rPr>
        <w:t xml:space="preserve"> ili dotrajalost sustava grijanja</w:t>
      </w:r>
      <w:r w:rsidR="008871A6">
        <w:rPr>
          <w:rFonts w:ascii="Tahoma" w:hAnsi="Tahoma" w:cs="Myriad Pro"/>
          <w:color w:val="auto"/>
          <w:sz w:val="20"/>
          <w:lang w:eastAsia="de-DE"/>
        </w:rPr>
        <w:t xml:space="preserve">. </w:t>
      </w:r>
    </w:p>
    <w:p w14:paraId="17D9DB44" w14:textId="1E6FEDB6" w:rsidR="00D52CE3" w:rsidRPr="0089065C" w:rsidRDefault="00805C1D" w:rsidP="00925E7C">
      <w:pPr>
        <w:pStyle w:val="Default"/>
        <w:jc w:val="both"/>
        <w:rPr>
          <w:rFonts w:ascii="Tahoma" w:hAnsi="Tahoma" w:cs="Myriad Pro"/>
          <w:color w:val="FF0000"/>
          <w:sz w:val="20"/>
          <w:lang w:eastAsia="de-DE"/>
        </w:rPr>
      </w:pPr>
      <w:r>
        <w:rPr>
          <w:rFonts w:ascii="Tahoma" w:hAnsi="Tahoma" w:cs="Myriad Pro"/>
          <w:color w:val="auto"/>
          <w:sz w:val="20"/>
          <w:lang w:eastAsia="de-DE"/>
        </w:rPr>
        <w:t>Katastrofalni događaji, poput potresa</w:t>
      </w:r>
      <w:r w:rsidR="007870DA">
        <w:rPr>
          <w:rFonts w:ascii="Tahoma" w:hAnsi="Tahoma" w:cs="Myriad Pro"/>
          <w:color w:val="auto"/>
          <w:sz w:val="20"/>
          <w:lang w:eastAsia="de-DE"/>
        </w:rPr>
        <w:t xml:space="preserve">, požara ili poplava u pravilu </w:t>
      </w:r>
      <w:r w:rsidR="00B11A56">
        <w:rPr>
          <w:rFonts w:ascii="Tahoma" w:hAnsi="Tahoma" w:cs="Myriad Pro"/>
          <w:color w:val="auto"/>
          <w:sz w:val="20"/>
          <w:lang w:eastAsia="de-DE"/>
        </w:rPr>
        <w:t xml:space="preserve">ne rezultiraju energetskom obnovom, već zamjenom novogradnjom </w:t>
      </w:r>
      <w:r w:rsidR="00B11A56" w:rsidRPr="00133E57">
        <w:rPr>
          <w:rFonts w:ascii="Tahoma" w:hAnsi="Tahoma" w:cs="Myriad Pro"/>
          <w:color w:val="auto"/>
          <w:sz w:val="20"/>
          <w:lang w:eastAsia="de-DE"/>
        </w:rPr>
        <w:t>ili faksimilnom rekonstrukcijom z</w:t>
      </w:r>
      <w:r w:rsidR="00B17FE7" w:rsidRPr="00133E57">
        <w:rPr>
          <w:rFonts w:ascii="Tahoma" w:hAnsi="Tahoma" w:cs="Myriad Pro"/>
          <w:color w:val="auto"/>
          <w:sz w:val="20"/>
          <w:lang w:eastAsia="de-DE"/>
        </w:rPr>
        <w:t>grada.</w:t>
      </w:r>
      <w:r w:rsidR="001C22F6" w:rsidRPr="00133E57">
        <w:rPr>
          <w:rFonts w:ascii="Tahoma" w:hAnsi="Tahoma" w:cs="Myriad Pro"/>
          <w:color w:val="auto"/>
          <w:sz w:val="20"/>
          <w:lang w:eastAsia="de-DE"/>
        </w:rPr>
        <w:t xml:space="preserve"> </w:t>
      </w:r>
      <w:r w:rsidR="00D52CE3" w:rsidRPr="00133E57">
        <w:rPr>
          <w:rFonts w:ascii="Tahoma" w:hAnsi="Tahoma" w:cs="Myriad Pro"/>
          <w:color w:val="auto"/>
          <w:sz w:val="20"/>
          <w:lang w:eastAsia="de-DE"/>
        </w:rPr>
        <w:t>Međutim</w:t>
      </w:r>
      <w:r w:rsidR="00BE7DAA" w:rsidRPr="00133E57">
        <w:rPr>
          <w:rFonts w:ascii="Tahoma" w:hAnsi="Tahoma" w:cs="Myriad Pro"/>
          <w:color w:val="auto"/>
          <w:sz w:val="20"/>
          <w:lang w:eastAsia="de-DE"/>
        </w:rPr>
        <w:t xml:space="preserve"> u </w:t>
      </w:r>
      <w:r w:rsidR="00D52CE3" w:rsidRPr="00133E57">
        <w:rPr>
          <w:rFonts w:ascii="Tahoma" w:hAnsi="Tahoma" w:cs="Myriad Pro"/>
          <w:color w:val="auto"/>
          <w:sz w:val="20"/>
          <w:lang w:eastAsia="de-DE"/>
        </w:rPr>
        <w:t xml:space="preserve"> </w:t>
      </w:r>
      <w:r w:rsidR="00BE7DAA" w:rsidRPr="00133E57">
        <w:rPr>
          <w:rFonts w:ascii="Tahoma" w:hAnsi="Tahoma" w:cs="Myriad Pro"/>
          <w:color w:val="auto"/>
          <w:sz w:val="20"/>
          <w:lang w:eastAsia="de-DE"/>
        </w:rPr>
        <w:t xml:space="preserve">potresu koji je pogodio </w:t>
      </w:r>
      <w:r w:rsidR="00AC2751" w:rsidRPr="00133E57">
        <w:rPr>
          <w:rFonts w:ascii="Tahoma" w:hAnsi="Tahoma" w:cs="Myriad Pro"/>
          <w:color w:val="auto"/>
          <w:sz w:val="20"/>
          <w:lang w:eastAsia="de-DE"/>
        </w:rPr>
        <w:t xml:space="preserve">Zagreb i okolicu </w:t>
      </w:r>
      <w:r w:rsidR="00BE7DAA" w:rsidRPr="00133E57">
        <w:rPr>
          <w:rFonts w:ascii="Tahoma" w:hAnsi="Tahoma" w:cs="Myriad Pro"/>
          <w:color w:val="auto"/>
          <w:sz w:val="20"/>
          <w:lang w:eastAsia="de-DE"/>
        </w:rPr>
        <w:t xml:space="preserve"> 22. ožujka 2020. godine </w:t>
      </w:r>
      <w:r w:rsidR="00256254" w:rsidRPr="00133E57">
        <w:rPr>
          <w:rFonts w:ascii="Tahoma" w:hAnsi="Tahoma" w:cs="Myriad Pro"/>
          <w:color w:val="auto"/>
          <w:sz w:val="20"/>
          <w:lang w:eastAsia="de-DE"/>
        </w:rPr>
        <w:t xml:space="preserve">oštećeno je </w:t>
      </w:r>
      <w:r w:rsidR="00E46E4E" w:rsidRPr="00133E57">
        <w:rPr>
          <w:rFonts w:ascii="Tahoma" w:hAnsi="Tahoma" w:cs="Myriad Pro"/>
          <w:color w:val="auto"/>
          <w:sz w:val="20"/>
          <w:lang w:eastAsia="de-DE"/>
        </w:rPr>
        <w:t xml:space="preserve"> </w:t>
      </w:r>
      <w:r w:rsidR="00133E57" w:rsidRPr="00133E57">
        <w:rPr>
          <w:rFonts w:ascii="Tahoma" w:hAnsi="Tahoma" w:cs="Myriad Pro"/>
          <w:color w:val="auto"/>
          <w:sz w:val="20"/>
          <w:lang w:eastAsia="de-DE"/>
        </w:rPr>
        <w:t>više od 24</w:t>
      </w:r>
      <w:r w:rsidR="00E46E4E" w:rsidRPr="00133E57">
        <w:rPr>
          <w:rFonts w:ascii="Tahoma" w:hAnsi="Tahoma" w:cs="Myriad Pro"/>
          <w:color w:val="auto"/>
          <w:sz w:val="20"/>
          <w:lang w:eastAsia="de-DE"/>
        </w:rPr>
        <w:t xml:space="preserve"> 000</w:t>
      </w:r>
      <w:r w:rsidR="00D407DE" w:rsidRPr="00133E57">
        <w:rPr>
          <w:rFonts w:ascii="Tahoma" w:hAnsi="Tahoma" w:cs="Myriad Pro"/>
          <w:color w:val="auto"/>
          <w:sz w:val="20"/>
          <w:lang w:eastAsia="de-DE"/>
        </w:rPr>
        <w:t xml:space="preserve"> zgrada te</w:t>
      </w:r>
      <w:r w:rsidR="00266BCB" w:rsidRPr="00133E57">
        <w:rPr>
          <w:rFonts w:ascii="Tahoma" w:hAnsi="Tahoma" w:cs="Myriad Pro"/>
          <w:color w:val="auto"/>
          <w:sz w:val="20"/>
          <w:lang w:eastAsia="de-DE"/>
        </w:rPr>
        <w:t xml:space="preserve"> će</w:t>
      </w:r>
      <w:r w:rsidR="00D407DE" w:rsidRPr="00133E57">
        <w:rPr>
          <w:rFonts w:ascii="Tahoma" w:hAnsi="Tahoma" w:cs="Myriad Pro"/>
          <w:color w:val="auto"/>
          <w:sz w:val="20"/>
          <w:lang w:eastAsia="de-DE"/>
        </w:rPr>
        <w:t xml:space="preserve"> obnov</w:t>
      </w:r>
      <w:r w:rsidR="00266BCB" w:rsidRPr="00133E57">
        <w:rPr>
          <w:rFonts w:ascii="Tahoma" w:hAnsi="Tahoma" w:cs="Myriad Pro"/>
          <w:color w:val="auto"/>
          <w:sz w:val="20"/>
          <w:lang w:eastAsia="de-DE"/>
        </w:rPr>
        <w:t>a</w:t>
      </w:r>
      <w:r w:rsidR="00D407DE" w:rsidRPr="00133E57">
        <w:rPr>
          <w:rFonts w:ascii="Tahoma" w:hAnsi="Tahoma" w:cs="Myriad Pro"/>
          <w:color w:val="auto"/>
          <w:sz w:val="20"/>
          <w:lang w:eastAsia="de-DE"/>
        </w:rPr>
        <w:t xml:space="preserve"> radi sanacije </w:t>
      </w:r>
      <w:r w:rsidR="00E8645C" w:rsidRPr="00133E57">
        <w:rPr>
          <w:rFonts w:ascii="Tahoma" w:hAnsi="Tahoma" w:cs="Myriad Pro"/>
          <w:color w:val="auto"/>
          <w:sz w:val="20"/>
          <w:lang w:eastAsia="de-DE"/>
        </w:rPr>
        <w:t xml:space="preserve">štete od potresa svako biti pokretačka točka energetske obnove </w:t>
      </w:r>
      <w:r w:rsidR="00266BCB" w:rsidRPr="00133E57">
        <w:rPr>
          <w:rFonts w:ascii="Tahoma" w:hAnsi="Tahoma" w:cs="Myriad Pro"/>
          <w:color w:val="auto"/>
          <w:sz w:val="20"/>
          <w:lang w:eastAsia="de-DE"/>
        </w:rPr>
        <w:t>zgrada</w:t>
      </w:r>
      <w:r w:rsidR="009F30AF" w:rsidRPr="00133E57">
        <w:rPr>
          <w:rFonts w:ascii="Tahoma" w:hAnsi="Tahoma" w:cs="Myriad Pro"/>
          <w:color w:val="auto"/>
          <w:sz w:val="20"/>
          <w:lang w:eastAsia="de-DE"/>
        </w:rPr>
        <w:t xml:space="preserve"> u Gradu Zagrebu, </w:t>
      </w:r>
      <w:r w:rsidR="002C456C" w:rsidRPr="00133E57">
        <w:rPr>
          <w:rFonts w:ascii="Tahoma" w:hAnsi="Tahoma" w:cs="Myriad Pro"/>
          <w:color w:val="auto"/>
          <w:sz w:val="20"/>
          <w:lang w:eastAsia="de-DE"/>
        </w:rPr>
        <w:t xml:space="preserve">Krapinsko- zagorskoj županiji i </w:t>
      </w:r>
      <w:r w:rsidR="00AC2751" w:rsidRPr="00133E57">
        <w:rPr>
          <w:rFonts w:ascii="Tahoma" w:hAnsi="Tahoma" w:cs="Myriad Pro"/>
          <w:color w:val="auto"/>
          <w:sz w:val="20"/>
          <w:lang w:eastAsia="de-DE"/>
        </w:rPr>
        <w:t>Z</w:t>
      </w:r>
      <w:r w:rsidR="002C456C" w:rsidRPr="00133E57">
        <w:rPr>
          <w:rFonts w:ascii="Tahoma" w:hAnsi="Tahoma" w:cs="Myriad Pro"/>
          <w:color w:val="auto"/>
          <w:sz w:val="20"/>
          <w:lang w:eastAsia="de-DE"/>
        </w:rPr>
        <w:t>agrebačkoj županiji.</w:t>
      </w:r>
    </w:p>
    <w:p w14:paraId="68BEC9F7" w14:textId="77777777" w:rsidR="00DF1712" w:rsidRDefault="00DF1712" w:rsidP="00925E7C">
      <w:pPr>
        <w:pStyle w:val="Default"/>
        <w:jc w:val="both"/>
        <w:rPr>
          <w:sz w:val="22"/>
          <w:szCs w:val="22"/>
          <w:highlight w:val="yellow"/>
        </w:rPr>
      </w:pPr>
    </w:p>
    <w:p w14:paraId="7A56E88F" w14:textId="77777777" w:rsidR="002B7E41" w:rsidRDefault="00151ED9" w:rsidP="007649C2">
      <w:pPr>
        <w:pStyle w:val="Naslov20"/>
      </w:pPr>
      <w:bookmarkStart w:id="98" w:name="_Toc34052878"/>
      <w:bookmarkStart w:id="99" w:name="_Toc46163822"/>
      <w:r w:rsidRPr="00473BAF">
        <w:t>Opis metode korištene za troškovno učinkovitu analizu</w:t>
      </w:r>
      <w:bookmarkEnd w:id="98"/>
      <w:bookmarkEnd w:id="99"/>
    </w:p>
    <w:p w14:paraId="7324C25D" w14:textId="77777777" w:rsidR="00A91662" w:rsidRPr="00AF3354" w:rsidRDefault="00A91662" w:rsidP="00A91662">
      <w:pPr>
        <w:spacing w:after="60"/>
      </w:pPr>
      <w:r w:rsidRPr="00AF3354">
        <w:t>Metoda optimalnih troškova temelji se na određivanju globalnog troška za sve dijelove zgrade koji utječu na potrošnju energije u zgradi, svih troškova održavanja, pogona i energije te troškova razgradnje i eventualno troška CO</w:t>
      </w:r>
      <w:r w:rsidRPr="00AF3354">
        <w:rPr>
          <w:vertAlign w:val="subscript"/>
        </w:rPr>
        <w:t>2</w:t>
      </w:r>
      <w:r w:rsidRPr="00AF3354">
        <w:t xml:space="preserve"> emisija. Metoda je detaljno opisana u normi HRN EN 15459/2008: Energy performance of buildings - Economic evaluation procedure for energy systems in buildings, te se može koristiti za:</w:t>
      </w:r>
    </w:p>
    <w:p w14:paraId="644152E8" w14:textId="77777777" w:rsidR="00A91662" w:rsidRPr="00AF3354" w:rsidRDefault="00A91662" w:rsidP="00853D9C">
      <w:pPr>
        <w:pStyle w:val="Odlomakpopisa"/>
        <w:keepLines w:val="0"/>
        <w:numPr>
          <w:ilvl w:val="0"/>
          <w:numId w:val="50"/>
        </w:numPr>
        <w:tabs>
          <w:tab w:val="clear" w:pos="431"/>
        </w:tabs>
        <w:suppressAutoHyphens w:val="0"/>
        <w:spacing w:before="120" w:after="360" w:line="360" w:lineRule="auto"/>
        <w:contextualSpacing/>
      </w:pPr>
      <w:r w:rsidRPr="00AF3354">
        <w:t xml:space="preserve">ocjenjivanje ekonomske izvodivosti opcija energetske učinkovitosti u zgradama, </w:t>
      </w:r>
    </w:p>
    <w:p w14:paraId="3916887D" w14:textId="77777777" w:rsidR="00A91662" w:rsidRPr="00AF3354" w:rsidRDefault="00A91662" w:rsidP="00853D9C">
      <w:pPr>
        <w:pStyle w:val="Odlomakpopisa"/>
        <w:keepLines w:val="0"/>
        <w:numPr>
          <w:ilvl w:val="0"/>
          <w:numId w:val="50"/>
        </w:numPr>
        <w:tabs>
          <w:tab w:val="clear" w:pos="431"/>
        </w:tabs>
        <w:suppressAutoHyphens w:val="0"/>
        <w:spacing w:before="120" w:after="360" w:line="360" w:lineRule="auto"/>
        <w:contextualSpacing/>
      </w:pPr>
      <w:r w:rsidRPr="00AF3354">
        <w:t xml:space="preserve">usporedbu različitih rješenja za povećanje energetske učinkovitosti u zgradama, </w:t>
      </w:r>
    </w:p>
    <w:p w14:paraId="307F0711" w14:textId="77777777" w:rsidR="00A91662" w:rsidRPr="00AF3354" w:rsidRDefault="00A91662" w:rsidP="00853D9C">
      <w:pPr>
        <w:pStyle w:val="Odlomakpopisa"/>
        <w:keepLines w:val="0"/>
        <w:numPr>
          <w:ilvl w:val="0"/>
          <w:numId w:val="50"/>
        </w:numPr>
        <w:tabs>
          <w:tab w:val="clear" w:pos="431"/>
        </w:tabs>
        <w:suppressAutoHyphens w:val="0"/>
        <w:spacing w:before="120" w:after="360" w:line="360" w:lineRule="auto"/>
        <w:contextualSpacing/>
      </w:pPr>
      <w:r w:rsidRPr="00AF3354">
        <w:t xml:space="preserve">vrednovanje ekonomskog učinka ukupnog projekta zgrade i sustava u zgradi (npr. u odnosu na potrebe za energijom), </w:t>
      </w:r>
    </w:p>
    <w:p w14:paraId="143EE0FC" w14:textId="77777777" w:rsidR="00A91662" w:rsidRDefault="00A91662" w:rsidP="00853D9C">
      <w:pPr>
        <w:pStyle w:val="Odlomakpopisa"/>
        <w:keepLines w:val="0"/>
        <w:numPr>
          <w:ilvl w:val="0"/>
          <w:numId w:val="50"/>
        </w:numPr>
        <w:tabs>
          <w:tab w:val="clear" w:pos="431"/>
        </w:tabs>
        <w:suppressAutoHyphens w:val="0"/>
        <w:spacing w:before="120" w:after="360" w:line="360" w:lineRule="auto"/>
        <w:contextualSpacing/>
      </w:pPr>
      <w:r w:rsidRPr="00AF3354">
        <w:t>određivanje utjecaja mjera za povećanje energetske učinkovitosti na postojećem sustavu kroz ekonomski proračun troška korištenja energije i bez tog troška</w:t>
      </w:r>
    </w:p>
    <w:p w14:paraId="4B49D3CD" w14:textId="77777777" w:rsidR="00BE1A7E" w:rsidRPr="00AF3354" w:rsidRDefault="00BE1A7E" w:rsidP="00334A49">
      <w:pPr>
        <w:tabs>
          <w:tab w:val="clear" w:pos="431"/>
        </w:tabs>
        <w:spacing w:before="120" w:after="360" w:line="360" w:lineRule="auto"/>
        <w:contextualSpacing/>
      </w:pPr>
      <w:r>
        <w:t>n</w:t>
      </w:r>
      <w:r w:rsidR="009C35DC">
        <w:t>a</w:t>
      </w:r>
      <w:r>
        <w:t xml:space="preserve"> temelju izračuna </w:t>
      </w:r>
      <w:r w:rsidR="00B77786">
        <w:t xml:space="preserve">neto sadašnje vrijednosti </w:t>
      </w:r>
      <w:r>
        <w:t xml:space="preserve">globalnog troška (bez prihoda koji je moguće ostvariti) </w:t>
      </w:r>
      <w:r w:rsidR="007A34F0">
        <w:t xml:space="preserve">- </w:t>
      </w:r>
      <w:r w:rsidR="009C35DC">
        <w:t>vrijednost investicije</w:t>
      </w:r>
      <w:r w:rsidR="00E85E50">
        <w:t>, zamjen</w:t>
      </w:r>
      <w:r w:rsidR="007A34F0">
        <w:t>a</w:t>
      </w:r>
      <w:r w:rsidR="00E85E50">
        <w:t xml:space="preserve"> dijelova zgrade vezanih uz potrošnju energije</w:t>
      </w:r>
      <w:r w:rsidR="009C35DC">
        <w:t xml:space="preserve"> i troškov</w:t>
      </w:r>
      <w:r w:rsidR="007A34F0">
        <w:t>i</w:t>
      </w:r>
      <w:r w:rsidR="009C35DC">
        <w:t xml:space="preserve"> energenata, </w:t>
      </w:r>
      <w:r w:rsidR="00E85E50">
        <w:t>održavanja i pogona zgrade</w:t>
      </w:r>
      <w:r w:rsidR="007A34F0">
        <w:t xml:space="preserve">. </w:t>
      </w:r>
      <w:r w:rsidR="009C35DC">
        <w:t xml:space="preserve"> </w:t>
      </w:r>
    </w:p>
    <w:p w14:paraId="6A4F3869" w14:textId="2FDF06AF" w:rsidR="00A91662" w:rsidRDefault="00A91662" w:rsidP="00A91662">
      <w:pPr>
        <w:pStyle w:val="Opisslike"/>
        <w:keepNext/>
      </w:pPr>
      <w:bookmarkStart w:id="100" w:name="_Toc40089035"/>
      <w:r>
        <w:t xml:space="preserve">Tablica </w:t>
      </w:r>
      <w:r w:rsidR="00A50909">
        <w:fldChar w:fldCharType="begin"/>
      </w:r>
      <w:r w:rsidR="00A50909">
        <w:instrText xml:space="preserve"> SEQ Tablica \* ARABIC </w:instrText>
      </w:r>
      <w:r w:rsidR="00A50909">
        <w:fldChar w:fldCharType="separate"/>
      </w:r>
      <w:r w:rsidR="00CE61F3">
        <w:rPr>
          <w:noProof/>
        </w:rPr>
        <w:t>18</w:t>
      </w:r>
      <w:r w:rsidR="00A50909">
        <w:rPr>
          <w:noProof/>
        </w:rPr>
        <w:fldChar w:fldCharType="end"/>
      </w:r>
      <w:r>
        <w:t xml:space="preserve"> </w:t>
      </w:r>
      <w:r w:rsidRPr="00AB2621">
        <w:t>Ulazni parametri troškovno optimalne kalkulacije</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2046"/>
        <w:gridCol w:w="2159"/>
        <w:gridCol w:w="1344"/>
      </w:tblGrid>
      <w:tr w:rsidR="00A91662" w:rsidRPr="00AF3354" w14:paraId="1F4A594D" w14:textId="77777777" w:rsidTr="00A91662">
        <w:trPr>
          <w:trHeight w:val="300"/>
        </w:trPr>
        <w:tc>
          <w:tcPr>
            <w:tcW w:w="3795" w:type="dxa"/>
            <w:noWrap/>
            <w:vAlign w:val="bottom"/>
            <w:hideMark/>
          </w:tcPr>
          <w:p w14:paraId="72BBA5FF" w14:textId="77777777" w:rsidR="00A91662" w:rsidRPr="00AF3354" w:rsidRDefault="00A91662" w:rsidP="00826D9B">
            <w:pPr>
              <w:spacing w:line="240" w:lineRule="auto"/>
              <w:jc w:val="left"/>
              <w:rPr>
                <w:szCs w:val="20"/>
              </w:rPr>
            </w:pPr>
          </w:p>
        </w:tc>
        <w:tc>
          <w:tcPr>
            <w:tcW w:w="2046" w:type="dxa"/>
            <w:noWrap/>
            <w:vAlign w:val="bottom"/>
            <w:hideMark/>
          </w:tcPr>
          <w:p w14:paraId="23DC17CE"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oznaka</w:t>
            </w:r>
          </w:p>
        </w:tc>
        <w:tc>
          <w:tcPr>
            <w:tcW w:w="2159" w:type="dxa"/>
            <w:noWrap/>
            <w:vAlign w:val="bottom"/>
            <w:hideMark/>
          </w:tcPr>
          <w:p w14:paraId="4D8A1087"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jedinica</w:t>
            </w:r>
          </w:p>
        </w:tc>
        <w:tc>
          <w:tcPr>
            <w:tcW w:w="1344" w:type="dxa"/>
            <w:noWrap/>
            <w:vAlign w:val="bottom"/>
            <w:hideMark/>
          </w:tcPr>
          <w:p w14:paraId="44A8EAF4"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vrijednost</w:t>
            </w:r>
          </w:p>
        </w:tc>
      </w:tr>
      <w:tr w:rsidR="00A91662" w:rsidRPr="00AF3354" w14:paraId="10B64747" w14:textId="77777777" w:rsidTr="00A91662">
        <w:trPr>
          <w:trHeight w:val="300"/>
        </w:trPr>
        <w:tc>
          <w:tcPr>
            <w:tcW w:w="3795" w:type="dxa"/>
            <w:noWrap/>
            <w:vAlign w:val="bottom"/>
            <w:hideMark/>
          </w:tcPr>
          <w:p w14:paraId="02509D78"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amortizacijsko razdoblje zgrade</w:t>
            </w:r>
          </w:p>
        </w:tc>
        <w:tc>
          <w:tcPr>
            <w:tcW w:w="2046" w:type="dxa"/>
            <w:noWrap/>
            <w:vAlign w:val="bottom"/>
            <w:hideMark/>
          </w:tcPr>
          <w:p w14:paraId="69B5A470" w14:textId="77777777" w:rsidR="00A91662" w:rsidRPr="00AF3354" w:rsidRDefault="00A91662" w:rsidP="00826D9B">
            <w:pPr>
              <w:spacing w:line="240" w:lineRule="auto"/>
              <w:jc w:val="left"/>
              <w:rPr>
                <w:color w:val="000000"/>
                <w:szCs w:val="20"/>
              </w:rPr>
            </w:pPr>
          </w:p>
        </w:tc>
        <w:tc>
          <w:tcPr>
            <w:tcW w:w="2159" w:type="dxa"/>
            <w:noWrap/>
            <w:vAlign w:val="bottom"/>
            <w:hideMark/>
          </w:tcPr>
          <w:p w14:paraId="78723E18"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godina</w:t>
            </w:r>
          </w:p>
        </w:tc>
        <w:tc>
          <w:tcPr>
            <w:tcW w:w="1344" w:type="dxa"/>
            <w:noWrap/>
            <w:vAlign w:val="bottom"/>
            <w:hideMark/>
          </w:tcPr>
          <w:p w14:paraId="51C514A8"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50</w:t>
            </w:r>
          </w:p>
        </w:tc>
      </w:tr>
      <w:tr w:rsidR="00A91662" w:rsidRPr="00AF3354" w14:paraId="24807DF2" w14:textId="77777777" w:rsidTr="00A91662">
        <w:trPr>
          <w:trHeight w:val="300"/>
        </w:trPr>
        <w:tc>
          <w:tcPr>
            <w:tcW w:w="3795" w:type="dxa"/>
            <w:noWrap/>
            <w:vAlign w:val="bottom"/>
            <w:hideMark/>
          </w:tcPr>
          <w:p w14:paraId="3BD924E4"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proračunski period</w:t>
            </w:r>
          </w:p>
        </w:tc>
        <w:tc>
          <w:tcPr>
            <w:tcW w:w="2046" w:type="dxa"/>
            <w:noWrap/>
            <w:vAlign w:val="bottom"/>
            <w:hideMark/>
          </w:tcPr>
          <w:p w14:paraId="14691E37"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τ</w:t>
            </w:r>
          </w:p>
        </w:tc>
        <w:tc>
          <w:tcPr>
            <w:tcW w:w="2159" w:type="dxa"/>
            <w:noWrap/>
            <w:vAlign w:val="bottom"/>
            <w:hideMark/>
          </w:tcPr>
          <w:p w14:paraId="1FB8E03A"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godina</w:t>
            </w:r>
          </w:p>
        </w:tc>
        <w:tc>
          <w:tcPr>
            <w:tcW w:w="1344" w:type="dxa"/>
            <w:noWrap/>
            <w:vAlign w:val="bottom"/>
            <w:hideMark/>
          </w:tcPr>
          <w:p w14:paraId="127EC60C"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30</w:t>
            </w:r>
          </w:p>
        </w:tc>
      </w:tr>
      <w:tr w:rsidR="00A91662" w:rsidRPr="00AF3354" w14:paraId="4440FD02" w14:textId="77777777" w:rsidTr="00A91662">
        <w:trPr>
          <w:trHeight w:val="360"/>
        </w:trPr>
        <w:tc>
          <w:tcPr>
            <w:tcW w:w="3795" w:type="dxa"/>
            <w:noWrap/>
            <w:vAlign w:val="bottom"/>
            <w:hideMark/>
          </w:tcPr>
          <w:p w14:paraId="706C809B"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stopa inflacije</w:t>
            </w:r>
          </w:p>
        </w:tc>
        <w:tc>
          <w:tcPr>
            <w:tcW w:w="2046" w:type="dxa"/>
            <w:noWrap/>
            <w:vAlign w:val="bottom"/>
            <w:hideMark/>
          </w:tcPr>
          <w:p w14:paraId="0D8EB665"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R</w:t>
            </w:r>
            <w:r w:rsidRPr="00AF3354">
              <w:rPr>
                <w:color w:val="000000" w:themeColor="text1"/>
                <w:szCs w:val="20"/>
                <w:vertAlign w:val="subscript"/>
              </w:rPr>
              <w:t>i</w:t>
            </w:r>
          </w:p>
        </w:tc>
        <w:tc>
          <w:tcPr>
            <w:tcW w:w="2159" w:type="dxa"/>
            <w:noWrap/>
            <w:vAlign w:val="bottom"/>
            <w:hideMark/>
          </w:tcPr>
          <w:p w14:paraId="36F7EC60"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6033F4BE"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0,30</w:t>
            </w:r>
          </w:p>
        </w:tc>
      </w:tr>
      <w:tr w:rsidR="00A91662" w:rsidRPr="00AF3354" w14:paraId="5AC239EE" w14:textId="77777777" w:rsidTr="00A91662">
        <w:trPr>
          <w:trHeight w:val="300"/>
        </w:trPr>
        <w:tc>
          <w:tcPr>
            <w:tcW w:w="3795" w:type="dxa"/>
            <w:noWrap/>
            <w:vAlign w:val="bottom"/>
            <w:hideMark/>
          </w:tcPr>
          <w:p w14:paraId="0C37035B"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tržišna kamatna stopa</w:t>
            </w:r>
          </w:p>
        </w:tc>
        <w:tc>
          <w:tcPr>
            <w:tcW w:w="2046" w:type="dxa"/>
            <w:noWrap/>
            <w:vAlign w:val="bottom"/>
            <w:hideMark/>
          </w:tcPr>
          <w:p w14:paraId="3588746E"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R</w:t>
            </w:r>
          </w:p>
        </w:tc>
        <w:tc>
          <w:tcPr>
            <w:tcW w:w="2159" w:type="dxa"/>
            <w:noWrap/>
            <w:vAlign w:val="bottom"/>
            <w:hideMark/>
          </w:tcPr>
          <w:p w14:paraId="4EE7668B"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1E55C062"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6,60</w:t>
            </w:r>
          </w:p>
        </w:tc>
      </w:tr>
      <w:tr w:rsidR="00A91662" w:rsidRPr="00AF3354" w14:paraId="2246D4FD" w14:textId="77777777" w:rsidTr="00A91662">
        <w:trPr>
          <w:trHeight w:val="360"/>
        </w:trPr>
        <w:tc>
          <w:tcPr>
            <w:tcW w:w="3795" w:type="dxa"/>
            <w:noWrap/>
            <w:vAlign w:val="bottom"/>
            <w:hideMark/>
          </w:tcPr>
          <w:p w14:paraId="6835407E"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realna kamatna stopa</w:t>
            </w:r>
          </w:p>
        </w:tc>
        <w:tc>
          <w:tcPr>
            <w:tcW w:w="2046" w:type="dxa"/>
            <w:noWrap/>
            <w:vAlign w:val="bottom"/>
            <w:hideMark/>
          </w:tcPr>
          <w:p w14:paraId="5DF8043A"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R</w:t>
            </w:r>
            <w:r w:rsidRPr="00AF3354">
              <w:rPr>
                <w:color w:val="000000" w:themeColor="text1"/>
                <w:szCs w:val="20"/>
                <w:vertAlign w:val="subscript"/>
              </w:rPr>
              <w:t>R</w:t>
            </w:r>
          </w:p>
        </w:tc>
        <w:tc>
          <w:tcPr>
            <w:tcW w:w="2159" w:type="dxa"/>
            <w:noWrap/>
            <w:vAlign w:val="bottom"/>
            <w:hideMark/>
          </w:tcPr>
          <w:p w14:paraId="0EC718D6"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07109593"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5,91</w:t>
            </w:r>
          </w:p>
        </w:tc>
      </w:tr>
      <w:tr w:rsidR="00A91662" w:rsidRPr="00AF3354" w14:paraId="63D822E1" w14:textId="77777777" w:rsidTr="00A91662">
        <w:trPr>
          <w:trHeight w:val="300"/>
        </w:trPr>
        <w:tc>
          <w:tcPr>
            <w:tcW w:w="3795" w:type="dxa"/>
            <w:noWrap/>
            <w:vAlign w:val="bottom"/>
            <w:hideMark/>
          </w:tcPr>
          <w:p w14:paraId="1265A450" w14:textId="77777777" w:rsidR="00A91662" w:rsidRPr="00AF3354" w:rsidRDefault="00A91662" w:rsidP="00826D9B">
            <w:pPr>
              <w:spacing w:line="240" w:lineRule="auto"/>
              <w:jc w:val="left"/>
              <w:rPr>
                <w:color w:val="000000" w:themeColor="text1"/>
                <w:szCs w:val="20"/>
              </w:rPr>
            </w:pPr>
            <w:r w:rsidRPr="00AF3354">
              <w:rPr>
                <w:color w:val="000000"/>
                <w:szCs w:val="20"/>
              </w:rPr>
              <w:t>diskontna stopa</w:t>
            </w:r>
            <w:r w:rsidRPr="00AF3354">
              <w:rPr>
                <w:rStyle w:val="Referencafusnote"/>
                <w:rFonts w:cs="Myriad Pro"/>
              </w:rPr>
              <w:footnoteReference w:id="3"/>
            </w:r>
          </w:p>
        </w:tc>
        <w:tc>
          <w:tcPr>
            <w:tcW w:w="2046" w:type="dxa"/>
            <w:noWrap/>
            <w:vAlign w:val="bottom"/>
            <w:hideMark/>
          </w:tcPr>
          <w:p w14:paraId="745D7C56" w14:textId="77777777" w:rsidR="00A91662" w:rsidRPr="00AF3354" w:rsidRDefault="00A91662" w:rsidP="00826D9B">
            <w:pPr>
              <w:spacing w:line="240" w:lineRule="auto"/>
              <w:jc w:val="left"/>
              <w:rPr>
                <w:color w:val="000000"/>
                <w:szCs w:val="20"/>
              </w:rPr>
            </w:pPr>
          </w:p>
        </w:tc>
        <w:tc>
          <w:tcPr>
            <w:tcW w:w="2159" w:type="dxa"/>
            <w:noWrap/>
            <w:vAlign w:val="bottom"/>
            <w:hideMark/>
          </w:tcPr>
          <w:p w14:paraId="4177F271"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319CB4FD"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7,00</w:t>
            </w:r>
          </w:p>
        </w:tc>
      </w:tr>
      <w:tr w:rsidR="00A91662" w:rsidRPr="00AF3354" w14:paraId="6C32C4D5" w14:textId="77777777" w:rsidTr="00A91662">
        <w:trPr>
          <w:trHeight w:val="300"/>
        </w:trPr>
        <w:tc>
          <w:tcPr>
            <w:tcW w:w="3795" w:type="dxa"/>
            <w:noWrap/>
            <w:vAlign w:val="bottom"/>
            <w:hideMark/>
          </w:tcPr>
          <w:p w14:paraId="75BEEAD3"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porez na dodanu vrijednost</w:t>
            </w:r>
          </w:p>
        </w:tc>
        <w:tc>
          <w:tcPr>
            <w:tcW w:w="2046" w:type="dxa"/>
            <w:noWrap/>
            <w:vAlign w:val="bottom"/>
            <w:hideMark/>
          </w:tcPr>
          <w:p w14:paraId="38439FBB" w14:textId="77777777" w:rsidR="00A91662" w:rsidRPr="00AF3354" w:rsidRDefault="00A91662" w:rsidP="00826D9B">
            <w:pPr>
              <w:spacing w:line="240" w:lineRule="auto"/>
              <w:jc w:val="left"/>
              <w:rPr>
                <w:color w:val="000000"/>
                <w:szCs w:val="20"/>
              </w:rPr>
            </w:pPr>
          </w:p>
        </w:tc>
        <w:tc>
          <w:tcPr>
            <w:tcW w:w="2159" w:type="dxa"/>
            <w:noWrap/>
            <w:vAlign w:val="bottom"/>
            <w:hideMark/>
          </w:tcPr>
          <w:p w14:paraId="1553A52C"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44F45377"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25</w:t>
            </w:r>
          </w:p>
        </w:tc>
      </w:tr>
      <w:tr w:rsidR="00A91662" w:rsidRPr="00AF3354" w14:paraId="5243A93A" w14:textId="77777777" w:rsidTr="00A91662">
        <w:trPr>
          <w:trHeight w:val="300"/>
        </w:trPr>
        <w:tc>
          <w:tcPr>
            <w:tcW w:w="3795" w:type="dxa"/>
            <w:noWrap/>
            <w:vAlign w:val="bottom"/>
            <w:hideMark/>
          </w:tcPr>
          <w:p w14:paraId="72B61FF4"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trošak CO2 emisija</w:t>
            </w:r>
          </w:p>
        </w:tc>
        <w:tc>
          <w:tcPr>
            <w:tcW w:w="2046" w:type="dxa"/>
            <w:noWrap/>
            <w:vAlign w:val="bottom"/>
            <w:hideMark/>
          </w:tcPr>
          <w:p w14:paraId="4FF4C827" w14:textId="77777777" w:rsidR="00A91662" w:rsidRPr="00AF3354" w:rsidRDefault="00A91662" w:rsidP="00826D9B">
            <w:pPr>
              <w:spacing w:line="240" w:lineRule="auto"/>
              <w:jc w:val="left"/>
              <w:rPr>
                <w:color w:val="000000"/>
                <w:szCs w:val="20"/>
              </w:rPr>
            </w:pPr>
          </w:p>
        </w:tc>
        <w:tc>
          <w:tcPr>
            <w:tcW w:w="2159" w:type="dxa"/>
            <w:noWrap/>
            <w:vAlign w:val="bottom"/>
            <w:hideMark/>
          </w:tcPr>
          <w:p w14:paraId="7CAF6B63"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kn/t</w:t>
            </w:r>
          </w:p>
        </w:tc>
        <w:tc>
          <w:tcPr>
            <w:tcW w:w="1344" w:type="dxa"/>
            <w:noWrap/>
            <w:vAlign w:val="bottom"/>
            <w:hideMark/>
          </w:tcPr>
          <w:p w14:paraId="70B7B264"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150</w:t>
            </w:r>
          </w:p>
        </w:tc>
      </w:tr>
    </w:tbl>
    <w:p w14:paraId="08BFFC80" w14:textId="77777777" w:rsidR="00AE04C1" w:rsidRDefault="00AE04C1" w:rsidP="00A91662"/>
    <w:p w14:paraId="48467997" w14:textId="482A6EA3" w:rsidR="00A91662" w:rsidRPr="00AF3354" w:rsidRDefault="00B9513C" w:rsidP="00A91662">
      <w:r>
        <w:fldChar w:fldCharType="begin"/>
      </w:r>
      <w:r>
        <w:instrText xml:space="preserve"> REF _Ref45723079 \h </w:instrText>
      </w:r>
      <w:r>
        <w:fldChar w:fldCharType="separate"/>
      </w:r>
      <w:r w:rsidR="00CE61F3">
        <w:t xml:space="preserve">Tablica </w:t>
      </w:r>
      <w:r w:rsidR="00CE61F3">
        <w:rPr>
          <w:noProof/>
        </w:rPr>
        <w:t>19</w:t>
      </w:r>
      <w:r>
        <w:fldChar w:fldCharType="end"/>
      </w:r>
      <w:r>
        <w:t xml:space="preserve"> prikazuje</w:t>
      </w:r>
      <w:r w:rsidRPr="00AF3354">
        <w:t xml:space="preserve"> faktor</w:t>
      </w:r>
      <w:r>
        <w:t>e primarne energije</w:t>
      </w:r>
      <w:r w:rsidRPr="00AF3354">
        <w:t xml:space="preserve"> </w:t>
      </w:r>
      <w:r w:rsidR="00A91662" w:rsidRPr="00AF3354">
        <w:t xml:space="preserve">za one energente koji su stvarno korišteni u paketima mjera za troškovno optimalnu kalkulaciju. </w:t>
      </w:r>
    </w:p>
    <w:p w14:paraId="52B36D72" w14:textId="77777777" w:rsidR="00A91662" w:rsidRPr="00AF3354" w:rsidRDefault="00A91662" w:rsidP="00A91662">
      <w:pPr>
        <w:pStyle w:val="Naslovtablica"/>
      </w:pPr>
    </w:p>
    <w:p w14:paraId="487A9537" w14:textId="3ECADB98" w:rsidR="00AE04C1" w:rsidRDefault="00AE04C1" w:rsidP="00AE04C1">
      <w:pPr>
        <w:pStyle w:val="Opisslike"/>
        <w:keepNext/>
      </w:pPr>
      <w:bookmarkStart w:id="101" w:name="_Ref45723079"/>
      <w:bookmarkStart w:id="102" w:name="_Ref30354764"/>
      <w:bookmarkStart w:id="103" w:name="_Toc40089036"/>
      <w:r>
        <w:t xml:space="preserve">Tablica </w:t>
      </w:r>
      <w:r w:rsidR="00A50909">
        <w:fldChar w:fldCharType="begin"/>
      </w:r>
      <w:r w:rsidR="00A50909">
        <w:instrText xml:space="preserve"> SEQ Tablica \* ARABIC </w:instrText>
      </w:r>
      <w:r w:rsidR="00A50909">
        <w:fldChar w:fldCharType="separate"/>
      </w:r>
      <w:r w:rsidR="00CE61F3">
        <w:rPr>
          <w:noProof/>
        </w:rPr>
        <w:t>19</w:t>
      </w:r>
      <w:r w:rsidR="00A50909">
        <w:rPr>
          <w:noProof/>
        </w:rPr>
        <w:fldChar w:fldCharType="end"/>
      </w:r>
      <w:bookmarkEnd w:id="101"/>
      <w:r>
        <w:t xml:space="preserve"> </w:t>
      </w:r>
      <w:r w:rsidRPr="00343F4E">
        <w:t>Faktori primarne energije</w:t>
      </w:r>
      <w:bookmarkEnd w:id="102"/>
      <w:bookmarkEnd w:id="103"/>
    </w:p>
    <w:tbl>
      <w:tblPr>
        <w:tblW w:w="5000" w:type="pct"/>
        <w:tblInd w:w="2" w:type="dxa"/>
        <w:tblLook w:val="00A0" w:firstRow="1" w:lastRow="0" w:firstColumn="1" w:lastColumn="0" w:noHBand="0" w:noVBand="0"/>
      </w:tblPr>
      <w:tblGrid>
        <w:gridCol w:w="4084"/>
        <w:gridCol w:w="2556"/>
        <w:gridCol w:w="2694"/>
      </w:tblGrid>
      <w:tr w:rsidR="00A91662" w:rsidRPr="00AF3354" w14:paraId="54813D99" w14:textId="77777777" w:rsidTr="00AE04C1">
        <w:trPr>
          <w:trHeight w:val="112"/>
          <w:tblHeader/>
        </w:trPr>
        <w:tc>
          <w:tcPr>
            <w:tcW w:w="4084" w:type="dxa"/>
            <w:tcBorders>
              <w:top w:val="single" w:sz="8" w:space="0" w:color="auto"/>
              <w:left w:val="single" w:sz="8" w:space="0" w:color="auto"/>
              <w:bottom w:val="single" w:sz="4" w:space="0" w:color="auto"/>
              <w:right w:val="single" w:sz="4" w:space="0" w:color="auto"/>
            </w:tcBorders>
            <w:noWrap/>
            <w:vAlign w:val="bottom"/>
          </w:tcPr>
          <w:p w14:paraId="21BB40EA" w14:textId="77777777" w:rsidR="00A91662" w:rsidRPr="00AF3354" w:rsidRDefault="00A91662" w:rsidP="00826D9B">
            <w:pPr>
              <w:spacing w:line="240" w:lineRule="auto"/>
              <w:jc w:val="left"/>
              <w:rPr>
                <w:b/>
                <w:color w:val="000000" w:themeColor="text1"/>
                <w:szCs w:val="20"/>
              </w:rPr>
            </w:pPr>
            <w:r w:rsidRPr="00AF3354">
              <w:rPr>
                <w:b/>
                <w:color w:val="000000" w:themeColor="text1"/>
                <w:szCs w:val="20"/>
              </w:rPr>
              <w:t>Energent</w:t>
            </w:r>
          </w:p>
        </w:tc>
        <w:tc>
          <w:tcPr>
            <w:tcW w:w="2556" w:type="dxa"/>
            <w:tcBorders>
              <w:top w:val="single" w:sz="8" w:space="0" w:color="auto"/>
              <w:left w:val="nil"/>
              <w:bottom w:val="single" w:sz="4" w:space="0" w:color="auto"/>
              <w:right w:val="single" w:sz="4" w:space="0" w:color="000000" w:themeColor="text1"/>
            </w:tcBorders>
            <w:vAlign w:val="bottom"/>
          </w:tcPr>
          <w:p w14:paraId="27B613FF" w14:textId="77777777" w:rsidR="00A91662" w:rsidRPr="00AF3354" w:rsidRDefault="00A91662" w:rsidP="00826D9B">
            <w:pPr>
              <w:spacing w:line="240" w:lineRule="auto"/>
              <w:jc w:val="center"/>
              <w:rPr>
                <w:b/>
                <w:color w:val="000000" w:themeColor="text1"/>
                <w:szCs w:val="20"/>
              </w:rPr>
            </w:pPr>
            <w:r w:rsidRPr="00AF3354">
              <w:rPr>
                <w:b/>
                <w:color w:val="000000" w:themeColor="text1"/>
                <w:szCs w:val="20"/>
              </w:rPr>
              <w:t>Faktor primarne energije</w:t>
            </w:r>
          </w:p>
        </w:tc>
        <w:tc>
          <w:tcPr>
            <w:tcW w:w="2694" w:type="dxa"/>
            <w:tcBorders>
              <w:top w:val="single" w:sz="8" w:space="0" w:color="auto"/>
              <w:left w:val="nil"/>
              <w:bottom w:val="single" w:sz="4" w:space="0" w:color="auto"/>
              <w:right w:val="single" w:sz="8" w:space="0" w:color="auto"/>
            </w:tcBorders>
            <w:vAlign w:val="bottom"/>
          </w:tcPr>
          <w:p w14:paraId="0F29DFF4" w14:textId="77777777" w:rsidR="00A91662" w:rsidRPr="00AF3354" w:rsidRDefault="00A91662" w:rsidP="00826D9B">
            <w:pPr>
              <w:spacing w:line="240" w:lineRule="auto"/>
              <w:jc w:val="left"/>
              <w:rPr>
                <w:b/>
                <w:color w:val="000000" w:themeColor="text1"/>
                <w:szCs w:val="20"/>
              </w:rPr>
            </w:pPr>
            <w:r w:rsidRPr="00AF3354">
              <w:rPr>
                <w:b/>
                <w:color w:val="000000" w:themeColor="text1"/>
                <w:szCs w:val="20"/>
              </w:rPr>
              <w:t>Emisija tCO</w:t>
            </w:r>
            <w:r w:rsidRPr="00AF3354">
              <w:rPr>
                <w:b/>
                <w:color w:val="000000" w:themeColor="text1"/>
                <w:szCs w:val="20"/>
                <w:vertAlign w:val="subscript"/>
              </w:rPr>
              <w:t>2</w:t>
            </w:r>
            <w:r w:rsidRPr="00AF3354">
              <w:rPr>
                <w:b/>
                <w:color w:val="000000" w:themeColor="text1"/>
                <w:szCs w:val="20"/>
              </w:rPr>
              <w:t>/TJ (kgCO</w:t>
            </w:r>
            <w:r w:rsidRPr="00AF3354">
              <w:rPr>
                <w:b/>
                <w:color w:val="000000" w:themeColor="text1"/>
                <w:szCs w:val="20"/>
                <w:vertAlign w:val="subscript"/>
              </w:rPr>
              <w:t>2</w:t>
            </w:r>
            <w:r w:rsidRPr="00AF3354">
              <w:rPr>
                <w:b/>
                <w:color w:val="000000" w:themeColor="text1"/>
                <w:szCs w:val="20"/>
              </w:rPr>
              <w:t>/GJ)</w:t>
            </w:r>
          </w:p>
        </w:tc>
      </w:tr>
      <w:tr w:rsidR="00A91662" w:rsidRPr="00AF3354" w14:paraId="1A775812" w14:textId="77777777" w:rsidTr="00AE04C1">
        <w:trPr>
          <w:trHeight w:val="70"/>
          <w:tblHeader/>
        </w:trPr>
        <w:tc>
          <w:tcPr>
            <w:tcW w:w="4084" w:type="dxa"/>
            <w:tcBorders>
              <w:top w:val="nil"/>
              <w:left w:val="single" w:sz="8" w:space="0" w:color="auto"/>
              <w:bottom w:val="single" w:sz="4" w:space="0" w:color="auto"/>
              <w:right w:val="single" w:sz="4" w:space="0" w:color="auto"/>
            </w:tcBorders>
            <w:noWrap/>
            <w:vAlign w:val="bottom"/>
          </w:tcPr>
          <w:p w14:paraId="7D250BFE" w14:textId="77777777" w:rsidR="00A91662" w:rsidRPr="00AF3354" w:rsidRDefault="00A91662" w:rsidP="00826D9B">
            <w:pPr>
              <w:spacing w:line="240" w:lineRule="auto"/>
              <w:jc w:val="left"/>
              <w:rPr>
                <w:b/>
                <w:color w:val="000000" w:themeColor="text1"/>
                <w:szCs w:val="20"/>
              </w:rPr>
            </w:pPr>
            <w:r w:rsidRPr="00AF3354">
              <w:rPr>
                <w:b/>
                <w:color w:val="000000" w:themeColor="text1"/>
                <w:szCs w:val="20"/>
              </w:rPr>
              <w:t> </w:t>
            </w:r>
          </w:p>
        </w:tc>
        <w:tc>
          <w:tcPr>
            <w:tcW w:w="2556" w:type="dxa"/>
            <w:tcBorders>
              <w:top w:val="nil"/>
              <w:left w:val="nil"/>
              <w:bottom w:val="single" w:sz="4" w:space="0" w:color="auto"/>
              <w:right w:val="single" w:sz="4" w:space="0" w:color="auto"/>
            </w:tcBorders>
            <w:vAlign w:val="bottom"/>
          </w:tcPr>
          <w:p w14:paraId="114A0151" w14:textId="77777777" w:rsidR="00A91662" w:rsidRPr="00AF3354" w:rsidRDefault="00A91662" w:rsidP="00826D9B">
            <w:pPr>
              <w:spacing w:line="240" w:lineRule="auto"/>
              <w:jc w:val="center"/>
              <w:rPr>
                <w:b/>
                <w:color w:val="000000" w:themeColor="text1"/>
                <w:szCs w:val="20"/>
              </w:rPr>
            </w:pPr>
            <w:r w:rsidRPr="00AF3354">
              <w:rPr>
                <w:b/>
                <w:color w:val="000000" w:themeColor="text1"/>
                <w:szCs w:val="20"/>
              </w:rPr>
              <w:t>Ukupno</w:t>
            </w:r>
          </w:p>
        </w:tc>
        <w:tc>
          <w:tcPr>
            <w:tcW w:w="2694" w:type="dxa"/>
            <w:tcBorders>
              <w:top w:val="nil"/>
              <w:left w:val="nil"/>
              <w:bottom w:val="single" w:sz="4" w:space="0" w:color="auto"/>
              <w:right w:val="single" w:sz="8" w:space="0" w:color="auto"/>
            </w:tcBorders>
            <w:vAlign w:val="bottom"/>
          </w:tcPr>
          <w:p w14:paraId="5F214595" w14:textId="77777777" w:rsidR="00A91662" w:rsidRPr="00AF3354" w:rsidRDefault="00A91662" w:rsidP="00826D9B">
            <w:pPr>
              <w:spacing w:line="240" w:lineRule="auto"/>
              <w:jc w:val="left"/>
              <w:rPr>
                <w:b/>
                <w:color w:val="000000"/>
                <w:szCs w:val="20"/>
              </w:rPr>
            </w:pPr>
          </w:p>
        </w:tc>
      </w:tr>
      <w:tr w:rsidR="00A91662" w:rsidRPr="00AF3354" w14:paraId="7D7E53C7"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6F7A7670"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Ogrjevno drvo</w:t>
            </w:r>
          </w:p>
        </w:tc>
        <w:tc>
          <w:tcPr>
            <w:tcW w:w="2556" w:type="dxa"/>
            <w:tcBorders>
              <w:top w:val="nil"/>
              <w:left w:val="nil"/>
              <w:bottom w:val="single" w:sz="4" w:space="0" w:color="auto"/>
              <w:right w:val="single" w:sz="4" w:space="0" w:color="auto"/>
            </w:tcBorders>
            <w:noWrap/>
            <w:vAlign w:val="bottom"/>
          </w:tcPr>
          <w:p w14:paraId="481EA6F7"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1,111</w:t>
            </w:r>
          </w:p>
        </w:tc>
        <w:tc>
          <w:tcPr>
            <w:tcW w:w="2694" w:type="dxa"/>
            <w:tcBorders>
              <w:top w:val="nil"/>
              <w:left w:val="nil"/>
              <w:bottom w:val="single" w:sz="4" w:space="0" w:color="auto"/>
              <w:right w:val="single" w:sz="8" w:space="0" w:color="auto"/>
            </w:tcBorders>
            <w:noWrap/>
            <w:vAlign w:val="bottom"/>
          </w:tcPr>
          <w:p w14:paraId="5AF82A5F"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8,08</w:t>
            </w:r>
          </w:p>
        </w:tc>
      </w:tr>
      <w:tr w:rsidR="00A91662" w:rsidRPr="00AF3354" w14:paraId="6C3C9E6D"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7260EE41"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Drveni peleti</w:t>
            </w:r>
          </w:p>
        </w:tc>
        <w:tc>
          <w:tcPr>
            <w:tcW w:w="2556" w:type="dxa"/>
            <w:tcBorders>
              <w:top w:val="nil"/>
              <w:left w:val="nil"/>
              <w:bottom w:val="single" w:sz="4" w:space="0" w:color="auto"/>
              <w:right w:val="single" w:sz="4" w:space="0" w:color="auto"/>
            </w:tcBorders>
            <w:noWrap/>
            <w:vAlign w:val="bottom"/>
          </w:tcPr>
          <w:p w14:paraId="0BA12249"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1,191</w:t>
            </w:r>
          </w:p>
        </w:tc>
        <w:tc>
          <w:tcPr>
            <w:tcW w:w="2694" w:type="dxa"/>
            <w:tcBorders>
              <w:top w:val="nil"/>
              <w:left w:val="nil"/>
              <w:bottom w:val="single" w:sz="4" w:space="0" w:color="auto"/>
              <w:right w:val="single" w:sz="8" w:space="0" w:color="auto"/>
            </w:tcBorders>
            <w:noWrap/>
            <w:vAlign w:val="bottom"/>
          </w:tcPr>
          <w:p w14:paraId="3FAD08EF"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9,56</w:t>
            </w:r>
          </w:p>
        </w:tc>
      </w:tr>
      <w:tr w:rsidR="00A91662" w:rsidRPr="00AF3354" w14:paraId="75F7D02D"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6C96A120"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Drvena sječka</w:t>
            </w:r>
          </w:p>
        </w:tc>
        <w:tc>
          <w:tcPr>
            <w:tcW w:w="2556" w:type="dxa"/>
            <w:tcBorders>
              <w:top w:val="nil"/>
              <w:left w:val="nil"/>
              <w:bottom w:val="single" w:sz="4" w:space="0" w:color="auto"/>
              <w:right w:val="single" w:sz="4" w:space="0" w:color="auto"/>
            </w:tcBorders>
            <w:noWrap/>
            <w:vAlign w:val="bottom"/>
          </w:tcPr>
          <w:p w14:paraId="69B02742"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1,211</w:t>
            </w:r>
          </w:p>
        </w:tc>
        <w:tc>
          <w:tcPr>
            <w:tcW w:w="2694" w:type="dxa"/>
            <w:tcBorders>
              <w:top w:val="nil"/>
              <w:left w:val="nil"/>
              <w:bottom w:val="single" w:sz="4" w:space="0" w:color="auto"/>
              <w:right w:val="single" w:sz="8" w:space="0" w:color="auto"/>
            </w:tcBorders>
            <w:noWrap/>
            <w:vAlign w:val="bottom"/>
          </w:tcPr>
          <w:p w14:paraId="25DEF8B4"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11,76</w:t>
            </w:r>
          </w:p>
        </w:tc>
      </w:tr>
      <w:tr w:rsidR="00A91662" w:rsidRPr="00AF3354" w14:paraId="51B6CC8C"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3EFA56CB"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Prirodni plin</w:t>
            </w:r>
          </w:p>
        </w:tc>
        <w:tc>
          <w:tcPr>
            <w:tcW w:w="2556" w:type="dxa"/>
            <w:tcBorders>
              <w:top w:val="nil"/>
              <w:left w:val="nil"/>
              <w:bottom w:val="single" w:sz="4" w:space="0" w:color="auto"/>
              <w:right w:val="single" w:sz="4" w:space="0" w:color="auto"/>
            </w:tcBorders>
            <w:noWrap/>
            <w:vAlign w:val="bottom"/>
          </w:tcPr>
          <w:p w14:paraId="24E07ABF"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1,097</w:t>
            </w:r>
          </w:p>
        </w:tc>
        <w:tc>
          <w:tcPr>
            <w:tcW w:w="2694" w:type="dxa"/>
            <w:tcBorders>
              <w:top w:val="nil"/>
              <w:left w:val="nil"/>
              <w:bottom w:val="single" w:sz="4" w:space="0" w:color="auto"/>
              <w:right w:val="single" w:sz="8" w:space="0" w:color="auto"/>
            </w:tcBorders>
            <w:noWrap/>
            <w:vAlign w:val="bottom"/>
          </w:tcPr>
          <w:p w14:paraId="52D1B26C"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61,17</w:t>
            </w:r>
          </w:p>
        </w:tc>
      </w:tr>
      <w:tr w:rsidR="00A91662" w:rsidRPr="00AF3354" w14:paraId="5A0A0F8A"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6CD2059A"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UNP</w:t>
            </w:r>
          </w:p>
        </w:tc>
        <w:tc>
          <w:tcPr>
            <w:tcW w:w="2556" w:type="dxa"/>
            <w:tcBorders>
              <w:top w:val="nil"/>
              <w:left w:val="nil"/>
              <w:bottom w:val="single" w:sz="4" w:space="0" w:color="auto"/>
              <w:right w:val="single" w:sz="4" w:space="0" w:color="auto"/>
            </w:tcBorders>
            <w:noWrap/>
            <w:vAlign w:val="bottom"/>
          </w:tcPr>
          <w:p w14:paraId="502DD09E"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1,162</w:t>
            </w:r>
          </w:p>
        </w:tc>
        <w:tc>
          <w:tcPr>
            <w:tcW w:w="2694" w:type="dxa"/>
            <w:tcBorders>
              <w:top w:val="nil"/>
              <w:left w:val="nil"/>
              <w:bottom w:val="single" w:sz="4" w:space="0" w:color="auto"/>
              <w:right w:val="single" w:sz="8" w:space="0" w:color="auto"/>
            </w:tcBorders>
            <w:noWrap/>
            <w:vAlign w:val="bottom"/>
          </w:tcPr>
          <w:p w14:paraId="08A917FE"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72,47</w:t>
            </w:r>
          </w:p>
        </w:tc>
      </w:tr>
      <w:tr w:rsidR="00A91662" w:rsidRPr="00AF3354" w14:paraId="2B6BE18B"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4F02F7AD"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Ekstra lako loživo ulje</w:t>
            </w:r>
          </w:p>
        </w:tc>
        <w:tc>
          <w:tcPr>
            <w:tcW w:w="2556" w:type="dxa"/>
            <w:tcBorders>
              <w:top w:val="nil"/>
              <w:left w:val="nil"/>
              <w:bottom w:val="single" w:sz="4" w:space="0" w:color="auto"/>
              <w:right w:val="single" w:sz="4" w:space="0" w:color="auto"/>
            </w:tcBorders>
            <w:noWrap/>
            <w:vAlign w:val="bottom"/>
          </w:tcPr>
          <w:p w14:paraId="3FE479D2"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1,140</w:t>
            </w:r>
          </w:p>
        </w:tc>
        <w:tc>
          <w:tcPr>
            <w:tcW w:w="2694" w:type="dxa"/>
            <w:tcBorders>
              <w:top w:val="nil"/>
              <w:left w:val="nil"/>
              <w:bottom w:val="single" w:sz="4" w:space="0" w:color="auto"/>
              <w:right w:val="single" w:sz="8" w:space="0" w:color="auto"/>
            </w:tcBorders>
            <w:noWrap/>
            <w:vAlign w:val="bottom"/>
          </w:tcPr>
          <w:p w14:paraId="3B223C30"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83,21</w:t>
            </w:r>
          </w:p>
        </w:tc>
      </w:tr>
      <w:tr w:rsidR="00A91662" w:rsidRPr="00AF3354" w14:paraId="376FE237"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64B85EBF"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Električna energija</w:t>
            </w:r>
          </w:p>
        </w:tc>
        <w:tc>
          <w:tcPr>
            <w:tcW w:w="2556" w:type="dxa"/>
            <w:tcBorders>
              <w:top w:val="nil"/>
              <w:left w:val="nil"/>
              <w:bottom w:val="single" w:sz="4" w:space="0" w:color="auto"/>
              <w:right w:val="single" w:sz="4" w:space="0" w:color="auto"/>
            </w:tcBorders>
            <w:noWrap/>
            <w:vAlign w:val="bottom"/>
          </w:tcPr>
          <w:p w14:paraId="1017A9A5"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1,614</w:t>
            </w:r>
          </w:p>
        </w:tc>
        <w:tc>
          <w:tcPr>
            <w:tcW w:w="2694" w:type="dxa"/>
            <w:tcBorders>
              <w:top w:val="nil"/>
              <w:left w:val="nil"/>
              <w:bottom w:val="single" w:sz="4" w:space="0" w:color="auto"/>
              <w:right w:val="single" w:sz="8" w:space="0" w:color="auto"/>
            </w:tcBorders>
            <w:noWrap/>
            <w:vAlign w:val="bottom"/>
          </w:tcPr>
          <w:p w14:paraId="76D3D3C3"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65,22</w:t>
            </w:r>
          </w:p>
        </w:tc>
      </w:tr>
      <w:tr w:rsidR="00A91662" w:rsidRPr="00AF3354" w14:paraId="34E70A61" w14:textId="77777777" w:rsidTr="00AE04C1">
        <w:trPr>
          <w:trHeight w:val="300"/>
        </w:trPr>
        <w:tc>
          <w:tcPr>
            <w:tcW w:w="4084" w:type="dxa"/>
            <w:tcBorders>
              <w:top w:val="nil"/>
              <w:left w:val="single" w:sz="8" w:space="0" w:color="auto"/>
              <w:bottom w:val="single" w:sz="8" w:space="0" w:color="000000" w:themeColor="text1"/>
              <w:right w:val="single" w:sz="4" w:space="0" w:color="auto"/>
            </w:tcBorders>
            <w:noWrap/>
            <w:vAlign w:val="center"/>
          </w:tcPr>
          <w:p w14:paraId="5A4633EB"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Daljinska toplina</w:t>
            </w:r>
          </w:p>
        </w:tc>
        <w:tc>
          <w:tcPr>
            <w:tcW w:w="2556" w:type="dxa"/>
            <w:tcBorders>
              <w:top w:val="nil"/>
              <w:left w:val="nil"/>
              <w:bottom w:val="single" w:sz="4" w:space="0" w:color="auto"/>
              <w:right w:val="single" w:sz="4" w:space="0" w:color="auto"/>
            </w:tcBorders>
            <w:noWrap/>
            <w:vAlign w:val="bottom"/>
          </w:tcPr>
          <w:p w14:paraId="52429357"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1,523</w:t>
            </w:r>
          </w:p>
        </w:tc>
        <w:tc>
          <w:tcPr>
            <w:tcW w:w="2694" w:type="dxa"/>
            <w:tcBorders>
              <w:top w:val="nil"/>
              <w:left w:val="nil"/>
              <w:bottom w:val="single" w:sz="4" w:space="0" w:color="auto"/>
              <w:right w:val="single" w:sz="8" w:space="0" w:color="auto"/>
            </w:tcBorders>
            <w:noWrap/>
            <w:vAlign w:val="bottom"/>
          </w:tcPr>
          <w:p w14:paraId="5F1B49B2"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100,69</w:t>
            </w:r>
          </w:p>
        </w:tc>
      </w:tr>
    </w:tbl>
    <w:p w14:paraId="1E86077A" w14:textId="77777777" w:rsidR="00A91662" w:rsidRPr="00AF3354" w:rsidRDefault="00A91662" w:rsidP="00A91662"/>
    <w:p w14:paraId="16D99DCD" w14:textId="77777777" w:rsidR="00A91662" w:rsidRPr="00AF3354" w:rsidRDefault="00A91662" w:rsidP="00A91662">
      <w:r w:rsidRPr="00AF3354">
        <w:t xml:space="preserve">U postupku odabira troškovno optimalne razine energetske obnove uspoređene su vrijednosti iz </w:t>
      </w:r>
      <w:r w:rsidR="00143A1D">
        <w:t>Tehničkog propisa o racionalnoj uporabi energije i toplinskoj zaštiti u zgradama</w:t>
      </w:r>
      <w:r w:rsidR="00143A1D" w:rsidRPr="00AF3354">
        <w:t xml:space="preserve"> </w:t>
      </w:r>
      <w:r w:rsidRPr="00AF3354">
        <w:t>s rezultatima proračuna, uz primijenjene ulazne parametre odabira zgrada</w:t>
      </w:r>
    </w:p>
    <w:p w14:paraId="35878A14" w14:textId="77777777" w:rsidR="00A91662" w:rsidRPr="00AF3354" w:rsidRDefault="00A91662" w:rsidP="00853D9C">
      <w:pPr>
        <w:pStyle w:val="Odlomakpopisa"/>
        <w:keepLines w:val="0"/>
        <w:numPr>
          <w:ilvl w:val="0"/>
          <w:numId w:val="50"/>
        </w:numPr>
        <w:tabs>
          <w:tab w:val="clear" w:pos="431"/>
        </w:tabs>
        <w:suppressAutoHyphens w:val="0"/>
        <w:spacing w:before="120" w:after="360" w:line="360" w:lineRule="auto"/>
        <w:contextualSpacing/>
      </w:pPr>
      <w:r w:rsidRPr="00AF3354">
        <w:t xml:space="preserve">objedinjene su sve zgrade (sve </w:t>
      </w:r>
      <w:r w:rsidR="00143A1D">
        <w:t>varijante</w:t>
      </w:r>
      <w:r w:rsidRPr="00AF3354">
        <w:t xml:space="preserve">) po namjeni i klimi, bez obzira na razdoblje gradnje </w:t>
      </w:r>
    </w:p>
    <w:p w14:paraId="2BC8FB7B" w14:textId="77777777" w:rsidR="00A91662" w:rsidRPr="00AF3354" w:rsidRDefault="00A91662" w:rsidP="00853D9C">
      <w:pPr>
        <w:pStyle w:val="Odlomakpopisa"/>
        <w:keepLines w:val="0"/>
        <w:numPr>
          <w:ilvl w:val="0"/>
          <w:numId w:val="50"/>
        </w:numPr>
        <w:tabs>
          <w:tab w:val="clear" w:pos="431"/>
        </w:tabs>
        <w:suppressAutoHyphens w:val="0"/>
        <w:spacing w:before="120" w:after="360" w:line="360" w:lineRule="auto"/>
        <w:contextualSpacing/>
      </w:pPr>
      <w:r w:rsidRPr="00AF3354">
        <w:t>zgrade izgrađene iza 2005. godine su izuzete iz usporedbe</w:t>
      </w:r>
    </w:p>
    <w:p w14:paraId="58646BD5" w14:textId="77777777" w:rsidR="00A91662" w:rsidRPr="00AF3354" w:rsidRDefault="00A91662" w:rsidP="00853D9C">
      <w:pPr>
        <w:pStyle w:val="Odlomakpopisa"/>
        <w:keepLines w:val="0"/>
        <w:numPr>
          <w:ilvl w:val="0"/>
          <w:numId w:val="50"/>
        </w:numPr>
        <w:tabs>
          <w:tab w:val="clear" w:pos="431"/>
        </w:tabs>
        <w:suppressAutoHyphens w:val="0"/>
        <w:spacing w:before="120" w:after="360" w:line="360" w:lineRule="auto"/>
        <w:contextualSpacing/>
      </w:pPr>
      <w:r w:rsidRPr="00AF3354">
        <w:t>zgrade izvan troškovno učinkovitog područja isključene su iz usporedbe</w:t>
      </w:r>
      <w:r w:rsidR="00143A1D">
        <w:t xml:space="preserve"> (iznad razine globalnog troška referentne zgrade) </w:t>
      </w:r>
    </w:p>
    <w:p w14:paraId="1F89B587" w14:textId="77777777" w:rsidR="00AE04C1" w:rsidRDefault="005F30E0" w:rsidP="00AE04C1">
      <w:pPr>
        <w:pStyle w:val="Slika"/>
      </w:pPr>
      <w:r>
        <w:rPr>
          <w:noProof/>
        </w:rPr>
        <mc:AlternateContent>
          <mc:Choice Requires="wps">
            <w:drawing>
              <wp:anchor distT="0" distB="0" distL="114300" distR="114300" simplePos="0" relativeHeight="251663360" behindDoc="0" locked="0" layoutInCell="1" allowOverlap="1" wp14:anchorId="0C2D2606" wp14:editId="08675B4E">
                <wp:simplePos x="0" y="0"/>
                <wp:positionH relativeFrom="column">
                  <wp:posOffset>1056005</wp:posOffset>
                </wp:positionH>
                <wp:positionV relativeFrom="paragraph">
                  <wp:posOffset>1223645</wp:posOffset>
                </wp:positionV>
                <wp:extent cx="558800" cy="209550"/>
                <wp:effectExtent l="19050" t="19050" r="0" b="19050"/>
                <wp:wrapNone/>
                <wp:docPr id="49" name="Lef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2095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7520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9" o:spid="_x0000_s1026" type="#_x0000_t66" style="position:absolute;margin-left:83.15pt;margin-top:96.35pt;width:44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" adj="4050" fillcolor="#70ad47 [3209]" strokecolor="#375623 [1609]" strokeweight="1pt">
                <v:path arrowok="t"/>
              </v:shape>
            </w:pict>
          </mc:Fallback>
        </mc:AlternateContent>
      </w:r>
      <w:r>
        <w:rPr>
          <w:noProof/>
        </w:rPr>
        <mc:AlternateContent>
          <mc:Choice Requires="wps">
            <w:drawing>
              <wp:anchor distT="0" distB="0" distL="114300" distR="114300" simplePos="0" relativeHeight="251660288" behindDoc="0" locked="0" layoutInCell="1" allowOverlap="1" wp14:anchorId="3B1870DF" wp14:editId="4D3311CD">
                <wp:simplePos x="0" y="0"/>
                <wp:positionH relativeFrom="column">
                  <wp:posOffset>1430655</wp:posOffset>
                </wp:positionH>
                <wp:positionV relativeFrom="paragraph">
                  <wp:posOffset>1639570</wp:posOffset>
                </wp:positionV>
                <wp:extent cx="266700" cy="336550"/>
                <wp:effectExtent l="19050" t="19050" r="19050" b="6350"/>
                <wp:wrapNone/>
                <wp:docPr id="36" name="Up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365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D450E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 o:spid="_x0000_s1026" type="#_x0000_t68" style="position:absolute;margin-left:112.65pt;margin-top:129.1pt;width:21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" adj="8558" fillcolor="#5b9bd5 [3204]" strokecolor="#1f4d78 [1604]" strokeweight="1pt">
                <v:path arrowok="t"/>
              </v:shape>
            </w:pict>
          </mc:Fallback>
        </mc:AlternateContent>
      </w:r>
      <w:r>
        <w:rPr>
          <w:noProof/>
        </w:rPr>
        <mc:AlternateContent>
          <mc:Choice Requires="wps">
            <w:drawing>
              <wp:anchor distT="0" distB="0" distL="114300" distR="114300" simplePos="0" relativeHeight="251657216" behindDoc="0" locked="0" layoutInCell="1" allowOverlap="1" wp14:anchorId="33AEF9CC" wp14:editId="37B3D835">
                <wp:simplePos x="0" y="0"/>
                <wp:positionH relativeFrom="column">
                  <wp:posOffset>1043305</wp:posOffset>
                </wp:positionH>
                <wp:positionV relativeFrom="paragraph">
                  <wp:posOffset>1299845</wp:posOffset>
                </wp:positionV>
                <wp:extent cx="2984500" cy="340360"/>
                <wp:effectExtent l="0" t="0" r="6350" b="2540"/>
                <wp:wrapNone/>
                <wp:docPr id="3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0" cy="340360"/>
                        </a:xfrm>
                        <a:custGeom>
                          <a:avLst/>
                          <a:gdLst>
                            <a:gd name="connsiteX0" fmla="*/ 0 w 2990850"/>
                            <a:gd name="connsiteY0" fmla="*/ 9525 h 340280"/>
                            <a:gd name="connsiteX1" fmla="*/ 219075 w 2990850"/>
                            <a:gd name="connsiteY1" fmla="*/ 247650 h 340280"/>
                            <a:gd name="connsiteX2" fmla="*/ 485775 w 2990850"/>
                            <a:gd name="connsiteY2" fmla="*/ 314325 h 340280"/>
                            <a:gd name="connsiteX3" fmla="*/ 752475 w 2990850"/>
                            <a:gd name="connsiteY3" fmla="*/ 314325 h 340280"/>
                            <a:gd name="connsiteX4" fmla="*/ 2990850 w 2990850"/>
                            <a:gd name="connsiteY4" fmla="*/ 0 h 3402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850" h="340280">
                              <a:moveTo>
                                <a:pt x="0" y="9525"/>
                              </a:moveTo>
                              <a:cubicBezTo>
                                <a:pt x="69056" y="103187"/>
                                <a:pt x="138113" y="196850"/>
                                <a:pt x="219075" y="247650"/>
                              </a:cubicBezTo>
                              <a:cubicBezTo>
                                <a:pt x="300037" y="298450"/>
                                <a:pt x="396875" y="303213"/>
                                <a:pt x="485775" y="314325"/>
                              </a:cubicBezTo>
                              <a:cubicBezTo>
                                <a:pt x="574675" y="325437"/>
                                <a:pt x="334963" y="366713"/>
                                <a:pt x="752475" y="314325"/>
                              </a:cubicBezTo>
                              <a:cubicBezTo>
                                <a:pt x="1169988" y="261938"/>
                                <a:pt x="2990850" y="0"/>
                                <a:pt x="299085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E0334" id="Freeform 38" o:spid="_x0000_s1026" style="position:absolute;margin-left:82.15pt;margin-top:102.35pt;width:235pt;height:2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990850,34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" path="m,9525v69056,93662,138113,187325,219075,238125c300037,298450,396875,303213,485775,314325v88900,11112,-150812,52388,266700,c1169988,261938,2990850,,2990850,e" filled="f" strokecolor="#1f4d78 [1604]" strokeweight="1pt">
                <v:stroke joinstyle="miter"/>
                <v:path arrowok="t" o:connecttype="custom" o:connectlocs="0,9527;218610,247708;484744,314399;750877,314399;2984500,0" o:connectangles="0,0,0,0,0"/>
              </v:shape>
            </w:pict>
          </mc:Fallback>
        </mc:AlternateContent>
      </w:r>
      <w:r>
        <w:rPr>
          <w:noProof/>
        </w:rPr>
        <mc:AlternateContent>
          <mc:Choice Requires="wps">
            <w:drawing>
              <wp:anchor distT="4294967295" distB="4294967295" distL="114300" distR="114300" simplePos="0" relativeHeight="251654144" behindDoc="0" locked="0" layoutInCell="1" allowOverlap="1" wp14:anchorId="5AB1D855" wp14:editId="2CCFC4FC">
                <wp:simplePos x="0" y="0"/>
                <wp:positionH relativeFrom="column">
                  <wp:posOffset>548005</wp:posOffset>
                </wp:positionH>
                <wp:positionV relativeFrom="paragraph">
                  <wp:posOffset>1045844</wp:posOffset>
                </wp:positionV>
                <wp:extent cx="44577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DFA799" id="Straight Connector 35"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15pt,82.35pt" to="394.1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" strokecolor="#5b9bd5 [3204]" strokeweight=".5pt">
                <v:stroke joinstyle="miter"/>
                <o:lock v:ext="edit" shapetype="f"/>
              </v:line>
            </w:pict>
          </mc:Fallback>
        </mc:AlternateContent>
      </w:r>
      <w:r w:rsidR="002508DB" w:rsidRPr="00283F5D">
        <w:rPr>
          <w:noProof/>
        </w:rPr>
        <w:drawing>
          <wp:inline distT="0" distB="0" distL="0" distR="0" wp14:anchorId="73C50AD2" wp14:editId="693D013D">
            <wp:extent cx="5486400" cy="3524250"/>
            <wp:effectExtent l="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524250"/>
                    </a:xfrm>
                    <a:prstGeom prst="rect">
                      <a:avLst/>
                    </a:prstGeom>
                    <a:noFill/>
                    <a:ln>
                      <a:noFill/>
                    </a:ln>
                  </pic:spPr>
                </pic:pic>
              </a:graphicData>
            </a:graphic>
          </wp:inline>
        </w:drawing>
      </w:r>
    </w:p>
    <w:p w14:paraId="0105CC25" w14:textId="72A04EAA" w:rsidR="00A91662" w:rsidRPr="00AF3354" w:rsidRDefault="00AE04C1" w:rsidP="00AE04C1">
      <w:pPr>
        <w:pStyle w:val="Opisslike"/>
        <w:jc w:val="center"/>
      </w:pPr>
      <w:bookmarkStart w:id="104" w:name="_Toc40089008"/>
      <w:r>
        <w:t xml:space="preserve">Slika </w:t>
      </w:r>
      <w:r w:rsidR="00A50909">
        <w:fldChar w:fldCharType="begin"/>
      </w:r>
      <w:r w:rsidR="00A50909">
        <w:instrText xml:space="preserve"> STYLEREF 1 \s </w:instrText>
      </w:r>
      <w:r w:rsidR="00A50909">
        <w:fldChar w:fldCharType="separate"/>
      </w:r>
      <w:r w:rsidR="00CE61F3">
        <w:rPr>
          <w:noProof/>
        </w:rPr>
        <w:t>3</w:t>
      </w:r>
      <w:r w:rsidR="00A50909">
        <w:rPr>
          <w:noProof/>
        </w:rPr>
        <w:fldChar w:fldCharType="end"/>
      </w:r>
      <w:r w:rsidR="007245D7">
        <w:t>.</w:t>
      </w:r>
      <w:r w:rsidR="00A50909">
        <w:fldChar w:fldCharType="begin"/>
      </w:r>
      <w:r w:rsidR="00A50909">
        <w:instrText xml:space="preserve"> SEQ Slika \* ARABIC \s 1 </w:instrText>
      </w:r>
      <w:r w:rsidR="00A50909">
        <w:fldChar w:fldCharType="separate"/>
      </w:r>
      <w:r w:rsidR="00CE61F3">
        <w:rPr>
          <w:noProof/>
        </w:rPr>
        <w:t>1</w:t>
      </w:r>
      <w:r w:rsidR="00A50909">
        <w:rPr>
          <w:noProof/>
        </w:rPr>
        <w:fldChar w:fldCharType="end"/>
      </w:r>
      <w:r>
        <w:t xml:space="preserve"> </w:t>
      </w:r>
      <w:r w:rsidRPr="00D32A2A">
        <w:t>Način određivanja zone troškovno učinkovitih mjera, troškovno optimalne razine i nZEB</w:t>
      </w:r>
      <w:bookmarkEnd w:id="104"/>
    </w:p>
    <w:p w14:paraId="56756196" w14:textId="77777777" w:rsidR="00A91662" w:rsidRPr="00AF3354" w:rsidRDefault="00A91662" w:rsidP="00A91662">
      <w:r w:rsidRPr="00AF3354">
        <w:t xml:space="preserve">Detaljne informacije o investicijskim troškovima za svaku kombinaciju mjera su rezultat troškovnika za svaku zgradu. </w:t>
      </w:r>
    </w:p>
    <w:p w14:paraId="702D8F88" w14:textId="77777777" w:rsidR="00A91662" w:rsidRPr="00AF3354" w:rsidRDefault="00A91662" w:rsidP="00A91662">
      <w:r w:rsidRPr="00AF3354">
        <w:t>Podaci o životnom vijeku komponenti i tehničkih sustava određeni su prema normi EN 15459:2007 Energy performance of buildings - Economic evaluation procedure for energy systems in buildings prilozi A i E i dobroj inženjerskoj praksi u Hrvatskoj za sustave i komponente koji nisu uključeni u normi.</w:t>
      </w:r>
    </w:p>
    <w:p w14:paraId="0F26E4F3" w14:textId="77777777" w:rsidR="00827B0A" w:rsidRDefault="00A91662" w:rsidP="00A91662">
      <w:r w:rsidRPr="00AF3354">
        <w:t xml:space="preserve">Troškovno optimalna analiza za mikroekonomsku i makroekonomsku perspektivu provedena je prema propisu 244/2012 prilog I, točka 4.3.(2) i 4.4.(2) u potpunosti prema normi EN 15459:2007 Energy performance of buildings - Economic evaluation procedure for energy systems in buildings. </w:t>
      </w:r>
    </w:p>
    <w:p w14:paraId="01512694" w14:textId="77777777" w:rsidR="00827B0A" w:rsidRDefault="00827B0A" w:rsidP="00A91662"/>
    <w:p w14:paraId="1EE84A1F" w14:textId="622A06BB" w:rsidR="00827B0A" w:rsidRDefault="00827B0A" w:rsidP="00A91662">
      <w:r>
        <w:br w:type="page"/>
      </w:r>
    </w:p>
    <w:p w14:paraId="7E9B1E88" w14:textId="77777777" w:rsidR="00F601D7" w:rsidRPr="00827B0A" w:rsidRDefault="00B43F71" w:rsidP="008129E7">
      <w:pPr>
        <w:pStyle w:val="Naslov10"/>
      </w:pPr>
      <w:bookmarkStart w:id="105" w:name="_Toc34052879"/>
      <w:bookmarkStart w:id="106" w:name="_Toc46163823"/>
      <w:r w:rsidRPr="00827B0A">
        <w:t>P</w:t>
      </w:r>
      <w:r w:rsidR="00BD5976" w:rsidRPr="00827B0A">
        <w:t>olitike i mjere za poticanje troškovno učinkovite integralne obnove zgrada</w:t>
      </w:r>
      <w:bookmarkEnd w:id="105"/>
      <w:bookmarkEnd w:id="106"/>
      <w:r w:rsidR="00BD5976" w:rsidRPr="00827B0A">
        <w:t xml:space="preserve"> </w:t>
      </w:r>
    </w:p>
    <w:p w14:paraId="1FEF5027" w14:textId="77777777" w:rsidR="00B4452A" w:rsidRPr="00B4452A" w:rsidRDefault="00B4452A" w:rsidP="007649C2">
      <w:pPr>
        <w:pStyle w:val="Naslov20"/>
      </w:pPr>
      <w:bookmarkStart w:id="107" w:name="_Toc34052880"/>
      <w:bookmarkStart w:id="108" w:name="_Toc46163824"/>
      <w:r w:rsidRPr="00B4452A">
        <w:t>Pregled postojećih mjera za poticanje obnove zgrada u Republici Hrvatskoj</w:t>
      </w:r>
      <w:bookmarkEnd w:id="107"/>
      <w:bookmarkEnd w:id="108"/>
      <w:r w:rsidRPr="00B4452A">
        <w:tab/>
      </w:r>
    </w:p>
    <w:p w14:paraId="3AE2AEAD" w14:textId="77777777" w:rsidR="00687A95" w:rsidRDefault="00687A95" w:rsidP="00AE0403">
      <w:pPr>
        <w:ind w:left="6"/>
      </w:pPr>
      <w:r>
        <w:t>Pregled postojećih mjera za poticanje obnove zgrada u Republici Hrvatskoj će obuhvatiti:</w:t>
      </w:r>
    </w:p>
    <w:p w14:paraId="2553F9C4" w14:textId="77777777" w:rsidR="00687A95" w:rsidRDefault="00687A95" w:rsidP="00853D9C">
      <w:pPr>
        <w:pStyle w:val="Odlomakpopisa"/>
        <w:numPr>
          <w:ilvl w:val="0"/>
          <w:numId w:val="20"/>
        </w:numPr>
        <w:tabs>
          <w:tab w:val="clear" w:pos="431"/>
          <w:tab w:val="left" w:pos="851"/>
        </w:tabs>
        <w:ind w:left="851" w:hanging="425"/>
      </w:pPr>
      <w:r>
        <w:t>nacionalne i međunarodne projekte i programe za obnovu zgrada</w:t>
      </w:r>
    </w:p>
    <w:p w14:paraId="21A1A2A8" w14:textId="77777777" w:rsidR="00687A95" w:rsidRDefault="00687A95" w:rsidP="00853D9C">
      <w:pPr>
        <w:pStyle w:val="Odlomakpopisa"/>
        <w:numPr>
          <w:ilvl w:val="0"/>
          <w:numId w:val="20"/>
        </w:numPr>
        <w:tabs>
          <w:tab w:val="clear" w:pos="431"/>
          <w:tab w:val="left" w:pos="851"/>
        </w:tabs>
        <w:ind w:left="851" w:hanging="425"/>
      </w:pPr>
      <w:r>
        <w:t>provedbu operativnih programa Republike Hrvatske za različite tipologije zgrada</w:t>
      </w:r>
    </w:p>
    <w:p w14:paraId="50E9C153" w14:textId="77777777" w:rsidR="00687A95" w:rsidRDefault="00687A95" w:rsidP="00AE0403">
      <w:r>
        <w:t xml:space="preserve">Programi financijskih institucija namijenjeni integralnoj obnovi zgrada, detaljno su opisani u </w:t>
      </w:r>
      <w:r w:rsidRPr="007F1819">
        <w:t xml:space="preserve">poglavlju </w:t>
      </w:r>
      <w:r w:rsidR="007F1819" w:rsidRPr="007F1819">
        <w:t>11</w:t>
      </w:r>
      <w:r w:rsidRPr="007F1819">
        <w:t>.2.</w:t>
      </w:r>
    </w:p>
    <w:p w14:paraId="32AA7322" w14:textId="77777777" w:rsidR="00B4452A" w:rsidRDefault="00B4452A" w:rsidP="00542646">
      <w:pPr>
        <w:pStyle w:val="Naslov3"/>
      </w:pPr>
      <w:bookmarkStart w:id="109" w:name="_Toc34052881"/>
      <w:bookmarkStart w:id="110" w:name="_Toc46163825"/>
      <w:r w:rsidRPr="00B4452A">
        <w:t>Pregled nacionalnih i međunarodnih projekata i programa za obnovu zgrada</w:t>
      </w:r>
      <w:bookmarkEnd w:id="109"/>
      <w:bookmarkEnd w:id="110"/>
    </w:p>
    <w:p w14:paraId="500F9AFE" w14:textId="77777777" w:rsidR="007E50D7" w:rsidRDefault="007E50D7" w:rsidP="007E50D7">
      <w:pPr>
        <w:rPr>
          <w:lang w:eastAsia="hr-HR"/>
        </w:rPr>
      </w:pPr>
      <w:r>
        <w:t>Veliki broj projekata za obnovu zgrada u Republici Hrvatskoj proveden je u sklopu sljedećih programa i inicijativa:</w:t>
      </w:r>
    </w:p>
    <w:p w14:paraId="01B9F298" w14:textId="77777777" w:rsidR="007E50D7" w:rsidRDefault="007E50D7" w:rsidP="00853D9C">
      <w:pPr>
        <w:pStyle w:val="Odlomakpopisa"/>
        <w:numPr>
          <w:ilvl w:val="0"/>
          <w:numId w:val="21"/>
        </w:numPr>
        <w:tabs>
          <w:tab w:val="clear" w:pos="431"/>
          <w:tab w:val="left" w:pos="851"/>
        </w:tabs>
        <w:ind w:left="851" w:hanging="425"/>
      </w:pPr>
      <w:r>
        <w:t xml:space="preserve">Operativnog programa Konkurentnost i kohezija 2014. - 2020. (engl. </w:t>
      </w:r>
      <w:r w:rsidRPr="009C4091">
        <w:rPr>
          <w:lang w:val="en-GB"/>
        </w:rPr>
        <w:t>Operational</w:t>
      </w:r>
      <w:r>
        <w:t xml:space="preserve"> </w:t>
      </w:r>
      <w:r w:rsidRPr="009C4091">
        <w:rPr>
          <w:lang w:val="en-GB"/>
        </w:rPr>
        <w:t>Programme</w:t>
      </w:r>
      <w:r>
        <w:t xml:space="preserve"> </w:t>
      </w:r>
      <w:r w:rsidRPr="009C4091">
        <w:rPr>
          <w:lang w:val="en-GB"/>
        </w:rPr>
        <w:t>Competitiveness</w:t>
      </w:r>
      <w:r>
        <w:t xml:space="preserve"> </w:t>
      </w:r>
      <w:r w:rsidRPr="009C4091">
        <w:rPr>
          <w:lang w:val="en-GB"/>
        </w:rPr>
        <w:t>and</w:t>
      </w:r>
      <w:r>
        <w:t xml:space="preserve"> </w:t>
      </w:r>
      <w:r w:rsidRPr="009C4091">
        <w:rPr>
          <w:lang w:val="en-GB"/>
        </w:rPr>
        <w:t>Cohesion</w:t>
      </w:r>
      <w:r>
        <w:t xml:space="preserve"> 2014 -2020)</w:t>
      </w:r>
      <w:r w:rsidRPr="00E2201C">
        <w:rPr>
          <w:rStyle w:val="Referencafusnote"/>
          <w:rFonts w:cs="Myriad Pro"/>
        </w:rPr>
        <w:footnoteReference w:id="4"/>
      </w:r>
      <w:r>
        <w:t xml:space="preserve"> za korištenje Europskog fonda za regionalni razvoj i Kohezijskog fonda</w:t>
      </w:r>
      <w:r w:rsidR="00E2201C">
        <w:t>;</w:t>
      </w:r>
    </w:p>
    <w:p w14:paraId="6D6ADFD8" w14:textId="77777777" w:rsidR="007E50D7" w:rsidRDefault="007E50D7" w:rsidP="00853D9C">
      <w:pPr>
        <w:pStyle w:val="Odlomakpopisa"/>
        <w:numPr>
          <w:ilvl w:val="0"/>
          <w:numId w:val="21"/>
        </w:numPr>
        <w:tabs>
          <w:tab w:val="clear" w:pos="431"/>
          <w:tab w:val="left" w:pos="851"/>
        </w:tabs>
        <w:ind w:left="851" w:hanging="425"/>
      </w:pPr>
      <w:r>
        <w:t>Prekogranične suradnje Instrumenta pretpristupne pomoći (</w:t>
      </w:r>
      <w:r w:rsidRPr="00D95F1E">
        <w:rPr>
          <w:i/>
        </w:rPr>
        <w:t>engl. Instrument for Pre-</w:t>
      </w:r>
      <w:r w:rsidRPr="009C4091">
        <w:rPr>
          <w:i/>
          <w:lang w:val="en-GB"/>
        </w:rPr>
        <w:t>Accession</w:t>
      </w:r>
      <w:r w:rsidRPr="00D95F1E">
        <w:rPr>
          <w:i/>
        </w:rPr>
        <w:t xml:space="preserve"> </w:t>
      </w:r>
      <w:r w:rsidRPr="009C4091">
        <w:rPr>
          <w:i/>
          <w:lang w:val="en-GB"/>
        </w:rPr>
        <w:t>assistance</w:t>
      </w:r>
      <w:r w:rsidRPr="00D95F1E">
        <w:rPr>
          <w:i/>
        </w:rPr>
        <w:t xml:space="preserve"> – IPA</w:t>
      </w:r>
      <w:r>
        <w:t>)</w:t>
      </w:r>
      <w:r w:rsidRPr="00E2201C">
        <w:rPr>
          <w:rStyle w:val="Referencafusnote"/>
          <w:rFonts w:cs="Myriad Pro"/>
        </w:rPr>
        <w:footnoteReference w:id="5"/>
      </w:r>
      <w:r w:rsidR="00E2201C">
        <w:t>;</w:t>
      </w:r>
    </w:p>
    <w:p w14:paraId="62AF8871" w14:textId="77777777" w:rsidR="007E50D7" w:rsidRDefault="007E50D7" w:rsidP="00853D9C">
      <w:pPr>
        <w:pStyle w:val="Odlomakpopisa"/>
        <w:numPr>
          <w:ilvl w:val="0"/>
          <w:numId w:val="21"/>
        </w:numPr>
        <w:tabs>
          <w:tab w:val="clear" w:pos="431"/>
          <w:tab w:val="left" w:pos="851"/>
        </w:tabs>
        <w:ind w:left="851" w:hanging="425"/>
      </w:pPr>
      <w:r>
        <w:t>Inicijative CONCERTO Okvirnog programa Europske komisije FP7 CONCERTO</w:t>
      </w:r>
      <w:r w:rsidRPr="00E2201C">
        <w:rPr>
          <w:rStyle w:val="Referencafusnote"/>
          <w:rFonts w:cs="Myriad Pro"/>
        </w:rPr>
        <w:footnoteReference w:id="6"/>
      </w:r>
      <w:r w:rsidR="00E2201C">
        <w:t>;</w:t>
      </w:r>
    </w:p>
    <w:p w14:paraId="6FFDDD8D" w14:textId="77777777" w:rsidR="00D95F1E" w:rsidRDefault="007E50D7" w:rsidP="00853D9C">
      <w:pPr>
        <w:pStyle w:val="Odlomakpopisa"/>
        <w:numPr>
          <w:ilvl w:val="0"/>
          <w:numId w:val="21"/>
        </w:numPr>
        <w:tabs>
          <w:tab w:val="clear" w:pos="431"/>
          <w:tab w:val="left" w:pos="851"/>
        </w:tabs>
        <w:ind w:left="851" w:hanging="425"/>
      </w:pPr>
      <w:r>
        <w:t>Okvirnog programa za konkurentnost i inovacije (</w:t>
      </w:r>
      <w:r w:rsidRPr="00D95F1E">
        <w:rPr>
          <w:i/>
        </w:rPr>
        <w:t xml:space="preserve">engl. </w:t>
      </w:r>
      <w:r w:rsidRPr="009C4091">
        <w:rPr>
          <w:i/>
          <w:lang w:val="en-GB"/>
        </w:rPr>
        <w:t>Competitiveness</w:t>
      </w:r>
      <w:r w:rsidRPr="00D95F1E">
        <w:rPr>
          <w:i/>
        </w:rPr>
        <w:t xml:space="preserve"> </w:t>
      </w:r>
      <w:r w:rsidRPr="009C4091">
        <w:rPr>
          <w:i/>
          <w:lang w:val="en-GB"/>
        </w:rPr>
        <w:t>and</w:t>
      </w:r>
      <w:r w:rsidRPr="00D95F1E">
        <w:rPr>
          <w:i/>
        </w:rPr>
        <w:t xml:space="preserve"> </w:t>
      </w:r>
      <w:r w:rsidRPr="009C4091">
        <w:rPr>
          <w:i/>
          <w:lang w:val="en-GB"/>
        </w:rPr>
        <w:t>Innovation</w:t>
      </w:r>
      <w:r w:rsidRPr="00D95F1E">
        <w:rPr>
          <w:i/>
        </w:rPr>
        <w:t xml:space="preserve"> Framework </w:t>
      </w:r>
      <w:r w:rsidRPr="009C4091">
        <w:rPr>
          <w:i/>
          <w:lang w:val="en-GB"/>
        </w:rPr>
        <w:t>Programme</w:t>
      </w:r>
      <w:r w:rsidRPr="00D95F1E">
        <w:rPr>
          <w:i/>
        </w:rPr>
        <w:t xml:space="preserve"> – CIP</w:t>
      </w:r>
      <w:r>
        <w:t>)</w:t>
      </w:r>
      <w:r w:rsidRPr="00E2201C">
        <w:rPr>
          <w:rStyle w:val="Referencafusnote"/>
          <w:rFonts w:cs="Myriad Pro"/>
        </w:rPr>
        <w:footnoteReference w:id="7"/>
      </w:r>
      <w:r w:rsidR="00E2201C">
        <w:t>;</w:t>
      </w:r>
    </w:p>
    <w:p w14:paraId="44DC20BC" w14:textId="77777777" w:rsidR="007E50D7" w:rsidRPr="00D95F1E" w:rsidRDefault="007E50D7" w:rsidP="00853D9C">
      <w:pPr>
        <w:pStyle w:val="Odlomakpopisa"/>
        <w:numPr>
          <w:ilvl w:val="0"/>
          <w:numId w:val="21"/>
        </w:numPr>
        <w:tabs>
          <w:tab w:val="clear" w:pos="431"/>
          <w:tab w:val="left" w:pos="851"/>
        </w:tabs>
        <w:ind w:left="851" w:hanging="425"/>
        <w:rPr>
          <w:rStyle w:val="Referencafusnote"/>
          <w:rFonts w:cs="Myriad Pro"/>
          <w:vertAlign w:val="baseline"/>
        </w:rPr>
      </w:pPr>
      <w:r>
        <w:t>Programa Obzor 2020 (</w:t>
      </w:r>
      <w:r w:rsidRPr="00D95F1E">
        <w:rPr>
          <w:i/>
        </w:rPr>
        <w:t xml:space="preserve">engl. </w:t>
      </w:r>
      <w:r w:rsidRPr="009C4091">
        <w:rPr>
          <w:i/>
          <w:lang w:val="en-GB"/>
        </w:rPr>
        <w:t>Horizon</w:t>
      </w:r>
      <w:r w:rsidRPr="00D95F1E">
        <w:rPr>
          <w:i/>
        </w:rPr>
        <w:t xml:space="preserve"> 2020</w:t>
      </w:r>
      <w:r>
        <w:t>) Europske unije za istraživanje i inovacije za razdoblje od 2014. do 2020.</w:t>
      </w:r>
      <w:r w:rsidRPr="00E2201C">
        <w:rPr>
          <w:rStyle w:val="Referencafusnote"/>
          <w:rFonts w:cs="Myriad Pro"/>
        </w:rPr>
        <w:footnoteReference w:id="8"/>
      </w:r>
      <w:r w:rsidR="00D95F1E">
        <w:t>;</w:t>
      </w:r>
    </w:p>
    <w:p w14:paraId="05CDCD52" w14:textId="77777777" w:rsidR="007E50D7" w:rsidRDefault="007E50D7" w:rsidP="00853D9C">
      <w:pPr>
        <w:pStyle w:val="Odlomakpopisa"/>
        <w:numPr>
          <w:ilvl w:val="0"/>
          <w:numId w:val="21"/>
        </w:numPr>
        <w:tabs>
          <w:tab w:val="clear" w:pos="431"/>
          <w:tab w:val="left" w:pos="851"/>
        </w:tabs>
        <w:ind w:left="851" w:hanging="425"/>
      </w:pPr>
      <w:r>
        <w:t>Programa i projekata Fonda za zaštitu okoliša i energetsku učinkovitost (FZOEU)</w:t>
      </w:r>
      <w:r w:rsidRPr="000F5605">
        <w:rPr>
          <w:rStyle w:val="Referencafusnote"/>
          <w:rFonts w:cs="Myriad Pro"/>
        </w:rPr>
        <w:footnoteReference w:id="9"/>
      </w:r>
      <w:r w:rsidR="00D95F1E">
        <w:t>;</w:t>
      </w:r>
    </w:p>
    <w:p w14:paraId="198E2D0D" w14:textId="77777777" w:rsidR="007E50D7" w:rsidRDefault="007E50D7" w:rsidP="00853D9C">
      <w:pPr>
        <w:pStyle w:val="Odlomakpopisa"/>
        <w:numPr>
          <w:ilvl w:val="0"/>
          <w:numId w:val="21"/>
        </w:numPr>
        <w:tabs>
          <w:tab w:val="clear" w:pos="431"/>
          <w:tab w:val="left" w:pos="851"/>
        </w:tabs>
        <w:ind w:left="851" w:hanging="425"/>
      </w:pPr>
      <w:r>
        <w:t>Programa kreditiranja projekata zaštite okoliša, energetske učinkovitosti i obnovljivih izvora energije i Programa kreditiranja projekata zaštite okoliša Hrvatske banke za obnovu i razvitak (HBOR)</w:t>
      </w:r>
      <w:r w:rsidRPr="000F5605">
        <w:rPr>
          <w:rStyle w:val="Referencafusnote"/>
          <w:rFonts w:cs="Myriad Pro"/>
        </w:rPr>
        <w:footnoteReference w:id="10"/>
      </w:r>
      <w:r w:rsidR="00D95F1E">
        <w:t>;</w:t>
      </w:r>
    </w:p>
    <w:p w14:paraId="39DBF70F" w14:textId="77777777" w:rsidR="007E50D7" w:rsidRDefault="007E50D7" w:rsidP="00853D9C">
      <w:pPr>
        <w:pStyle w:val="Odlomakpopisa"/>
        <w:numPr>
          <w:ilvl w:val="0"/>
          <w:numId w:val="21"/>
        </w:numPr>
        <w:tabs>
          <w:tab w:val="clear" w:pos="431"/>
          <w:tab w:val="left" w:pos="851"/>
        </w:tabs>
        <w:ind w:left="851" w:hanging="425"/>
      </w:pPr>
      <w:r>
        <w:t>Programa tehničke pomoći Europske banke za obnovu i razvoj (EBRD)</w:t>
      </w:r>
      <w:r w:rsidRPr="000F5605">
        <w:rPr>
          <w:rStyle w:val="Referencafusnote"/>
          <w:rFonts w:cs="Myriad Pro"/>
        </w:rPr>
        <w:footnoteReference w:id="11"/>
      </w:r>
      <w:r w:rsidR="00D95F1E">
        <w:t>;</w:t>
      </w:r>
    </w:p>
    <w:p w14:paraId="473D84DE" w14:textId="77777777" w:rsidR="007E50D7" w:rsidRPr="00D95F1E" w:rsidRDefault="007E50D7" w:rsidP="00853D9C">
      <w:pPr>
        <w:pStyle w:val="Odlomakpopisa"/>
        <w:numPr>
          <w:ilvl w:val="0"/>
          <w:numId w:val="21"/>
        </w:numPr>
        <w:tabs>
          <w:tab w:val="clear" w:pos="431"/>
          <w:tab w:val="left" w:pos="851"/>
        </w:tabs>
        <w:ind w:left="851" w:hanging="425"/>
        <w:rPr>
          <w:color w:val="000000"/>
        </w:rPr>
      </w:pPr>
      <w:r>
        <w:t>UNDP projekta: Poticanje energetske učinkovitosti u Republici Hrvatskoj</w:t>
      </w:r>
      <w:r w:rsidRPr="000F5605">
        <w:rPr>
          <w:rStyle w:val="Referencafusnote"/>
          <w:rFonts w:cs="Myriad Pro"/>
        </w:rPr>
        <w:footnoteReference w:id="12"/>
      </w:r>
      <w:r w:rsidR="00D95F1E">
        <w:t>;</w:t>
      </w:r>
    </w:p>
    <w:p w14:paraId="2A234AED" w14:textId="77777777" w:rsidR="007E50D7" w:rsidRDefault="007E50D7" w:rsidP="00853D9C">
      <w:pPr>
        <w:pStyle w:val="Odlomakpopisa"/>
        <w:numPr>
          <w:ilvl w:val="0"/>
          <w:numId w:val="21"/>
        </w:numPr>
        <w:tabs>
          <w:tab w:val="clear" w:pos="431"/>
          <w:tab w:val="left" w:pos="851"/>
        </w:tabs>
        <w:ind w:left="851" w:hanging="425"/>
      </w:pPr>
      <w:r>
        <w:t>Programa poticanja tehnologijskih istraživačko-razvojnih projekata – TEST</w:t>
      </w:r>
      <w:r w:rsidRPr="000F5605">
        <w:rPr>
          <w:rStyle w:val="Referencafusnote"/>
          <w:rFonts w:cs="Myriad Pro"/>
        </w:rPr>
        <w:footnoteReference w:id="13"/>
      </w:r>
      <w:r w:rsidR="00D95F1E">
        <w:t>;</w:t>
      </w:r>
    </w:p>
    <w:p w14:paraId="0246B31B" w14:textId="77777777" w:rsidR="007E50D7" w:rsidRDefault="007E50D7" w:rsidP="00853D9C">
      <w:pPr>
        <w:pStyle w:val="Odlomakpopisa"/>
        <w:numPr>
          <w:ilvl w:val="0"/>
          <w:numId w:val="21"/>
        </w:numPr>
        <w:tabs>
          <w:tab w:val="clear" w:pos="431"/>
          <w:tab w:val="left" w:pos="851"/>
        </w:tabs>
        <w:ind w:left="851" w:hanging="425"/>
      </w:pPr>
      <w:r>
        <w:t>Strateškog plana Ministarstva gospodarstva 2013.-2015.</w:t>
      </w:r>
      <w:r w:rsidRPr="000F5605">
        <w:rPr>
          <w:rStyle w:val="Referencafusnote"/>
          <w:rFonts w:cs="Myriad Pro"/>
        </w:rPr>
        <w:footnoteReference w:id="14"/>
      </w:r>
      <w:r w:rsidR="00D95F1E">
        <w:t>;</w:t>
      </w:r>
    </w:p>
    <w:p w14:paraId="75366FEF" w14:textId="77777777" w:rsidR="007E50D7" w:rsidRDefault="007E50D7" w:rsidP="00853D9C">
      <w:pPr>
        <w:pStyle w:val="Odlomakpopisa"/>
        <w:numPr>
          <w:ilvl w:val="0"/>
          <w:numId w:val="21"/>
        </w:numPr>
        <w:tabs>
          <w:tab w:val="clear" w:pos="431"/>
          <w:tab w:val="left" w:pos="851"/>
        </w:tabs>
        <w:ind w:left="851" w:hanging="425"/>
      </w:pPr>
      <w:r>
        <w:t>Akcijskog plana ulaganja u znanost i istraživanje Ministarstva znanosti i obrazovanja</w:t>
      </w:r>
      <w:r w:rsidRPr="000F5605">
        <w:rPr>
          <w:rStyle w:val="Referencafusnote"/>
          <w:rFonts w:cs="Myriad Pro"/>
        </w:rPr>
        <w:footnoteReference w:id="15"/>
      </w:r>
      <w:r w:rsidR="00D95F1E">
        <w:t>;</w:t>
      </w:r>
    </w:p>
    <w:p w14:paraId="3FE81BAD" w14:textId="77777777" w:rsidR="007E50D7" w:rsidRDefault="007E50D7" w:rsidP="00853D9C">
      <w:pPr>
        <w:pStyle w:val="Odlomakpopisa"/>
        <w:numPr>
          <w:ilvl w:val="0"/>
          <w:numId w:val="21"/>
        </w:numPr>
        <w:tabs>
          <w:tab w:val="clear" w:pos="431"/>
          <w:tab w:val="left" w:pos="851"/>
        </w:tabs>
        <w:ind w:left="851" w:hanging="425"/>
      </w:pPr>
      <w:r>
        <w:t>Poduzetničkog impulsa</w:t>
      </w:r>
      <w:r w:rsidRPr="00D95F1E">
        <w:rPr>
          <w:rStyle w:val="Referencafusnote"/>
          <w:rFonts w:cs="Myriad Pro"/>
        </w:rPr>
        <w:footnoteReference w:id="16"/>
      </w:r>
      <w:r w:rsidRPr="00D95F1E">
        <w:rPr>
          <w:rStyle w:val="Referencafusnote"/>
          <w:rFonts w:cs="Myriad Pro"/>
        </w:rPr>
        <w:t xml:space="preserve"> </w:t>
      </w:r>
      <w:r>
        <w:t>Ministarstva gospodarstva, poduzetništva i obrta</w:t>
      </w:r>
      <w:r w:rsidR="00D95F1E">
        <w:t>.</w:t>
      </w:r>
    </w:p>
    <w:p w14:paraId="652F90BE" w14:textId="77777777" w:rsidR="007E50D7" w:rsidRPr="007E50D7" w:rsidRDefault="007E50D7" w:rsidP="00F33DF5">
      <w:r>
        <w:t>Ministarstvo graditeljstava i prostornoga uređenja Republike Hrvatske (MGIPU) kontinuirano potiče i podržava istraživanje i razvoj novih energetski i ekološki prihvatljivih materijala i tehnika građenja kroz brojne nacionalne i međunarodne istraživačke i razvojne projekte od kojih treba spomenuti: CIP-EIP-Eco-</w:t>
      </w:r>
      <w:r w:rsidRPr="004D047C">
        <w:t>Innovation</w:t>
      </w:r>
      <w:r>
        <w:t xml:space="preserve"> 2011. projekt: Energy </w:t>
      </w:r>
      <w:r w:rsidRPr="004D047C">
        <w:t>Efficient</w:t>
      </w:r>
      <w:r>
        <w:t xml:space="preserve">, </w:t>
      </w:r>
      <w:r w:rsidRPr="004D047C">
        <w:t>Recycled</w:t>
      </w:r>
      <w:r>
        <w:t xml:space="preserve"> Concrete Sandwich Facade Panel – ECO-SANDWICH</w:t>
      </w:r>
      <w:r>
        <w:rPr>
          <w:vertAlign w:val="superscript"/>
        </w:rPr>
        <w:footnoteReference w:id="17"/>
      </w:r>
      <w:r>
        <w:t>. ECO-SANDWICH projekt ima za cilj poticanje reciklaže i ponovnog korištenja građevinskog otpada, promoviranje zamjene konvencionalnih toplinsko izolacijskih materijala, promicanje primjene predgotovljenih energetski učinkovitih proizvoda te smanjenje utrošene energije u proizvodnji, emisije stakleničkih plinova i otpadnih nusprodukata iz proizvodnje i korištenja proizvoda. Horizon 2020</w:t>
      </w:r>
      <w:r>
        <w:rPr>
          <w:vertAlign w:val="superscript"/>
        </w:rPr>
        <w:footnoteReference w:id="18"/>
      </w:r>
      <w:r>
        <w:t xml:space="preserve"> projekt BUILD UPON</w:t>
      </w:r>
      <w:r>
        <w:rPr>
          <w:vertAlign w:val="superscript"/>
        </w:rPr>
        <w:footnoteReference w:id="19"/>
      </w:r>
      <w:r>
        <w:t xml:space="preserve"> je najveći svjetski projekt suradnje u području energetske obnove zgrada i povezuje više od 1.000 organizacija, iz 13 zemalja, na 80 događanja održanih tijekom 2016. i 2017. godine. Imao je za cilj pokretanje revolucije obnove u cijeloj Europi, pomažući državama da isporuče strategije energetske obnove postojećih zgrada do 30. travnja 2017. godine. Ove strategije su kritične za smanjenje potrošnje energije u Europi, smanjenje utjecaja na klimatske promjene i stvaranje zgrada koje osiguravaju visoku kvalitetu života. U razdoblju do 2020. godine očekuje se provedba većeg broja projekata obnove zgrada u sklopu EU programa HORIZON 2020</w:t>
      </w:r>
      <w:r>
        <w:rPr>
          <w:vertAlign w:val="superscript"/>
        </w:rPr>
        <w:footnoteReference w:id="20"/>
      </w:r>
      <w:r>
        <w:t xml:space="preserve">. Jedan od važnih ciljeva programa HORIZON 2020 je upravo stjecanje potrebnih znanja i vještina svih dionika procesa energetski učinkovite obnove zgrada (vlasnika zgrada, projektanata, izvođača radova i krajnjih korisnika). </w:t>
      </w:r>
    </w:p>
    <w:p w14:paraId="143E2C57" w14:textId="77777777" w:rsidR="00693792" w:rsidRDefault="00B4452A" w:rsidP="00542646">
      <w:pPr>
        <w:pStyle w:val="Naslov3"/>
      </w:pPr>
      <w:bookmarkStart w:id="114" w:name="_Toc34052882"/>
      <w:bookmarkStart w:id="115" w:name="_Toc46163826"/>
      <w:r w:rsidRPr="00B4452A">
        <w:t>Provedba operativnih programa Republike Hrvatske za različite tipologije zgrada</w:t>
      </w:r>
      <w:bookmarkEnd w:id="114"/>
      <w:bookmarkEnd w:id="115"/>
    </w:p>
    <w:p w14:paraId="3037C8F8" w14:textId="0A10DDD9" w:rsidR="00693792" w:rsidRDefault="00693792" w:rsidP="00693792">
      <w:r>
        <w:t xml:space="preserve">Fond za zaštitu okoliša i energetsku učinkovitost (FZOEU), od svog pokretanja, 1. siječnja 2004. godine kroz brojne programe sufinanciranja iz područja održive gradnje kontinuirano i sustavno potiče energetsku obnovu zgrada. </w:t>
      </w:r>
      <w:r>
        <w:fldChar w:fldCharType="begin"/>
      </w:r>
      <w:r>
        <w:instrText xml:space="preserve"> REF _Ref483405402 \h  \* MERGEFORMAT </w:instrText>
      </w:r>
      <w:r>
        <w:fldChar w:fldCharType="separate"/>
      </w:r>
      <w:r w:rsidR="00CE61F3">
        <w:t xml:space="preserve">Tablica </w:t>
      </w:r>
      <w:r w:rsidR="00CE61F3">
        <w:rPr>
          <w:noProof/>
        </w:rPr>
        <w:t>4.1</w:t>
      </w:r>
      <w:r w:rsidR="00CE61F3">
        <w:t xml:space="preserve"> </w:t>
      </w:r>
      <w:r>
        <w:fldChar w:fldCharType="end"/>
      </w:r>
      <w:r>
        <w:t xml:space="preserve"> prikazuje kumulativne uštede alternativne mjere politike koje su ostvarene u razdoblju od 2014. do 2016. godine, odnosno u razdoblju nakon donošenja i usvajanja Dugoročne strategije za poticanje ulaganja u obnovu nacionalnog fonda zgrada Republike Hrvatske iz 2014. godine, kroz natječaje Fonda za zaštitu okoliša i energetsku učinkovitost. Prikupljeni podaci o svim provedenim mjerama nalaze se u Sustavu za praćenje, mjerenje i verifikaciju ušteda energije (SMIV) u kojemu su izračunate uštede prema metodologiji odozdo prema gore.</w:t>
      </w:r>
    </w:p>
    <w:p w14:paraId="672590E2" w14:textId="3D94C35D" w:rsidR="00920B63" w:rsidRDefault="00920B63" w:rsidP="00920B63">
      <w:pPr>
        <w:pStyle w:val="Opisslike"/>
        <w:rPr>
          <w:rFonts w:ascii="Times New Roman" w:hAnsi="Times New Roman" w:cs="Times New Roman"/>
          <w:sz w:val="24"/>
          <w:szCs w:val="24"/>
          <w:lang w:eastAsia="hr-HR"/>
        </w:rPr>
      </w:pPr>
      <w:bookmarkStart w:id="116" w:name="_Ref24096696"/>
      <w:bookmarkStart w:id="117" w:name="_Ref483405402"/>
      <w:bookmarkStart w:id="118" w:name="_Toc2681323"/>
      <w:bookmarkStart w:id="119" w:name="_Toc40089037"/>
      <w:r>
        <w:t xml:space="preserve">Tablica </w:t>
      </w:r>
      <w:fldSimple w:instr=" STYLEREF 1 \s ">
        <w:r w:rsidR="00CE61F3">
          <w:rPr>
            <w:noProof/>
          </w:rPr>
          <w:t>4</w:t>
        </w:r>
      </w:fldSimple>
      <w:r w:rsidR="0046545B">
        <w:t>.</w:t>
      </w:r>
      <w:fldSimple w:instr=" SEQ Tablica \* ARABIC \s 1 ">
        <w:r w:rsidR="00CE61F3">
          <w:rPr>
            <w:noProof/>
          </w:rPr>
          <w:t>1</w:t>
        </w:r>
      </w:fldSimple>
      <w:bookmarkEnd w:id="116"/>
      <w:r>
        <w:t xml:space="preserve"> </w:t>
      </w:r>
      <w:bookmarkEnd w:id="117"/>
      <w:r w:rsidRPr="00920B63">
        <w:t>Kumulativne uštede alternativne mjere politike ostvarene u razdoblju od 2014. do 2016. godine</w:t>
      </w:r>
      <w:bookmarkEnd w:id="118"/>
      <w:bookmarkEnd w:id="119"/>
    </w:p>
    <w:tbl>
      <w:tblPr>
        <w:tblStyle w:val="Svijetlatablicareetke11"/>
        <w:tblW w:w="9120" w:type="dxa"/>
        <w:tblLayout w:type="fixed"/>
        <w:tblLook w:val="04A0" w:firstRow="1" w:lastRow="0" w:firstColumn="1" w:lastColumn="0" w:noHBand="0" w:noVBand="1"/>
      </w:tblPr>
      <w:tblGrid>
        <w:gridCol w:w="3397"/>
        <w:gridCol w:w="1372"/>
        <w:gridCol w:w="1234"/>
        <w:gridCol w:w="1647"/>
        <w:gridCol w:w="1470"/>
      </w:tblGrid>
      <w:tr w:rsidR="00920B63" w:rsidRPr="00F124EC" w14:paraId="111B0AD5" w14:textId="77777777" w:rsidTr="0082543F">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3397" w:type="dxa"/>
            <w:hideMark/>
          </w:tcPr>
          <w:p w14:paraId="2734102F" w14:textId="77777777" w:rsidR="00920B63" w:rsidRPr="00F124EC" w:rsidRDefault="00920B63">
            <w:pPr>
              <w:jc w:val="left"/>
              <w:rPr>
                <w:rFonts w:cs="Tahoma"/>
                <w:b w:val="0"/>
                <w:sz w:val="18"/>
                <w:szCs w:val="18"/>
              </w:rPr>
            </w:pPr>
            <w:r w:rsidRPr="00F124EC">
              <w:rPr>
                <w:rFonts w:cs="Tahoma"/>
                <w:sz w:val="18"/>
                <w:szCs w:val="18"/>
              </w:rPr>
              <w:t xml:space="preserve">Naziv mjere </w:t>
            </w:r>
          </w:p>
        </w:tc>
        <w:tc>
          <w:tcPr>
            <w:tcW w:w="1372" w:type="dxa"/>
            <w:hideMark/>
          </w:tcPr>
          <w:p w14:paraId="135DAC00" w14:textId="77777777" w:rsidR="00920B63" w:rsidRPr="00F124EC" w:rsidRDefault="00920B63">
            <w:pPr>
              <w:jc w:val="left"/>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F124EC">
              <w:rPr>
                <w:rFonts w:cs="Tahoma"/>
                <w:sz w:val="18"/>
                <w:szCs w:val="18"/>
              </w:rPr>
              <w:t>Ušteda [PJ]</w:t>
            </w:r>
          </w:p>
        </w:tc>
        <w:tc>
          <w:tcPr>
            <w:tcW w:w="1234" w:type="dxa"/>
            <w:hideMark/>
          </w:tcPr>
          <w:p w14:paraId="0B9C3613" w14:textId="77777777" w:rsidR="00920B63" w:rsidRPr="00F124EC" w:rsidRDefault="00920B63">
            <w:pPr>
              <w:jc w:val="left"/>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F124EC">
              <w:rPr>
                <w:rFonts w:cs="Tahoma"/>
                <w:sz w:val="18"/>
                <w:szCs w:val="18"/>
              </w:rPr>
              <w:t>Ušteda [tCO</w:t>
            </w:r>
            <w:r w:rsidRPr="00F124EC">
              <w:rPr>
                <w:rFonts w:cs="Tahoma"/>
                <w:sz w:val="18"/>
                <w:szCs w:val="18"/>
                <w:vertAlign w:val="subscript"/>
              </w:rPr>
              <w:t>2</w:t>
            </w:r>
            <w:r w:rsidRPr="00F124EC">
              <w:rPr>
                <w:rFonts w:cs="Tahoma"/>
                <w:sz w:val="18"/>
                <w:szCs w:val="18"/>
              </w:rPr>
              <w:t>]</w:t>
            </w:r>
          </w:p>
        </w:tc>
        <w:tc>
          <w:tcPr>
            <w:tcW w:w="1647" w:type="dxa"/>
            <w:hideMark/>
          </w:tcPr>
          <w:p w14:paraId="02D3219E" w14:textId="77777777" w:rsidR="00920B63" w:rsidRPr="00F124EC" w:rsidRDefault="00920B63">
            <w:pPr>
              <w:jc w:val="left"/>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F124EC">
              <w:rPr>
                <w:rFonts w:cs="Tahoma"/>
                <w:sz w:val="18"/>
                <w:szCs w:val="18"/>
              </w:rPr>
              <w:t xml:space="preserve">Ukupni iznos investicije [HRK] </w:t>
            </w:r>
          </w:p>
        </w:tc>
        <w:tc>
          <w:tcPr>
            <w:tcW w:w="1470" w:type="dxa"/>
            <w:hideMark/>
          </w:tcPr>
          <w:p w14:paraId="78BD4C0A" w14:textId="77777777" w:rsidR="00920B63" w:rsidRPr="00F124EC" w:rsidRDefault="00920B63">
            <w:pPr>
              <w:jc w:val="left"/>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F124EC">
              <w:rPr>
                <w:rFonts w:cs="Tahoma"/>
                <w:sz w:val="18"/>
                <w:szCs w:val="18"/>
              </w:rPr>
              <w:t xml:space="preserve">Ukupno isplaćena sredstva FZOEU [HRK] </w:t>
            </w:r>
          </w:p>
        </w:tc>
      </w:tr>
      <w:tr w:rsidR="00920B63" w:rsidRPr="00F124EC" w14:paraId="7559D8E2"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557B46D9" w14:textId="77777777" w:rsidR="00920B63" w:rsidRPr="00F124EC" w:rsidRDefault="00920B63">
            <w:pPr>
              <w:rPr>
                <w:rFonts w:cs="Tahoma"/>
                <w:b w:val="0"/>
                <w:sz w:val="18"/>
                <w:szCs w:val="18"/>
              </w:rPr>
            </w:pPr>
            <w:r w:rsidRPr="00F124EC">
              <w:rPr>
                <w:rFonts w:cs="Tahoma"/>
                <w:sz w:val="18"/>
                <w:szCs w:val="18"/>
              </w:rPr>
              <w:t xml:space="preserve">STAMBENE ZGRADE </w:t>
            </w:r>
          </w:p>
        </w:tc>
      </w:tr>
      <w:tr w:rsidR="00920B63" w:rsidRPr="00F124EC" w14:paraId="6216F596" w14:textId="77777777" w:rsidTr="0082543F">
        <w:trPr>
          <w:trHeight w:val="175"/>
        </w:trPr>
        <w:tc>
          <w:tcPr>
            <w:cnfStyle w:val="001000000000" w:firstRow="0" w:lastRow="0" w:firstColumn="1" w:lastColumn="0" w:oddVBand="0" w:evenVBand="0" w:oddHBand="0" w:evenHBand="0" w:firstRowFirstColumn="0" w:firstRowLastColumn="0" w:lastRowFirstColumn="0" w:lastRowLastColumn="0"/>
            <w:tcW w:w="3397" w:type="dxa"/>
            <w:hideMark/>
          </w:tcPr>
          <w:p w14:paraId="12E23F14" w14:textId="77777777" w:rsidR="00920B63" w:rsidRPr="00F124EC" w:rsidRDefault="00920B63">
            <w:pPr>
              <w:rPr>
                <w:rFonts w:cs="Tahoma"/>
                <w:sz w:val="18"/>
                <w:szCs w:val="18"/>
              </w:rPr>
            </w:pPr>
            <w:r w:rsidRPr="00F124EC">
              <w:rPr>
                <w:rFonts w:cs="Tahoma"/>
                <w:sz w:val="18"/>
                <w:szCs w:val="18"/>
              </w:rPr>
              <w:t xml:space="preserve">Program energetske obnove obiteljskih kuća 2014. - 2016. </w:t>
            </w:r>
          </w:p>
        </w:tc>
        <w:tc>
          <w:tcPr>
            <w:tcW w:w="1372" w:type="dxa"/>
            <w:hideMark/>
          </w:tcPr>
          <w:p w14:paraId="0C9AA82D"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1,10438</w:t>
            </w:r>
          </w:p>
        </w:tc>
        <w:tc>
          <w:tcPr>
            <w:tcW w:w="1234" w:type="dxa"/>
            <w:hideMark/>
          </w:tcPr>
          <w:p w14:paraId="24328BE2"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53.709,00</w:t>
            </w:r>
          </w:p>
        </w:tc>
        <w:tc>
          <w:tcPr>
            <w:tcW w:w="1647" w:type="dxa"/>
            <w:hideMark/>
          </w:tcPr>
          <w:p w14:paraId="422D2628"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778.492.028,45</w:t>
            </w:r>
          </w:p>
        </w:tc>
        <w:tc>
          <w:tcPr>
            <w:tcW w:w="1470" w:type="dxa"/>
            <w:hideMark/>
          </w:tcPr>
          <w:p w14:paraId="591DAA31"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487.329.822,20</w:t>
            </w:r>
          </w:p>
        </w:tc>
      </w:tr>
      <w:tr w:rsidR="00920B63" w:rsidRPr="00F124EC" w14:paraId="06E26B10" w14:textId="77777777" w:rsidTr="0082543F">
        <w:trPr>
          <w:trHeight w:val="114"/>
        </w:trPr>
        <w:tc>
          <w:tcPr>
            <w:cnfStyle w:val="001000000000" w:firstRow="0" w:lastRow="0" w:firstColumn="1" w:lastColumn="0" w:oddVBand="0" w:evenVBand="0" w:oddHBand="0" w:evenHBand="0" w:firstRowFirstColumn="0" w:firstRowLastColumn="0" w:lastRowFirstColumn="0" w:lastRowLastColumn="0"/>
            <w:tcW w:w="3397" w:type="dxa"/>
            <w:hideMark/>
          </w:tcPr>
          <w:p w14:paraId="25D868E4" w14:textId="77777777" w:rsidR="00920B63" w:rsidRPr="00F124EC" w:rsidRDefault="00920B63">
            <w:pPr>
              <w:rPr>
                <w:rFonts w:cs="Tahoma"/>
                <w:sz w:val="18"/>
                <w:szCs w:val="18"/>
              </w:rPr>
            </w:pPr>
            <w:r w:rsidRPr="00F124EC">
              <w:rPr>
                <w:rFonts w:cs="Tahoma"/>
                <w:sz w:val="18"/>
                <w:szCs w:val="18"/>
              </w:rPr>
              <w:t xml:space="preserve">Program energetske obnove višestambenih zgrada </w:t>
            </w:r>
          </w:p>
        </w:tc>
        <w:tc>
          <w:tcPr>
            <w:tcW w:w="1372" w:type="dxa"/>
            <w:hideMark/>
          </w:tcPr>
          <w:p w14:paraId="7A3CADCB"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0,25131</w:t>
            </w:r>
          </w:p>
        </w:tc>
        <w:tc>
          <w:tcPr>
            <w:tcW w:w="1234" w:type="dxa"/>
            <w:hideMark/>
          </w:tcPr>
          <w:p w14:paraId="04E44314"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19.825,03</w:t>
            </w:r>
          </w:p>
        </w:tc>
        <w:tc>
          <w:tcPr>
            <w:tcW w:w="1647" w:type="dxa"/>
            <w:hideMark/>
          </w:tcPr>
          <w:p w14:paraId="43EE1355"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154.535.990,29</w:t>
            </w:r>
          </w:p>
        </w:tc>
        <w:tc>
          <w:tcPr>
            <w:tcW w:w="1470" w:type="dxa"/>
            <w:hideMark/>
          </w:tcPr>
          <w:p w14:paraId="1F687F25"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61.997.642,77</w:t>
            </w:r>
          </w:p>
        </w:tc>
      </w:tr>
      <w:tr w:rsidR="00920B63" w:rsidRPr="00F124EC" w14:paraId="12781B0B" w14:textId="77777777" w:rsidTr="0082543F">
        <w:trPr>
          <w:trHeight w:val="175"/>
        </w:trPr>
        <w:tc>
          <w:tcPr>
            <w:cnfStyle w:val="001000000000" w:firstRow="0" w:lastRow="0" w:firstColumn="1" w:lastColumn="0" w:oddVBand="0" w:evenVBand="0" w:oddHBand="0" w:evenHBand="0" w:firstRowFirstColumn="0" w:firstRowLastColumn="0" w:lastRowFirstColumn="0" w:lastRowLastColumn="0"/>
            <w:tcW w:w="3397" w:type="dxa"/>
            <w:hideMark/>
          </w:tcPr>
          <w:p w14:paraId="3731F644" w14:textId="77777777" w:rsidR="00920B63" w:rsidRPr="00F124EC" w:rsidRDefault="00920B63">
            <w:pPr>
              <w:rPr>
                <w:rFonts w:cs="Tahoma"/>
                <w:sz w:val="18"/>
                <w:szCs w:val="18"/>
              </w:rPr>
            </w:pPr>
            <w:r w:rsidRPr="00F124EC">
              <w:rPr>
                <w:rFonts w:cs="Tahoma"/>
                <w:sz w:val="18"/>
                <w:szCs w:val="18"/>
              </w:rPr>
              <w:t xml:space="preserve">Uvođenje sustava individualnog mjerenja potrošnje toplinske energije </w:t>
            </w:r>
          </w:p>
        </w:tc>
        <w:tc>
          <w:tcPr>
            <w:tcW w:w="1372" w:type="dxa"/>
            <w:hideMark/>
          </w:tcPr>
          <w:p w14:paraId="12C1640D"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0,51337</w:t>
            </w:r>
          </w:p>
        </w:tc>
        <w:tc>
          <w:tcPr>
            <w:tcW w:w="1234" w:type="dxa"/>
            <w:hideMark/>
          </w:tcPr>
          <w:p w14:paraId="2027F5EE"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42.331,63</w:t>
            </w:r>
          </w:p>
        </w:tc>
        <w:tc>
          <w:tcPr>
            <w:tcW w:w="1647" w:type="dxa"/>
            <w:hideMark/>
          </w:tcPr>
          <w:p w14:paraId="38126F92"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116.930.071,23</w:t>
            </w:r>
          </w:p>
        </w:tc>
        <w:tc>
          <w:tcPr>
            <w:tcW w:w="1470" w:type="dxa"/>
            <w:hideMark/>
          </w:tcPr>
          <w:p w14:paraId="364F1226"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46.313.643,72</w:t>
            </w:r>
          </w:p>
        </w:tc>
      </w:tr>
      <w:tr w:rsidR="00920B63" w:rsidRPr="00F124EC" w14:paraId="6101248D"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24B2234E" w14:textId="77777777" w:rsidR="00920B63" w:rsidRPr="00F124EC" w:rsidRDefault="00920B63">
            <w:pPr>
              <w:rPr>
                <w:rFonts w:cs="Tahoma"/>
                <w:b w:val="0"/>
                <w:sz w:val="18"/>
                <w:szCs w:val="18"/>
              </w:rPr>
            </w:pPr>
            <w:r w:rsidRPr="00F124EC">
              <w:rPr>
                <w:rFonts w:cs="Tahoma"/>
                <w:sz w:val="18"/>
                <w:szCs w:val="18"/>
              </w:rPr>
              <w:t xml:space="preserve">ZGRADE JAVNOG SEKTORA </w:t>
            </w:r>
          </w:p>
        </w:tc>
      </w:tr>
      <w:tr w:rsidR="00920B63" w:rsidRPr="00F124EC" w14:paraId="39513AA3" w14:textId="77777777" w:rsidTr="0082543F">
        <w:trPr>
          <w:trHeight w:val="175"/>
        </w:trPr>
        <w:tc>
          <w:tcPr>
            <w:cnfStyle w:val="001000000000" w:firstRow="0" w:lastRow="0" w:firstColumn="1" w:lastColumn="0" w:oddVBand="0" w:evenVBand="0" w:oddHBand="0" w:evenHBand="0" w:firstRowFirstColumn="0" w:firstRowLastColumn="0" w:lastRowFirstColumn="0" w:lastRowLastColumn="0"/>
            <w:tcW w:w="3397" w:type="dxa"/>
            <w:hideMark/>
          </w:tcPr>
          <w:p w14:paraId="03E41E6D" w14:textId="77777777" w:rsidR="00920B63" w:rsidRPr="00F124EC" w:rsidRDefault="00920B63">
            <w:pPr>
              <w:rPr>
                <w:rFonts w:cs="Tahoma"/>
                <w:sz w:val="18"/>
                <w:szCs w:val="18"/>
              </w:rPr>
            </w:pPr>
            <w:r w:rsidRPr="00F124EC">
              <w:rPr>
                <w:rFonts w:cs="Tahoma"/>
                <w:sz w:val="18"/>
                <w:szCs w:val="18"/>
              </w:rPr>
              <w:t xml:space="preserve">Program energetske obnove zgrada javnog sektora (2014. -2015.) </w:t>
            </w:r>
          </w:p>
        </w:tc>
        <w:tc>
          <w:tcPr>
            <w:tcW w:w="1372" w:type="dxa"/>
            <w:hideMark/>
          </w:tcPr>
          <w:p w14:paraId="616FEFF9"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0,30125</w:t>
            </w:r>
          </w:p>
        </w:tc>
        <w:tc>
          <w:tcPr>
            <w:tcW w:w="1234" w:type="dxa"/>
            <w:hideMark/>
          </w:tcPr>
          <w:p w14:paraId="1E55FC06"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22.388,49</w:t>
            </w:r>
          </w:p>
        </w:tc>
        <w:tc>
          <w:tcPr>
            <w:tcW w:w="1647" w:type="dxa"/>
            <w:hideMark/>
          </w:tcPr>
          <w:p w14:paraId="63B2407A"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344.258.164,79</w:t>
            </w:r>
          </w:p>
        </w:tc>
        <w:tc>
          <w:tcPr>
            <w:tcW w:w="1470" w:type="dxa"/>
            <w:hideMark/>
          </w:tcPr>
          <w:p w14:paraId="48608167"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155.309.742,45</w:t>
            </w:r>
          </w:p>
        </w:tc>
      </w:tr>
      <w:tr w:rsidR="00920B63" w:rsidRPr="00F124EC" w14:paraId="3FD8D2F4"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7C436078" w14:textId="77777777" w:rsidR="00920B63" w:rsidRPr="00F124EC" w:rsidRDefault="00920B63">
            <w:pPr>
              <w:rPr>
                <w:rFonts w:cs="Tahoma"/>
                <w:b w:val="0"/>
                <w:sz w:val="18"/>
                <w:szCs w:val="18"/>
              </w:rPr>
            </w:pPr>
            <w:r w:rsidRPr="00F124EC">
              <w:rPr>
                <w:rFonts w:cs="Tahoma"/>
                <w:sz w:val="18"/>
                <w:szCs w:val="18"/>
              </w:rPr>
              <w:t xml:space="preserve">KOMERCIJALNE NESTAMBENE ZGRADE </w:t>
            </w:r>
          </w:p>
        </w:tc>
      </w:tr>
      <w:tr w:rsidR="00920B63" w:rsidRPr="00F124EC" w14:paraId="6867EFEC" w14:textId="77777777" w:rsidTr="0082543F">
        <w:trPr>
          <w:trHeight w:val="179"/>
        </w:trPr>
        <w:tc>
          <w:tcPr>
            <w:cnfStyle w:val="001000000000" w:firstRow="0" w:lastRow="0" w:firstColumn="1" w:lastColumn="0" w:oddVBand="0" w:evenVBand="0" w:oddHBand="0" w:evenHBand="0" w:firstRowFirstColumn="0" w:firstRowLastColumn="0" w:lastRowFirstColumn="0" w:lastRowLastColumn="0"/>
            <w:tcW w:w="3397" w:type="dxa"/>
            <w:hideMark/>
          </w:tcPr>
          <w:p w14:paraId="7C21C21D" w14:textId="77777777" w:rsidR="00920B63" w:rsidRPr="00F124EC" w:rsidRDefault="00920B63">
            <w:pPr>
              <w:rPr>
                <w:rFonts w:cs="Tahoma"/>
                <w:sz w:val="18"/>
                <w:szCs w:val="18"/>
              </w:rPr>
            </w:pPr>
            <w:r w:rsidRPr="00F124EC">
              <w:rPr>
                <w:rFonts w:cs="Tahoma"/>
                <w:sz w:val="18"/>
                <w:szCs w:val="18"/>
              </w:rPr>
              <w:t xml:space="preserve">Program energetske obnove komercijalnih nestambenih zgrada </w:t>
            </w:r>
          </w:p>
        </w:tc>
        <w:tc>
          <w:tcPr>
            <w:tcW w:w="1372" w:type="dxa"/>
            <w:hideMark/>
          </w:tcPr>
          <w:p w14:paraId="3620CCD2"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0,07073</w:t>
            </w:r>
          </w:p>
        </w:tc>
        <w:tc>
          <w:tcPr>
            <w:tcW w:w="1234" w:type="dxa"/>
            <w:hideMark/>
          </w:tcPr>
          <w:p w14:paraId="235E588D"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5.388,05</w:t>
            </w:r>
          </w:p>
        </w:tc>
        <w:tc>
          <w:tcPr>
            <w:tcW w:w="1647" w:type="dxa"/>
            <w:hideMark/>
          </w:tcPr>
          <w:p w14:paraId="7577DEE7"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49.781.776,24</w:t>
            </w:r>
          </w:p>
        </w:tc>
        <w:tc>
          <w:tcPr>
            <w:tcW w:w="1470" w:type="dxa"/>
            <w:hideMark/>
          </w:tcPr>
          <w:p w14:paraId="12AF4147"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20.279.641,08</w:t>
            </w:r>
          </w:p>
        </w:tc>
      </w:tr>
      <w:tr w:rsidR="00920B63" w:rsidRPr="00F124EC" w14:paraId="2B514A65"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766C143C" w14:textId="77777777" w:rsidR="00920B63" w:rsidRPr="00F124EC" w:rsidRDefault="00920B63">
            <w:pPr>
              <w:rPr>
                <w:rFonts w:cs="Tahoma"/>
                <w:b w:val="0"/>
                <w:sz w:val="18"/>
                <w:szCs w:val="18"/>
              </w:rPr>
            </w:pPr>
            <w:r w:rsidRPr="00F124EC">
              <w:rPr>
                <w:rFonts w:cs="Tahoma"/>
                <w:sz w:val="18"/>
                <w:szCs w:val="18"/>
              </w:rPr>
              <w:t xml:space="preserve">JAVNA RASVJETA </w:t>
            </w:r>
          </w:p>
        </w:tc>
      </w:tr>
      <w:tr w:rsidR="00920B63" w:rsidRPr="00F124EC" w14:paraId="57DCCE73" w14:textId="77777777" w:rsidTr="0082543F">
        <w:trPr>
          <w:trHeight w:val="113"/>
        </w:trPr>
        <w:tc>
          <w:tcPr>
            <w:cnfStyle w:val="001000000000" w:firstRow="0" w:lastRow="0" w:firstColumn="1" w:lastColumn="0" w:oddVBand="0" w:evenVBand="0" w:oddHBand="0" w:evenHBand="0" w:firstRowFirstColumn="0" w:firstRowLastColumn="0" w:lastRowFirstColumn="0" w:lastRowLastColumn="0"/>
            <w:tcW w:w="3397" w:type="dxa"/>
            <w:hideMark/>
          </w:tcPr>
          <w:p w14:paraId="689FBD43" w14:textId="77777777" w:rsidR="00920B63" w:rsidRPr="00F124EC" w:rsidRDefault="00920B63">
            <w:pPr>
              <w:rPr>
                <w:rFonts w:cs="Tahoma"/>
                <w:sz w:val="18"/>
                <w:szCs w:val="18"/>
              </w:rPr>
            </w:pPr>
            <w:r w:rsidRPr="00F124EC">
              <w:rPr>
                <w:rFonts w:cs="Tahoma"/>
                <w:sz w:val="18"/>
                <w:szCs w:val="18"/>
              </w:rPr>
              <w:t xml:space="preserve">Program „Energetski učinkovita javna rasvjeta“ </w:t>
            </w:r>
          </w:p>
        </w:tc>
        <w:tc>
          <w:tcPr>
            <w:tcW w:w="1372" w:type="dxa"/>
            <w:hideMark/>
          </w:tcPr>
          <w:p w14:paraId="532C927F"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0,19776</w:t>
            </w:r>
          </w:p>
        </w:tc>
        <w:tc>
          <w:tcPr>
            <w:tcW w:w="1234" w:type="dxa"/>
            <w:hideMark/>
          </w:tcPr>
          <w:p w14:paraId="6FFD0633"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19.783,05</w:t>
            </w:r>
          </w:p>
        </w:tc>
        <w:tc>
          <w:tcPr>
            <w:tcW w:w="1647" w:type="dxa"/>
            <w:hideMark/>
          </w:tcPr>
          <w:p w14:paraId="58E3BA3A"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160.986.313,89</w:t>
            </w:r>
          </w:p>
        </w:tc>
        <w:tc>
          <w:tcPr>
            <w:tcW w:w="1470" w:type="dxa"/>
            <w:hideMark/>
          </w:tcPr>
          <w:p w14:paraId="336C2BE5"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84.028.721,96</w:t>
            </w:r>
          </w:p>
        </w:tc>
      </w:tr>
      <w:tr w:rsidR="00920B63" w:rsidRPr="00F124EC" w14:paraId="21897CB5"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4CE8FEF3" w14:textId="77777777" w:rsidR="00920B63" w:rsidRPr="00F124EC" w:rsidRDefault="00920B63">
            <w:pPr>
              <w:rPr>
                <w:rFonts w:cs="Tahoma"/>
                <w:b w:val="0"/>
                <w:sz w:val="18"/>
                <w:szCs w:val="18"/>
              </w:rPr>
            </w:pPr>
            <w:r w:rsidRPr="00F124EC">
              <w:rPr>
                <w:rFonts w:cs="Tahoma"/>
                <w:sz w:val="18"/>
                <w:szCs w:val="18"/>
              </w:rPr>
              <w:t xml:space="preserve">PROMET </w:t>
            </w:r>
          </w:p>
        </w:tc>
      </w:tr>
      <w:tr w:rsidR="00920B63" w:rsidRPr="00F124EC" w14:paraId="4C8D8987" w14:textId="77777777" w:rsidTr="0082543F">
        <w:trPr>
          <w:trHeight w:val="113"/>
        </w:trPr>
        <w:tc>
          <w:tcPr>
            <w:cnfStyle w:val="001000000000" w:firstRow="0" w:lastRow="0" w:firstColumn="1" w:lastColumn="0" w:oddVBand="0" w:evenVBand="0" w:oddHBand="0" w:evenHBand="0" w:firstRowFirstColumn="0" w:firstRowLastColumn="0" w:lastRowFirstColumn="0" w:lastRowLastColumn="0"/>
            <w:tcW w:w="3397" w:type="dxa"/>
            <w:hideMark/>
          </w:tcPr>
          <w:p w14:paraId="3281E9B9" w14:textId="77777777" w:rsidR="00920B63" w:rsidRPr="00F124EC" w:rsidRDefault="00920B63">
            <w:pPr>
              <w:rPr>
                <w:rFonts w:cs="Tahoma"/>
                <w:sz w:val="18"/>
                <w:szCs w:val="18"/>
              </w:rPr>
            </w:pPr>
            <w:r w:rsidRPr="00F124EC">
              <w:rPr>
                <w:rFonts w:cs="Tahoma"/>
                <w:sz w:val="18"/>
                <w:szCs w:val="18"/>
              </w:rPr>
              <w:t xml:space="preserve">Financijski poticaji za energetski učinkovita vozila </w:t>
            </w:r>
          </w:p>
        </w:tc>
        <w:tc>
          <w:tcPr>
            <w:tcW w:w="1372" w:type="dxa"/>
            <w:hideMark/>
          </w:tcPr>
          <w:p w14:paraId="3CF01A00"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0,083556</w:t>
            </w:r>
          </w:p>
        </w:tc>
        <w:tc>
          <w:tcPr>
            <w:tcW w:w="1234" w:type="dxa"/>
            <w:hideMark/>
          </w:tcPr>
          <w:p w14:paraId="622249E4"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7.706,02</w:t>
            </w:r>
          </w:p>
        </w:tc>
        <w:tc>
          <w:tcPr>
            <w:tcW w:w="1647" w:type="dxa"/>
            <w:hideMark/>
          </w:tcPr>
          <w:p w14:paraId="58798C23"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207.250.726,57</w:t>
            </w:r>
          </w:p>
        </w:tc>
        <w:tc>
          <w:tcPr>
            <w:tcW w:w="1470" w:type="dxa"/>
            <w:hideMark/>
          </w:tcPr>
          <w:p w14:paraId="4A021286"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39.996.341,06</w:t>
            </w:r>
          </w:p>
        </w:tc>
      </w:tr>
      <w:tr w:rsidR="00920B63" w:rsidRPr="00F124EC" w14:paraId="540F404B" w14:textId="77777777" w:rsidTr="0082543F">
        <w:trPr>
          <w:trHeight w:val="113"/>
        </w:trPr>
        <w:tc>
          <w:tcPr>
            <w:cnfStyle w:val="001000000000" w:firstRow="0" w:lastRow="0" w:firstColumn="1" w:lastColumn="0" w:oddVBand="0" w:evenVBand="0" w:oddHBand="0" w:evenHBand="0" w:firstRowFirstColumn="0" w:firstRowLastColumn="0" w:lastRowFirstColumn="0" w:lastRowLastColumn="0"/>
            <w:tcW w:w="3397" w:type="dxa"/>
            <w:hideMark/>
          </w:tcPr>
          <w:p w14:paraId="6CE1DAA1" w14:textId="77777777" w:rsidR="00920B63" w:rsidRPr="00F124EC" w:rsidRDefault="00920B63">
            <w:pPr>
              <w:rPr>
                <w:rFonts w:cs="Tahoma"/>
                <w:sz w:val="18"/>
                <w:szCs w:val="18"/>
              </w:rPr>
            </w:pPr>
            <w:r w:rsidRPr="00F124EC">
              <w:rPr>
                <w:rFonts w:cs="Tahoma"/>
                <w:sz w:val="18"/>
                <w:szCs w:val="18"/>
              </w:rPr>
              <w:t xml:space="preserve">Poticanje eko vožnje </w:t>
            </w:r>
          </w:p>
        </w:tc>
        <w:tc>
          <w:tcPr>
            <w:tcW w:w="1372" w:type="dxa"/>
            <w:hideMark/>
          </w:tcPr>
          <w:p w14:paraId="2F8D437B"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0,09159</w:t>
            </w:r>
          </w:p>
        </w:tc>
        <w:tc>
          <w:tcPr>
            <w:tcW w:w="1234" w:type="dxa"/>
            <w:hideMark/>
          </w:tcPr>
          <w:p w14:paraId="59629C39"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6.784,91</w:t>
            </w:r>
          </w:p>
        </w:tc>
        <w:tc>
          <w:tcPr>
            <w:tcW w:w="1647" w:type="dxa"/>
            <w:hideMark/>
          </w:tcPr>
          <w:p w14:paraId="37102F0B"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2.986.214,63</w:t>
            </w:r>
          </w:p>
        </w:tc>
        <w:tc>
          <w:tcPr>
            <w:tcW w:w="1470" w:type="dxa"/>
            <w:hideMark/>
          </w:tcPr>
          <w:p w14:paraId="02E987E6"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977.649,24</w:t>
            </w:r>
          </w:p>
        </w:tc>
      </w:tr>
      <w:tr w:rsidR="00920B63" w:rsidRPr="00F124EC" w14:paraId="005AEA79" w14:textId="77777777" w:rsidTr="0082543F">
        <w:trPr>
          <w:trHeight w:val="178"/>
        </w:trPr>
        <w:tc>
          <w:tcPr>
            <w:cnfStyle w:val="001000000000" w:firstRow="0" w:lastRow="0" w:firstColumn="1" w:lastColumn="0" w:oddVBand="0" w:evenVBand="0" w:oddHBand="0" w:evenHBand="0" w:firstRowFirstColumn="0" w:firstRowLastColumn="0" w:lastRowFirstColumn="0" w:lastRowLastColumn="0"/>
            <w:tcW w:w="3397" w:type="dxa"/>
            <w:hideMark/>
          </w:tcPr>
          <w:p w14:paraId="682270DC" w14:textId="77777777" w:rsidR="00920B63" w:rsidRPr="00F124EC" w:rsidRDefault="00920B63">
            <w:pPr>
              <w:rPr>
                <w:rFonts w:cs="Tahoma"/>
                <w:sz w:val="18"/>
                <w:szCs w:val="18"/>
              </w:rPr>
            </w:pPr>
            <w:r w:rsidRPr="00F124EC">
              <w:rPr>
                <w:rFonts w:cs="Tahoma"/>
                <w:sz w:val="18"/>
                <w:szCs w:val="18"/>
              </w:rPr>
              <w:t>Uspostava posebnog poreza na motorna vozila na temelju emisija CO</w:t>
            </w:r>
            <w:r w:rsidRPr="00F124EC">
              <w:rPr>
                <w:rFonts w:cs="Tahoma"/>
                <w:sz w:val="18"/>
                <w:szCs w:val="18"/>
                <w:vertAlign w:val="subscript"/>
              </w:rPr>
              <w:t>2</w:t>
            </w:r>
          </w:p>
        </w:tc>
        <w:tc>
          <w:tcPr>
            <w:tcW w:w="1372" w:type="dxa"/>
            <w:hideMark/>
          </w:tcPr>
          <w:p w14:paraId="0C50A32F"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w:t>
            </w:r>
          </w:p>
        </w:tc>
        <w:tc>
          <w:tcPr>
            <w:tcW w:w="1234" w:type="dxa"/>
            <w:hideMark/>
          </w:tcPr>
          <w:p w14:paraId="0C90EDD6"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0,00</w:t>
            </w:r>
          </w:p>
        </w:tc>
        <w:tc>
          <w:tcPr>
            <w:tcW w:w="1647" w:type="dxa"/>
            <w:hideMark/>
          </w:tcPr>
          <w:p w14:paraId="2F00E137"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0,00</w:t>
            </w:r>
          </w:p>
        </w:tc>
        <w:tc>
          <w:tcPr>
            <w:tcW w:w="1470" w:type="dxa"/>
            <w:hideMark/>
          </w:tcPr>
          <w:p w14:paraId="4FCCD6D8"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w:t>
            </w:r>
          </w:p>
        </w:tc>
      </w:tr>
      <w:tr w:rsidR="00920B63" w:rsidRPr="00F124EC" w14:paraId="0A4DD47E" w14:textId="77777777" w:rsidTr="0082543F">
        <w:trPr>
          <w:trHeight w:val="108"/>
        </w:trPr>
        <w:tc>
          <w:tcPr>
            <w:cnfStyle w:val="001000000000" w:firstRow="0" w:lastRow="0" w:firstColumn="1" w:lastColumn="0" w:oddVBand="0" w:evenVBand="0" w:oddHBand="0" w:evenHBand="0" w:firstRowFirstColumn="0" w:firstRowLastColumn="0" w:lastRowFirstColumn="0" w:lastRowLastColumn="0"/>
            <w:tcW w:w="3397" w:type="dxa"/>
            <w:shd w:val="clear" w:color="auto" w:fill="D0CECE" w:themeFill="background2" w:themeFillShade="E6"/>
            <w:hideMark/>
          </w:tcPr>
          <w:p w14:paraId="3AE1DACE" w14:textId="77777777" w:rsidR="00920B63" w:rsidRPr="00F124EC" w:rsidRDefault="00920B63">
            <w:pPr>
              <w:rPr>
                <w:rFonts w:cs="Tahoma"/>
                <w:sz w:val="18"/>
                <w:szCs w:val="18"/>
              </w:rPr>
            </w:pPr>
            <w:r w:rsidRPr="00F124EC">
              <w:rPr>
                <w:rFonts w:cs="Tahoma"/>
                <w:sz w:val="18"/>
                <w:szCs w:val="18"/>
              </w:rPr>
              <w:t xml:space="preserve">UKUPNO </w:t>
            </w:r>
          </w:p>
        </w:tc>
        <w:tc>
          <w:tcPr>
            <w:tcW w:w="1372" w:type="dxa"/>
            <w:shd w:val="clear" w:color="auto" w:fill="D0CECE" w:themeFill="background2" w:themeFillShade="E6"/>
            <w:hideMark/>
          </w:tcPr>
          <w:p w14:paraId="0593E92F"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2,61395</w:t>
            </w:r>
          </w:p>
        </w:tc>
        <w:tc>
          <w:tcPr>
            <w:tcW w:w="1234" w:type="dxa"/>
            <w:shd w:val="clear" w:color="auto" w:fill="D0CECE" w:themeFill="background2" w:themeFillShade="E6"/>
            <w:hideMark/>
          </w:tcPr>
          <w:p w14:paraId="1665517F"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177.916,18</w:t>
            </w:r>
          </w:p>
        </w:tc>
        <w:tc>
          <w:tcPr>
            <w:tcW w:w="1647" w:type="dxa"/>
            <w:shd w:val="clear" w:color="auto" w:fill="D0CECE" w:themeFill="background2" w:themeFillShade="E6"/>
            <w:hideMark/>
          </w:tcPr>
          <w:p w14:paraId="47F42910"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1.815.221.286,09</w:t>
            </w:r>
          </w:p>
        </w:tc>
        <w:tc>
          <w:tcPr>
            <w:tcW w:w="1470" w:type="dxa"/>
            <w:shd w:val="clear" w:color="auto" w:fill="D0CECE" w:themeFill="background2" w:themeFillShade="E6"/>
            <w:hideMark/>
          </w:tcPr>
          <w:p w14:paraId="7CD81FED"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896.233.204,48</w:t>
            </w:r>
          </w:p>
        </w:tc>
      </w:tr>
    </w:tbl>
    <w:p w14:paraId="66DD8FF5" w14:textId="77777777" w:rsidR="00920B63" w:rsidRDefault="00920B63" w:rsidP="00A07659">
      <w:pPr>
        <w:rPr>
          <w:color w:val="000000"/>
        </w:rPr>
      </w:pPr>
      <w:r>
        <w:t xml:space="preserve">Izvor: </w:t>
      </w:r>
      <w:bookmarkStart w:id="120" w:name="_Hlk45717563"/>
      <w:r>
        <w:t>Godišnje izvješće o napretku postignutom u ostvarenju nacionalnih ciljeva energetske učinkovitosti na temelju članka 24. stavka 1. u skladu s dijelom 1. Priloga XIV. Direktive 2012/27/EU</w:t>
      </w:r>
      <w:bookmarkEnd w:id="120"/>
      <w:r>
        <w:t>, CEI</w:t>
      </w:r>
    </w:p>
    <w:p w14:paraId="5CE88DF5" w14:textId="7CF93364" w:rsidR="00920B63" w:rsidRDefault="003065A3" w:rsidP="00693792">
      <w:pPr>
        <w:rPr>
          <w:lang w:eastAsia="hr-HR"/>
        </w:rPr>
      </w:pPr>
      <w:r w:rsidRPr="00CF2597">
        <w:rPr>
          <w:lang w:eastAsia="hr-HR"/>
        </w:rPr>
        <w:t>Nakon 2016.</w:t>
      </w:r>
      <w:r w:rsidR="00CF2597">
        <w:rPr>
          <w:lang w:eastAsia="hr-HR"/>
        </w:rPr>
        <w:t xml:space="preserve">godine za energetsku </w:t>
      </w:r>
      <w:r w:rsidR="00791103">
        <w:rPr>
          <w:lang w:eastAsia="hr-HR"/>
        </w:rPr>
        <w:t>obnovu</w:t>
      </w:r>
      <w:r w:rsidR="00CF2597">
        <w:rPr>
          <w:lang w:eastAsia="hr-HR"/>
        </w:rPr>
        <w:t xml:space="preserve"> zgrada </w:t>
      </w:r>
      <w:r w:rsidR="00791103">
        <w:rPr>
          <w:lang w:eastAsia="hr-HR"/>
        </w:rPr>
        <w:t xml:space="preserve">počinju se intenzivno koristiti sredstva </w:t>
      </w:r>
      <w:r w:rsidR="00176025">
        <w:rPr>
          <w:lang w:eastAsia="hr-HR"/>
        </w:rPr>
        <w:t>europskog</w:t>
      </w:r>
      <w:r w:rsidR="00791103">
        <w:rPr>
          <w:lang w:eastAsia="hr-HR"/>
        </w:rPr>
        <w:t xml:space="preserve"> </w:t>
      </w:r>
      <w:r w:rsidR="00176025">
        <w:rPr>
          <w:lang w:eastAsia="hr-HR"/>
        </w:rPr>
        <w:t>strukturnih</w:t>
      </w:r>
      <w:r w:rsidR="00791103">
        <w:rPr>
          <w:lang w:eastAsia="hr-HR"/>
        </w:rPr>
        <w:t xml:space="preserve"> i investicijskih </w:t>
      </w:r>
      <w:r w:rsidR="00176025">
        <w:rPr>
          <w:lang w:eastAsia="hr-HR"/>
        </w:rPr>
        <w:t xml:space="preserve">(ESI) fondova, posebice Fonda za regionalni razvoj (EFRR) temeljem </w:t>
      </w:r>
      <w:r w:rsidR="00F32806">
        <w:rPr>
          <w:lang w:eastAsia="hr-HR"/>
        </w:rPr>
        <w:t>Operativnog</w:t>
      </w:r>
      <w:r w:rsidR="00176025">
        <w:rPr>
          <w:lang w:eastAsia="hr-HR"/>
        </w:rPr>
        <w:t xml:space="preserve"> programa Ko</w:t>
      </w:r>
      <w:r w:rsidR="00F32806">
        <w:rPr>
          <w:lang w:eastAsia="hr-HR"/>
        </w:rPr>
        <w:t xml:space="preserve">nkurentnost i kohezija (OPKK) za razdoblje od 2014. do 2020. godine. </w:t>
      </w:r>
      <w:r w:rsidR="00E90475">
        <w:rPr>
          <w:lang w:eastAsia="hr-HR"/>
        </w:rPr>
        <w:t>Pregled mjera iz OPKK s kratkim opisom postignuća prikazuje</w:t>
      </w:r>
      <w:r w:rsidR="00376BF6">
        <w:rPr>
          <w:lang w:eastAsia="hr-HR"/>
        </w:rPr>
        <w:t xml:space="preserve"> </w:t>
      </w:r>
      <w:r w:rsidR="00376BF6">
        <w:rPr>
          <w:lang w:eastAsia="hr-HR"/>
        </w:rPr>
        <w:fldChar w:fldCharType="begin"/>
      </w:r>
      <w:r w:rsidR="00376BF6">
        <w:rPr>
          <w:lang w:eastAsia="hr-HR"/>
        </w:rPr>
        <w:instrText xml:space="preserve"> REF _Ref24096891 \h </w:instrText>
      </w:r>
      <w:r w:rsidR="00376BF6">
        <w:rPr>
          <w:lang w:eastAsia="hr-HR"/>
        </w:rPr>
      </w:r>
      <w:r w:rsidR="00376BF6">
        <w:rPr>
          <w:lang w:eastAsia="hr-HR"/>
        </w:rPr>
        <w:fldChar w:fldCharType="separate"/>
      </w:r>
      <w:r w:rsidR="00CE61F3">
        <w:t xml:space="preserve">Tablica </w:t>
      </w:r>
      <w:r w:rsidR="00CE61F3">
        <w:rPr>
          <w:noProof/>
        </w:rPr>
        <w:t>4</w:t>
      </w:r>
      <w:r w:rsidR="00CE61F3">
        <w:t>.</w:t>
      </w:r>
      <w:r w:rsidR="00CE61F3">
        <w:rPr>
          <w:noProof/>
        </w:rPr>
        <w:t>2</w:t>
      </w:r>
      <w:r w:rsidR="00376BF6">
        <w:rPr>
          <w:lang w:eastAsia="hr-HR"/>
        </w:rPr>
        <w:fldChar w:fldCharType="end"/>
      </w:r>
      <w:r w:rsidR="00797445">
        <w:rPr>
          <w:lang w:eastAsia="hr-HR"/>
        </w:rPr>
        <w:t>.</w:t>
      </w:r>
    </w:p>
    <w:p w14:paraId="609AD5AE" w14:textId="3175AF6D" w:rsidR="00E90475" w:rsidRDefault="00E90475" w:rsidP="00E90475">
      <w:pPr>
        <w:pStyle w:val="Opisslike"/>
      </w:pPr>
      <w:bookmarkStart w:id="121" w:name="_Ref24096891"/>
      <w:bookmarkStart w:id="122" w:name="_Toc40089038"/>
      <w:r>
        <w:t xml:space="preserve">Tablica </w:t>
      </w:r>
      <w:fldSimple w:instr=" STYLEREF 1 \s ">
        <w:r w:rsidR="00CE61F3">
          <w:rPr>
            <w:noProof/>
          </w:rPr>
          <w:t>4</w:t>
        </w:r>
      </w:fldSimple>
      <w:r w:rsidR="0046545B">
        <w:t>.</w:t>
      </w:r>
      <w:fldSimple w:instr=" SEQ Tablica \* ARABIC \s 1 ">
        <w:r w:rsidR="00CE61F3">
          <w:rPr>
            <w:noProof/>
          </w:rPr>
          <w:t>2</w:t>
        </w:r>
      </w:fldSimple>
      <w:bookmarkEnd w:id="121"/>
      <w:r>
        <w:t xml:space="preserve"> </w:t>
      </w:r>
      <w:r w:rsidR="00E40821">
        <w:t xml:space="preserve">Pregled mjera za energetsku obnovu zgrada </w:t>
      </w:r>
      <w:r w:rsidR="00382C91">
        <w:t>korištenjem ESI sredstava</w:t>
      </w:r>
      <w:bookmarkEnd w:id="122"/>
    </w:p>
    <w:tbl>
      <w:tblPr>
        <w:tblStyle w:val="Svijetlatablicareetke110"/>
        <w:tblW w:w="5000" w:type="pct"/>
        <w:tblInd w:w="0" w:type="dxa"/>
        <w:tblLook w:val="04A0" w:firstRow="1" w:lastRow="0" w:firstColumn="1" w:lastColumn="0" w:noHBand="0" w:noVBand="1"/>
      </w:tblPr>
      <w:tblGrid>
        <w:gridCol w:w="2336"/>
        <w:gridCol w:w="7008"/>
      </w:tblGrid>
      <w:tr w:rsidR="00382C91" w:rsidRPr="0057396E" w14:paraId="2D056CDC" w14:textId="77777777" w:rsidTr="00382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F0460B5" w14:textId="77777777" w:rsidR="00382C91" w:rsidRPr="0057396E" w:rsidRDefault="00382C91">
            <w:pPr>
              <w:spacing w:after="0"/>
              <w:rPr>
                <w:rFonts w:cs="Tahoma"/>
                <w:sz w:val="18"/>
                <w:szCs w:val="18"/>
                <w:lang w:eastAsia="hr-HR"/>
              </w:rPr>
            </w:pPr>
            <w:r w:rsidRPr="0057396E">
              <w:rPr>
                <w:rFonts w:cs="Tahoma"/>
                <w:sz w:val="18"/>
                <w:szCs w:val="18"/>
              </w:rPr>
              <w:t>Naziv mjere</w:t>
            </w:r>
          </w:p>
        </w:tc>
        <w:tc>
          <w:tcPr>
            <w:tcW w:w="3750" w:type="pct"/>
            <w:hideMark/>
          </w:tcPr>
          <w:p w14:paraId="55FEDA31" w14:textId="77777777" w:rsidR="00382C91" w:rsidRPr="0057396E" w:rsidRDefault="00382C91">
            <w:pPr>
              <w:spacing w:after="0"/>
              <w:cnfStyle w:val="100000000000" w:firstRow="1" w:lastRow="0" w:firstColumn="0" w:lastColumn="0" w:oddVBand="0" w:evenVBand="0" w:oddHBand="0" w:evenHBand="0" w:firstRowFirstColumn="0" w:firstRowLastColumn="0" w:lastRowFirstColumn="0" w:lastRowLastColumn="0"/>
              <w:rPr>
                <w:rFonts w:cs="Tahoma"/>
                <w:sz w:val="18"/>
                <w:szCs w:val="18"/>
              </w:rPr>
            </w:pPr>
            <w:r w:rsidRPr="0057396E">
              <w:rPr>
                <w:rFonts w:cs="Tahoma"/>
                <w:sz w:val="18"/>
                <w:szCs w:val="18"/>
              </w:rPr>
              <w:t>Kratki opis mjere</w:t>
            </w:r>
          </w:p>
        </w:tc>
      </w:tr>
      <w:tr w:rsidR="00E40821" w:rsidRPr="0057396E" w14:paraId="30D0BD31" w14:textId="77777777" w:rsidTr="00382C91">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CECE" w:themeFill="background2" w:themeFillShade="E6"/>
            <w:hideMark/>
          </w:tcPr>
          <w:p w14:paraId="442DEC58" w14:textId="77777777" w:rsidR="00E40821" w:rsidRPr="0057396E" w:rsidRDefault="00E40821">
            <w:pPr>
              <w:spacing w:after="0"/>
              <w:jc w:val="center"/>
              <w:rPr>
                <w:rFonts w:cs="Tahoma"/>
                <w:sz w:val="18"/>
                <w:szCs w:val="18"/>
              </w:rPr>
            </w:pPr>
            <w:r w:rsidRPr="0057396E">
              <w:rPr>
                <w:rFonts w:cs="Tahoma"/>
                <w:sz w:val="18"/>
                <w:szCs w:val="18"/>
              </w:rPr>
              <w:t>Kućanstva</w:t>
            </w:r>
          </w:p>
        </w:tc>
      </w:tr>
      <w:tr w:rsidR="009161D0" w:rsidRPr="0057396E" w14:paraId="271FC954" w14:textId="77777777" w:rsidTr="009E12C4">
        <w:tc>
          <w:tcPr>
            <w:cnfStyle w:val="001000000000" w:firstRow="0" w:lastRow="0" w:firstColumn="1" w:lastColumn="0" w:oddVBand="0" w:evenVBand="0" w:oddHBand="0" w:evenHBand="0" w:firstRowFirstColumn="0" w:firstRowLastColumn="0" w:lastRowFirstColumn="0" w:lastRowLastColumn="0"/>
            <w:tcW w:w="1250" w:type="pct"/>
            <w:hideMark/>
          </w:tcPr>
          <w:p w14:paraId="52F6D6BE" w14:textId="77777777" w:rsidR="009161D0" w:rsidRPr="0057396E" w:rsidRDefault="009161D0" w:rsidP="009E12C4">
            <w:pPr>
              <w:pStyle w:val="Default"/>
              <w:rPr>
                <w:rFonts w:ascii="Tahoma" w:hAnsi="Tahoma" w:cs="Tahoma"/>
                <w:sz w:val="18"/>
                <w:szCs w:val="18"/>
              </w:rPr>
            </w:pPr>
            <w:r w:rsidRPr="0057396E">
              <w:rPr>
                <w:rFonts w:ascii="Tahoma" w:hAnsi="Tahoma" w:cs="Tahoma"/>
                <w:b w:val="0"/>
                <w:bCs w:val="0"/>
                <w:sz w:val="18"/>
                <w:szCs w:val="18"/>
              </w:rPr>
              <w:t xml:space="preserve">Poticanje integralne obnove višestambenih zgrada </w:t>
            </w:r>
          </w:p>
        </w:tc>
        <w:tc>
          <w:tcPr>
            <w:tcW w:w="3750" w:type="pct"/>
            <w:hideMark/>
          </w:tcPr>
          <w:p w14:paraId="62991DF9" w14:textId="77777777" w:rsidR="009161D0" w:rsidRPr="0057396E" w:rsidRDefault="009161D0" w:rsidP="009E12C4">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Novi poziv</w:t>
            </w:r>
            <w:r w:rsidR="007840B1">
              <w:rPr>
                <w:rFonts w:ascii="Tahoma" w:hAnsi="Tahoma" w:cs="Tahoma"/>
                <w:sz w:val="18"/>
                <w:szCs w:val="18"/>
              </w:rPr>
              <w:t xml:space="preserve"> MGIPU</w:t>
            </w:r>
            <w:r>
              <w:rPr>
                <w:rFonts w:ascii="Tahoma" w:hAnsi="Tahoma" w:cs="Tahoma"/>
                <w:sz w:val="18"/>
                <w:szCs w:val="18"/>
              </w:rPr>
              <w:t xml:space="preserve"> za sufinanciranje energet</w:t>
            </w:r>
            <w:r w:rsidR="004C5552">
              <w:rPr>
                <w:rFonts w:ascii="Tahoma" w:hAnsi="Tahoma" w:cs="Tahoma"/>
                <w:sz w:val="18"/>
                <w:szCs w:val="18"/>
              </w:rPr>
              <w:t xml:space="preserve">ske obnove višestambenih zgrada najavljen u veljači 2020. godine, u </w:t>
            </w:r>
            <w:r w:rsidR="00E3233E">
              <w:rPr>
                <w:rFonts w:ascii="Tahoma" w:hAnsi="Tahoma" w:cs="Tahoma"/>
                <w:sz w:val="18"/>
                <w:szCs w:val="18"/>
              </w:rPr>
              <w:t>formi</w:t>
            </w:r>
            <w:r w:rsidR="004C5552">
              <w:rPr>
                <w:rFonts w:ascii="Tahoma" w:hAnsi="Tahoma" w:cs="Tahoma"/>
                <w:sz w:val="18"/>
                <w:szCs w:val="18"/>
              </w:rPr>
              <w:t xml:space="preserve"> trajno otvorenog natječaja</w:t>
            </w:r>
            <w:r w:rsidR="00E3233E">
              <w:rPr>
                <w:rFonts w:ascii="Tahoma" w:hAnsi="Tahoma" w:cs="Tahoma"/>
                <w:sz w:val="18"/>
                <w:szCs w:val="18"/>
              </w:rPr>
              <w:t xml:space="preserve"> za sufinanciranje</w:t>
            </w:r>
          </w:p>
        </w:tc>
      </w:tr>
      <w:tr w:rsidR="00962B4B" w:rsidRPr="0057396E" w14:paraId="2C7998EF" w14:textId="77777777" w:rsidTr="00962B4B">
        <w:tc>
          <w:tcPr>
            <w:cnfStyle w:val="001000000000" w:firstRow="0" w:lastRow="0" w:firstColumn="1" w:lastColumn="0" w:oddVBand="0" w:evenVBand="0" w:oddHBand="0" w:evenHBand="0" w:firstRowFirstColumn="0" w:firstRowLastColumn="0" w:lastRowFirstColumn="0" w:lastRowLastColumn="0"/>
            <w:tcW w:w="1250" w:type="pct"/>
            <w:hideMark/>
          </w:tcPr>
          <w:p w14:paraId="097B5643" w14:textId="77777777" w:rsidR="00962B4B" w:rsidRPr="0057396E" w:rsidRDefault="00962B4B">
            <w:pPr>
              <w:pStyle w:val="Default"/>
              <w:rPr>
                <w:rFonts w:ascii="Tahoma" w:hAnsi="Tahoma" w:cs="Tahoma"/>
                <w:sz w:val="18"/>
                <w:szCs w:val="18"/>
              </w:rPr>
            </w:pPr>
            <w:r w:rsidRPr="0057396E">
              <w:rPr>
                <w:rFonts w:ascii="Tahoma" w:hAnsi="Tahoma" w:cs="Tahoma"/>
                <w:b w:val="0"/>
                <w:bCs w:val="0"/>
                <w:sz w:val="18"/>
                <w:szCs w:val="18"/>
              </w:rPr>
              <w:t xml:space="preserve">Poticanje integralne obnove višestambenih zgrada </w:t>
            </w:r>
          </w:p>
        </w:tc>
        <w:tc>
          <w:tcPr>
            <w:tcW w:w="3750" w:type="pct"/>
            <w:hideMark/>
          </w:tcPr>
          <w:p w14:paraId="5BA90B66" w14:textId="77777777" w:rsidR="00962B4B" w:rsidRDefault="00962B4B">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57396E">
              <w:rPr>
                <w:rFonts w:ascii="Tahoma" w:hAnsi="Tahoma" w:cs="Tahoma"/>
                <w:sz w:val="18"/>
                <w:szCs w:val="18"/>
              </w:rPr>
              <w:t>Krajem 2016. godine MGIPU je raspisao poziv prema kojemu je dodijeljeno 554,34 milijuna kn za energetsku obnovu 584 zgrade, čime je premašena ukupna raspoloživa alokacija od 70 milijuna eura odnosno 532 milijuna kn iz EFRR-a prema OPKK; predviđa se da će realizacija projekata u sklopu ovog programa završiti do kraja 2023. godine.</w:t>
            </w:r>
          </w:p>
          <w:p w14:paraId="7F2737B2" w14:textId="77777777" w:rsidR="00723B60" w:rsidRDefault="00723B60">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 xml:space="preserve">Dodatno, u I. kvartalu 2020. godine otvorit će se novi </w:t>
            </w:r>
            <w:r w:rsidRPr="00723B60">
              <w:rPr>
                <w:rFonts w:ascii="Tahoma" w:hAnsi="Tahoma" w:cs="Tahoma"/>
                <w:sz w:val="18"/>
                <w:szCs w:val="18"/>
              </w:rPr>
              <w:t>Poziv na dostavu projektnih prijedloga „Energetska obnova višestambenih zgrada“</w:t>
            </w:r>
            <w:r>
              <w:rPr>
                <w:rFonts w:ascii="Tahoma" w:hAnsi="Tahoma" w:cs="Tahoma"/>
                <w:sz w:val="18"/>
                <w:szCs w:val="18"/>
              </w:rPr>
              <w:t xml:space="preserve"> s predviđenom alokacijom od 152 milijuna kn.</w:t>
            </w:r>
          </w:p>
          <w:p w14:paraId="1E909A3B" w14:textId="77777777" w:rsidR="00723B60" w:rsidRPr="0057396E" w:rsidRDefault="007739B1">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 xml:space="preserve">Što se tiče obiteljskih kuća, sufinanciranje energetske obnove osigurat će se iz nacionalnih sredstava Fonda za zaštitu okoliša i energetsku učinkovitost i to putem javnom poziva u 2020. godini, s predviđenom alokacijom od 142 milijuna kuna, dd čega će 20% biti dodijeljeno građanima u opasnosti od energetskog siromaštva. </w:t>
            </w:r>
          </w:p>
        </w:tc>
      </w:tr>
      <w:tr w:rsidR="00E40821" w:rsidRPr="0057396E" w14:paraId="4C2557EC" w14:textId="77777777" w:rsidTr="00962B4B">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CECE" w:themeFill="background2" w:themeFillShade="E6"/>
            <w:hideMark/>
          </w:tcPr>
          <w:p w14:paraId="4FECD7F3" w14:textId="77777777" w:rsidR="00E40821" w:rsidRPr="0057396E" w:rsidRDefault="00E40821">
            <w:pPr>
              <w:spacing w:after="0"/>
              <w:jc w:val="center"/>
              <w:rPr>
                <w:rFonts w:cs="Tahoma"/>
                <w:sz w:val="18"/>
                <w:szCs w:val="18"/>
              </w:rPr>
            </w:pPr>
            <w:r w:rsidRPr="0057396E">
              <w:rPr>
                <w:rFonts w:cs="Tahoma"/>
                <w:sz w:val="18"/>
                <w:szCs w:val="18"/>
              </w:rPr>
              <w:t>Javni sektor</w:t>
            </w:r>
          </w:p>
        </w:tc>
      </w:tr>
      <w:tr w:rsidR="00376BF6" w:rsidRPr="0057396E" w14:paraId="165373B9" w14:textId="77777777" w:rsidTr="00376BF6">
        <w:tc>
          <w:tcPr>
            <w:cnfStyle w:val="001000000000" w:firstRow="0" w:lastRow="0" w:firstColumn="1" w:lastColumn="0" w:oddVBand="0" w:evenVBand="0" w:oddHBand="0" w:evenHBand="0" w:firstRowFirstColumn="0" w:firstRowLastColumn="0" w:lastRowFirstColumn="0" w:lastRowLastColumn="0"/>
            <w:tcW w:w="1250" w:type="pct"/>
            <w:hideMark/>
          </w:tcPr>
          <w:p w14:paraId="4FAADFFC" w14:textId="77777777" w:rsidR="00376BF6" w:rsidRPr="0057396E" w:rsidRDefault="00376BF6">
            <w:pPr>
              <w:pStyle w:val="Default"/>
              <w:rPr>
                <w:rFonts w:ascii="Tahoma" w:hAnsi="Tahoma" w:cs="Tahoma"/>
                <w:sz w:val="18"/>
                <w:szCs w:val="18"/>
              </w:rPr>
            </w:pPr>
            <w:r w:rsidRPr="0057396E">
              <w:rPr>
                <w:rFonts w:ascii="Tahoma" w:hAnsi="Tahoma" w:cs="Tahoma"/>
                <w:b w:val="0"/>
                <w:bCs w:val="0"/>
                <w:sz w:val="18"/>
                <w:szCs w:val="18"/>
              </w:rPr>
              <w:t xml:space="preserve">Program energetske obnove zgrada javnog sektora 2016.-2020. </w:t>
            </w:r>
          </w:p>
        </w:tc>
        <w:tc>
          <w:tcPr>
            <w:tcW w:w="3750" w:type="pct"/>
            <w:hideMark/>
          </w:tcPr>
          <w:p w14:paraId="695FABEC" w14:textId="77777777" w:rsidR="00376BF6" w:rsidRPr="0057396E" w:rsidRDefault="00376BF6">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r w:rsidRPr="0057396E">
              <w:rPr>
                <w:rFonts w:cs="Tahoma"/>
                <w:sz w:val="18"/>
                <w:szCs w:val="18"/>
              </w:rPr>
              <w:t>Raspoloživa sredstva iz EFRR prema OPKK su 211 milijuna EUR za energetsku obnovu zgrada javnog sektora, a do sada je već dodijeljeno je dodijeljeno oko 1,494 milijardi kn za energetsku obnovu 871 zgrade; predviđa se da će realizacija projekata u sklopu ovog programa završiti do kraja 2023. godine.</w:t>
            </w:r>
          </w:p>
        </w:tc>
      </w:tr>
      <w:tr w:rsidR="00E40821" w:rsidRPr="0057396E" w14:paraId="6BD9F4C2" w14:textId="77777777" w:rsidTr="000A7AC1">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CECE" w:themeFill="background2" w:themeFillShade="E6"/>
            <w:hideMark/>
          </w:tcPr>
          <w:p w14:paraId="1A8B44C5" w14:textId="77777777" w:rsidR="00E40821" w:rsidRPr="0057396E" w:rsidRDefault="00E40821">
            <w:pPr>
              <w:spacing w:after="0"/>
              <w:jc w:val="center"/>
              <w:rPr>
                <w:rFonts w:cs="Tahoma"/>
                <w:sz w:val="18"/>
                <w:szCs w:val="18"/>
              </w:rPr>
            </w:pPr>
            <w:r w:rsidRPr="0057396E">
              <w:rPr>
                <w:rFonts w:cs="Tahoma"/>
                <w:sz w:val="18"/>
                <w:szCs w:val="18"/>
              </w:rPr>
              <w:t>Komercijalni uslužni sektor</w:t>
            </w:r>
          </w:p>
        </w:tc>
      </w:tr>
      <w:tr w:rsidR="000A7AC1" w:rsidRPr="0057396E" w14:paraId="6A679991" w14:textId="77777777" w:rsidTr="000A7AC1">
        <w:tc>
          <w:tcPr>
            <w:cnfStyle w:val="001000000000" w:firstRow="0" w:lastRow="0" w:firstColumn="1" w:lastColumn="0" w:oddVBand="0" w:evenVBand="0" w:oddHBand="0" w:evenHBand="0" w:firstRowFirstColumn="0" w:firstRowLastColumn="0" w:lastRowFirstColumn="0" w:lastRowLastColumn="0"/>
            <w:tcW w:w="1250" w:type="pct"/>
            <w:hideMark/>
          </w:tcPr>
          <w:p w14:paraId="238FA359" w14:textId="77777777" w:rsidR="000A7AC1" w:rsidRPr="0057396E" w:rsidRDefault="000A7AC1">
            <w:pPr>
              <w:pStyle w:val="Default"/>
              <w:jc w:val="both"/>
              <w:rPr>
                <w:rFonts w:ascii="Tahoma" w:hAnsi="Tahoma" w:cs="Tahoma"/>
                <w:sz w:val="18"/>
                <w:szCs w:val="18"/>
              </w:rPr>
            </w:pPr>
            <w:r w:rsidRPr="0057396E">
              <w:rPr>
                <w:rFonts w:ascii="Tahoma" w:hAnsi="Tahoma" w:cs="Tahoma"/>
                <w:b w:val="0"/>
                <w:bCs w:val="0"/>
                <w:sz w:val="18"/>
                <w:szCs w:val="18"/>
              </w:rPr>
              <w:t xml:space="preserve">Povećanje energetske učinkovitosti i korištenja OIE u komercijalnom uslužnom sektoru (turizam i trgovina) </w:t>
            </w:r>
          </w:p>
        </w:tc>
        <w:tc>
          <w:tcPr>
            <w:tcW w:w="3750" w:type="pct"/>
          </w:tcPr>
          <w:p w14:paraId="587A6453" w14:textId="77777777" w:rsidR="000A7AC1" w:rsidRPr="0057396E" w:rsidRDefault="000A7AC1">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r w:rsidRPr="0057396E">
              <w:rPr>
                <w:rFonts w:cs="Tahoma"/>
                <w:sz w:val="18"/>
                <w:szCs w:val="18"/>
              </w:rPr>
              <w:t>Raspoloživa sredstva iz EFRR prema OPKK su 300 milijuna kn (40 milijuna EUR) – predviđa se iskorištavanje ovih sredstava do kraja 2023. godine; provedba mjere je započela javnim pozivom Ministarstva zaštite okoliša i energetike</w:t>
            </w:r>
          </w:p>
        </w:tc>
      </w:tr>
    </w:tbl>
    <w:p w14:paraId="237B5294" w14:textId="77777777" w:rsidR="006C184C" w:rsidRDefault="006C184C" w:rsidP="00E40821"/>
    <w:p w14:paraId="4D1BB7C1" w14:textId="3272FCC0" w:rsidR="00175A97" w:rsidRPr="00B4452A" w:rsidRDefault="00A67170" w:rsidP="00CD5DA7">
      <w:r>
        <w:t>U</w:t>
      </w:r>
      <w:r w:rsidR="007D3EFE">
        <w:t xml:space="preserve"> donjoj tablici prikazuju se preliminarni rezultati</w:t>
      </w:r>
      <w:r w:rsidR="00B71CDF">
        <w:t xml:space="preserve"> provedbe svih programa energetske obnove zgrada u Republici Hrvatskoj u </w:t>
      </w:r>
      <w:r w:rsidR="00AF2179">
        <w:t>razdoblju od 2014. do 2019. godine</w:t>
      </w:r>
      <w:r w:rsidR="007D3EFE">
        <w:t xml:space="preserve">. </w:t>
      </w:r>
      <w:r w:rsidR="00EE06E7">
        <w:t>Razvidno je da je uz utrošak značajnih financijskih sredstava obnovljeno oko 5,7 milijuna m</w:t>
      </w:r>
      <w:r w:rsidR="00EE06E7" w:rsidRPr="00334A49">
        <w:rPr>
          <w:vertAlign w:val="superscript"/>
        </w:rPr>
        <w:t>2</w:t>
      </w:r>
      <w:r w:rsidR="00BD74A8">
        <w:t xml:space="preserve"> </w:t>
      </w:r>
      <w:r w:rsidR="00EE06E7">
        <w:t>površine postojećih zgrad</w:t>
      </w:r>
      <w:r w:rsidR="000B21CB">
        <w:t xml:space="preserve">a. </w:t>
      </w:r>
      <w:r w:rsidR="008404F0">
        <w:t xml:space="preserve">Ovi podatci pokazuju da </w:t>
      </w:r>
      <w:r w:rsidR="00837B2E">
        <w:t xml:space="preserve">energetska obnova predstavlja veliki izazov </w:t>
      </w:r>
      <w:r w:rsidR="00862A6C">
        <w:t xml:space="preserve">te se, čak i uz snažne financijske poticaje, ostvaruje dinamikom sporijom od željene, što je rezultat brojnih </w:t>
      </w:r>
      <w:r w:rsidR="00DD1DB1">
        <w:t>prepreka</w:t>
      </w:r>
      <w:r w:rsidR="00862A6C">
        <w:t xml:space="preserve"> </w:t>
      </w:r>
      <w:r w:rsidR="00DD1DB1">
        <w:t>prisutnih u Republici Hrvatskoj, a koje su detaljnije obrazložene u poglavlju 4.3.</w:t>
      </w:r>
      <w:r w:rsidR="008404F0">
        <w:t xml:space="preserve"> </w:t>
      </w:r>
    </w:p>
    <w:p w14:paraId="372BDA4C" w14:textId="3C04A630" w:rsidR="007D3EFE" w:rsidRDefault="007D3EFE" w:rsidP="007D3EFE">
      <w:pPr>
        <w:pStyle w:val="Opisslike"/>
      </w:pPr>
      <w:bookmarkStart w:id="123" w:name="_Toc40089039"/>
      <w:r>
        <w:t xml:space="preserve">Tablica </w:t>
      </w:r>
      <w:fldSimple w:instr=" STYLEREF 1 \s ">
        <w:r w:rsidR="00CE61F3">
          <w:rPr>
            <w:noProof/>
          </w:rPr>
          <w:t>4</w:t>
        </w:r>
      </w:fldSimple>
      <w:r>
        <w:t>.</w:t>
      </w:r>
      <w:fldSimple w:instr=" SEQ Tablica \* ARABIC \s 1 ">
        <w:r w:rsidR="00CE61F3">
          <w:rPr>
            <w:noProof/>
          </w:rPr>
          <w:t>3</w:t>
        </w:r>
      </w:fldSimple>
      <w:r>
        <w:t xml:space="preserve"> </w:t>
      </w:r>
      <w:r w:rsidR="003D23B0">
        <w:t xml:space="preserve">Preliminarni rezultati </w:t>
      </w:r>
      <w:r w:rsidR="00A67170">
        <w:t>programa energetske obnove zgrada u Republici Hrvatskoj u razdoblju od 2014. do 2019. godine</w:t>
      </w:r>
      <w:r w:rsidR="00ED12BF">
        <w:rPr>
          <w:rStyle w:val="Referencafusnote"/>
        </w:rPr>
        <w:footnoteReference w:id="21"/>
      </w:r>
      <w:bookmarkEnd w:id="123"/>
    </w:p>
    <w:tbl>
      <w:tblPr>
        <w:tblStyle w:val="Svijetlatablicareetke11"/>
        <w:tblW w:w="0" w:type="auto"/>
        <w:tblLook w:val="04A0" w:firstRow="1" w:lastRow="0" w:firstColumn="1" w:lastColumn="0" w:noHBand="0" w:noVBand="1"/>
      </w:tblPr>
      <w:tblGrid>
        <w:gridCol w:w="4656"/>
        <w:gridCol w:w="2086"/>
        <w:gridCol w:w="2602"/>
      </w:tblGrid>
      <w:tr w:rsidR="00AF2179" w:rsidRPr="00471AAC" w14:paraId="3B4729A7" w14:textId="77777777" w:rsidTr="00DD0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5F7D8CF0" w14:textId="77777777" w:rsidR="00AF2179" w:rsidRPr="00471AAC" w:rsidRDefault="00AF2179" w:rsidP="00AF2179">
            <w:pPr>
              <w:spacing w:after="0"/>
              <w:ind w:left="0"/>
              <w:rPr>
                <w:sz w:val="18"/>
                <w:szCs w:val="20"/>
              </w:rPr>
            </w:pPr>
            <w:r w:rsidRPr="00471AAC">
              <w:rPr>
                <w:sz w:val="18"/>
                <w:szCs w:val="20"/>
              </w:rPr>
              <w:t>Program</w:t>
            </w:r>
          </w:p>
        </w:tc>
        <w:tc>
          <w:tcPr>
            <w:tcW w:w="2126" w:type="dxa"/>
          </w:tcPr>
          <w:p w14:paraId="6E94AAC7" w14:textId="77777777" w:rsidR="00AF2179" w:rsidRPr="00471AAC" w:rsidRDefault="00471AAC" w:rsidP="00AF2179">
            <w:pPr>
              <w:spacing w:after="0"/>
              <w:ind w:left="0"/>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Razdoblje provedbe</w:t>
            </w:r>
          </w:p>
        </w:tc>
        <w:tc>
          <w:tcPr>
            <w:tcW w:w="2658" w:type="dxa"/>
          </w:tcPr>
          <w:p w14:paraId="58687B18" w14:textId="77777777" w:rsidR="00AF2179" w:rsidRPr="00471AAC" w:rsidRDefault="00471AAC" w:rsidP="00AF2179">
            <w:pPr>
              <w:spacing w:after="0"/>
              <w:ind w:left="0"/>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Obnovljena površina [m</w:t>
            </w:r>
            <w:r w:rsidRPr="00DD06B7">
              <w:rPr>
                <w:sz w:val="18"/>
                <w:szCs w:val="20"/>
                <w:vertAlign w:val="superscript"/>
              </w:rPr>
              <w:t>2</w:t>
            </w:r>
            <w:r>
              <w:rPr>
                <w:sz w:val="18"/>
                <w:szCs w:val="20"/>
              </w:rPr>
              <w:t>]</w:t>
            </w:r>
          </w:p>
        </w:tc>
      </w:tr>
      <w:tr w:rsidR="00AF2179" w:rsidRPr="00471AAC" w14:paraId="5122194B"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3415AEA8" w14:textId="77777777" w:rsidR="00AF2179" w:rsidRPr="00471AAC" w:rsidRDefault="004D7563" w:rsidP="00AF2179">
            <w:pPr>
              <w:spacing w:after="0"/>
              <w:ind w:left="0"/>
              <w:rPr>
                <w:sz w:val="18"/>
                <w:szCs w:val="20"/>
              </w:rPr>
            </w:pPr>
            <w:r>
              <w:rPr>
                <w:sz w:val="18"/>
                <w:szCs w:val="20"/>
              </w:rPr>
              <w:t>Obnova javnih zgrada ES</w:t>
            </w:r>
            <w:r w:rsidR="00ED12BF">
              <w:rPr>
                <w:sz w:val="18"/>
                <w:szCs w:val="20"/>
              </w:rPr>
              <w:t>C</w:t>
            </w:r>
            <w:r>
              <w:rPr>
                <w:sz w:val="18"/>
                <w:szCs w:val="20"/>
              </w:rPr>
              <w:t>O modelom</w:t>
            </w:r>
          </w:p>
        </w:tc>
        <w:tc>
          <w:tcPr>
            <w:tcW w:w="2126" w:type="dxa"/>
          </w:tcPr>
          <w:p w14:paraId="3EDA2558" w14:textId="77777777" w:rsidR="00AF2179" w:rsidRPr="00471AAC" w:rsidRDefault="004D7563" w:rsidP="00AF2179">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2014-2015</w:t>
            </w:r>
          </w:p>
        </w:tc>
        <w:tc>
          <w:tcPr>
            <w:tcW w:w="2658" w:type="dxa"/>
          </w:tcPr>
          <w:p w14:paraId="51D7714B" w14:textId="77777777" w:rsidR="00AF2179" w:rsidRPr="00471AAC" w:rsidRDefault="00207BFD"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sidRPr="00207BFD">
              <w:rPr>
                <w:sz w:val="18"/>
                <w:szCs w:val="20"/>
              </w:rPr>
              <w:t>25</w:t>
            </w:r>
            <w:r>
              <w:rPr>
                <w:sz w:val="18"/>
                <w:szCs w:val="20"/>
              </w:rPr>
              <w:t>0.</w:t>
            </w:r>
            <w:r w:rsidRPr="00207BFD">
              <w:rPr>
                <w:sz w:val="18"/>
                <w:szCs w:val="20"/>
              </w:rPr>
              <w:t>000</w:t>
            </w:r>
          </w:p>
        </w:tc>
      </w:tr>
      <w:tr w:rsidR="00AF2179" w:rsidRPr="00471AAC" w14:paraId="7CFF7985"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2431444A" w14:textId="77777777" w:rsidR="00AF2179" w:rsidRPr="00471AAC" w:rsidRDefault="004D7563" w:rsidP="00AF2179">
            <w:pPr>
              <w:spacing w:after="0"/>
              <w:ind w:left="0"/>
              <w:rPr>
                <w:sz w:val="18"/>
                <w:szCs w:val="20"/>
              </w:rPr>
            </w:pPr>
            <w:r>
              <w:rPr>
                <w:sz w:val="18"/>
                <w:szCs w:val="20"/>
              </w:rPr>
              <w:t>Obnova javnih zgrada ESI sredstvima</w:t>
            </w:r>
          </w:p>
        </w:tc>
        <w:tc>
          <w:tcPr>
            <w:tcW w:w="2126" w:type="dxa"/>
          </w:tcPr>
          <w:p w14:paraId="11158FE5" w14:textId="77777777" w:rsidR="00AF2179" w:rsidRPr="00471AAC" w:rsidRDefault="004D7563" w:rsidP="00AF2179">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2016-2019</w:t>
            </w:r>
          </w:p>
        </w:tc>
        <w:tc>
          <w:tcPr>
            <w:tcW w:w="2658" w:type="dxa"/>
          </w:tcPr>
          <w:p w14:paraId="033E02D6" w14:textId="77777777" w:rsidR="00AF2179" w:rsidRPr="00471AAC" w:rsidRDefault="00270EA5"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1.350.000</w:t>
            </w:r>
          </w:p>
        </w:tc>
      </w:tr>
      <w:tr w:rsidR="00270EA5" w:rsidRPr="00471AAC" w14:paraId="71150991"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6FE5E2D8" w14:textId="77777777" w:rsidR="00270EA5" w:rsidRPr="00471AAC" w:rsidRDefault="00270EA5" w:rsidP="00270EA5">
            <w:pPr>
              <w:spacing w:after="0"/>
              <w:ind w:left="0"/>
              <w:rPr>
                <w:sz w:val="18"/>
                <w:szCs w:val="20"/>
              </w:rPr>
            </w:pPr>
            <w:r>
              <w:rPr>
                <w:sz w:val="18"/>
                <w:szCs w:val="20"/>
              </w:rPr>
              <w:t>Obnova višestambenih zgrada nacionalnim sredstvima</w:t>
            </w:r>
          </w:p>
        </w:tc>
        <w:tc>
          <w:tcPr>
            <w:tcW w:w="2126" w:type="dxa"/>
          </w:tcPr>
          <w:p w14:paraId="613C6F3A" w14:textId="77777777" w:rsidR="00270EA5" w:rsidRPr="00471AAC" w:rsidRDefault="00270EA5" w:rsidP="00270EA5">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2014-2016</w:t>
            </w:r>
          </w:p>
        </w:tc>
        <w:tc>
          <w:tcPr>
            <w:tcW w:w="2658" w:type="dxa"/>
          </w:tcPr>
          <w:p w14:paraId="66840086" w14:textId="77777777" w:rsidR="00270EA5" w:rsidRPr="00471AAC" w:rsidRDefault="00270EA5"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700.000</w:t>
            </w:r>
          </w:p>
        </w:tc>
      </w:tr>
      <w:tr w:rsidR="00270EA5" w:rsidRPr="00471AAC" w14:paraId="3098AA61"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4F1CE74D" w14:textId="77777777" w:rsidR="00270EA5" w:rsidRPr="00471AAC" w:rsidRDefault="00270EA5" w:rsidP="00270EA5">
            <w:pPr>
              <w:spacing w:after="0"/>
              <w:ind w:left="0"/>
              <w:rPr>
                <w:sz w:val="18"/>
                <w:szCs w:val="20"/>
              </w:rPr>
            </w:pPr>
            <w:r>
              <w:rPr>
                <w:sz w:val="18"/>
                <w:szCs w:val="20"/>
              </w:rPr>
              <w:t>Obnova višestambenih zgrada ESI sredstvima</w:t>
            </w:r>
          </w:p>
        </w:tc>
        <w:tc>
          <w:tcPr>
            <w:tcW w:w="2126" w:type="dxa"/>
          </w:tcPr>
          <w:p w14:paraId="22E256E8" w14:textId="77777777" w:rsidR="00270EA5" w:rsidRPr="00471AAC" w:rsidRDefault="00270EA5" w:rsidP="00270EA5">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w:t>
            </w:r>
            <w:r w:rsidR="001E0707">
              <w:rPr>
                <w:sz w:val="18"/>
                <w:szCs w:val="20"/>
              </w:rPr>
              <w:t>6</w:t>
            </w:r>
            <w:r>
              <w:rPr>
                <w:sz w:val="18"/>
                <w:szCs w:val="20"/>
              </w:rPr>
              <w:t>-2019</w:t>
            </w:r>
          </w:p>
        </w:tc>
        <w:tc>
          <w:tcPr>
            <w:tcW w:w="2658" w:type="dxa"/>
          </w:tcPr>
          <w:p w14:paraId="602CC544" w14:textId="77777777" w:rsidR="00270EA5" w:rsidRPr="00471AAC" w:rsidRDefault="00270EA5"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900.000</w:t>
            </w:r>
          </w:p>
        </w:tc>
      </w:tr>
      <w:tr w:rsidR="00270EA5" w:rsidRPr="00471AAC" w14:paraId="12C9AB1D"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6BCD1B8F" w14:textId="77777777" w:rsidR="00270EA5" w:rsidRPr="00471AAC" w:rsidRDefault="00270EA5" w:rsidP="00270EA5">
            <w:pPr>
              <w:spacing w:after="0"/>
              <w:ind w:left="0"/>
              <w:rPr>
                <w:sz w:val="18"/>
                <w:szCs w:val="20"/>
              </w:rPr>
            </w:pPr>
            <w:r>
              <w:rPr>
                <w:sz w:val="18"/>
                <w:szCs w:val="20"/>
              </w:rPr>
              <w:t>Obnova obiteljskih kuća nacionalnim sredstvima</w:t>
            </w:r>
          </w:p>
        </w:tc>
        <w:tc>
          <w:tcPr>
            <w:tcW w:w="2126" w:type="dxa"/>
          </w:tcPr>
          <w:p w14:paraId="36A7325D" w14:textId="77777777" w:rsidR="00270EA5" w:rsidRPr="00471AAC" w:rsidRDefault="00270EA5" w:rsidP="00270EA5">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2014-2016</w:t>
            </w:r>
          </w:p>
        </w:tc>
        <w:tc>
          <w:tcPr>
            <w:tcW w:w="2658" w:type="dxa"/>
          </w:tcPr>
          <w:p w14:paraId="4743E58A" w14:textId="77777777" w:rsidR="00270EA5" w:rsidRPr="00471AAC" w:rsidRDefault="001E0707"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2.500.000</w:t>
            </w:r>
          </w:p>
        </w:tc>
      </w:tr>
      <w:tr w:rsidR="00270EA5" w:rsidRPr="00471AAC" w14:paraId="49D4DDB8"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5DB6320D" w14:textId="77777777" w:rsidR="00270EA5" w:rsidRPr="00471AAC" w:rsidRDefault="001E0707" w:rsidP="00270EA5">
            <w:pPr>
              <w:spacing w:after="0"/>
              <w:ind w:left="0"/>
              <w:rPr>
                <w:sz w:val="18"/>
                <w:szCs w:val="20"/>
              </w:rPr>
            </w:pPr>
            <w:r>
              <w:rPr>
                <w:sz w:val="18"/>
                <w:szCs w:val="20"/>
              </w:rPr>
              <w:t>UKUPNO OBNOVLJENA POVRŠINA</w:t>
            </w:r>
          </w:p>
        </w:tc>
        <w:tc>
          <w:tcPr>
            <w:tcW w:w="2126" w:type="dxa"/>
          </w:tcPr>
          <w:p w14:paraId="31AB179B" w14:textId="77777777" w:rsidR="00270EA5" w:rsidRPr="00471AAC" w:rsidRDefault="00270EA5" w:rsidP="00270EA5">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p>
        </w:tc>
        <w:tc>
          <w:tcPr>
            <w:tcW w:w="2658" w:type="dxa"/>
          </w:tcPr>
          <w:p w14:paraId="0BB56AF5" w14:textId="77777777" w:rsidR="00270EA5" w:rsidRPr="00DD06B7" w:rsidRDefault="00DD06B7" w:rsidP="00DD06B7">
            <w:pPr>
              <w:spacing w:after="0"/>
              <w:ind w:left="0"/>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DD06B7">
              <w:rPr>
                <w:b/>
                <w:bCs/>
                <w:sz w:val="18"/>
                <w:szCs w:val="20"/>
              </w:rPr>
              <w:t>5.700.000</w:t>
            </w:r>
          </w:p>
        </w:tc>
      </w:tr>
    </w:tbl>
    <w:p w14:paraId="064AB5D6" w14:textId="18BF7458" w:rsidR="00AF2179" w:rsidRPr="00AF2179" w:rsidRDefault="00DE219B" w:rsidP="00AF2179">
      <w:r>
        <w:t>*</w:t>
      </w:r>
    </w:p>
    <w:p w14:paraId="7B2E8BFC" w14:textId="77777777" w:rsidR="00F44D75" w:rsidRPr="00AF2179" w:rsidRDefault="00F44D75" w:rsidP="00837EF7">
      <w:pPr>
        <w:tabs>
          <w:tab w:val="clear" w:pos="431"/>
          <w:tab w:val="left" w:pos="851"/>
        </w:tabs>
        <w:ind w:left="567" w:hanging="567"/>
      </w:pPr>
    </w:p>
    <w:p w14:paraId="43BD3A0F" w14:textId="77777777" w:rsidR="007D21A2" w:rsidRDefault="00B4452A" w:rsidP="007649C2">
      <w:pPr>
        <w:pStyle w:val="Naslov20"/>
      </w:pPr>
      <w:bookmarkStart w:id="124" w:name="_Toc34052883"/>
      <w:bookmarkStart w:id="125" w:name="_Toc46163827"/>
      <w:r w:rsidRPr="00B4452A">
        <w:t>Analiza mjera za poticanje integralne obnove zgrada država članica Europske unije</w:t>
      </w:r>
      <w:bookmarkEnd w:id="124"/>
      <w:bookmarkEnd w:id="125"/>
    </w:p>
    <w:p w14:paraId="4D692080" w14:textId="77777777" w:rsidR="007D21A2" w:rsidRDefault="007D21A2" w:rsidP="007D21A2">
      <w:pPr>
        <w:rPr>
          <w:lang w:eastAsia="hr-HR"/>
        </w:rPr>
      </w:pPr>
      <w:r>
        <w:t>Člankom 5. Direktive 2012/27/EU definirana je obveza obnove zgrada javnog sektora u vlasništvu središnje države u svim državama članicama. U tu svrhu izrađeni su nacionalni planovi i politike kao okvir za provedbu programa obnove. Pristupi pojedinih zemalja članica se razlikuju, kako prema implementaciji tako prema financijskim mehanizmima. Implementacije članka 5. Direktive 2012/27/EU moguća je tzv. standardnim pristupom, odnosno obnovom 3% ukupne površine poda grijanih i/ili hlađenih zgrada u vlasništvu i uporabi središnje vlasti svake godine ili alternativnim pristup kojim se poduzimaju druge troškovno učinkovite mjere u prihvatljivim zgradama u vlasništvu i uporabi središnje vlasti koje su barem jednake uštedama prilikom standardnog pristupa. Kod alternativnih pristupa svaka zemlja članica definira razne mjere energetske učinkovitosti za dostizanje zahtijevanih ušteda. Kao jedna od ključnih stavki za uspješnost programa obnove su načini financiranja, odnosno financijski instrumenti. Sumarno, na razini cijele EU može se primijetiti:</w:t>
      </w:r>
    </w:p>
    <w:p w14:paraId="55109A2D" w14:textId="77777777" w:rsidR="007D21A2" w:rsidRDefault="007D21A2" w:rsidP="00853D9C">
      <w:pPr>
        <w:pStyle w:val="Odlomakpopisa"/>
        <w:numPr>
          <w:ilvl w:val="0"/>
          <w:numId w:val="28"/>
        </w:numPr>
      </w:pPr>
      <w:r>
        <w:t>Gotovo sve članice imaju programe kojima se potiče obnova zgrada, klasičnim ili inovativnim modelima financiranja, odnosno vanjskim financiranjem</w:t>
      </w:r>
      <w:r w:rsidR="00F13FAD">
        <w:t>;</w:t>
      </w:r>
    </w:p>
    <w:p w14:paraId="78F79BB7" w14:textId="77777777" w:rsidR="007D21A2" w:rsidRDefault="007D21A2" w:rsidP="00853D9C">
      <w:pPr>
        <w:pStyle w:val="Odlomakpopisa"/>
        <w:numPr>
          <w:ilvl w:val="0"/>
          <w:numId w:val="28"/>
        </w:numPr>
      </w:pPr>
      <w:r>
        <w:t>Većina financijskih instrumenata usmjerena je prema postojećim zgradama</w:t>
      </w:r>
      <w:r w:rsidR="00F13FAD">
        <w:t>;</w:t>
      </w:r>
    </w:p>
    <w:p w14:paraId="4E1DC6D9" w14:textId="77777777" w:rsidR="007D21A2" w:rsidRDefault="007D21A2" w:rsidP="00853D9C">
      <w:pPr>
        <w:pStyle w:val="Odlomakpopisa"/>
        <w:numPr>
          <w:ilvl w:val="0"/>
          <w:numId w:val="28"/>
        </w:numPr>
      </w:pPr>
      <w:r>
        <w:t>Najčešće korišteni načini financiranja su subvencije, odnosno bespovratno sufinanciranje</w:t>
      </w:r>
      <w:r w:rsidR="003F2A74">
        <w:t xml:space="preserve">, a u </w:t>
      </w:r>
      <w:r>
        <w:t xml:space="preserve"> manjoj </w:t>
      </w:r>
      <w:r w:rsidR="003F2A74">
        <w:t xml:space="preserve">se </w:t>
      </w:r>
      <w:r>
        <w:t>mjeri koriste zajmovi ili fiskalni instrumenti</w:t>
      </w:r>
      <w:r w:rsidR="003F2A74">
        <w:t>;</w:t>
      </w:r>
    </w:p>
    <w:p w14:paraId="676246F9" w14:textId="77777777" w:rsidR="007D21A2" w:rsidRDefault="007D21A2" w:rsidP="00853D9C">
      <w:pPr>
        <w:pStyle w:val="Odlomakpopisa"/>
        <w:numPr>
          <w:ilvl w:val="0"/>
          <w:numId w:val="28"/>
        </w:numPr>
      </w:pPr>
      <w:r>
        <w:t>Ne postoji sistematizirani način praćenja, korištenja standardiziranih pokazatelja te izvještaji o završnim postignutim ciljevima pojedinih programa</w:t>
      </w:r>
      <w:r w:rsidR="003F2A74">
        <w:t>;</w:t>
      </w:r>
    </w:p>
    <w:p w14:paraId="4049BDFC" w14:textId="77777777" w:rsidR="007D21A2" w:rsidRDefault="003F2A74" w:rsidP="00853D9C">
      <w:pPr>
        <w:pStyle w:val="Odlomakpopisa"/>
        <w:numPr>
          <w:ilvl w:val="0"/>
          <w:numId w:val="28"/>
        </w:numPr>
      </w:pPr>
      <w:r>
        <w:t>M</w:t>
      </w:r>
      <w:r w:rsidR="007D21A2">
        <w:t>anji dio financijskih instrumenata okrenut je cjelovitoj obnovi zgrada</w:t>
      </w:r>
      <w:r>
        <w:t>;</w:t>
      </w:r>
    </w:p>
    <w:p w14:paraId="680A4C3A" w14:textId="77777777" w:rsidR="007D21A2" w:rsidRDefault="003F2A74" w:rsidP="00853D9C">
      <w:pPr>
        <w:pStyle w:val="Odlomakpopisa"/>
        <w:numPr>
          <w:ilvl w:val="0"/>
          <w:numId w:val="28"/>
        </w:numPr>
      </w:pPr>
      <w:r>
        <w:t>A</w:t>
      </w:r>
      <w:r w:rsidR="007D21A2">
        <w:t>ktivnije uključenje privatnog financiranja nije riješeno u mnogim članicama</w:t>
      </w:r>
      <w:r>
        <w:t>.</w:t>
      </w:r>
    </w:p>
    <w:p w14:paraId="6E1B4B8C" w14:textId="77777777" w:rsidR="007D21A2" w:rsidRDefault="007D21A2" w:rsidP="007D21A2">
      <w:r>
        <w:t>Aktivnosti energetske obnove zgrada koje se provode u većini država članica EU-a su regionalne ili lokalne inicijative, odnosno projekti koji s ciljem održivog razvoja imaju mogućnost korištenja sufinanciranja iz razvojnih fondova. Dostupni podaci o provedenim programima energetske obnove vezani su uz korištenje operativnih programa EU (EFRR), razvojnih programa (Jessica i Elena) i djelomičnog udjela nacionalnog budžeta, subvencija ili financiranje samog korisnika zgrade. Brojniji su programi fokusirani na određenu grupu zgrada ili teritorijalnu jedinicu naspram cjelovitih nacionalnih programa. U nastavku se navode samo neki programi u svrhu prikaza različitosti pristupa rješavanju problematike poticanja obnove i gradnje fonda zgrada po nZEB principima održive gradnje:</w:t>
      </w:r>
    </w:p>
    <w:p w14:paraId="282E2B14" w14:textId="77777777" w:rsidR="007D21A2" w:rsidRDefault="007D21A2" w:rsidP="00853D9C">
      <w:pPr>
        <w:pStyle w:val="Odlomakpopisa"/>
        <w:numPr>
          <w:ilvl w:val="0"/>
          <w:numId w:val="27"/>
        </w:numPr>
      </w:pPr>
      <w:r>
        <w:t>Portugal - Program za energetsku učinkovitost u javnoj upravi (Eco.AP) je otvoren 2011. godine s ciljem povećanja energetske učinkovitosti za 30% do 2020. godine u javnim uslugama i tijelima javne uprave (sve institucije u nadležnosti središnje vlasti). Fond za energetsku učinkovitost je financirao aktivnosti programa, ali detaljniji pregled nije dostupan</w:t>
      </w:r>
      <w:r w:rsidR="002E2BD6">
        <w:t>;</w:t>
      </w:r>
    </w:p>
    <w:p w14:paraId="0E37636E" w14:textId="77777777" w:rsidR="007D21A2" w:rsidRDefault="007D21A2" w:rsidP="00853D9C">
      <w:pPr>
        <w:pStyle w:val="Odlomakpopisa"/>
        <w:numPr>
          <w:ilvl w:val="0"/>
          <w:numId w:val="27"/>
        </w:numPr>
      </w:pPr>
      <w:r>
        <w:t>Grad Berlin - Energetska agencija Grada Berlina upravlja projektom (Berlin Energy Saving Partnership) u kojem su partneri Grad Berlin i nekoliko ESCO tvrtki. Usluga se nabavlja putem javnog natječaja. Financiranje je osigurano kroz ESCO tvrtke koje garantiraju uštedu. Razdoblje povrata za mjere je 8 do 12 godina, 80% ostvarene uštede je naknada ESCO tvrtci, ostalih 20% je direktna dobit Grada Berlina. Kroz trajanje ugovora o energetskoj uštedi ESCO tvrtka održava tehničke sustave, a Grad Berlin samu zgradu</w:t>
      </w:r>
      <w:r w:rsidR="002E2BD6">
        <w:t>;</w:t>
      </w:r>
    </w:p>
    <w:p w14:paraId="7DEE192C" w14:textId="77777777" w:rsidR="007D21A2" w:rsidRDefault="007D21A2" w:rsidP="00853D9C">
      <w:pPr>
        <w:pStyle w:val="Odlomakpopisa"/>
        <w:numPr>
          <w:ilvl w:val="0"/>
          <w:numId w:val="27"/>
        </w:numPr>
      </w:pPr>
      <w:r>
        <w:t>Provincija Milano - centralno koordinirana i skupna priprema projekta za energetsku obnovu 30-40 zgrada škola u više općina. Pripremljeni su standardizirani ugovori o energetskom učinku, a projekti su provedeni kao ESCO usluga uz garanciju uštede od 20% i naplatu kroz ostvarenu uštedu u troškovima energije. Projekt se provodio preko lokalnih banaka, a financiran iz zajma EIB-a od 65 milijuna eura (instrument EIB-ELENA)</w:t>
      </w:r>
      <w:r w:rsidR="002E2BD6">
        <w:t>;</w:t>
      </w:r>
    </w:p>
    <w:p w14:paraId="32489F40" w14:textId="77777777" w:rsidR="007D21A2" w:rsidRDefault="007D21A2" w:rsidP="00853D9C">
      <w:pPr>
        <w:pStyle w:val="Odlomakpopisa"/>
        <w:numPr>
          <w:ilvl w:val="0"/>
          <w:numId w:val="27"/>
        </w:numPr>
      </w:pPr>
      <w:r>
        <w:t>Grad Prag - energetska obnova 15 škola kroz sudjelovanje 3 dionika: prema ugovoru o energetskom učinku provodi se modernizacija/zamjena tehničkih sustava, a vanjska ovojnica se financira iz subvencije Operativnog programa EU Kohezija 2007-2013 i sredstava vlasnika zgrade (oko 28%)</w:t>
      </w:r>
      <w:r w:rsidR="002E2BD6">
        <w:t>;</w:t>
      </w:r>
    </w:p>
    <w:p w14:paraId="2712343E" w14:textId="77777777" w:rsidR="007D21A2" w:rsidRDefault="007D21A2" w:rsidP="00853D9C">
      <w:pPr>
        <w:pStyle w:val="Odlomakpopisa"/>
        <w:numPr>
          <w:ilvl w:val="0"/>
          <w:numId w:val="27"/>
        </w:numPr>
      </w:pPr>
      <w:r>
        <w:t>Poljska - TM program (Thermo-Modemization) nudi subvenciju od 20% za komercijalne kredite. Subvencije su osigurane iz državnog budžeta, a njima upravlja državna gospodarska banka (BGK). Program je namijenjen za sve sektore, ali 90% realiziranih projekata su iz stambenog sektora. Komercijalni krediti su plasirani kroz 16 banaka kod kojih klijent dostavlja energetski pregled koji prikazuje isplativost projekta te jedinstveni zahtjev za dodjelu kredit i subvencije</w:t>
      </w:r>
      <w:r w:rsidR="002E2BD6">
        <w:t>;</w:t>
      </w:r>
    </w:p>
    <w:p w14:paraId="006AE7C6" w14:textId="77777777" w:rsidR="007D21A2" w:rsidRDefault="007D21A2" w:rsidP="00853D9C">
      <w:pPr>
        <w:pStyle w:val="Odlomakpopisa"/>
        <w:numPr>
          <w:ilvl w:val="0"/>
          <w:numId w:val="27"/>
        </w:numPr>
      </w:pPr>
      <w:r>
        <w:t>Graz, Austrija - integralno energetsko ugovaranje obuhvatilo je primjenu 3 mehanizma ESCO usluge: ugovor o uštedi energije za zamjenu bojlera s kogeneracijskim postrojenjem; ugovor o energetskom učinku za opremu i sustav mehaničke ventilacije s povratom topline; ugovor o energetskoj uštedi temeljem obnovljivih izvora energije za Sunčani toplinski sustav. Kroz ESCO usluge je osigurano 75% sufinanciranja. Model je primijenjen na zgradi javne namjene pod zaštitom graditeljske baštine. Ostvarene su uštede isporučene energije od 15% i uštede u emisijama CO</w:t>
      </w:r>
      <w:r w:rsidRPr="007D21A2">
        <w:rPr>
          <w:vertAlign w:val="subscript"/>
        </w:rPr>
        <w:t>2</w:t>
      </w:r>
      <w:r>
        <w:t xml:space="preserve"> od 35%.</w:t>
      </w:r>
    </w:p>
    <w:p w14:paraId="204A41B7" w14:textId="00571125" w:rsidR="007D21A2" w:rsidRDefault="007D21A2" w:rsidP="007D21A2">
      <w:r>
        <w:t xml:space="preserve">Većina država članica pokušava uključiti privatne izvore financiranja u energetsku obnovu javnih zgrada. Dosadašnja iskustva pokazuju </w:t>
      </w:r>
      <w:r w:rsidR="001A7704">
        <w:t>spori povrat investicije kod</w:t>
      </w:r>
      <w:r w:rsidR="0013324B">
        <w:t xml:space="preserve"> </w:t>
      </w:r>
      <w:r>
        <w:t>projekata integralne rekonstrukcije zgrada, pogotovo uključenjem investicija u vanjsku ovojnicu zgrade, što obeshrabruje potencijalne privatne investitore. U vrlo rijetkim slučajevima moguće je provesti integralnu obnovu zgrade korištenjem samo jednog izvora financiranja, i to pružatelja energetske usluge. Zbog mogućnosti proširenja tržišta pružateljima energetske usluge uvedeni su i dodatni načini financiranja poput sufinanciranja i subvencija s ciljem osiguravanja isplativosti projekata. ESCO model predstavlja jedan od instrumenata najčešće provođen na lokalnoj ili regionalnoj razini, iako se razmatra uvođenje kao dominantnih modela. Iz navedenog razloga, kao i već napomenute neisplativosti, primjeri programa integralne obnove su manjih obujma te manjeg broja. Iz primjera prakse u zemljama EU-a može se zaključiti sljedeće:</w:t>
      </w:r>
    </w:p>
    <w:p w14:paraId="5BC7D874" w14:textId="77777777" w:rsidR="007D21A2" w:rsidRDefault="00FF5328" w:rsidP="00853D9C">
      <w:pPr>
        <w:pStyle w:val="Odlomakpopisa"/>
        <w:numPr>
          <w:ilvl w:val="0"/>
          <w:numId w:val="26"/>
        </w:numPr>
      </w:pPr>
      <w:r>
        <w:t>K</w:t>
      </w:r>
      <w:r w:rsidR="007D21A2">
        <w:t>od djelomične rekonstrukcije zgrada koristi se ESCO model. Navedeno je ostavljeno vlasnicima, regionalnim ili lokalnim jedinicama samouprave na razradu ili odabir. Kod kvalitetne razrade ugovora i prebacivanjem nužnih rizika na ponuditelje usluge navedeni model se ne smatra zaduženjem. U velikoj većini radi se o pojedinim projektima provođenim u velikom dijelu zemalja članica (Njemačka, Poljska, Češka, Slovenija, Slovačka itd.). Iskustva ESCO modela na razvijenim tržištima poput Italije pokazuju značajnu penetraciju energetske usluge u javnim zgradama u djelomičnim obnovama (termotehnički sustavi, zamjena energenata);</w:t>
      </w:r>
    </w:p>
    <w:p w14:paraId="1CC7D0B8" w14:textId="77777777" w:rsidR="007D21A2" w:rsidRPr="00992029" w:rsidRDefault="00C30826" w:rsidP="00853D9C">
      <w:pPr>
        <w:pStyle w:val="Odlomakpopisa"/>
        <w:numPr>
          <w:ilvl w:val="0"/>
          <w:numId w:val="26"/>
        </w:numPr>
      </w:pPr>
      <w:r w:rsidRPr="00992029">
        <w:t>K</w:t>
      </w:r>
      <w:r w:rsidR="007D21A2" w:rsidRPr="00992029">
        <w:t>od cjelovite rekonstrukcije stambenih zgrada relativno uspješno se implementiraju izvori financiranja bez subvencija, poput ESCO modela, klasičnog zaduženja ili revolving fondova. Pokazuje se da kod stambenih zgrada, prije svega zbog visoke energetske potrošnje, postoji tržišna isplativost kod integralnih obnova čime se uključuje privatni kapital. Modeli su uočeni u zemljama gdje je izuzetno visoka potrošnja energije za grijanje, pogotovo zbog klimatskih specifičnosti (npr. Latvija)</w:t>
      </w:r>
      <w:r w:rsidRPr="00992029">
        <w:t>;</w:t>
      </w:r>
    </w:p>
    <w:p w14:paraId="389ED44C" w14:textId="77777777" w:rsidR="007D21A2" w:rsidRPr="00992029" w:rsidRDefault="00C30826" w:rsidP="00853D9C">
      <w:pPr>
        <w:pStyle w:val="Odlomakpopisa"/>
        <w:numPr>
          <w:ilvl w:val="0"/>
          <w:numId w:val="26"/>
        </w:numPr>
        <w:rPr>
          <w:b/>
        </w:rPr>
      </w:pPr>
      <w:r w:rsidRPr="00992029">
        <w:t>K</w:t>
      </w:r>
      <w:r w:rsidR="007D21A2" w:rsidRPr="00992029">
        <w:t>od cjelovite obnove javnih nestambenih zgrada u rijetkim primjerima je financiranje zatvoreno ESCO modelom bez sufinanciranja. Prije svega to ovisi o cijenama energenata, korištenim energentima, načinu korištenja zgrade i postojećoj tehnologiji (uključivo s vanjskom ovojnicom). Primjeri su pojedine zgrade bez mogućnosti repliciranja na veći uzorak. Kako bi se model mogao proširiti, uvedene su subvencije što osigurava isplativost privatnim investitorima</w:t>
      </w:r>
      <w:bookmarkStart w:id="126" w:name="h.kgcv8k"/>
      <w:bookmarkStart w:id="127" w:name="h.34g0dwd"/>
      <w:bookmarkStart w:id="128" w:name="h.1jlao46"/>
      <w:bookmarkEnd w:id="126"/>
      <w:bookmarkEnd w:id="127"/>
      <w:bookmarkEnd w:id="128"/>
      <w:r w:rsidR="00CF225C" w:rsidRPr="00992029">
        <w:t>.</w:t>
      </w:r>
      <w:r w:rsidR="006F31D2" w:rsidRPr="00992029">
        <w:t xml:space="preserve"> Proble</w:t>
      </w:r>
      <w:r w:rsidR="007907E4" w:rsidRPr="00992029">
        <w:t>m kod ESCO modela predstavljaju i investicije provedene u in</w:t>
      </w:r>
      <w:r w:rsidR="00562818" w:rsidRPr="00992029">
        <w:t>i</w:t>
      </w:r>
      <w:r w:rsidR="007907E4" w:rsidRPr="00992029">
        <w:t xml:space="preserve">cijalnim fazama ulaganja u povećanje energetske učinkovitosti </w:t>
      </w:r>
      <w:r w:rsidR="00631BAE" w:rsidRPr="00992029">
        <w:t xml:space="preserve">koje su bile fokusirane na lako dostupne rezultate s kratkim periodima povrata (low hanging fruit), </w:t>
      </w:r>
      <w:r w:rsidR="00831D36" w:rsidRPr="00992029">
        <w:t>npr. zamjena energenata i sustava grijanja, gdje postojeća investicija i interesi ESCO partnera onemogućavaju zgradu za investiciju u integralnu obnovu (npr. Italija)</w:t>
      </w:r>
    </w:p>
    <w:p w14:paraId="40433CF4" w14:textId="77777777" w:rsidR="007D21A2" w:rsidRDefault="007D21A2" w:rsidP="00B05869">
      <w:r>
        <w:t>Ušteda energije za grijanje i hlađenje u stambenom fondu Republike Hrvatske je od velike važnosti iz sljedećih razloga:</w:t>
      </w:r>
    </w:p>
    <w:p w14:paraId="6E863235" w14:textId="77777777" w:rsidR="007D21A2" w:rsidRDefault="007D21A2" w:rsidP="00853D9C">
      <w:pPr>
        <w:pStyle w:val="Odlomakpopisa"/>
        <w:numPr>
          <w:ilvl w:val="0"/>
          <w:numId w:val="29"/>
        </w:numPr>
      </w:pPr>
      <w:r>
        <w:t>smanjenje ispuštanja ugljičnog dioksida (CO</w:t>
      </w:r>
      <w:r w:rsidRPr="00B05869">
        <w:rPr>
          <w:vertAlign w:val="subscript"/>
        </w:rPr>
        <w:t>2</w:t>
      </w:r>
      <w:r>
        <w:t>) u atmosferu</w:t>
      </w:r>
      <w:r w:rsidR="00CF225C">
        <w:t>;</w:t>
      </w:r>
    </w:p>
    <w:p w14:paraId="2D4105BA" w14:textId="77777777" w:rsidR="007D21A2" w:rsidRDefault="007D21A2" w:rsidP="00853D9C">
      <w:pPr>
        <w:pStyle w:val="Odlomakpopisa"/>
        <w:numPr>
          <w:ilvl w:val="0"/>
          <w:numId w:val="29"/>
        </w:numPr>
      </w:pPr>
      <w:r>
        <w:t>sigurnost opskrbe - smanjenje ovisnosti zemlje o uvoznim energentima</w:t>
      </w:r>
      <w:r w:rsidR="00CF225C">
        <w:t>;</w:t>
      </w:r>
    </w:p>
    <w:p w14:paraId="32858EC2" w14:textId="77777777" w:rsidR="00B05869" w:rsidRDefault="007D21A2" w:rsidP="00853D9C">
      <w:pPr>
        <w:pStyle w:val="Odlomakpopisa"/>
        <w:numPr>
          <w:ilvl w:val="0"/>
          <w:numId w:val="29"/>
        </w:numPr>
      </w:pPr>
      <w:r>
        <w:t>ušteda novčanih sredstava za nabavku energenata na strani dobavljača (država, tvrtke)</w:t>
      </w:r>
      <w:r w:rsidR="00CF225C">
        <w:t xml:space="preserve"> i</w:t>
      </w:r>
    </w:p>
    <w:p w14:paraId="48C26851" w14:textId="77777777" w:rsidR="007D21A2" w:rsidRDefault="007D21A2" w:rsidP="00853D9C">
      <w:pPr>
        <w:pStyle w:val="Odlomakpopisa"/>
        <w:numPr>
          <w:ilvl w:val="0"/>
          <w:numId w:val="29"/>
        </w:numPr>
      </w:pPr>
      <w:r>
        <w:t>sprječavanje energetskog siromaštva - smanjenje troškova za energiju na strani korisnika/potrošača (kućanstva, stanovništvo)</w:t>
      </w:r>
      <w:r w:rsidR="00CF225C">
        <w:t>.</w:t>
      </w:r>
    </w:p>
    <w:p w14:paraId="6528BBF9" w14:textId="768F45CF" w:rsidR="007D21A2" w:rsidRDefault="007D21A2" w:rsidP="007D21A2">
      <w:r>
        <w:t xml:space="preserve">Ovaj je značaj prepoznat i u EU, u kojoj već postoje značajna iskustva s energetskom obnovom stambenih zgrada. </w:t>
      </w:r>
      <w:r>
        <w:fldChar w:fldCharType="begin"/>
      </w:r>
      <w:r>
        <w:instrText xml:space="preserve"> REF _Ref484523021 \h  \* MERGEFORMAT </w:instrText>
      </w:r>
      <w:r>
        <w:fldChar w:fldCharType="separate"/>
      </w:r>
      <w:r w:rsidR="00CE61F3">
        <w:t xml:space="preserve">Tablica </w:t>
      </w:r>
      <w:r w:rsidR="00CE61F3">
        <w:rPr>
          <w:noProof/>
        </w:rPr>
        <w:t>4.4</w:t>
      </w:r>
      <w:r w:rsidR="00CE61F3">
        <w:t xml:space="preserve"> </w:t>
      </w:r>
      <w:r>
        <w:fldChar w:fldCharType="end"/>
      </w:r>
      <w:r>
        <w:t xml:space="preserve"> prikazuje mjere energetske obnove višestambenih zgrada u regiji EU-a koja obuhvaća zemlje Češku, Mađarsku, Slovačku i Sloveniju. Ova regija je klimatski približno najsličnija Hrvatskoj, premda i sa značajnim klimatskim razlikama u odnosu na Hrvatsku (jadranska regija). U navedenim zemljama, u višestambenim zgradama postoji oko 3 milijuna stanova, odnosno oko 27% stanova u regiji, što teoretski predstavlja oko 50.000 zgrada. Utvrđena je mogućnost uštede toplinske energije građevinskim mjerama od oko 64%, odnosno oko 75%, ako je uključen i učinak mjere ugradnje termostatskih ventila na grijaćim elementima. Jednostavno vrijeme povrata uloženih sredstava iznosi 8,6 godina. Ukupni potencijal za uštedu energije u višestambenim zgradama iznosi oko 39%, odnosno 2,5% potražnje za neposrednom energijom u regiji, ili 4 Mt CO</w:t>
      </w:r>
      <w:r>
        <w:rPr>
          <w:vertAlign w:val="subscript"/>
        </w:rPr>
        <w:t>2</w:t>
      </w:r>
      <w:r>
        <w:t>. Posebnost navedene regije EU-a je najveća mogućnost uštede energije u odnosu na druge regije. Predmetne zgrade su pretežno građene od predgotovljenih velikoplošnih betonskih zidova, s ravnim betonskim krovovima i podovima te prozorima s dvostrukim ostakljenjem u drvenim okvirima. Zgrade su uglavnom priključene na mrežu daljinskog grijanja, s mogućnošću ugradnje termostatskih ventila i balansiranja.</w:t>
      </w:r>
    </w:p>
    <w:p w14:paraId="66C02369" w14:textId="770FF94A" w:rsidR="007D21A2" w:rsidRDefault="009861AA" w:rsidP="007D21A2">
      <w:pPr>
        <w:pStyle w:val="Opisslike"/>
        <w:rPr>
          <w:rFonts w:ascii="Times New Roman" w:hAnsi="Times New Roman" w:cs="Times New Roman"/>
          <w:b/>
          <w:sz w:val="24"/>
          <w:szCs w:val="24"/>
        </w:rPr>
      </w:pPr>
      <w:bookmarkStart w:id="129" w:name="_Ref484523021"/>
      <w:bookmarkStart w:id="130" w:name="_Toc2681324"/>
      <w:bookmarkStart w:id="131" w:name="_Toc40089040"/>
      <w:r>
        <w:t xml:space="preserve">Tablica </w:t>
      </w:r>
      <w:fldSimple w:instr=" STYLEREF 1 \s ">
        <w:r w:rsidR="00CE61F3">
          <w:rPr>
            <w:noProof/>
          </w:rPr>
          <w:t>4</w:t>
        </w:r>
      </w:fldSimple>
      <w:r w:rsidR="0046545B">
        <w:t>.</w:t>
      </w:r>
      <w:fldSimple w:instr=" SEQ Tablica \* ARABIC \s 1 ">
        <w:r w:rsidR="00CE61F3">
          <w:rPr>
            <w:noProof/>
          </w:rPr>
          <w:t>4</w:t>
        </w:r>
      </w:fldSimple>
      <w:r>
        <w:t xml:space="preserve"> </w:t>
      </w:r>
      <w:bookmarkEnd w:id="129"/>
      <w:r w:rsidR="007D21A2" w:rsidRPr="00F61FE3">
        <w:t>Energetska obnova višestambenih zgrada, Međunarodne energetske agencije – IEA/AIE</w:t>
      </w:r>
      <w:bookmarkEnd w:id="130"/>
      <w:r w:rsidR="00F61FE3">
        <w:t xml:space="preserve"> - </w:t>
      </w:r>
      <w:r w:rsidR="007D21A2" w:rsidRPr="00F61FE3">
        <w:t>Tablica br. 10, iz publikacije "High rise refurbishment"</w:t>
      </w:r>
      <w:bookmarkEnd w:id="131"/>
    </w:p>
    <w:p w14:paraId="741B58D2" w14:textId="77777777" w:rsidR="007D21A2" w:rsidRDefault="002508DB" w:rsidP="007D21A2">
      <w:pPr>
        <w:jc w:val="left"/>
        <w:rPr>
          <w:rFonts w:ascii="Times New Roman" w:hAnsi="Times New Roman" w:cs="Times New Roman"/>
          <w:sz w:val="24"/>
        </w:rPr>
      </w:pPr>
      <w:r w:rsidRPr="002508DB">
        <w:rPr>
          <w:rFonts w:ascii="Times New Roman" w:hAnsi="Times New Roman" w:cs="Times New Roman"/>
          <w:noProof/>
          <w:sz w:val="24"/>
          <w:lang w:eastAsia="hr-HR"/>
        </w:rPr>
        <w:drawing>
          <wp:inline distT="0" distB="0" distL="0" distR="0" wp14:anchorId="6465712D" wp14:editId="22B3BA65">
            <wp:extent cx="5848350" cy="2105025"/>
            <wp:effectExtent l="19050" t="19050" r="0" b="9525"/>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2105025"/>
                    </a:xfrm>
                    <a:prstGeom prst="rect">
                      <a:avLst/>
                    </a:prstGeom>
                    <a:noFill/>
                    <a:ln w="9525" cmpd="sng">
                      <a:solidFill>
                        <a:srgbClr val="000000"/>
                      </a:solidFill>
                      <a:miter lim="800000"/>
                      <a:headEnd/>
                      <a:tailEnd/>
                    </a:ln>
                    <a:effectLst/>
                  </pic:spPr>
                </pic:pic>
              </a:graphicData>
            </a:graphic>
          </wp:inline>
        </w:drawing>
      </w:r>
    </w:p>
    <w:p w14:paraId="582B5CC9" w14:textId="77777777" w:rsidR="007D21A2" w:rsidRDefault="007D21A2" w:rsidP="007D21A2">
      <w:r>
        <w:t xml:space="preserve">Izvor: Program obnove višestambenih zgrada </w:t>
      </w:r>
    </w:p>
    <w:p w14:paraId="12936576" w14:textId="77777777" w:rsidR="007D21A2" w:rsidRDefault="007D21A2" w:rsidP="007D21A2">
      <w:r>
        <w:t>Na razini EU-a, u kojoj stambene zgrade predstavljaju 75% ukupnog fonda zgrada, razrađeno je nekoliko scenarija strukture i intenziteta provedbe energetske obnove ukupnog fonda stambenih i ostalih zgrada. U slučaju cjelovite</w:t>
      </w:r>
      <w:r w:rsidR="00421A8B">
        <w:t xml:space="preserve"> ili dubinske</w:t>
      </w:r>
      <w:r>
        <w:t xml:space="preserve"> energetske obnove</w:t>
      </w:r>
      <w:r w:rsidR="007931BA">
        <w:rPr>
          <w:rStyle w:val="Referencafusnote"/>
        </w:rPr>
        <w:footnoteReference w:id="22"/>
      </w:r>
      <w:r>
        <w:t>, godišnja ušteda neposredne energije 2020. godine je procijenjena na 527 TWh, odnosno na 13% u odnosu na neposrednu potrošnju energije 2011. godine. Novčana ulaganja u energetsku obnovu zgrada bi prema ovom planu iznosila 477 milijardi €, a novčana ušteda 487 milijardi €. Godišnja smanjenje ispuštanja CO</w:t>
      </w:r>
      <w:r>
        <w:rPr>
          <w:vertAlign w:val="subscript"/>
        </w:rPr>
        <w:t>2</w:t>
      </w:r>
      <w:r>
        <w:t xml:space="preserve"> bi 2020. godine iznosilo 161 Mt. Provedbom programa energetske obnove zgrada bi po scenariju cjelovite obnove, godišnje na razini EU-a bilo stvoreno 1,2 milijuna radnih mjesta. Pokretanjem Programa obnove višestambenih zgrada i obiteljskih kuća pojavit će se dvije grupe građevina – obnovljene i neobnovljene. Pri</w:t>
      </w:r>
      <w:r w:rsidR="00BA3E81">
        <w:t xml:space="preserve"> </w:t>
      </w:r>
      <w:r>
        <w:t>tom</w:t>
      </w:r>
      <w:r w:rsidR="00BA3E81">
        <w:t>e</w:t>
      </w:r>
      <w:r>
        <w:t xml:space="preserve"> će ove prve imati veću tržišnu cijenu, što dakle znači porast cijena nekretnina. No, iako Program obnove znači inicijalni porast cijena nekretnina, u skladu s mikroekonomskom teorijom, kako ponuda obnovljenih nekretnina raste, njihove će se cijena smanjivati, no u svakom će slučaju uvijek biti veća od cijene neobnovljene nekretnine. Iskustva iz EU zemalja, primjerice iz Irske, pokazuju da je razlika u cijeni nekretnine energetskog razreda A/B i F/G prosječno 16%</w:t>
      </w:r>
      <w:r w:rsidRPr="00B955E7">
        <w:rPr>
          <w:rStyle w:val="Referencafusnote"/>
          <w:rFonts w:cs="Tahoma"/>
          <w:szCs w:val="20"/>
        </w:rPr>
        <w:footnoteReference w:id="23"/>
      </w:r>
      <w:r>
        <w:t>. Ovo je dodatni učinak Programa obnove, jer predstavlja poticaj vlasnicima zgrada da investiraju u obnovu</w:t>
      </w:r>
      <w:r w:rsidR="00CA17DB">
        <w:t xml:space="preserve">, temeljem koje </w:t>
      </w:r>
      <w:r>
        <w:t>će prodajom/iznajmljivanjem moći postići bolju cijenu.</w:t>
      </w:r>
      <w:r w:rsidR="00380CA3">
        <w:t xml:space="preserve"> Dio benefita predstavlja smanjena potrošnja energije, </w:t>
      </w:r>
      <w:r w:rsidR="006C2485">
        <w:t xml:space="preserve">a drugi dio povećanja cijene na tržištu je </w:t>
      </w:r>
      <w:r w:rsidR="00E448AC">
        <w:t xml:space="preserve">zbog neredovitog i zanemarenog redovitog održavanja zgrada, zbog čega većina starijih zgrada na tržištu </w:t>
      </w:r>
      <w:r w:rsidR="004D4747">
        <w:t xml:space="preserve">tek kroz energetsku obnovu dosegnu prihvatljivu razinu održavanja. </w:t>
      </w:r>
    </w:p>
    <w:p w14:paraId="65909584" w14:textId="77777777" w:rsidR="00482834" w:rsidRDefault="00B4452A" w:rsidP="007649C2">
      <w:pPr>
        <w:pStyle w:val="Naslov20"/>
      </w:pPr>
      <w:bookmarkStart w:id="132" w:name="_Toc34052884"/>
      <w:bookmarkStart w:id="133" w:name="_Toc46163828"/>
      <w:r w:rsidRPr="00B4452A">
        <w:t>Analiza postojećih prepreka za integralnu energetsku obnovu zgrada</w:t>
      </w:r>
      <w:bookmarkEnd w:id="132"/>
      <w:bookmarkEnd w:id="133"/>
    </w:p>
    <w:p w14:paraId="76C4E542" w14:textId="583BBF9A" w:rsidR="00482834" w:rsidRDefault="00482834" w:rsidP="00B01B7F">
      <w:pPr>
        <w:rPr>
          <w:lang w:eastAsia="hr-HR"/>
        </w:rPr>
      </w:pPr>
      <w:r>
        <w:t>Postojeće prepreke za integralnu energetsku obnovu zgrada su brojne, a općenito se mogu podijeliti u 4 glavne kategorije prikazane na sljedećoj slici (</w:t>
      </w:r>
      <w:r>
        <w:fldChar w:fldCharType="begin"/>
      </w:r>
      <w:r>
        <w:instrText xml:space="preserve"> REF _Ref483405638 \h  \* MERGEFORMAT </w:instrText>
      </w:r>
      <w:r>
        <w:fldChar w:fldCharType="separate"/>
      </w:r>
      <w:r w:rsidR="00CE61F3">
        <w:t xml:space="preserve">Slika </w:t>
      </w:r>
      <w:r w:rsidR="00CE61F3">
        <w:rPr>
          <w:noProof/>
        </w:rPr>
        <w:t>4.1</w:t>
      </w:r>
      <w:r w:rsidR="00CE61F3">
        <w:t xml:space="preserve"> </w:t>
      </w:r>
      <w:r>
        <w:fldChar w:fldCharType="end"/>
      </w:r>
      <w:r>
        <w:t>).</w:t>
      </w:r>
    </w:p>
    <w:p w14:paraId="7A9BFBED" w14:textId="77777777" w:rsidR="00482834" w:rsidRDefault="002508DB" w:rsidP="007E697B">
      <w:pPr>
        <w:jc w:val="center"/>
        <w:rPr>
          <w:rFonts w:ascii="Times New Roman" w:hAnsi="Times New Roman" w:cs="Times New Roman"/>
          <w:sz w:val="24"/>
        </w:rPr>
      </w:pPr>
      <w:r w:rsidRPr="00D877C5">
        <w:rPr>
          <w:rFonts w:ascii="Times New Roman" w:hAnsi="Times New Roman" w:cs="Times New Roman"/>
          <w:noProof/>
          <w:sz w:val="24"/>
          <w:highlight w:val="yellow"/>
          <w:lang w:eastAsia="hr-HR"/>
        </w:rPr>
        <w:drawing>
          <wp:inline distT="0" distB="0" distL="0" distR="0" wp14:anchorId="64026F82" wp14:editId="4C7CBE9E">
            <wp:extent cx="3962400" cy="24003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2400" cy="2400300"/>
                    </a:xfrm>
                    <a:prstGeom prst="rect">
                      <a:avLst/>
                    </a:prstGeom>
                    <a:noFill/>
                    <a:ln>
                      <a:noFill/>
                    </a:ln>
                  </pic:spPr>
                </pic:pic>
              </a:graphicData>
            </a:graphic>
          </wp:inline>
        </w:drawing>
      </w:r>
    </w:p>
    <w:p w14:paraId="4D1CA31D" w14:textId="65AD987E" w:rsidR="00482834" w:rsidRDefault="00B01B7F" w:rsidP="00DE47AE">
      <w:pPr>
        <w:pStyle w:val="Opisslike"/>
        <w:jc w:val="center"/>
        <w:rPr>
          <w:rFonts w:ascii="Times New Roman" w:hAnsi="Times New Roman" w:cs="Times New Roman"/>
          <w:sz w:val="24"/>
          <w:szCs w:val="24"/>
        </w:rPr>
      </w:pPr>
      <w:bookmarkStart w:id="134" w:name="_Ref483405638"/>
      <w:bookmarkStart w:id="135" w:name="_Toc2681279"/>
      <w:bookmarkStart w:id="136" w:name="_Toc40089009"/>
      <w:r>
        <w:t xml:space="preserve">Slika </w:t>
      </w:r>
      <w:fldSimple w:instr=" STYLEREF 1 \s ">
        <w:r w:rsidR="00CE61F3">
          <w:rPr>
            <w:noProof/>
          </w:rPr>
          <w:t>4</w:t>
        </w:r>
      </w:fldSimple>
      <w:r w:rsidR="007245D7">
        <w:t>.</w:t>
      </w:r>
      <w:fldSimple w:instr=" SEQ Slika \* ARABIC \s 1 ">
        <w:r w:rsidR="00CE61F3">
          <w:rPr>
            <w:noProof/>
          </w:rPr>
          <w:t>1</w:t>
        </w:r>
      </w:fldSimple>
      <w:r>
        <w:t xml:space="preserve"> </w:t>
      </w:r>
      <w:bookmarkEnd w:id="134"/>
      <w:r w:rsidR="00482834" w:rsidRPr="00B01B7F">
        <w:t>Glavne kategorije postojećih prepreka za integralnu energetsku obnovu nacionalnog fonda zgrada Republike Hrvatske</w:t>
      </w:r>
      <w:r w:rsidR="00482834">
        <w:rPr>
          <w:vertAlign w:val="superscript"/>
        </w:rPr>
        <w:footnoteReference w:id="24"/>
      </w:r>
      <w:bookmarkEnd w:id="135"/>
      <w:bookmarkEnd w:id="136"/>
    </w:p>
    <w:p w14:paraId="4DC9B4D1" w14:textId="77777777" w:rsidR="0057396E" w:rsidRDefault="0057396E" w:rsidP="00B01B7F">
      <w:bookmarkStart w:id="137" w:name="h.43ky6rz"/>
      <w:bookmarkEnd w:id="137"/>
    </w:p>
    <w:p w14:paraId="4E2AA232" w14:textId="77777777" w:rsidR="00482834" w:rsidRDefault="00482834" w:rsidP="00B01B7F">
      <w:r>
        <w:t>Direktiva 2012/27/EU</w:t>
      </w:r>
      <w:r w:rsidR="0006591D">
        <w:t xml:space="preserve"> </w:t>
      </w:r>
      <w:r w:rsidR="00710118">
        <w:t>kao</w:t>
      </w:r>
      <w:r w:rsidR="0006591D">
        <w:t xml:space="preserve"> i</w:t>
      </w:r>
      <w:r w:rsidR="00710118">
        <w:t xml:space="preserve"> </w:t>
      </w:r>
      <w:r w:rsidR="00FD44B7">
        <w:t xml:space="preserve">Direktiva (EU) </w:t>
      </w:r>
      <w:r w:rsidR="0006591D">
        <w:t>2018/2002 o izmjeni Direktive 2012/27/EU</w:t>
      </w:r>
      <w:r>
        <w:t xml:space="preserve"> nalaže potporu razvoja tržišta energetskih usluga, razvoj novih financijskih mehanizama i poticaja te institucionalnih, financijskih i pravnih okvira za uklanjanje postojećih tržišnih prepreka i nedostataka koji sprječavaju učinkovitu krajnju potrošnju energije. Slijedom toga, u ovom poglavlju su identificirane pravne, financijske i organizacijske prepreke široj provedbi mjera povećanja energetske učinkovitosti</w:t>
      </w:r>
      <w:r w:rsidR="005C50A2">
        <w:t xml:space="preserve"> u zgradarstvu</w:t>
      </w:r>
      <w:r>
        <w:t xml:space="preserve">. </w:t>
      </w:r>
    </w:p>
    <w:p w14:paraId="549D440F" w14:textId="77777777" w:rsidR="00482834" w:rsidRDefault="00482834" w:rsidP="00B01B7F">
      <w:r>
        <w:t>Postojeća hrvatska legislativa je zadovoljavajuća u dijelu koji se odnosi na tehničke smjernice i zahtjeve za energetskom obnovom zgrada te ne predstavlja prepreku u tehničkom smislu, ali nedostaje regulativa koja bi obvezala na energetsku obnovu postojećih zgrada uz obavezno korištenje optimalnog obnovljivog izvora energije za grijanje i hlađenje gdje je to tehnički izvedivo i ekonomski isplativo. U ovom je trenutku regulirana jedino obveza provedbe energetskih pregleda i izrade i izlaganja energetskih certifikata</w:t>
      </w:r>
      <w:r w:rsidR="001D1FB9">
        <w:t xml:space="preserve">, koji sadržava moguće i prihvatljive mjere povećanja energetske učinkovitosti. </w:t>
      </w:r>
      <w:r w:rsidR="00821AE2">
        <w:t xml:space="preserve">Dodatno, nepostojanje prakse </w:t>
      </w:r>
      <w:r w:rsidR="00292327">
        <w:t xml:space="preserve">redovnog </w:t>
      </w:r>
      <w:r w:rsidR="00821AE2">
        <w:t xml:space="preserve">održavanja zgrada također predstavlja </w:t>
      </w:r>
      <w:r w:rsidR="00292327">
        <w:t xml:space="preserve">prepreku za njihovu energetskog obnovu. </w:t>
      </w:r>
    </w:p>
    <w:p w14:paraId="3048E2DE" w14:textId="77777777" w:rsidR="00482834" w:rsidRDefault="002356B5" w:rsidP="00615A98">
      <w:r>
        <w:t>Najznačajnije barijere energetskoj obnovi fonda zgrada u Republici Hrvatskoj su financijske prirode. Nai</w:t>
      </w:r>
      <w:r w:rsidR="00B13239">
        <w:t>me</w:t>
      </w:r>
      <w:r w:rsidR="00BD53C4">
        <w:t xml:space="preserve">, Hrvatska je jedna od najsiromašnijih članica EU, s </w:t>
      </w:r>
      <w:r w:rsidR="00F444A5">
        <w:t>kupovnom moći građana značajno ispod prosjeka EU. Dodatno, zaduženost jedinica lokalne samouprave je visoka. Ovo</w:t>
      </w:r>
      <w:r w:rsidR="00E90D23">
        <w:t xml:space="preserve"> onemogućava zatvaranje financijske konstrukcije za projekte </w:t>
      </w:r>
      <w:r w:rsidR="000A6F3B">
        <w:t>energetske</w:t>
      </w:r>
      <w:r w:rsidR="00E90D23">
        <w:t xml:space="preserve"> obnove zgrada kako u stambenim, tako i javnom </w:t>
      </w:r>
      <w:r w:rsidR="000A6F3B">
        <w:t>sektoru</w:t>
      </w:r>
      <w:r w:rsidR="00E90D23">
        <w:t>, čak i u</w:t>
      </w:r>
      <w:r w:rsidR="000A6F3B">
        <w:t xml:space="preserve"> </w:t>
      </w:r>
      <w:r w:rsidR="00E90D23">
        <w:t xml:space="preserve">slučaju postojanja </w:t>
      </w:r>
      <w:r w:rsidR="000A6F3B">
        <w:t>programa sufinanciranja bespovratnim sredstvima. Situaciju dodatno pogoršava</w:t>
      </w:r>
      <w:r w:rsidR="00A453A8">
        <w:t xml:space="preserve"> relativno niska cijena energije, veliki udio </w:t>
      </w:r>
      <w:r w:rsidR="004C187B">
        <w:t>jeftinog ogrjevnog drveta u zadovoljavanju toplinskih potreba za grijanjem posebno u stambenim sektoru, k</w:t>
      </w:r>
      <w:r w:rsidR="000B2F0C">
        <w:t xml:space="preserve">ao i </w:t>
      </w:r>
      <w:r w:rsidR="00E86CA9">
        <w:t>navike</w:t>
      </w:r>
      <w:r w:rsidR="00B7624E">
        <w:t xml:space="preserve"> vezane uz grijanje (</w:t>
      </w:r>
      <w:r w:rsidR="00446B8B">
        <w:t xml:space="preserve">u velikom dijelu </w:t>
      </w:r>
      <w:r w:rsidR="00AC2144">
        <w:t>Hrvats</w:t>
      </w:r>
      <w:r w:rsidR="008376CF">
        <w:t>ke, pogotovo primor</w:t>
      </w:r>
      <w:r w:rsidR="00CC3A35">
        <w:t xml:space="preserve">ske, grijanje prostora je samo parcijalno, a ne </w:t>
      </w:r>
      <w:r w:rsidR="00325771">
        <w:t>cjelovito u skladu s projektirani</w:t>
      </w:r>
      <w:r w:rsidR="00E8620E">
        <w:t xml:space="preserve">m </w:t>
      </w:r>
      <w:r w:rsidR="00615A98">
        <w:t>potrebama). S</w:t>
      </w:r>
      <w:r w:rsidR="004D0291">
        <w:t>v</w:t>
      </w:r>
      <w:r w:rsidR="00615A98">
        <w:t xml:space="preserve">e to dovodi do </w:t>
      </w:r>
      <w:r w:rsidR="00482834">
        <w:t>prilično dugo</w:t>
      </w:r>
      <w:r w:rsidR="00615A98">
        <w:t>g</w:t>
      </w:r>
      <w:r w:rsidR="00482834">
        <w:t xml:space="preserve"> </w:t>
      </w:r>
      <w:r w:rsidR="00615A98">
        <w:t xml:space="preserve">razdoblja </w:t>
      </w:r>
      <w:r w:rsidR="00482834">
        <w:t>povrata investicije ulaganja u obnovu</w:t>
      </w:r>
      <w:r w:rsidR="004D0291">
        <w:t xml:space="preserve">, što ovakve investicije bez programa poticanja čini neprivlačnima. </w:t>
      </w:r>
      <w:r w:rsidR="00650A74">
        <w:t>F</w:t>
      </w:r>
      <w:r w:rsidR="00482834">
        <w:t>inancijske barijere još više dobivaju na snazi</w:t>
      </w:r>
      <w:r w:rsidR="00650A74">
        <w:t xml:space="preserve"> uslijed izostanka kontinuiranih programa poticaja</w:t>
      </w:r>
      <w:r w:rsidR="00482834">
        <w:t>.</w:t>
      </w:r>
      <w:r w:rsidR="00650A74">
        <w:t xml:space="preserve"> Naime, </w:t>
      </w:r>
      <w:r w:rsidR="00CB6DF7">
        <w:t>poticanje energetske obnove u Hrvatskoj je snažno prisutno, ali se zbog ograniče</w:t>
      </w:r>
      <w:r w:rsidR="002D09C2">
        <w:t xml:space="preserve">ne </w:t>
      </w:r>
      <w:r w:rsidR="00D83D32">
        <w:t>raspoloživosti</w:t>
      </w:r>
      <w:r w:rsidR="002D09C2">
        <w:t xml:space="preserve"> sredstava</w:t>
      </w:r>
      <w:r w:rsidR="00DF0050">
        <w:t xml:space="preserve"> javni pozivi za sufinanciranje provode periodički, što dovodi do </w:t>
      </w:r>
      <w:r w:rsidR="00157397">
        <w:t xml:space="preserve">nestabilnosti na tržištu. </w:t>
      </w:r>
      <w:r w:rsidR="002D09C2">
        <w:t xml:space="preserve"> </w:t>
      </w:r>
      <w:r w:rsidR="00CB6DF7">
        <w:t xml:space="preserve"> </w:t>
      </w:r>
      <w:r w:rsidR="00482834">
        <w:t xml:space="preserve"> . </w:t>
      </w:r>
    </w:p>
    <w:p w14:paraId="77343C4E" w14:textId="77777777" w:rsidR="00482834" w:rsidRDefault="00482834" w:rsidP="00B01B7F">
      <w:r>
        <w:t>Sljedeća barijera o kojoj se vodi računa samo djelomično je informiranost, educiranost i sudjelovanje javnosti u donošenju važnih odluka o obnovi zgrada. Nedovoljna informiranost o pozitivnim učincima za svakog pojedinca i društvo u cjelini koje integralna obnova čitavog nacionalnog fonda zgrada sigurno donosi, rezultira nedovoljnom motiviranošću te često i neutemeljenim povećanjem rizika koji dodatno blokiraju potencijalne investitore. Nadalje, za razliku od zgrada javne namjene, gdje su vlasnički odnosi relativno jednostavni, vlasnički odnosi višestambenih zgrada su iznimno složeni</w:t>
      </w:r>
      <w:r w:rsidR="004234C2">
        <w:t>,</w:t>
      </w:r>
      <w:r>
        <w:t xml:space="preserve"> jer je za donošenje odluka o ulaganju u obnovu, u ovisnosti o visini ulaganja</w:t>
      </w:r>
      <w:r w:rsidR="004234C2">
        <w:t>,</w:t>
      </w:r>
      <w:r>
        <w:t xml:space="preserve"> nužna suglasnost natpolovične većine suvlasnika zgrade koja se računa po suvlasničkim dijelovima i po broju suvlasnika nekretnine.</w:t>
      </w:r>
      <w:r w:rsidR="00FF09BC">
        <w:t xml:space="preserve"> </w:t>
      </w:r>
      <w:r w:rsidR="008006C1">
        <w:t xml:space="preserve">Iako su značajni pomaci </w:t>
      </w:r>
      <w:r w:rsidR="00505549">
        <w:t xml:space="preserve">na podizanju svijesti javnosti o koristima energetske obnove ostvareni </w:t>
      </w:r>
      <w:r w:rsidR="00516528">
        <w:t>kroz</w:t>
      </w:r>
      <w:r w:rsidR="00505549">
        <w:t xml:space="preserve"> provedbu programa </w:t>
      </w:r>
      <w:r w:rsidR="000667A6">
        <w:t xml:space="preserve">poticanja, ipak je snažno prisutna barijera nedostatne motiviranosti za obnovu u slučaju nedostatka </w:t>
      </w:r>
      <w:r w:rsidR="00C65DC8">
        <w:t>poticaja u obliku bespovratnih sredstava. U tom smislu, uvođenje sustava obveza za opskrbljivače energijom moglo bi pozitivno utjecati na provedbu projekata energetske obnove zgrada</w:t>
      </w:r>
      <w:r w:rsidR="009918BD">
        <w:t xml:space="preserve">, jer će se energetske uštede moći prodavati </w:t>
      </w:r>
      <w:r w:rsidR="00310DFF">
        <w:t>strankama obveznicama</w:t>
      </w:r>
      <w:r w:rsidR="00FD5E63">
        <w:t xml:space="preserve">. </w:t>
      </w:r>
      <w:r w:rsidR="00C65DC8">
        <w:t xml:space="preserve"> </w:t>
      </w:r>
    </w:p>
    <w:p w14:paraId="29FA7E7D" w14:textId="77777777" w:rsidR="00482834" w:rsidRDefault="00482834" w:rsidP="00B01B7F">
      <w:r>
        <w:t xml:space="preserve">Preduvjet uspješnog pokretanja i provođenja integralne energetske obnove nacionalnog fonda zgrada je dobra razvijenost tržišta građevinskih i energetskih usluga te dovoljan broj iskusnih tvrtki specijaliziranih za provođenje integralne energetske obnove koja obuhvaća strojarske, energetske i građevinske elemente zgrade i zahtjeva interdisciplinarni pristup. Kriza hrvatskog građevinskog i energetskog sektora koja je rezultirala zatvaranjem ili odlaskom u stečaj velikog broja tvrtki dodatno </w:t>
      </w:r>
      <w:r w:rsidR="00AB166A">
        <w:t xml:space="preserve">je </w:t>
      </w:r>
      <w:r>
        <w:t xml:space="preserve">pojačala postojeću barijeru nedovoljnog kapaciteta, znanja, sposobnosti i vještina za uspješno provođenje složenog zadatka integralne obnove zgrada. </w:t>
      </w:r>
      <w:r w:rsidR="007D290D">
        <w:t xml:space="preserve">Odljev građevinskih radnika u ostale države članice EU, u kojima mogu </w:t>
      </w:r>
      <w:r w:rsidR="003C17D4">
        <w:t>ostvariti</w:t>
      </w:r>
      <w:r w:rsidR="007D290D">
        <w:t xml:space="preserve"> veće prihode, također značajno doprinosi ovom problemu</w:t>
      </w:r>
      <w:r w:rsidR="001111BE">
        <w:t>, pogotovo posljednjih godina u kojima je snažno prisutan nedostatak radne snage u građevinskom sektoru</w:t>
      </w:r>
      <w:r w:rsidR="007D290D">
        <w:t xml:space="preserve">. </w:t>
      </w:r>
    </w:p>
    <w:p w14:paraId="09D34885" w14:textId="77777777" w:rsidR="00482834" w:rsidRDefault="00482834" w:rsidP="00B01B7F">
      <w:r>
        <w:t xml:space="preserve">Važnu barijeru uspješnoj provedbi integralne obnove zgrada, čine i demografski i migracijski trendovi, kao i promjene u kulturi stanovanja i životnim navikama. </w:t>
      </w:r>
      <w:r w:rsidR="00D918E9">
        <w:t>Naime, u određenim dijelovima Republike Hrvatske, snažno je prisutan trend iseljavanja</w:t>
      </w:r>
      <w:r w:rsidR="00A8025F">
        <w:t xml:space="preserve">, zbog čega se povećava broj nenastanjenih zgrada, čija energetska obnova </w:t>
      </w:r>
      <w:r w:rsidR="00794412">
        <w:t xml:space="preserve">nije moguća. Dodatno, u Hrvatskoj je također snažno prisutna </w:t>
      </w:r>
      <w:r w:rsidR="003679AF">
        <w:t>razvojna neujednačenost, koja se reflektira i na cijenu nekretnina. Naime, cijena energetske obnove podjednaka je u svim dijelovima Hrvatske, dok se cijene nekretnina snažno razlikuju</w:t>
      </w:r>
      <w:r w:rsidR="00324537">
        <w:t>, pogotovo između primorske i kontinentalne Hrvatske. Dominantno lokacijom određena cijena nekretnina</w:t>
      </w:r>
      <w:r w:rsidR="0060312E">
        <w:t xml:space="preserve"> nikako nije poticajna za </w:t>
      </w:r>
      <w:r w:rsidR="00187640">
        <w:t>energetsku</w:t>
      </w:r>
      <w:r w:rsidR="0060312E">
        <w:t xml:space="preserve"> obnovu, jer se za obnovljenu nekretninu na </w:t>
      </w:r>
      <w:r w:rsidR="00EC3DE9">
        <w:t xml:space="preserve">nepovoljnijim lokacijama ne može postići bitna diferencijacija </w:t>
      </w:r>
      <w:r w:rsidR="00187640">
        <w:t xml:space="preserve">prodajnih cijena. </w:t>
      </w:r>
      <w:r>
        <w:t>Integralna obnova zgrada je složen postupak s velikim brojem sudionika međusobno povezanih različitim interesima i ciljevima koji čine još jednu u nizu barijera uspješnoj provedbi. Neriješeni imovinsko-pravni odnosi i status vlasništva nad nekretninom su sljedeća prepreka u donošenju odluke o energetskoj obnovi.</w:t>
      </w:r>
    </w:p>
    <w:p w14:paraId="0991D842" w14:textId="77777777" w:rsidR="00482834" w:rsidRDefault="00482834" w:rsidP="00B01B7F">
      <w:r>
        <w:t>Karakteristična prepreka koja usporava proces energetske obnove zgrada javnog sektora je proces javne nabave koji je uvijek dugotrajan, a u većem broju slučajeva i nezadovoljavajućih rezultata. Do sada provedeni procesi nabave koji su se temeljili na financijski najpovoljnijim kriterijima odabira izvođača jednostavno nisu davali dobre rezultate. Takvi ugovorni odnosi ne jamče kvalitetu, poštivanje rokova gradnje niti dugoročno jamstvo za izvedene radove. Potrebno je tijekom sljedećih godina, na području ugovaranja radova u javnom sektoru, primjenom modela ekonomski najpovoljnije ponude primjenjivati i kriterije poput tzv. Projektiraj i gradi</w:t>
      </w:r>
      <w:r w:rsidRPr="00953E0B">
        <w:rPr>
          <w:rStyle w:val="Referencafusnote"/>
          <w:rFonts w:cs="Tahoma"/>
          <w:szCs w:val="20"/>
        </w:rPr>
        <w:footnoteReference w:id="25"/>
      </w:r>
      <w:r w:rsidRPr="00953E0B">
        <w:rPr>
          <w:rFonts w:cs="Tahoma"/>
          <w:szCs w:val="20"/>
        </w:rPr>
        <w:t xml:space="preserve"> </w:t>
      </w:r>
      <w:r>
        <w:t xml:space="preserve">(engl. </w:t>
      </w:r>
      <w:r>
        <w:rPr>
          <w:i/>
        </w:rPr>
        <w:t>Design and Build</w:t>
      </w:r>
      <w:r>
        <w:t>) ili ESCO odnosno JPP modela</w:t>
      </w:r>
      <w:r w:rsidRPr="00953E0B">
        <w:rPr>
          <w:rStyle w:val="Referencafusnote"/>
          <w:rFonts w:cs="Tahoma"/>
          <w:szCs w:val="20"/>
        </w:rPr>
        <w:footnoteReference w:id="26"/>
      </w:r>
      <w:r w:rsidRPr="00953E0B">
        <w:rPr>
          <w:rFonts w:cs="Tahoma"/>
          <w:szCs w:val="20"/>
        </w:rPr>
        <w:t xml:space="preserve"> </w:t>
      </w:r>
      <w:r>
        <w:t xml:space="preserve">realizacije s obveznim kriterijima odabira ponuditelja poput najnižeg ukupnog životnog troška (engl. </w:t>
      </w:r>
      <w:r>
        <w:rPr>
          <w:i/>
        </w:rPr>
        <w:t>Whole Life Cicle Cost</w:t>
      </w:r>
      <w:r>
        <w:t>), postizanja zajamčenih ušteda te jamstava na izvedene radove.</w:t>
      </w:r>
      <w:r w:rsidR="00261B33">
        <w:t xml:space="preserve"> </w:t>
      </w:r>
      <w:r w:rsidR="000C6498">
        <w:t>Značajni</w:t>
      </w:r>
      <w:r w:rsidR="00261B33">
        <w:t xml:space="preserve"> pomaci na ovom području napravljeni su provedbom </w:t>
      </w:r>
      <w:r w:rsidR="003A3ABD">
        <w:t>projekata energetske obnove po modelu energetske usluge</w:t>
      </w:r>
      <w:r w:rsidR="001D7FA2">
        <w:t xml:space="preserve"> (ESCO)</w:t>
      </w:r>
      <w:r w:rsidR="003A3ABD">
        <w:t xml:space="preserve"> posredstvom Agencije za pravni promet i posredovanje nekretninama (APN)</w:t>
      </w:r>
      <w:r w:rsidR="001D7FA2">
        <w:t xml:space="preserve"> i uz sufinanciranje iz F</w:t>
      </w:r>
      <w:r w:rsidR="008E359A">
        <w:t xml:space="preserve">ZOEU-a </w:t>
      </w:r>
      <w:r w:rsidR="001D7FA2">
        <w:t xml:space="preserve">te je model svakako potrebno </w:t>
      </w:r>
      <w:r w:rsidR="008E359A">
        <w:t>unaprjeđivati</w:t>
      </w:r>
      <w:r w:rsidR="001D7FA2">
        <w:t xml:space="preserve"> i </w:t>
      </w:r>
      <w:r w:rsidR="008E359A">
        <w:t>snažnije primjenjivati u sljedećem razdoblju</w:t>
      </w:r>
      <w:r w:rsidR="008E359A">
        <w:rPr>
          <w:rStyle w:val="Referencafusnote"/>
          <w:rFonts w:cs="Myriad Pro"/>
        </w:rPr>
        <w:footnoteReference w:id="27"/>
      </w:r>
      <w:r w:rsidR="008E359A">
        <w:t xml:space="preserve">. </w:t>
      </w:r>
      <w:r w:rsidR="00495B6F">
        <w:t>Ovaj model usklađen je i sa smjernicama Eurostata</w:t>
      </w:r>
      <w:r w:rsidR="00B20870">
        <w:t xml:space="preserve"> o tretmanu ovakvih projekta s obzirom na javni dug. </w:t>
      </w:r>
      <w:r w:rsidR="00415221">
        <w:t xml:space="preserve">Ipak, treba jasno istaknuti da je dubinsku obnovu putem ESCO modela moguće jedino postići uz postojanje poticaja u obliku bespovratnih sredstava, jer u protivnom projekti dubinske obnove nisu privlačni </w:t>
      </w:r>
      <w:r w:rsidR="008E5A9F">
        <w:t xml:space="preserve">pružateljima energetskih usluga zbog dugih razdoblja povrata investicije. </w:t>
      </w:r>
    </w:p>
    <w:p w14:paraId="3EAD18A5" w14:textId="77777777" w:rsidR="00482834" w:rsidRDefault="00D80A70" w:rsidP="00B01B7F">
      <w:r>
        <w:t>J</w:t>
      </w:r>
      <w:r w:rsidR="00482834">
        <w:t xml:space="preserve">edna od glavnih prepreka provođenju energetske obnove zgrada javnog sektora </w:t>
      </w:r>
      <w:r w:rsidR="00982817">
        <w:t>jest i</w:t>
      </w:r>
      <w:r w:rsidR="00482834">
        <w:t xml:space="preserve"> nedostatak financijskih sredstava i kreditne sposobnosti. Taj problem dolazi do izražaja naročito kada zgrada nije pogodna za obnovu putem ESCO modela. Naime, unatoč udjelu bespovratnih sredstava u projektima energetske obnove zgrada javnog sektora</w:t>
      </w:r>
      <w:r w:rsidR="00194B1D">
        <w:t xml:space="preserve">, </w:t>
      </w:r>
      <w:r w:rsidR="00482834">
        <w:t xml:space="preserve">neke JLP(R)S nisu u mogućnosti osigurati preostali dio potrebne investicije. </w:t>
      </w:r>
      <w:r w:rsidR="00037B70">
        <w:t xml:space="preserve">U praksi se susreću </w:t>
      </w:r>
      <w:r w:rsidR="00FF610C">
        <w:t>slučajevi</w:t>
      </w:r>
      <w:r w:rsidR="00037B70" w:rsidRPr="00037B70">
        <w:t xml:space="preserve"> </w:t>
      </w:r>
      <w:r w:rsidR="00037B70">
        <w:t xml:space="preserve">JLP(R)S-a koje nisu u mogućnosti osigurati niti </w:t>
      </w:r>
      <w:r w:rsidR="00FF610C">
        <w:t>minimalni</w:t>
      </w:r>
      <w:r w:rsidR="00037B70">
        <w:t xml:space="preserve"> vlastiti udio </w:t>
      </w:r>
      <w:r w:rsidR="00FF610C">
        <w:t>od 5%</w:t>
      </w:r>
      <w:r w:rsidR="0080288F">
        <w:t xml:space="preserve"> u projektima energetske obnove.</w:t>
      </w:r>
      <w:r w:rsidR="00FF610C">
        <w:t xml:space="preserve"> </w:t>
      </w:r>
      <w:r w:rsidR="00482834">
        <w:t>Potencijalni pružatelji energetske usluge su poduzeća iz građevinskog sektora, a ona su već preopterećena zbog zaduženosti i nedovoljnog prihoda uslijed nepovoljnih gospodarskih kretanja na tržištu posljednjih godina. Oba čimbenika ograničavaju njihovu kreditnu sposobnost, naročito za potrebe dizanja opetovanih dugoročnih zajmova. S druge strane, niska razina prihoda osigurava ograničen iznos vlastitih sredstava. Banke u Republici Hrvatskoj ne pokazuju dostatan interes za financiranjem projekata po principu ugovaranja energetskog učinka. Za takav stav postoji više razloga:</w:t>
      </w:r>
    </w:p>
    <w:p w14:paraId="11974AE2" w14:textId="77777777" w:rsidR="00482834" w:rsidRDefault="00482834" w:rsidP="00853D9C">
      <w:pPr>
        <w:pStyle w:val="Odlomakpopisa"/>
        <w:numPr>
          <w:ilvl w:val="0"/>
          <w:numId w:val="25"/>
        </w:numPr>
      </w:pPr>
      <w:r>
        <w:t>kreditna nesposobnost velikog broja potencijalnih pružatelja energetske usluge</w:t>
      </w:r>
      <w:r w:rsidR="005E25B6">
        <w:t>;</w:t>
      </w:r>
    </w:p>
    <w:p w14:paraId="74208AE1" w14:textId="77777777" w:rsidR="00482834" w:rsidRDefault="00482834" w:rsidP="00853D9C">
      <w:pPr>
        <w:pStyle w:val="Odlomakpopisa"/>
        <w:numPr>
          <w:ilvl w:val="0"/>
          <w:numId w:val="25"/>
        </w:numPr>
      </w:pPr>
      <w:r>
        <w:t>nedostatni iznos jamstava</w:t>
      </w:r>
      <w:r w:rsidR="005E25B6">
        <w:t>;</w:t>
      </w:r>
    </w:p>
    <w:p w14:paraId="1F7CBE38" w14:textId="77777777" w:rsidR="00482834" w:rsidRDefault="00482834" w:rsidP="00853D9C">
      <w:pPr>
        <w:pStyle w:val="Odlomakpopisa"/>
        <w:numPr>
          <w:ilvl w:val="0"/>
          <w:numId w:val="25"/>
        </w:numPr>
      </w:pPr>
      <w:r>
        <w:t>visok trošak kapitala u Republici Hrvatskoj</w:t>
      </w:r>
      <w:r w:rsidR="005E25B6">
        <w:t>.</w:t>
      </w:r>
    </w:p>
    <w:p w14:paraId="0F9A3427" w14:textId="77777777" w:rsidR="00482834" w:rsidRDefault="00482834" w:rsidP="00B01B7F">
      <w:r>
        <w:t xml:space="preserve">Trošak kapitala je u Republici Hrvatskoj visok. Dodatno, banke nivo rizika procjenjuju zasebno za pružatelja energetske usluge, odnosno klijenta. Banke nisu spremne dugoročno financirati klijenta koji u projektu u potpunosti preuzima rizik na sebe. Stoga, banke traže dodatne garancije poput založnog prava na nekretninu. Kamatne stope su visoke, kako zbog rizika zemlje, tako i rizika klijenta. Na hrvatskom tržištu ne postoje financijski instrumenti dostatni za energetsku obnovu cjelokupnog potencijala zgrada javnog sektora. </w:t>
      </w:r>
    </w:p>
    <w:p w14:paraId="29CF6C6C" w14:textId="77777777" w:rsidR="00482834" w:rsidRDefault="00482834" w:rsidP="00B01B7F">
      <w:r>
        <w:t>Kategorija zgrada za koju je provođenje energetske obnove još složeniji proces su zgrade upisane u Registar kulturnih dobara Ministarstva kulture. U Republici Hrvatskoj u Registru kulturnih dobara upisano je 6.207 pojedinačnih nepokretnih kulturnih dobara i grupa kulturnih dobara što trajno, a što preventivno zaštićenih. Uz pretpostavljenu prosječnu površinu od 1000</w:t>
      </w:r>
      <w:r w:rsidR="00B8046B">
        <w:t xml:space="preserve"> </w:t>
      </w:r>
      <w:r>
        <w:t>m</w:t>
      </w:r>
      <w:r>
        <w:rPr>
          <w:vertAlign w:val="superscript"/>
        </w:rPr>
        <w:t>2</w:t>
      </w:r>
      <w:r>
        <w:t>, u Hrvatskoj je trenutačno oko 6,2 milijuna m</w:t>
      </w:r>
      <w:r>
        <w:rPr>
          <w:vertAlign w:val="superscript"/>
        </w:rPr>
        <w:t>2</w:t>
      </w:r>
      <w:r>
        <w:t xml:space="preserve"> zaštićenih površina zgrada, što čini gotovo 3% ukupne površine nacionalnog fonda zgrada.</w:t>
      </w:r>
      <w:r w:rsidR="00A872A0">
        <w:t xml:space="preserve"> </w:t>
      </w:r>
      <w:r w:rsidR="002421EB">
        <w:t xml:space="preserve">Od toga, prema </w:t>
      </w:r>
      <w:r w:rsidR="00A872A0" w:rsidRPr="00A872A0">
        <w:t>Program</w:t>
      </w:r>
      <w:r w:rsidR="002421EB">
        <w:t>u</w:t>
      </w:r>
      <w:r w:rsidR="00A872A0" w:rsidRPr="00A872A0">
        <w:t xml:space="preserve"> energetske obnove zgrada koje imaju status kulturnog dobra</w:t>
      </w:r>
      <w:r w:rsidR="00A872A0">
        <w:t xml:space="preserve"> za razdoblje 2021. do 2030. godine </w:t>
      </w:r>
      <w:r w:rsidR="00681C43">
        <w:t xml:space="preserve">2.302.157 m² je zgrada javne namjene </w:t>
      </w:r>
      <w:r w:rsidR="002F3849">
        <w:t xml:space="preserve">registriranih u ISGE </w:t>
      </w:r>
    </w:p>
    <w:p w14:paraId="157F442D" w14:textId="77777777" w:rsidR="009536EB" w:rsidRDefault="00482834" w:rsidP="00B01B7F">
      <w:r>
        <w:t xml:space="preserve">Utjecaj raznih prepreka na proces </w:t>
      </w:r>
      <w:r w:rsidR="006739F1">
        <w:t xml:space="preserve">dubinske </w:t>
      </w:r>
      <w:r>
        <w:t xml:space="preserve">obnove nacionalnog fonda zgrada Republike Hrvatske nije jednak i u cilju određivanja potencijalnih rizika, pojedine će identificirane prepreke u ovisnosti o utjecaju biti podijeljene na prepreke velikog, srednjeg i malog utjecaja. </w:t>
      </w:r>
    </w:p>
    <w:p w14:paraId="4E673D20" w14:textId="77777777" w:rsidR="00482834" w:rsidRDefault="00482834" w:rsidP="00B01B7F">
      <w:r>
        <w:t>Prepreke čiji je utjecaj na proces integralne obnove zgrada velik su sljedeće:</w:t>
      </w:r>
    </w:p>
    <w:p w14:paraId="69A0D91A" w14:textId="77777777" w:rsidR="00A074E5" w:rsidRDefault="00A32F48" w:rsidP="00853D9C">
      <w:pPr>
        <w:pStyle w:val="Odlomakpopisa"/>
        <w:numPr>
          <w:ilvl w:val="0"/>
          <w:numId w:val="23"/>
        </w:numPr>
      </w:pPr>
      <w:r>
        <w:t>nizak standard građana</w:t>
      </w:r>
      <w:r w:rsidR="00230B14">
        <w:t>, visoka stopa nezaposlenosti</w:t>
      </w:r>
      <w:r>
        <w:t xml:space="preserve"> </w:t>
      </w:r>
      <w:r w:rsidR="00A074E5">
        <w:t>i velik broj umirovljenih građana s niskim primanjima</w:t>
      </w:r>
      <w:r w:rsidR="00230B14">
        <w:t xml:space="preserve">, što sve utječe na neraspoloživost </w:t>
      </w:r>
      <w:r w:rsidR="008D11FE">
        <w:t>financijskih kapaciteta građana da investiraju u energetske obnovu, čak i uz viskoe stope bespovratnog sufinanciranja</w:t>
      </w:r>
      <w:r w:rsidR="00A074E5">
        <w:t>;</w:t>
      </w:r>
    </w:p>
    <w:p w14:paraId="5AB5AA89" w14:textId="77777777" w:rsidR="00A074E5" w:rsidRDefault="00A074E5" w:rsidP="00853D9C">
      <w:pPr>
        <w:pStyle w:val="Odlomakpopisa"/>
        <w:numPr>
          <w:ilvl w:val="0"/>
          <w:numId w:val="23"/>
        </w:numPr>
      </w:pPr>
      <w:r>
        <w:t>slabi financijski kapaciteti jedinica lokane samouprave;</w:t>
      </w:r>
    </w:p>
    <w:p w14:paraId="065C3FC9" w14:textId="77777777" w:rsidR="00482834" w:rsidRDefault="00482834" w:rsidP="00853D9C">
      <w:pPr>
        <w:pStyle w:val="Odlomakpopisa"/>
        <w:numPr>
          <w:ilvl w:val="0"/>
          <w:numId w:val="23"/>
        </w:numPr>
      </w:pPr>
      <w:r>
        <w:t>nedostatak jakih</w:t>
      </w:r>
      <w:r w:rsidR="00154C6D">
        <w:t xml:space="preserve"> i kontinuiranih</w:t>
      </w:r>
      <w:r>
        <w:t xml:space="preserve"> financijskih poticaja za energetsku obnovu zgrada</w:t>
      </w:r>
      <w:r w:rsidR="005052EA">
        <w:t>;</w:t>
      </w:r>
    </w:p>
    <w:p w14:paraId="1C07B8B8" w14:textId="77777777" w:rsidR="00482834" w:rsidRDefault="00482834" w:rsidP="00853D9C">
      <w:pPr>
        <w:pStyle w:val="Odlomakpopisa"/>
        <w:numPr>
          <w:ilvl w:val="0"/>
          <w:numId w:val="23"/>
        </w:numPr>
      </w:pPr>
      <w:r>
        <w:t>nedostatak razvijenih i testiranih financijskih modela za investiranje u energetsku obnovu zgrada</w:t>
      </w:r>
      <w:r w:rsidR="00A3328F">
        <w:t>;</w:t>
      </w:r>
    </w:p>
    <w:p w14:paraId="6F46353F" w14:textId="77777777" w:rsidR="00482834" w:rsidRDefault="00482834" w:rsidP="00853D9C">
      <w:pPr>
        <w:pStyle w:val="Odlomakpopisa"/>
        <w:numPr>
          <w:ilvl w:val="0"/>
          <w:numId w:val="23"/>
        </w:numPr>
      </w:pPr>
      <w:r>
        <w:t>nedovoljna pripremljenosti financijskih institucija za kreditiranje (npr. na temelju projektnog financiranja) u svrhu poticanja ESCO tržišta</w:t>
      </w:r>
      <w:r w:rsidR="00A3328F">
        <w:t>;</w:t>
      </w:r>
    </w:p>
    <w:p w14:paraId="737599E2" w14:textId="77777777" w:rsidR="00482834" w:rsidRDefault="00482834" w:rsidP="00853D9C">
      <w:pPr>
        <w:pStyle w:val="Odlomakpopisa"/>
        <w:numPr>
          <w:ilvl w:val="0"/>
          <w:numId w:val="23"/>
        </w:numPr>
      </w:pPr>
      <w:r>
        <w:t>nedostatak regulative koja obvezuje na primjenu kriterija odabira na temelju najnižeg ukupnog životnog troška građevine, postizanja zajamčenih ušteda primjenom mjera obnove te jamstava na izvedene radove i ugovorene standarde</w:t>
      </w:r>
      <w:r w:rsidR="00AD724B">
        <w:t>.</w:t>
      </w:r>
    </w:p>
    <w:p w14:paraId="019D77CE" w14:textId="77777777" w:rsidR="00482834" w:rsidRDefault="00482834" w:rsidP="00B01B7F">
      <w:r>
        <w:t>Srednji utjecaj na proces integralne obnove zgrada imaju sljedeće barijere:</w:t>
      </w:r>
    </w:p>
    <w:p w14:paraId="1109C154" w14:textId="77777777" w:rsidR="00482834" w:rsidRDefault="00482834" w:rsidP="00853D9C">
      <w:pPr>
        <w:pStyle w:val="Odlomakpopisa"/>
        <w:numPr>
          <w:ilvl w:val="0"/>
          <w:numId w:val="24"/>
        </w:numPr>
      </w:pPr>
      <w:r>
        <w:t>nedovoljna razvijenost</w:t>
      </w:r>
      <w:r w:rsidR="00AD724B">
        <w:t xml:space="preserve"> </w:t>
      </w:r>
      <w:r>
        <w:t>tržišta energetskih usluga, prvenstveno kroz nedovoljan broj tvrtki specijaliziranih za pružanje usluge cjelovite obnove zgrada i manjak njihovog financijskog potencijala</w:t>
      </w:r>
      <w:r w:rsidR="00CB1900">
        <w:t>;</w:t>
      </w:r>
    </w:p>
    <w:p w14:paraId="3E4A5C6E" w14:textId="77777777" w:rsidR="00D672BA" w:rsidRDefault="00D672BA" w:rsidP="00853D9C">
      <w:pPr>
        <w:pStyle w:val="Odlomakpopisa"/>
        <w:numPr>
          <w:ilvl w:val="0"/>
          <w:numId w:val="24"/>
        </w:numPr>
      </w:pPr>
      <w:r>
        <w:t>manjak radne snage u građevinskom sektoru, uzrokovan snažnim iseljavanjem;</w:t>
      </w:r>
    </w:p>
    <w:p w14:paraId="45C8ADAF" w14:textId="77777777" w:rsidR="00482834" w:rsidRDefault="00482834" w:rsidP="00853D9C">
      <w:pPr>
        <w:pStyle w:val="Odlomakpopisa"/>
        <w:numPr>
          <w:ilvl w:val="0"/>
          <w:numId w:val="24"/>
        </w:numPr>
      </w:pPr>
      <w:r>
        <w:t>nedovoljna informiranost, educiranost i sudjelovanje javnosti u donošenju važnih odluka o obnovi zgrada</w:t>
      </w:r>
      <w:r w:rsidR="00CB1900">
        <w:t>;</w:t>
      </w:r>
    </w:p>
    <w:p w14:paraId="3EBBD9E8" w14:textId="77777777" w:rsidR="00482834" w:rsidRDefault="00D672BA" w:rsidP="00853D9C">
      <w:pPr>
        <w:pStyle w:val="Odlomakpopisa"/>
        <w:numPr>
          <w:ilvl w:val="0"/>
          <w:numId w:val="24"/>
        </w:numPr>
      </w:pPr>
      <w:r>
        <w:t>niske</w:t>
      </w:r>
      <w:r w:rsidR="00482834">
        <w:t xml:space="preserve"> </w:t>
      </w:r>
      <w:r>
        <w:t xml:space="preserve">cijene </w:t>
      </w:r>
      <w:r w:rsidR="00482834">
        <w:t>energenata</w:t>
      </w:r>
      <w:r w:rsidR="00660D35">
        <w:t xml:space="preserve">, parcijalno zagrijavanje prostorija (tj. </w:t>
      </w:r>
      <w:r w:rsidR="00BD0E1A">
        <w:t>navike korištenja i grijanja prostorija</w:t>
      </w:r>
      <w:r w:rsidR="004A7C39">
        <w:t xml:space="preserve"> koje ne odgovaraju projektirani</w:t>
      </w:r>
      <w:r w:rsidR="00F97AB1">
        <w:t>m uvjetima)</w:t>
      </w:r>
      <w:r w:rsidR="00660D35">
        <w:t xml:space="preserve"> </w:t>
      </w:r>
      <w:r>
        <w:t xml:space="preserve"> i veliki udio ogrjevnog drva u zadovoljavanju toplinskih potreba u kućanstvima</w:t>
      </w:r>
      <w:r w:rsidR="00CB1900">
        <w:t>.</w:t>
      </w:r>
    </w:p>
    <w:p w14:paraId="47A3701F" w14:textId="77777777" w:rsidR="00482834" w:rsidRDefault="00482834" w:rsidP="00B01B7F">
      <w:r>
        <w:t>Mali, ali ne i zanemariv utjecaj na provedbu integralne obnove zgrada imaju sljedeće prepreke:</w:t>
      </w:r>
    </w:p>
    <w:p w14:paraId="6411431B" w14:textId="77777777" w:rsidR="00482834" w:rsidRDefault="00482834" w:rsidP="00853D9C">
      <w:pPr>
        <w:pStyle w:val="Odlomakpopisa"/>
        <w:numPr>
          <w:ilvl w:val="0"/>
          <w:numId w:val="22"/>
        </w:numPr>
      </w:pPr>
      <w:r>
        <w:t>složenost postupka pokretanja i provedbe procesa</w:t>
      </w:r>
      <w:r w:rsidR="00CB1900">
        <w:t>;</w:t>
      </w:r>
    </w:p>
    <w:p w14:paraId="05484797" w14:textId="77777777" w:rsidR="00482834" w:rsidRDefault="00482834" w:rsidP="00853D9C">
      <w:pPr>
        <w:pStyle w:val="Odlomakpopisa"/>
        <w:numPr>
          <w:ilvl w:val="0"/>
          <w:numId w:val="22"/>
        </w:numPr>
      </w:pPr>
      <w:r>
        <w:t>nužnost individualnog i multidisciplinarnog pristupa svakoj pojedinoj zgradi</w:t>
      </w:r>
      <w:r w:rsidR="00CB1900">
        <w:t>;</w:t>
      </w:r>
    </w:p>
    <w:p w14:paraId="40EF2B18" w14:textId="77777777" w:rsidR="00482834" w:rsidRDefault="00482834" w:rsidP="00853D9C">
      <w:pPr>
        <w:pStyle w:val="Odlomakpopisa"/>
        <w:numPr>
          <w:ilvl w:val="0"/>
          <w:numId w:val="22"/>
        </w:numPr>
      </w:pPr>
      <w:r>
        <w:t>neriješeni imovinsko-pravni odnosi</w:t>
      </w:r>
      <w:r w:rsidR="00CB1900">
        <w:t>;</w:t>
      </w:r>
    </w:p>
    <w:p w14:paraId="32551D3F" w14:textId="77777777" w:rsidR="00482834" w:rsidRDefault="00482834" w:rsidP="00853D9C">
      <w:pPr>
        <w:pStyle w:val="Odlomakpopisa"/>
        <w:numPr>
          <w:ilvl w:val="0"/>
          <w:numId w:val="22"/>
        </w:numPr>
      </w:pPr>
      <w:r>
        <w:t xml:space="preserve">dodatna složenost postupka obnove zgrada upisanih u Registar kulturnih dobara Ministarstva kulture. </w:t>
      </w:r>
    </w:p>
    <w:p w14:paraId="064FD873" w14:textId="4DCBACA8" w:rsidR="00482834" w:rsidRDefault="00482834" w:rsidP="00B01B7F">
      <w:r>
        <w:t>Integralna obnova zgrada sa statusom kulturnog dobra, uključivo i zgrada unutar zaštićenih kulturno povijesnih cjelina predstavlja dio dugoročne strategije Ministarstva kulture. U tom smislu Ministarstvo kulture je pokrenulo niz aktivnosti na uklanjanju prepreka u primjeni energetske učinkovitosti na kulturnim dobrima, temeljene na odgovarajućem pristupu s obzirom na specifičnosti toga dijela nacionalnog fonda zgrada.</w:t>
      </w:r>
      <w:r w:rsidR="009A4593">
        <w:t xml:space="preserve"> </w:t>
      </w:r>
    </w:p>
    <w:p w14:paraId="402F7018" w14:textId="035BB812" w:rsidR="00482834" w:rsidRDefault="00482834" w:rsidP="00B01B7F">
      <w:bookmarkStart w:id="138" w:name="h.2iq8gzs"/>
      <w:bookmarkEnd w:id="138"/>
      <w:r>
        <w:t>U postojećim višestambenim zgradama i obiteljskim kućama postojeći programi se fokusiraju isključivo na toplinske potrebe zgrada</w:t>
      </w:r>
      <w:r w:rsidR="004B7F5C">
        <w:t xml:space="preserve"> za grijanje</w:t>
      </w:r>
      <w:r>
        <w:t xml:space="preserve">, tj. mjere energetske učinkovitosti usmjerene na smanjenje potrošnje energije za grijanje i pripremu potrošne tople vode. Glede ostalih energetskih potreba, poglavito glede kućanskih uređaja i unutarnje rasvjete, daljnji razvoj standarda i regulative </w:t>
      </w:r>
      <w:r w:rsidR="000660D1">
        <w:t xml:space="preserve">EU </w:t>
      </w:r>
      <w:r>
        <w:t xml:space="preserve">u ovom području (npr. zabrana prodaje izvora svjetlosti sa žarnom niti, stroži uvjeti za razrede energetske učinkovitosti i dr.) već donosi vidljive rezultate na tržištu te u pravilu zahtijevaju manje investicijske troškove nego mjere obnove zgrada koje su predložene programima, a preduvjet su integralne obnove. </w:t>
      </w:r>
      <w:r w:rsidR="00817435">
        <w:t>P</w:t>
      </w:r>
      <w:r w:rsidR="00DA1CB0">
        <w:t xml:space="preserve">romjenom modela energetskog certificiranja koji je s potrebne energije za grijanje uključio primarnu energiju za sve energetske potrebe zgrada, te uključivanje potrebe za hlađenjem kao osnovne potrebe za ostvarivanje zadovoljavajućeg komfora u sve zgrade, promijeniti će se i pristup zgradi i energetskoj obnovi isključivo kroz toplinsku </w:t>
      </w:r>
      <w:r w:rsidR="00DA1CB0" w:rsidRPr="00A92C0C">
        <w:t>ener</w:t>
      </w:r>
      <w:r w:rsidR="005C3FEA" w:rsidRPr="00A92C0C">
        <w:t>gij</w:t>
      </w:r>
      <w:r w:rsidR="00DA1CB0" w:rsidRPr="00A92C0C">
        <w:t>u za grijan</w:t>
      </w:r>
      <w:r w:rsidR="00DA1CB0">
        <w:t xml:space="preserve">je. </w:t>
      </w:r>
    </w:p>
    <w:p w14:paraId="500B1981" w14:textId="77777777" w:rsidR="00934809" w:rsidRDefault="00934809" w:rsidP="00B01B7F"/>
    <w:p w14:paraId="76EC2B06" w14:textId="07726909" w:rsidR="00204773" w:rsidRDefault="00522EF4" w:rsidP="007649C2">
      <w:pPr>
        <w:pStyle w:val="Naslov20"/>
      </w:pPr>
      <w:bookmarkStart w:id="139" w:name="_Toc34052885"/>
      <w:r>
        <w:t xml:space="preserve"> </w:t>
      </w:r>
      <w:bookmarkStart w:id="140" w:name="_Toc46163829"/>
      <w:r w:rsidR="00B4452A" w:rsidRPr="00B4452A">
        <w:t>Prijedlozi rješenja i novih mjera za svladavanje postojećih prepreka</w:t>
      </w:r>
      <w:bookmarkEnd w:id="139"/>
      <w:bookmarkEnd w:id="140"/>
      <w:r w:rsidR="00B43F71">
        <w:tab/>
      </w:r>
    </w:p>
    <w:p w14:paraId="5D3B6B01" w14:textId="77777777" w:rsidR="00EA4139" w:rsidRDefault="00EA4139" w:rsidP="007A04AC">
      <w:bookmarkStart w:id="141" w:name="h.3hv69ve"/>
      <w:bookmarkEnd w:id="141"/>
      <w:r>
        <w:t>Hrvatska nacionalna politika integralne obnove nacionalnog fonda zgrada za ostvarenje postavljenih ciljeva u skladu s odredbama EU direktiva treba obuhvatiti šest kategorija mjera</w:t>
      </w:r>
      <w:r>
        <w:rPr>
          <w:vertAlign w:val="superscript"/>
        </w:rPr>
        <w:footnoteReference w:id="28"/>
      </w:r>
      <w:r>
        <w:t>:</w:t>
      </w:r>
    </w:p>
    <w:p w14:paraId="4858E72D" w14:textId="77777777" w:rsidR="00EA4139" w:rsidRDefault="00EA4139" w:rsidP="00853D9C">
      <w:pPr>
        <w:pStyle w:val="Odlomakpopisa"/>
        <w:numPr>
          <w:ilvl w:val="0"/>
          <w:numId w:val="30"/>
        </w:numPr>
      </w:pPr>
      <w:r>
        <w:t>strateške</w:t>
      </w:r>
    </w:p>
    <w:p w14:paraId="15A98909" w14:textId="77777777" w:rsidR="00EA4139" w:rsidRDefault="00EA4139" w:rsidP="00853D9C">
      <w:pPr>
        <w:pStyle w:val="Odlomakpopisa"/>
        <w:numPr>
          <w:ilvl w:val="0"/>
          <w:numId w:val="30"/>
        </w:numPr>
      </w:pPr>
      <w:r>
        <w:t>legislativne</w:t>
      </w:r>
    </w:p>
    <w:p w14:paraId="23FAD006" w14:textId="77777777" w:rsidR="00EA4139" w:rsidRDefault="00EA4139" w:rsidP="00853D9C">
      <w:pPr>
        <w:pStyle w:val="Odlomakpopisa"/>
        <w:numPr>
          <w:ilvl w:val="0"/>
          <w:numId w:val="30"/>
        </w:numPr>
      </w:pPr>
      <w:r>
        <w:t>tehničke</w:t>
      </w:r>
    </w:p>
    <w:p w14:paraId="680B4108" w14:textId="77777777" w:rsidR="00EA4139" w:rsidRDefault="00EA4139" w:rsidP="00853D9C">
      <w:pPr>
        <w:pStyle w:val="Odlomakpopisa"/>
        <w:numPr>
          <w:ilvl w:val="0"/>
          <w:numId w:val="30"/>
        </w:numPr>
      </w:pPr>
      <w:r>
        <w:t>financijske</w:t>
      </w:r>
    </w:p>
    <w:p w14:paraId="12CABB5B" w14:textId="77777777" w:rsidR="00EA4139" w:rsidRDefault="00EA4139" w:rsidP="00853D9C">
      <w:pPr>
        <w:pStyle w:val="Odlomakpopisa"/>
        <w:numPr>
          <w:ilvl w:val="0"/>
          <w:numId w:val="30"/>
        </w:numPr>
      </w:pPr>
      <w:r>
        <w:t>komunikacijske i mjere za jačanje kapaciteta</w:t>
      </w:r>
    </w:p>
    <w:p w14:paraId="068257AC" w14:textId="77777777" w:rsidR="00EA4139" w:rsidRDefault="00EA4139" w:rsidP="00853D9C">
      <w:pPr>
        <w:pStyle w:val="Odlomakpopisa"/>
        <w:numPr>
          <w:ilvl w:val="0"/>
          <w:numId w:val="30"/>
        </w:numPr>
      </w:pPr>
      <w:r>
        <w:t>istraživačko-razvojne</w:t>
      </w:r>
    </w:p>
    <w:p w14:paraId="516A0B25" w14:textId="77777777" w:rsidR="00EA4139" w:rsidRDefault="00EA4139" w:rsidP="007A04AC">
      <w:r>
        <w:rPr>
          <w:b/>
        </w:rPr>
        <w:t xml:space="preserve">Strateške mjere </w:t>
      </w:r>
      <w:r>
        <w:t>integralne obnove nacionalnog fonda zgrada obuhvaćaju:</w:t>
      </w:r>
    </w:p>
    <w:p w14:paraId="6C3A63FA" w14:textId="77777777" w:rsidR="00EA4139" w:rsidRDefault="00EA4139" w:rsidP="00853D9C">
      <w:pPr>
        <w:pStyle w:val="Odlomakpopisa"/>
        <w:numPr>
          <w:ilvl w:val="0"/>
          <w:numId w:val="31"/>
        </w:numPr>
      </w:pPr>
      <w:r>
        <w:t>uspostavu podrške čitavog političkog spektruma Republike Hrvatske za integralnu obnovu nacionalnog fonda zgrada</w:t>
      </w:r>
      <w:r w:rsidR="003B0BD5">
        <w:t>;</w:t>
      </w:r>
    </w:p>
    <w:p w14:paraId="171A7059" w14:textId="77777777" w:rsidR="00EA4139" w:rsidRDefault="00EA4139" w:rsidP="00853D9C">
      <w:pPr>
        <w:pStyle w:val="Odlomakpopisa"/>
        <w:numPr>
          <w:ilvl w:val="0"/>
          <w:numId w:val="31"/>
        </w:numPr>
      </w:pPr>
      <w:r>
        <w:t>uspostavu široke mrežu dionika kao podloge uspješne provedbe plana obnove zgrada</w:t>
      </w:r>
      <w:r w:rsidR="009C3891">
        <w:t xml:space="preserve"> – ova mjera </w:t>
      </w:r>
      <w:r w:rsidR="005D4708">
        <w:t xml:space="preserve">se već provodi kroz uspostavljeni Otvoreni dijalog </w:t>
      </w:r>
      <w:r w:rsidR="005705F8">
        <w:t>partnera uspostavljen od strane Ministarstva graditeljstva i prostornoga uređenja</w:t>
      </w:r>
      <w:r w:rsidR="003B0BD5">
        <w:t>;</w:t>
      </w:r>
    </w:p>
    <w:p w14:paraId="6C54C9FD" w14:textId="77777777" w:rsidR="00EA4139" w:rsidRDefault="00EA4139" w:rsidP="00853D9C">
      <w:pPr>
        <w:pStyle w:val="Odlomakpopisa"/>
        <w:numPr>
          <w:ilvl w:val="0"/>
          <w:numId w:val="31"/>
        </w:numPr>
      </w:pPr>
      <w:r>
        <w:t>postavljanje cilja za smanjenje energetskog siromaštva hrvatskog stanovništva kroz poboljšanje mjera energetske učinkovitosti stambenog sektora</w:t>
      </w:r>
      <w:r w:rsidR="003B0BD5">
        <w:t>;</w:t>
      </w:r>
    </w:p>
    <w:p w14:paraId="0BD5EFF1" w14:textId="77777777" w:rsidR="00EA4139" w:rsidRDefault="00EA4139" w:rsidP="00853D9C">
      <w:pPr>
        <w:pStyle w:val="Odlomakpopisa"/>
        <w:numPr>
          <w:ilvl w:val="0"/>
          <w:numId w:val="31"/>
        </w:numPr>
      </w:pPr>
      <w:r>
        <w:t>postavljanje ciljeva integracije raznih sektora: održivog urbanizma, održive gradnje, lokalnih energetskih resursa i dr.</w:t>
      </w:r>
    </w:p>
    <w:p w14:paraId="29629BF0" w14:textId="77777777" w:rsidR="00EA4139" w:rsidRDefault="00EA4139" w:rsidP="007A04AC">
      <w:r>
        <w:rPr>
          <w:b/>
        </w:rPr>
        <w:t xml:space="preserve">Legislativne mjere </w:t>
      </w:r>
      <w:r>
        <w:t>za uspješnu obnovu nacionalnog fonda zgrada su sljedeće:</w:t>
      </w:r>
    </w:p>
    <w:p w14:paraId="4705002F" w14:textId="77777777" w:rsidR="00EA4139" w:rsidRDefault="00EA4139" w:rsidP="00853D9C">
      <w:pPr>
        <w:pStyle w:val="Odlomakpopisa"/>
        <w:numPr>
          <w:ilvl w:val="0"/>
          <w:numId w:val="32"/>
        </w:numPr>
      </w:pPr>
      <w:r>
        <w:t>identificirati najdjelotvornije legislativne mehanizme čija bi primjena rezultirala poboljšanjem energetske učinkovitosti zgrada (energetsko certificiranje, inspekcija kotlovnica, pooštreni tehnički standardi i dr.)</w:t>
      </w:r>
      <w:r w:rsidR="00D8242A">
        <w:t>;</w:t>
      </w:r>
    </w:p>
    <w:p w14:paraId="25E4D52E" w14:textId="77777777" w:rsidR="007C14C2" w:rsidRDefault="0040345F" w:rsidP="00853D9C">
      <w:pPr>
        <w:pStyle w:val="Odlomakpopisa"/>
        <w:numPr>
          <w:ilvl w:val="0"/>
          <w:numId w:val="32"/>
        </w:numPr>
      </w:pPr>
      <w:r>
        <w:t xml:space="preserve">poticati </w:t>
      </w:r>
      <w:r w:rsidR="00CD4F5A">
        <w:t>energetsku</w:t>
      </w:r>
      <w:r>
        <w:t xml:space="preserve"> obnovu zgrada </w:t>
      </w:r>
      <w:r w:rsidR="007C14C2">
        <w:t xml:space="preserve">u okviru </w:t>
      </w:r>
      <w:r>
        <w:t xml:space="preserve">zakonodavstva iz područja stanovanja i održavanja zgrada. </w:t>
      </w:r>
    </w:p>
    <w:p w14:paraId="56D311D6" w14:textId="77777777" w:rsidR="00EA4139" w:rsidRDefault="00EA4139" w:rsidP="007A04AC">
      <w:r>
        <w:rPr>
          <w:b/>
        </w:rPr>
        <w:t>Tehničke mjere</w:t>
      </w:r>
      <w:r>
        <w:t xml:space="preserve"> trebaju obuhvatiti sljedeće:</w:t>
      </w:r>
    </w:p>
    <w:p w14:paraId="7A602D8F" w14:textId="77777777" w:rsidR="00EA4139" w:rsidRDefault="00EA4139" w:rsidP="00853D9C">
      <w:pPr>
        <w:pStyle w:val="Odlomakpopisa"/>
        <w:numPr>
          <w:ilvl w:val="0"/>
          <w:numId w:val="33"/>
        </w:numPr>
      </w:pPr>
      <w:r>
        <w:t>kontinuirano usklađivati tehničke norme i standarde s novim tehnološkim rješenjima dostupnima na tržištu</w:t>
      </w:r>
      <w:r w:rsidR="00FE74E2">
        <w:t>;</w:t>
      </w:r>
    </w:p>
    <w:p w14:paraId="56C0B997" w14:textId="77777777" w:rsidR="00EA4139" w:rsidRDefault="00EA4139" w:rsidP="00853D9C">
      <w:pPr>
        <w:pStyle w:val="Odlomakpopisa"/>
        <w:numPr>
          <w:ilvl w:val="0"/>
          <w:numId w:val="33"/>
        </w:numPr>
      </w:pPr>
      <w:r>
        <w:t>analizirati i primjenjivati centralizirane toplinske sustave za grijanje i hlađenje zgrada u što većoj mjeri</w:t>
      </w:r>
      <w:r w:rsidR="00FE74E2">
        <w:t>;</w:t>
      </w:r>
    </w:p>
    <w:p w14:paraId="3A9CAC66" w14:textId="77777777" w:rsidR="00EA4139" w:rsidRDefault="00EA4139" w:rsidP="00853D9C">
      <w:pPr>
        <w:pStyle w:val="Odlomakpopisa"/>
        <w:numPr>
          <w:ilvl w:val="0"/>
          <w:numId w:val="33"/>
        </w:numPr>
      </w:pPr>
      <w:r>
        <w:t>graditi područne sustave grijanja na biomasu</w:t>
      </w:r>
      <w:r w:rsidR="006976FC">
        <w:t xml:space="preserve"> u ruralnim sredinama</w:t>
      </w:r>
      <w:r w:rsidR="00FE74E2">
        <w:t>;</w:t>
      </w:r>
    </w:p>
    <w:p w14:paraId="278E9707" w14:textId="77777777" w:rsidR="00EA4139" w:rsidRDefault="00EA4139" w:rsidP="00853D9C">
      <w:pPr>
        <w:pStyle w:val="Odlomakpopisa"/>
        <w:numPr>
          <w:ilvl w:val="0"/>
          <w:numId w:val="33"/>
        </w:numPr>
      </w:pPr>
      <w:r>
        <w:t xml:space="preserve">osigurati odgovarajuću kontrolu usklađenosti s građevinskim propisima i provedbu </w:t>
      </w:r>
      <w:r w:rsidR="00554694">
        <w:t xml:space="preserve">prekršajnih </w:t>
      </w:r>
      <w:r>
        <w:t>odredbi u slučaju neusklađenosti</w:t>
      </w:r>
      <w:r w:rsidR="00FE74E2">
        <w:t>;</w:t>
      </w:r>
    </w:p>
    <w:p w14:paraId="2444B672" w14:textId="77777777" w:rsidR="00EA4139" w:rsidRDefault="00EA4139" w:rsidP="00853D9C">
      <w:pPr>
        <w:pStyle w:val="Odlomakpopisa"/>
        <w:numPr>
          <w:ilvl w:val="0"/>
          <w:numId w:val="33"/>
        </w:numPr>
      </w:pPr>
      <w:r>
        <w:t>razvijati tipska rješenja za jednostavnu primjenu u zgradama iste namjene</w:t>
      </w:r>
      <w:r w:rsidR="00FE74E2">
        <w:t xml:space="preserve"> </w:t>
      </w:r>
      <w:r w:rsidR="00D86A37">
        <w:t>i</w:t>
      </w:r>
    </w:p>
    <w:p w14:paraId="7B17F127" w14:textId="77777777" w:rsidR="00EA4139" w:rsidRDefault="00554694" w:rsidP="00853D9C">
      <w:pPr>
        <w:pStyle w:val="Odlomakpopisa"/>
        <w:numPr>
          <w:ilvl w:val="0"/>
          <w:numId w:val="33"/>
        </w:numPr>
      </w:pPr>
      <w:r>
        <w:t>poticati dobrovoljnu</w:t>
      </w:r>
      <w:r w:rsidR="00EA4139">
        <w:t xml:space="preserve"> certifikaciju kvalitete instalaterskih usluga i proizvoda</w:t>
      </w:r>
      <w:r w:rsidR="00D86A37">
        <w:t>.</w:t>
      </w:r>
    </w:p>
    <w:p w14:paraId="608B58C8" w14:textId="77777777" w:rsidR="00EA4139" w:rsidRDefault="00EA4139" w:rsidP="007A04AC">
      <w:r>
        <w:rPr>
          <w:b/>
        </w:rPr>
        <w:t>Financijske mjere</w:t>
      </w:r>
      <w:r>
        <w:t xml:space="preserve"> za provedbu integralne obnove zgrada obuhvaćaju sljedeće: </w:t>
      </w:r>
    </w:p>
    <w:p w14:paraId="5CD9D4FC" w14:textId="77777777" w:rsidR="00301F97" w:rsidRDefault="00301F97" w:rsidP="00853D9C">
      <w:pPr>
        <w:pStyle w:val="Odlomakpopisa"/>
        <w:numPr>
          <w:ilvl w:val="0"/>
          <w:numId w:val="34"/>
        </w:numPr>
      </w:pPr>
      <w:r>
        <w:t>osiguravanje bespovratnih sredstava</w:t>
      </w:r>
      <w:r w:rsidR="00A332A5">
        <w:t xml:space="preserve"> za obnovu stambenih i javnih zgrada</w:t>
      </w:r>
      <w:r>
        <w:t xml:space="preserve"> i</w:t>
      </w:r>
    </w:p>
    <w:p w14:paraId="2BCCA9B4" w14:textId="77777777" w:rsidR="00EA4139" w:rsidRDefault="00EA4139" w:rsidP="00853D9C">
      <w:pPr>
        <w:pStyle w:val="Odlomakpopisa"/>
        <w:numPr>
          <w:ilvl w:val="0"/>
          <w:numId w:val="34"/>
        </w:numPr>
      </w:pPr>
      <w:r>
        <w:t>razvoj financijskih instrumenata</w:t>
      </w:r>
      <w:r w:rsidR="00AE4700">
        <w:t>, poglavito za pružatelje energetskih usluga</w:t>
      </w:r>
      <w:r w:rsidR="00D86A37">
        <w:t>.</w:t>
      </w:r>
    </w:p>
    <w:p w14:paraId="65973648" w14:textId="77777777" w:rsidR="00EA4139" w:rsidRDefault="00EA4139" w:rsidP="007A04AC">
      <w:r>
        <w:t>Kako bi financijske institucije mogle pratiti pružatelje energetske usluge, potrebno je razviti financijske instrumente u skladu s pravilima korištenja ESI fondova, sa specifičnom namjenom za pružatelje energetske usluge. Razvoj financijskih instrumenata u kontekstu ove Dugoročne strategije za poticanje ulaganja u obnovu nacionalnog fonda zgrada Republike Hrvatske treba stvoriti i uvjete za razvoj tržišta energetskih usluga uključujući i kroz model JPP-a, odnosno razvoj tržišta među privatnim subjektima koji žele poslovati po načelima pružanja energetske usluge. U slučaju financijskih instrumenata, moguće je ponuditi proizvode koji će prije svega olakšati pristup financiranju svim subjektima koji provode projekte po modelu energetske usluge, a onda i poticati razvoj tržišta kroz uklanjanje specifičnih barijera koje proizlaze iz samog modela energetske usluge te smanjenje problema potkapitaliziranosti (što je sistemski problem ekonomije u cjelini, a posebno je izražen kod ESCO tvrtki zbog kapitalne intenzivnosti i spomenutog specifičnog problema modela kao takvog). Ovdje se nameću tri osnovna instrumenta:</w:t>
      </w:r>
    </w:p>
    <w:p w14:paraId="750A4477" w14:textId="77777777" w:rsidR="00EA4139" w:rsidRDefault="00EA4139" w:rsidP="00853D9C">
      <w:pPr>
        <w:pStyle w:val="Odlomakpopisa"/>
        <w:numPr>
          <w:ilvl w:val="0"/>
          <w:numId w:val="35"/>
        </w:numPr>
      </w:pPr>
      <w:r>
        <w:t>garancijski instrument</w:t>
      </w:r>
      <w:r w:rsidR="00392113">
        <w:t xml:space="preserve">; </w:t>
      </w:r>
    </w:p>
    <w:p w14:paraId="25F1810B" w14:textId="77777777" w:rsidR="00EA4139" w:rsidRDefault="00EA4139" w:rsidP="00853D9C">
      <w:pPr>
        <w:pStyle w:val="Odlomakpopisa"/>
        <w:numPr>
          <w:ilvl w:val="0"/>
          <w:numId w:val="35"/>
        </w:numPr>
      </w:pPr>
      <w:r>
        <w:t>equity instrument</w:t>
      </w:r>
      <w:r w:rsidR="00392113">
        <w:t xml:space="preserve"> i </w:t>
      </w:r>
    </w:p>
    <w:p w14:paraId="3CF0478E" w14:textId="77777777" w:rsidR="00EA4139" w:rsidRDefault="00EA4139" w:rsidP="00853D9C">
      <w:pPr>
        <w:pStyle w:val="Odlomakpopisa"/>
        <w:numPr>
          <w:ilvl w:val="0"/>
          <w:numId w:val="35"/>
        </w:numPr>
      </w:pPr>
      <w:r>
        <w:t>kreditna linija</w:t>
      </w:r>
      <w:r w:rsidR="00392113">
        <w:t>.</w:t>
      </w:r>
    </w:p>
    <w:p w14:paraId="68F5F424" w14:textId="77777777" w:rsidR="00EA4139" w:rsidRDefault="00EA4139" w:rsidP="007A04AC">
      <w:r>
        <w:t>Model sufinanciranja treba prilagoditi na način da se potpore dodjeljuju u direktnom odnosu s pružateljem usluge, bez posredničke uloge npr. Agencija za pravni promet i posredovanje nekretninama odnosno da rizik ostvarivanja potpore snosi pružatelj energetske usluge, čime se ne utječe na obveze po ugovoru o energetskom učinku.</w:t>
      </w:r>
    </w:p>
    <w:p w14:paraId="3EA3F5F3" w14:textId="77777777" w:rsidR="00EA4139" w:rsidRDefault="00EA4139" w:rsidP="007A04AC">
      <w:r w:rsidRPr="007A04AC">
        <w:rPr>
          <w:b/>
        </w:rPr>
        <w:t>Komunikacijske i mjere za jačanje kapaciteta</w:t>
      </w:r>
      <w:r>
        <w:t xml:space="preserve"> obuhvaćaju sljedeće:</w:t>
      </w:r>
    </w:p>
    <w:p w14:paraId="331F4232" w14:textId="77777777" w:rsidR="00EA4139" w:rsidRDefault="00EA4139" w:rsidP="00853D9C">
      <w:pPr>
        <w:pStyle w:val="Odlomakpopisa"/>
        <w:numPr>
          <w:ilvl w:val="0"/>
          <w:numId w:val="36"/>
        </w:numPr>
      </w:pPr>
      <w:r>
        <w:t>uspostaviti javno dostupne baze podataka s primjerima dobre prakse i svim potrebnim podacima za pokretanje i provođenje projekata energetske obnove zgrada</w:t>
      </w:r>
      <w:r w:rsidR="00CF1ECF">
        <w:t>;</w:t>
      </w:r>
    </w:p>
    <w:p w14:paraId="513B469D" w14:textId="77777777" w:rsidR="00EA4139" w:rsidRDefault="00EA4139" w:rsidP="00853D9C">
      <w:pPr>
        <w:pStyle w:val="Odlomakpopisa"/>
        <w:numPr>
          <w:ilvl w:val="0"/>
          <w:numId w:val="36"/>
        </w:numPr>
      </w:pPr>
      <w:r>
        <w:t>pokrenuti i kontinuirano provoditi obrazovne programe za sve kategorije djelatnika u zgradarstvu</w:t>
      </w:r>
      <w:r w:rsidR="002267B6">
        <w:t>;</w:t>
      </w:r>
    </w:p>
    <w:p w14:paraId="6A10D5B1" w14:textId="77777777" w:rsidR="00EA4139" w:rsidRDefault="00EA4139" w:rsidP="00853D9C">
      <w:pPr>
        <w:pStyle w:val="Odlomakpopisa"/>
        <w:numPr>
          <w:ilvl w:val="0"/>
          <w:numId w:val="36"/>
        </w:numPr>
      </w:pPr>
      <w:r>
        <w:t>uspostaviti dobre komunikacijske kanale za razmjenu znanja i iskustva između raznih razina uprave (nacionalna, regionalna, županijska, lokalna)</w:t>
      </w:r>
      <w:r w:rsidR="002267B6">
        <w:t>;</w:t>
      </w:r>
    </w:p>
    <w:p w14:paraId="22E2CD48" w14:textId="77777777" w:rsidR="00EA4139" w:rsidRDefault="00EA4139" w:rsidP="00853D9C">
      <w:pPr>
        <w:pStyle w:val="Odlomakpopisa"/>
        <w:numPr>
          <w:ilvl w:val="0"/>
          <w:numId w:val="36"/>
        </w:numPr>
      </w:pPr>
      <w:r>
        <w:t>kontinuirano provoditi promotivne-edukativne aktivnosti za različite ciljne grupe s naglaskom na pozitivnim učincima energetske obnove građevina;</w:t>
      </w:r>
    </w:p>
    <w:p w14:paraId="71E9FECC" w14:textId="77777777" w:rsidR="00EA4139" w:rsidRDefault="004B0EBF" w:rsidP="00853D9C">
      <w:pPr>
        <w:pStyle w:val="Odlomakpopisa"/>
        <w:numPr>
          <w:ilvl w:val="0"/>
          <w:numId w:val="36"/>
        </w:numPr>
      </w:pPr>
      <w:r>
        <w:t xml:space="preserve">snažno i </w:t>
      </w:r>
      <w:r w:rsidR="00EA4139">
        <w:t xml:space="preserve">kontinuirano obavještavati </w:t>
      </w:r>
      <w:r w:rsidRPr="004B0EBF">
        <w:t>široku</w:t>
      </w:r>
      <w:r w:rsidR="00EA4139">
        <w:t xml:space="preserve"> javnost o provedbi ove Dugoročne strategije za poticanje ulaganja u obnovu nacionalnog fonda zgrada Republike Hrvatske</w:t>
      </w:r>
    </w:p>
    <w:p w14:paraId="38E0C86D" w14:textId="77777777" w:rsidR="00EA4139" w:rsidRDefault="00EA4139" w:rsidP="007A04AC">
      <w:r w:rsidRPr="007A04AC">
        <w:rPr>
          <w:b/>
        </w:rPr>
        <w:t>Istraživačko-razvojne mjere</w:t>
      </w:r>
      <w:r>
        <w:t xml:space="preserve"> se baziraju na podršci istraživanjima i razvoju novih tehnologija, tehnika, materijala i elemenata za troškovno optimalnu integralnu obnovu zgrada. </w:t>
      </w:r>
    </w:p>
    <w:p w14:paraId="2275E23A" w14:textId="77777777" w:rsidR="001449A5" w:rsidRDefault="001449A5" w:rsidP="004E2864">
      <w:r w:rsidRPr="009C52C4">
        <w:t>Konkretizirani primjeri mogućih mjera detaljnije su opisani u nastavku.</w:t>
      </w:r>
      <w:r>
        <w:t xml:space="preserve"> </w:t>
      </w:r>
    </w:p>
    <w:p w14:paraId="1F74A2BD" w14:textId="77777777" w:rsidR="001449A5" w:rsidRPr="00BF6196" w:rsidRDefault="00BF6196" w:rsidP="004E2864">
      <w:pPr>
        <w:rPr>
          <w:b/>
          <w:lang w:eastAsia="en-US"/>
        </w:rPr>
      </w:pPr>
      <w:r w:rsidRPr="00BF6196">
        <w:rPr>
          <w:b/>
          <w:lang w:eastAsia="en-US"/>
        </w:rPr>
        <w:t>Financijski mo</w:t>
      </w:r>
      <w:r w:rsidR="001449A5" w:rsidRPr="00BF6196">
        <w:rPr>
          <w:b/>
          <w:lang w:eastAsia="en-US"/>
        </w:rPr>
        <w:t>deli i poticaji</w:t>
      </w:r>
    </w:p>
    <w:p w14:paraId="5893F411" w14:textId="77777777" w:rsidR="001449A5" w:rsidRPr="009C52C4" w:rsidRDefault="00B52702" w:rsidP="00BF6196">
      <w:pPr>
        <w:rPr>
          <w:lang w:eastAsia="en-US"/>
        </w:rPr>
      </w:pPr>
      <w:r>
        <w:rPr>
          <w:lang w:eastAsia="en-US"/>
        </w:rPr>
        <w:t xml:space="preserve">Financijski modeli </w:t>
      </w:r>
      <w:r w:rsidR="001449A5" w:rsidRPr="009C52C4">
        <w:rPr>
          <w:lang w:eastAsia="en-US"/>
        </w:rPr>
        <w:t>i poticaj</w:t>
      </w:r>
      <w:r w:rsidR="004E2864">
        <w:rPr>
          <w:lang w:eastAsia="en-US"/>
        </w:rPr>
        <w:t>i</w:t>
      </w:r>
      <w:r w:rsidR="001449A5" w:rsidRPr="009C52C4">
        <w:rPr>
          <w:lang w:eastAsia="en-US"/>
        </w:rPr>
        <w:t xml:space="preserve"> </w:t>
      </w:r>
      <w:r w:rsidR="004E2864">
        <w:rPr>
          <w:lang w:eastAsia="en-US"/>
        </w:rPr>
        <w:t>trebaju</w:t>
      </w:r>
      <w:r w:rsidR="001449A5" w:rsidRPr="009C52C4">
        <w:rPr>
          <w:lang w:eastAsia="en-US"/>
        </w:rPr>
        <w:t xml:space="preserve"> na strani potražnje mobilizirati investitore, a na strani ponude građevinsku industriju. Koncipiranje optimalnih poticaja izlazi izvan okvira ovoga dokumenta u kojem se kratko opisuju načela i mogući instrumenti za oblikovanje modela poticaja. Među izvorima financiranja modela ističu se </w:t>
      </w:r>
      <w:r w:rsidR="0044093F">
        <w:rPr>
          <w:lang w:eastAsia="en-US"/>
        </w:rPr>
        <w:t>ESI</w:t>
      </w:r>
      <w:r w:rsidR="001449A5" w:rsidRPr="009C52C4">
        <w:rPr>
          <w:lang w:eastAsia="en-US"/>
        </w:rPr>
        <w:t xml:space="preserve"> fondovi (čija bi alokacija </w:t>
      </w:r>
      <w:r w:rsidR="00C6515A">
        <w:rPr>
          <w:lang w:eastAsia="en-US"/>
        </w:rPr>
        <w:t xml:space="preserve">i u </w:t>
      </w:r>
      <w:r w:rsidR="009B0D5B">
        <w:rPr>
          <w:lang w:eastAsia="en-US"/>
        </w:rPr>
        <w:t xml:space="preserve">narednom razdoblju od 2021. do 2027. godine, a temeljeno na dobrim iskustvima iz razdoblja 2014. do 2020. godine, </w:t>
      </w:r>
      <w:r w:rsidR="00992FDD">
        <w:rPr>
          <w:lang w:eastAsia="en-US"/>
        </w:rPr>
        <w:t xml:space="preserve">snažno </w:t>
      </w:r>
      <w:r w:rsidR="001449A5" w:rsidRPr="009C52C4">
        <w:rPr>
          <w:lang w:eastAsia="en-US"/>
        </w:rPr>
        <w:t>pridonijela ispunjenju ciljeva Dugoročne strategije za poticanje ulaganja u obnovu nacionalnog fonda zgrada Republike Hrvatske), očekivane koristi za proračune opće države, koje opravdavaju korištenje poticaja financiranih iz javnih sredstava te novi financijski instrumenti. Konkretni modeli poticaja moraju biti prethodno provjereni na mikroekonomskim modelima kako bi se postigao maksimalan omjer dobivenih učinaka u vidu novih investicija spram realokacije resursa u građevinarstvo.</w:t>
      </w:r>
    </w:p>
    <w:p w14:paraId="3F070DFD" w14:textId="77777777" w:rsidR="001449A5" w:rsidRPr="006561AA" w:rsidRDefault="001449A5" w:rsidP="006561AA">
      <w:pPr>
        <w:rPr>
          <w:b/>
          <w:lang w:eastAsia="en-US"/>
        </w:rPr>
      </w:pPr>
      <w:r w:rsidRPr="006561AA">
        <w:rPr>
          <w:b/>
          <w:lang w:eastAsia="en-US"/>
        </w:rPr>
        <w:t>Shema dodjele bespovratnih sredstava</w:t>
      </w:r>
    </w:p>
    <w:p w14:paraId="0CB06646" w14:textId="77777777" w:rsidR="001449A5" w:rsidRPr="009C52C4" w:rsidRDefault="001449A5" w:rsidP="006561AA">
      <w:r w:rsidRPr="009C52C4">
        <w:t>Korištenjem sheme dodjele bespovratnih sredstava moguće je (i potrebno) postići sljedeće ciljeve:</w:t>
      </w:r>
    </w:p>
    <w:p w14:paraId="66504A38" w14:textId="77777777" w:rsidR="001449A5" w:rsidRPr="009C52C4" w:rsidRDefault="001449A5" w:rsidP="00853D9C">
      <w:pPr>
        <w:pStyle w:val="Odlomakpopisa"/>
        <w:numPr>
          <w:ilvl w:val="0"/>
          <w:numId w:val="43"/>
        </w:numPr>
      </w:pPr>
      <w:r w:rsidRPr="009C52C4">
        <w:t>poticati krajnje primatelje na izradu tehničkih podloga potrebnih za provedbu projekata energetske obnove s ciljem razvoja ponude projekata energetske obnove spremnih za izvedbu</w:t>
      </w:r>
      <w:r w:rsidR="001F3AD2">
        <w:t>;</w:t>
      </w:r>
    </w:p>
    <w:p w14:paraId="313C286D" w14:textId="77777777" w:rsidR="001449A5" w:rsidRPr="009C52C4" w:rsidRDefault="001449A5" w:rsidP="00853D9C">
      <w:pPr>
        <w:pStyle w:val="Odlomakpopisa"/>
        <w:numPr>
          <w:ilvl w:val="0"/>
          <w:numId w:val="43"/>
        </w:numPr>
      </w:pPr>
      <w:r w:rsidRPr="009C52C4">
        <w:t>poticanje na ulaganje u tehnologije energetske učinkovitosti koje se još nisu dokazale na domaćem tržištu, s ciljem ranog iskorištavanja brojnih inovacija koje postoje na tržištu</w:t>
      </w:r>
      <w:r w:rsidR="001F3AD2">
        <w:t>;</w:t>
      </w:r>
    </w:p>
    <w:p w14:paraId="6BE7AE85" w14:textId="77777777" w:rsidR="001449A5" w:rsidRPr="009C52C4" w:rsidRDefault="001449A5" w:rsidP="00853D9C">
      <w:pPr>
        <w:pStyle w:val="Odlomakpopisa"/>
        <w:numPr>
          <w:ilvl w:val="0"/>
          <w:numId w:val="43"/>
        </w:numPr>
      </w:pPr>
      <w:r w:rsidRPr="009C52C4">
        <w:t>poticanje tržišta na ulaganje u mjere energetske učinkovitosti kojima se postiže tehnički standard veći od onoga minimalno zahtijevanoga</w:t>
      </w:r>
      <w:r w:rsidR="001F3AD2">
        <w:t xml:space="preserve"> i </w:t>
      </w:r>
    </w:p>
    <w:p w14:paraId="321F04C0" w14:textId="77777777" w:rsidR="001449A5" w:rsidRPr="009C52C4" w:rsidRDefault="001449A5" w:rsidP="00853D9C">
      <w:pPr>
        <w:pStyle w:val="Odlomakpopisa"/>
        <w:numPr>
          <w:ilvl w:val="0"/>
          <w:numId w:val="43"/>
        </w:numPr>
      </w:pPr>
      <w:r w:rsidRPr="009C52C4">
        <w:t>subvencioniranje ESCO projekata sufinanciranjem naknade tijekom trajanja ugovornog odnosa</w:t>
      </w:r>
      <w:r w:rsidR="001F3AD2">
        <w:t>.</w:t>
      </w:r>
    </w:p>
    <w:p w14:paraId="6B060AE5" w14:textId="77777777" w:rsidR="001449A5" w:rsidRPr="009C52C4" w:rsidRDefault="001449A5" w:rsidP="006561AA">
      <w:r w:rsidRPr="009C52C4">
        <w:t xml:space="preserve">Uvažavajući gore navedene ciljeve, kao i praktične potrebe i </w:t>
      </w:r>
      <w:r w:rsidR="00036276">
        <w:t>prepreke</w:t>
      </w:r>
      <w:r w:rsidR="00036276" w:rsidRPr="009C52C4">
        <w:t xml:space="preserve"> </w:t>
      </w:r>
      <w:r w:rsidRPr="009C52C4">
        <w:t>navedene u ovoj Dugoročnoj strategiji za poticanje ulaganja u obnovu nacionalnog fonda zgrada Republike Hrvatske, sheme dodjele bespovratnih sredstava je potrebno formirati na način da se potiče:</w:t>
      </w:r>
    </w:p>
    <w:p w14:paraId="61DCE887" w14:textId="77777777" w:rsidR="001449A5" w:rsidRPr="009C52C4" w:rsidRDefault="001449A5" w:rsidP="00853D9C">
      <w:pPr>
        <w:pStyle w:val="Odlomakpopisa"/>
        <w:numPr>
          <w:ilvl w:val="0"/>
          <w:numId w:val="44"/>
        </w:numPr>
      </w:pPr>
      <w:r w:rsidRPr="009C52C4">
        <w:t>motiviranje za korištenje tržišnih sredstava</w:t>
      </w:r>
      <w:r w:rsidR="00E41F4D">
        <w:t>;</w:t>
      </w:r>
    </w:p>
    <w:p w14:paraId="72D16E43" w14:textId="77777777" w:rsidR="001449A5" w:rsidRPr="009C52C4" w:rsidRDefault="001449A5" w:rsidP="00853D9C">
      <w:pPr>
        <w:pStyle w:val="Odlomakpopisa"/>
        <w:numPr>
          <w:ilvl w:val="0"/>
          <w:numId w:val="44"/>
        </w:numPr>
      </w:pPr>
      <w:r w:rsidRPr="009C52C4">
        <w:t>ulaganje u tehničku dokumentaciju</w:t>
      </w:r>
      <w:r w:rsidR="00E41F4D">
        <w:t>;</w:t>
      </w:r>
    </w:p>
    <w:p w14:paraId="677FFDC5" w14:textId="77777777" w:rsidR="00E61F88" w:rsidRDefault="001449A5" w:rsidP="00853D9C">
      <w:pPr>
        <w:pStyle w:val="Odlomakpopisa"/>
        <w:numPr>
          <w:ilvl w:val="0"/>
          <w:numId w:val="44"/>
        </w:numPr>
      </w:pPr>
      <w:r w:rsidRPr="009C52C4">
        <w:t>ulaganje u inovativne tehnologije</w:t>
      </w:r>
      <w:r w:rsidR="00E41F4D">
        <w:t>;</w:t>
      </w:r>
    </w:p>
    <w:p w14:paraId="34374B1B" w14:textId="77777777" w:rsidR="001449A5" w:rsidRPr="009C52C4" w:rsidRDefault="001449A5" w:rsidP="00853D9C">
      <w:pPr>
        <w:pStyle w:val="Odlomakpopisa"/>
        <w:numPr>
          <w:ilvl w:val="0"/>
          <w:numId w:val="44"/>
        </w:numPr>
      </w:pPr>
      <w:r w:rsidRPr="009C52C4">
        <w:t>ulaganje u projekte koji su ispod tržišno prihvatljive razine isplativosti, ali ostvaruju visoke  ekonomske koristi za društvenu zajednicu</w:t>
      </w:r>
      <w:r w:rsidR="00E41F4D">
        <w:t xml:space="preserve"> i</w:t>
      </w:r>
    </w:p>
    <w:p w14:paraId="48490ACC" w14:textId="77777777" w:rsidR="001449A5" w:rsidRPr="009C52C4" w:rsidRDefault="001449A5" w:rsidP="00853D9C">
      <w:pPr>
        <w:pStyle w:val="Odlomakpopisa"/>
        <w:numPr>
          <w:ilvl w:val="0"/>
          <w:numId w:val="44"/>
        </w:numPr>
      </w:pPr>
      <w:r w:rsidRPr="009C52C4">
        <w:t>ulaganje u mjere kojima se postižu više razine tehničkih standarda</w:t>
      </w:r>
      <w:r w:rsidR="00E41F4D">
        <w:t>.</w:t>
      </w:r>
    </w:p>
    <w:p w14:paraId="35301298" w14:textId="77777777" w:rsidR="001449A5" w:rsidRPr="009C52C4" w:rsidRDefault="001449A5" w:rsidP="006561AA">
      <w:r w:rsidRPr="009C52C4">
        <w:t>Kroz sheme dodjele bespovratnih sredstava pod (a) poticalo bi se financiranje tržišno isplativih projekata u svrhu dodatne motivacije korisnika za realizaciju navedenih projekata. Oslanjanje na tržište za financiranje tržišno isplativih projekata (onih projekata koji pri dostupnim uvjetima financiranja ulagatelju nude povrat na vlastito ulaganje) nije nužno dovoljno jer se bazira na pretpostavci da će svi takvi ulagatelji biti motivirani i da koriste tržišna sredstva. Iskustvo pokazuje da određeni dio bespovratnih sredstava motivira korisnike da se uopće odluče za projekt.</w:t>
      </w:r>
    </w:p>
    <w:p w14:paraId="10462CEF" w14:textId="77777777" w:rsidR="001449A5" w:rsidRPr="009C52C4" w:rsidRDefault="001449A5" w:rsidP="006561AA">
      <w:r w:rsidRPr="009C52C4">
        <w:t xml:space="preserve">Kroz sheme dodjele bespovratnih sredstava pod (b) financirala bi se izrada </w:t>
      </w:r>
      <w:r w:rsidR="0043030F" w:rsidRPr="009C52C4">
        <w:t>tehničk</w:t>
      </w:r>
      <w:r w:rsidR="0043030F">
        <w:t>o</w:t>
      </w:r>
      <w:r w:rsidRPr="009C52C4">
        <w:t>-ekonomske dokumentacije iz koje će biti razvidna isplativost ulaganja u eventualni projekt energetske obnove. S obzirom da provedba projekta energetske obnove ovisi o nalazima i zaključcima iz predmetne dokumentacije, u ovom slučaju se preporuča visok udio sufinanciranja, kako bi se krajnje primatelje potaklo na preuzimanje rizika i ulaganje vlastitog sufinanciranja. Za projekte u privatnom sektoru, to može biti sufinanciranje investicijske studije, glavnog i izvedbenog projekta, detaljnih energetskih pregleda, komparatora troškova JPP-a, analiza troškova i koristi i sl.</w:t>
      </w:r>
    </w:p>
    <w:p w14:paraId="6F368CE3" w14:textId="77777777" w:rsidR="001449A5" w:rsidRPr="009C52C4" w:rsidRDefault="001449A5" w:rsidP="006561AA">
      <w:r w:rsidRPr="009C52C4">
        <w:t xml:space="preserve">Kroz sheme dodjele bespovratnih sredstava pod (c) bespovratna sredstva bi se odobravala za korištenje opreme koja </w:t>
      </w:r>
      <w:r w:rsidR="006D5F6C">
        <w:t>predstavlja najsuvremenije, inovativne tehnologije, čiji udio na</w:t>
      </w:r>
      <w:r w:rsidRPr="009C52C4">
        <w:t xml:space="preserve"> tržištu</w:t>
      </w:r>
      <w:r w:rsidR="006D5F6C">
        <w:t xml:space="preserve"> još nije visok</w:t>
      </w:r>
      <w:r w:rsidRPr="009C52C4">
        <w:t>. Na taj način bi se potaknulo krajnje primatelje da preuzmu rizik ulaganja u opremu koja nije široko primijenjena na tržištu, što indirektno potiče i tehničke inovacije u području energetske učinkovitosti.</w:t>
      </w:r>
    </w:p>
    <w:p w14:paraId="1AC7C5EC" w14:textId="77777777" w:rsidR="001449A5" w:rsidRPr="009C52C4" w:rsidRDefault="001449A5" w:rsidP="006561AA">
      <w:r w:rsidRPr="009C52C4">
        <w:t>Kroz sheme dodjele bespovratnih sredstava pod (d) odobravaju se bespovratna sredstva za mjere, odnosno projekte koji za cilj imaju postići višu razinu tehničkog standarda. S obzirom na niz eksternih faktora, ulaganje iznad određene razine tehničkog standarda nema ekonomsku opravdanost, već se zapravo plaća cijena postizanja nekog ne-ekonomskog cilja (npr. razvoj tržišta energetskih usluga, zapošljavanje, smanjenje emisija CO</w:t>
      </w:r>
      <w:r w:rsidRPr="009C52C4">
        <w:rPr>
          <w:vertAlign w:val="subscript"/>
        </w:rPr>
        <w:t>2</w:t>
      </w:r>
      <w:r w:rsidRPr="009C52C4">
        <w:t>). Kroz ovakvu shemu dodjele bespovratnih sredstava poticalo bi se one krajnje primatelje koji su spremni platiti tu cijenu.</w:t>
      </w:r>
    </w:p>
    <w:p w14:paraId="7D00A01C" w14:textId="77777777" w:rsidR="001449A5" w:rsidRPr="009C52C4" w:rsidRDefault="001449A5" w:rsidP="006561AA">
      <w:r w:rsidRPr="009C52C4">
        <w:t>Konačno, shemom dodjele bespovratnih sredstava pod (e) se potiče ulaganje u tržišno neisplative projekte. U kontekstu ove Dugoročne strategije za poticanje ulaganja u obnovu nacionalnog fonda zgrada Republike Hrvatske, tržišno neisplativi projekti su oni projekti koji pri dostupnim uvjetima financiranja ulagatelju nude povrat na vlastito ulaganje (tzv. ROE, odnosno Return On Equity) koji je ispod razine koju je moguće dobiti na tržištu. Logika je da će u slučaju nedostatnog povrata na vlastito ulaganje u neki projekt energetske učinkovitosti, racionalni subjekt vlastiti kapital angažirati negdje drugdje, pa je stoga takvo ulaganje potrebno poticati na način da se projektima koji su ispod prihvatljive razine povrata na vlastito ulaganje iz ovakve sheme dodjele bespovratnih sredstava dodjeli potpora koja će nadoknaditi potrebnu razliku.</w:t>
      </w:r>
    </w:p>
    <w:p w14:paraId="1C0B46EA" w14:textId="77777777" w:rsidR="001449A5" w:rsidRPr="005F6194" w:rsidRDefault="001449A5" w:rsidP="005F6194">
      <w:pPr>
        <w:ind w:left="0"/>
        <w:rPr>
          <w:b/>
          <w:lang w:eastAsia="en-US"/>
        </w:rPr>
      </w:pPr>
      <w:r w:rsidRPr="005F6194">
        <w:rPr>
          <w:b/>
          <w:lang w:eastAsia="en-US"/>
        </w:rPr>
        <w:t>Porezne olakšice</w:t>
      </w:r>
    </w:p>
    <w:p w14:paraId="77AC327B" w14:textId="27909363" w:rsidR="001449A5" w:rsidRPr="009C52C4" w:rsidRDefault="001449A5" w:rsidP="006561AA">
      <w:pPr>
        <w:rPr>
          <w:lang w:eastAsia="en-US"/>
        </w:rPr>
      </w:pPr>
      <w:r w:rsidRPr="009C52C4">
        <w:rPr>
          <w:lang w:eastAsia="en-US"/>
        </w:rPr>
        <w:t xml:space="preserve">Porezne olakšice za ulaganja najčešće se uvode u okviru sustava poreza na dohodak. Međutim, sustav oporezivanja dohotka u prezaduženoj zemlji poput Hrvatske mora biti što jasniji i jednostavniji, a olakšice po mogućnosti izostavljene ili iznimne, te ako postoje, povezane s važnijim društvenim ciljevima. </w:t>
      </w:r>
      <w:r w:rsidR="00833907">
        <w:rPr>
          <w:lang w:eastAsia="en-US"/>
        </w:rPr>
        <w:t>Stoga,</w:t>
      </w:r>
      <w:r w:rsidRPr="009C52C4">
        <w:rPr>
          <w:lang w:eastAsia="en-US"/>
        </w:rPr>
        <w:t xml:space="preserve"> treba predvidjeti porezne olakšice za vlasnike nekretnina koji ulažu u rekonstrukciju i postižu ciljane građevinske i energetske standarde. Takve se olakšice mogu višestruko vratiti kroz prikazane povratne učinke potaknutih ekonomskih aktivnosti na javne prihode. Zbog starenja stanovništva, energetskog siromaštva starijih osoba i njihove nemogućnosti da osiguraju potrebna ulaganja prijeti daljnji dugoročni pad vrijednosti loše održavanih nekretnina. </w:t>
      </w:r>
      <w:r w:rsidR="004B4BDA">
        <w:rPr>
          <w:lang w:eastAsia="en-US"/>
        </w:rPr>
        <w:t xml:space="preserve">Stoga je </w:t>
      </w:r>
      <w:r w:rsidR="00361886">
        <w:rPr>
          <w:lang w:eastAsia="en-US"/>
        </w:rPr>
        <w:t xml:space="preserve">potrebno utvrditi regulatorne mjere (kroz zakonodavstvo iz područja stanovanja i upravljanja nekretninama) koje će osigurati redovno održavanje nekretnina, koje će uključivati i energetsku obnovu.  </w:t>
      </w:r>
    </w:p>
    <w:p w14:paraId="241990B9" w14:textId="77777777" w:rsidR="001449A5" w:rsidRPr="00E62A97" w:rsidRDefault="001449A5" w:rsidP="006561AA">
      <w:pPr>
        <w:rPr>
          <w:b/>
          <w:lang w:eastAsia="en-US"/>
        </w:rPr>
      </w:pPr>
      <w:r w:rsidRPr="00E62A97">
        <w:rPr>
          <w:b/>
          <w:lang w:eastAsia="en-US"/>
        </w:rPr>
        <w:t>Sustav poticane stambene štednje</w:t>
      </w:r>
    </w:p>
    <w:p w14:paraId="03D1BC63" w14:textId="77777777" w:rsidR="001449A5" w:rsidRPr="009C52C4" w:rsidRDefault="001449A5" w:rsidP="006561AA">
      <w:pPr>
        <w:rPr>
          <w:lang w:eastAsia="en-US"/>
        </w:rPr>
      </w:pPr>
      <w:r w:rsidRPr="009C52C4">
        <w:rPr>
          <w:lang w:eastAsia="en-US"/>
        </w:rPr>
        <w:t>Iako su poticaji za stambenu štednju ukinuti 2014. godine zbog prekomjernog deficita i javnog duga, naknadno su vraćeni. Stambene štedionice pokušavaju pronaći modalitete opstanka. Stambeni štediše još uvijek vjeruju u mogućnost povratka nekog oblika poticaja, o čemu svjedoči oko 500 000 otvorenih računa stambene štednje. Važna je i činjenica da je gotovo polovica svih odobrenih kredita u stambenim štedionicama namijenjena adaptacijama i rekonstrukcijama</w:t>
      </w:r>
      <w:r w:rsidRPr="009C52C4">
        <w:rPr>
          <w:vertAlign w:val="superscript"/>
          <w:lang w:eastAsia="en-US"/>
        </w:rPr>
        <w:footnoteReference w:id="29"/>
      </w:r>
      <w:r w:rsidRPr="009C52C4">
        <w:rPr>
          <w:lang w:eastAsia="en-US"/>
        </w:rPr>
        <w:t>, što govori o velikoj potrebi građana za financiranjem obnova stanova i zgrada. Poticana stambena štednja iznimno je prilagodljiv financijski instrument, pogodan za vođenje sektorske politike u graditeljstvu. Uvođenjem diferenciranih poticaja mogu se poticati preferirane namjene štednje odnosno podizanja kredita, što se u ovom slučaju odnosi na određene vrste održive obnove stambenih jedinica. Stambene štedionice jedine su kreditne institucije koje, dok je štednja poticana od strane vlade, mogu nuditi dugoročne kredite s povoljnom kamatnom stopom koja je fiksna kroz cijeli vijek otplate kredita. Na taj se način postiže velik doprinos ostvarenju neizravnog cilja financijske stabilnosti i otplate kredita bez stresa. Stoga je potrebno razmotriti vraćanje namjenski diferenciranih poticaja za stambenu štednju, vezanih uz financiranje održive obnove zgrada. Namjenski diferencirani poticaji trebaju biti praćeni regulatornom reformom kojom bi se omogućila kolektivna poticana štednja vlasnika u višestambenim zgradama.</w:t>
      </w:r>
    </w:p>
    <w:p w14:paraId="26463DB7" w14:textId="77777777" w:rsidR="001449A5" w:rsidRPr="00E06C8C" w:rsidRDefault="001449A5" w:rsidP="006561AA">
      <w:pPr>
        <w:rPr>
          <w:b/>
          <w:lang w:eastAsia="en-US"/>
        </w:rPr>
      </w:pPr>
      <w:r w:rsidRPr="00E06C8C">
        <w:rPr>
          <w:b/>
          <w:lang w:eastAsia="en-US"/>
        </w:rPr>
        <w:t xml:space="preserve">Posebni programi financiranja koji uključuju mogućnost korištenja </w:t>
      </w:r>
      <w:r w:rsidR="00E06C8C">
        <w:rPr>
          <w:b/>
          <w:lang w:eastAsia="en-US"/>
        </w:rPr>
        <w:t>bes</w:t>
      </w:r>
      <w:r w:rsidRPr="00E06C8C">
        <w:rPr>
          <w:b/>
          <w:lang w:eastAsia="en-US"/>
        </w:rPr>
        <w:t>povratnih sredstava iz EU fondova</w:t>
      </w:r>
    </w:p>
    <w:p w14:paraId="6FBA6234" w14:textId="77777777" w:rsidR="006D10B9" w:rsidRPr="009C52C4" w:rsidRDefault="001449A5" w:rsidP="006D10B9">
      <w:pPr>
        <w:rPr>
          <w:lang w:eastAsia="en-US"/>
        </w:rPr>
      </w:pPr>
      <w:r w:rsidRPr="009C52C4">
        <w:rPr>
          <w:lang w:eastAsia="en-US"/>
        </w:rPr>
        <w:t xml:space="preserve">Spomenuti poticaji vjerojatno neće biti dovoljni za pokretanje održive obnove zgrada u obujmu i dinamici koju zahtijeva zatečeno stanje i koja je planirana ovom Dugoročnom strategijom za poticanje ulaganja u obnovu nacionalnog fonda zgrada Republike Hrvatske. Stoga je nužno aranžirati posebne kreditno-garancijske financijske sheme koje uključuju podjelu rizika i subvencioniranje dijela troškova pripreme, projektiranja, nadzora i izvedbe, a to nije moguće izvesti bez angažiranja sredstava iz EU fondova i proračunskih sredstava. </w:t>
      </w:r>
    </w:p>
    <w:p w14:paraId="5C566517" w14:textId="0106B73E" w:rsidR="00827B0A" w:rsidRDefault="00827B0A" w:rsidP="00670678">
      <w:pPr>
        <w:rPr>
          <w:lang w:eastAsia="hr-HR"/>
        </w:rPr>
      </w:pPr>
      <w:r>
        <w:rPr>
          <w:lang w:eastAsia="hr-HR"/>
        </w:rPr>
        <w:br w:type="page"/>
      </w:r>
    </w:p>
    <w:p w14:paraId="03378498" w14:textId="77777777" w:rsidR="0094382C" w:rsidRDefault="00D56A01" w:rsidP="008129E7">
      <w:pPr>
        <w:pStyle w:val="Naslov10"/>
      </w:pPr>
      <w:bookmarkStart w:id="142" w:name="_Toc34052886"/>
      <w:bookmarkStart w:id="143" w:name="_Toc46163830"/>
      <w:r>
        <w:t xml:space="preserve">Pregled </w:t>
      </w:r>
      <w:r w:rsidR="00107605">
        <w:t>politika i mjera usmjerenih na specifična problemska područja</w:t>
      </w:r>
      <w:bookmarkEnd w:id="142"/>
      <w:bookmarkEnd w:id="143"/>
    </w:p>
    <w:p w14:paraId="03E65F1D" w14:textId="77777777" w:rsidR="00A27216" w:rsidRDefault="00D45E66" w:rsidP="007649C2">
      <w:pPr>
        <w:pStyle w:val="Naslov20"/>
      </w:pPr>
      <w:bookmarkStart w:id="144" w:name="_Toc34052887"/>
      <w:bookmarkStart w:id="145" w:name="_Toc46163831"/>
      <w:r w:rsidRPr="00A209F1">
        <w:t>Nacionalni fond zgrada s najgorim svojstvima</w:t>
      </w:r>
      <w:bookmarkEnd w:id="144"/>
      <w:bookmarkEnd w:id="145"/>
    </w:p>
    <w:p w14:paraId="37DB8F3D" w14:textId="77777777" w:rsidR="00054370" w:rsidRDefault="00113D4F" w:rsidP="00670678">
      <w:pPr>
        <w:rPr>
          <w:lang w:eastAsia="hr-HR"/>
        </w:rPr>
      </w:pPr>
      <w:r>
        <w:rPr>
          <w:lang w:eastAsia="hr-HR"/>
        </w:rPr>
        <w:t xml:space="preserve">Zgrade s najgorim svojstvima u pravilu ne zadovoljavaju minimalne zahtjeve u pogledu mehaničke otpornosti i stabilnosti, zaštite od požara ili zaštite zdravlja. </w:t>
      </w:r>
      <w:r w:rsidR="007946C2">
        <w:rPr>
          <w:lang w:eastAsia="hr-HR"/>
        </w:rPr>
        <w:t xml:space="preserve">Potencijal energetske obnove tih zgrada </w:t>
      </w:r>
      <w:r w:rsidR="00BE717D">
        <w:rPr>
          <w:lang w:eastAsia="hr-HR"/>
        </w:rPr>
        <w:t xml:space="preserve">ograničen je niskom kvalitetom stanovanja koju pružaju i visokim troškovima povezanim </w:t>
      </w:r>
      <w:r w:rsidR="00054370">
        <w:rPr>
          <w:lang w:eastAsia="hr-HR"/>
        </w:rPr>
        <w:t xml:space="preserve">uz neenergetske aspekte obnove zgrada. Zgrade u privatnom vlasništvu, </w:t>
      </w:r>
      <w:r w:rsidR="00821C51">
        <w:rPr>
          <w:lang w:eastAsia="hr-HR"/>
        </w:rPr>
        <w:t xml:space="preserve">koje možemo svrstati u kategoriju zgrada s najgorim svojstvima, </w:t>
      </w:r>
      <w:r w:rsidR="00972775">
        <w:rPr>
          <w:lang w:eastAsia="hr-HR"/>
        </w:rPr>
        <w:t xml:space="preserve">istodobno zadržavaju </w:t>
      </w:r>
      <w:r w:rsidR="001F2976">
        <w:rPr>
          <w:lang w:eastAsia="hr-HR"/>
        </w:rPr>
        <w:t xml:space="preserve">visok potencijal energetske obnove i ostvarivih ušteda. </w:t>
      </w:r>
    </w:p>
    <w:p w14:paraId="7D12EE5D" w14:textId="77777777" w:rsidR="00882ACD" w:rsidRDefault="002D0BDE" w:rsidP="00BC2135">
      <w:pPr>
        <w:rPr>
          <w:lang w:eastAsia="hr-HR"/>
        </w:rPr>
      </w:pPr>
      <w:r>
        <w:rPr>
          <w:lang w:eastAsia="hr-HR"/>
        </w:rPr>
        <w:t xml:space="preserve">S aspekta energetske obnove, najgora svojstva imaju sve zgrade energetskog razreda </w:t>
      </w:r>
      <w:r w:rsidR="00955A3C">
        <w:rPr>
          <w:lang w:eastAsia="hr-HR"/>
        </w:rPr>
        <w:t xml:space="preserve">D ili goreg u </w:t>
      </w:r>
      <w:r w:rsidR="004B5C80">
        <w:rPr>
          <w:lang w:eastAsia="hr-HR"/>
        </w:rPr>
        <w:t>kontinentalnom dijelu Hrvatske odnosno C ili goreg u primorskoj Hrvatskoj. Stoga je fokus svih politika i mjera</w:t>
      </w:r>
      <w:r w:rsidR="005E6C1F">
        <w:rPr>
          <w:lang w:eastAsia="hr-HR"/>
        </w:rPr>
        <w:t xml:space="preserve"> upravo na</w:t>
      </w:r>
      <w:r w:rsidR="004B5C80">
        <w:rPr>
          <w:lang w:eastAsia="hr-HR"/>
        </w:rPr>
        <w:t xml:space="preserve"> </w:t>
      </w:r>
      <w:r w:rsidR="00882ACD">
        <w:rPr>
          <w:lang w:eastAsia="hr-HR"/>
        </w:rPr>
        <w:t>fond zgrada s najvišom potrošnjom energije</w:t>
      </w:r>
      <w:r w:rsidR="006C028C">
        <w:rPr>
          <w:lang w:eastAsia="hr-HR"/>
        </w:rPr>
        <w:t xml:space="preserve">. Prema podacima iz baze energetskih certifikata, </w:t>
      </w:r>
      <w:r w:rsidR="002B177F">
        <w:rPr>
          <w:lang w:eastAsia="hr-HR"/>
        </w:rPr>
        <w:t xml:space="preserve">prema namjenama i klimatskim područjima, </w:t>
      </w:r>
      <w:r w:rsidR="006F763B">
        <w:rPr>
          <w:lang w:eastAsia="hr-HR"/>
        </w:rPr>
        <w:t xml:space="preserve">u pravilu više od 30% zgrada spada u zgrade s najlošijim svojstvima. </w:t>
      </w:r>
    </w:p>
    <w:p w14:paraId="5A4F672F" w14:textId="504E37A3" w:rsidR="00555B7C" w:rsidRDefault="00555B7C" w:rsidP="00334A49">
      <w:pPr>
        <w:pStyle w:val="Opisslike"/>
        <w:keepNext/>
      </w:pPr>
      <w:bookmarkStart w:id="146" w:name="_Toc40089041"/>
      <w:r>
        <w:t xml:space="preserve">Tablica </w:t>
      </w:r>
      <w:fldSimple w:instr=" SEQ Tablica \* ARABIC ">
        <w:r w:rsidR="00CE61F3">
          <w:rPr>
            <w:noProof/>
          </w:rPr>
          <w:t>5</w:t>
        </w:r>
      </w:fldSimple>
      <w:r>
        <w:t xml:space="preserve"> Udio zgrada s najlošijim svojstvima u ukupnom fondu zgrada</w:t>
      </w:r>
      <w:bookmarkEnd w:id="146"/>
    </w:p>
    <w:tbl>
      <w:tblPr>
        <w:tblStyle w:val="Reetkatablice"/>
        <w:tblW w:w="0" w:type="auto"/>
        <w:tblLook w:val="04A0" w:firstRow="1" w:lastRow="0" w:firstColumn="1" w:lastColumn="0" w:noHBand="0" w:noVBand="1"/>
      </w:tblPr>
      <w:tblGrid>
        <w:gridCol w:w="1784"/>
        <w:gridCol w:w="818"/>
        <w:gridCol w:w="794"/>
        <w:gridCol w:w="852"/>
        <w:gridCol w:w="850"/>
        <w:gridCol w:w="851"/>
        <w:gridCol w:w="709"/>
        <w:gridCol w:w="708"/>
        <w:gridCol w:w="709"/>
        <w:gridCol w:w="1269"/>
      </w:tblGrid>
      <w:tr w:rsidR="00C74C67" w:rsidRPr="00C74C67" w14:paraId="4F64EFC2" w14:textId="77777777" w:rsidTr="00D877C5">
        <w:trPr>
          <w:trHeight w:val="288"/>
        </w:trPr>
        <w:tc>
          <w:tcPr>
            <w:tcW w:w="1784" w:type="dxa"/>
            <w:noWrap/>
            <w:hideMark/>
          </w:tcPr>
          <w:p w14:paraId="063D0EC3" w14:textId="6F81DC2D" w:rsidR="00C74C67" w:rsidRPr="00D877C5" w:rsidRDefault="00C74C67">
            <w:pPr>
              <w:rPr>
                <w:rFonts w:asciiTheme="minorHAnsi" w:hAnsiTheme="minorHAnsi" w:cstheme="minorHAnsi"/>
                <w:b/>
                <w:bCs/>
                <w:sz w:val="16"/>
                <w:szCs w:val="16"/>
              </w:rPr>
            </w:pPr>
            <w:r>
              <w:rPr>
                <w:rFonts w:asciiTheme="minorHAnsi" w:hAnsiTheme="minorHAnsi" w:cstheme="minorHAnsi"/>
                <w:b/>
                <w:bCs/>
                <w:sz w:val="16"/>
                <w:szCs w:val="16"/>
              </w:rPr>
              <w:t>energetski razred</w:t>
            </w:r>
          </w:p>
        </w:tc>
        <w:tc>
          <w:tcPr>
            <w:tcW w:w="818" w:type="dxa"/>
            <w:noWrap/>
            <w:hideMark/>
          </w:tcPr>
          <w:p w14:paraId="6F6C05FC"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A+</w:t>
            </w:r>
          </w:p>
        </w:tc>
        <w:tc>
          <w:tcPr>
            <w:tcW w:w="794" w:type="dxa"/>
            <w:noWrap/>
            <w:hideMark/>
          </w:tcPr>
          <w:p w14:paraId="1E2E88C3"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A</w:t>
            </w:r>
          </w:p>
        </w:tc>
        <w:tc>
          <w:tcPr>
            <w:tcW w:w="852" w:type="dxa"/>
            <w:noWrap/>
            <w:hideMark/>
          </w:tcPr>
          <w:p w14:paraId="7A417030"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B</w:t>
            </w:r>
          </w:p>
        </w:tc>
        <w:tc>
          <w:tcPr>
            <w:tcW w:w="850" w:type="dxa"/>
            <w:noWrap/>
            <w:hideMark/>
          </w:tcPr>
          <w:p w14:paraId="3B79C8FD"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C</w:t>
            </w:r>
          </w:p>
        </w:tc>
        <w:tc>
          <w:tcPr>
            <w:tcW w:w="851" w:type="dxa"/>
            <w:noWrap/>
            <w:hideMark/>
          </w:tcPr>
          <w:p w14:paraId="4A206CF3"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D</w:t>
            </w:r>
          </w:p>
        </w:tc>
        <w:tc>
          <w:tcPr>
            <w:tcW w:w="709" w:type="dxa"/>
            <w:noWrap/>
            <w:hideMark/>
          </w:tcPr>
          <w:p w14:paraId="5900745A"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E</w:t>
            </w:r>
          </w:p>
        </w:tc>
        <w:tc>
          <w:tcPr>
            <w:tcW w:w="708" w:type="dxa"/>
            <w:noWrap/>
            <w:hideMark/>
          </w:tcPr>
          <w:p w14:paraId="017C84E1"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F</w:t>
            </w:r>
          </w:p>
        </w:tc>
        <w:tc>
          <w:tcPr>
            <w:tcW w:w="709" w:type="dxa"/>
            <w:noWrap/>
            <w:hideMark/>
          </w:tcPr>
          <w:p w14:paraId="21025999"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G</w:t>
            </w:r>
          </w:p>
        </w:tc>
        <w:tc>
          <w:tcPr>
            <w:tcW w:w="1269" w:type="dxa"/>
            <w:noWrap/>
            <w:hideMark/>
          </w:tcPr>
          <w:p w14:paraId="7233FC5A" w14:textId="06D0BC89" w:rsidR="00C74C67" w:rsidRPr="00D877C5" w:rsidRDefault="00C74C67" w:rsidP="00D877C5">
            <w:pPr>
              <w:jc w:val="right"/>
              <w:rPr>
                <w:rFonts w:asciiTheme="minorHAnsi" w:hAnsiTheme="minorHAnsi" w:cstheme="minorHAnsi"/>
                <w:b/>
                <w:bCs/>
                <w:sz w:val="16"/>
                <w:szCs w:val="16"/>
              </w:rPr>
            </w:pPr>
            <w:r>
              <w:rPr>
                <w:rFonts w:asciiTheme="minorHAnsi" w:hAnsiTheme="minorHAnsi" w:cstheme="minorHAnsi"/>
                <w:b/>
                <w:bCs/>
                <w:sz w:val="16"/>
                <w:szCs w:val="16"/>
              </w:rPr>
              <w:t>Zgrade s najlošijim svojstvima ukupno</w:t>
            </w:r>
          </w:p>
        </w:tc>
      </w:tr>
      <w:tr w:rsidR="00C74C67" w:rsidRPr="00C74C67" w14:paraId="77E25CEF" w14:textId="77777777" w:rsidTr="00D877C5">
        <w:trPr>
          <w:trHeight w:val="288"/>
        </w:trPr>
        <w:tc>
          <w:tcPr>
            <w:tcW w:w="1784" w:type="dxa"/>
            <w:noWrap/>
            <w:hideMark/>
          </w:tcPr>
          <w:p w14:paraId="6E4ECCA6"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Bolnice</w:t>
            </w:r>
          </w:p>
        </w:tc>
        <w:tc>
          <w:tcPr>
            <w:tcW w:w="818" w:type="dxa"/>
            <w:noWrap/>
            <w:hideMark/>
          </w:tcPr>
          <w:p w14:paraId="600E011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0,07%</w:t>
            </w:r>
          </w:p>
        </w:tc>
        <w:tc>
          <w:tcPr>
            <w:tcW w:w="794" w:type="dxa"/>
            <w:noWrap/>
            <w:hideMark/>
          </w:tcPr>
          <w:p w14:paraId="144C310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0,42%</w:t>
            </w:r>
          </w:p>
        </w:tc>
        <w:tc>
          <w:tcPr>
            <w:tcW w:w="852" w:type="dxa"/>
            <w:noWrap/>
            <w:hideMark/>
          </w:tcPr>
          <w:p w14:paraId="4A010446"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9,99%</w:t>
            </w:r>
          </w:p>
        </w:tc>
        <w:tc>
          <w:tcPr>
            <w:tcW w:w="850" w:type="dxa"/>
            <w:noWrap/>
            <w:hideMark/>
          </w:tcPr>
          <w:p w14:paraId="240DD68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31,35%</w:t>
            </w:r>
          </w:p>
        </w:tc>
        <w:tc>
          <w:tcPr>
            <w:tcW w:w="851" w:type="dxa"/>
            <w:noWrap/>
            <w:hideMark/>
          </w:tcPr>
          <w:p w14:paraId="41EB145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24,07%</w:t>
            </w:r>
          </w:p>
        </w:tc>
        <w:tc>
          <w:tcPr>
            <w:tcW w:w="709" w:type="dxa"/>
            <w:noWrap/>
            <w:hideMark/>
          </w:tcPr>
          <w:p w14:paraId="727822A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6,80%</w:t>
            </w:r>
          </w:p>
        </w:tc>
        <w:tc>
          <w:tcPr>
            <w:tcW w:w="708" w:type="dxa"/>
            <w:noWrap/>
            <w:hideMark/>
          </w:tcPr>
          <w:p w14:paraId="05D61A5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9,71%</w:t>
            </w:r>
          </w:p>
        </w:tc>
        <w:tc>
          <w:tcPr>
            <w:tcW w:w="709" w:type="dxa"/>
            <w:noWrap/>
            <w:hideMark/>
          </w:tcPr>
          <w:p w14:paraId="01BE368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17,59%</w:t>
            </w:r>
          </w:p>
        </w:tc>
        <w:tc>
          <w:tcPr>
            <w:tcW w:w="1269" w:type="dxa"/>
            <w:noWrap/>
            <w:hideMark/>
          </w:tcPr>
          <w:p w14:paraId="793EC396"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442C7E06" w14:textId="77777777" w:rsidTr="00D877C5">
        <w:trPr>
          <w:trHeight w:val="288"/>
        </w:trPr>
        <w:tc>
          <w:tcPr>
            <w:tcW w:w="1784" w:type="dxa"/>
            <w:noWrap/>
            <w:hideMark/>
          </w:tcPr>
          <w:p w14:paraId="42142EF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1B599F9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94" w:type="dxa"/>
            <w:noWrap/>
            <w:hideMark/>
          </w:tcPr>
          <w:p w14:paraId="584CBEC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852" w:type="dxa"/>
            <w:noWrap/>
            <w:hideMark/>
          </w:tcPr>
          <w:p w14:paraId="1340688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6,49%</w:t>
            </w:r>
          </w:p>
        </w:tc>
        <w:tc>
          <w:tcPr>
            <w:tcW w:w="850" w:type="dxa"/>
            <w:noWrap/>
            <w:hideMark/>
          </w:tcPr>
          <w:p w14:paraId="28F6193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32,02%</w:t>
            </w:r>
          </w:p>
        </w:tc>
        <w:tc>
          <w:tcPr>
            <w:tcW w:w="851" w:type="dxa"/>
            <w:shd w:val="clear" w:color="auto" w:fill="D9D9D9" w:themeFill="background1" w:themeFillShade="D9"/>
            <w:noWrap/>
            <w:hideMark/>
          </w:tcPr>
          <w:p w14:paraId="04334D7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12,52%</w:t>
            </w:r>
          </w:p>
        </w:tc>
        <w:tc>
          <w:tcPr>
            <w:tcW w:w="709" w:type="dxa"/>
            <w:shd w:val="clear" w:color="auto" w:fill="D9D9D9" w:themeFill="background1" w:themeFillShade="D9"/>
            <w:noWrap/>
            <w:hideMark/>
          </w:tcPr>
          <w:p w14:paraId="3F2ED3C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9,77%</w:t>
            </w:r>
          </w:p>
        </w:tc>
        <w:tc>
          <w:tcPr>
            <w:tcW w:w="708" w:type="dxa"/>
            <w:shd w:val="clear" w:color="auto" w:fill="D9D9D9" w:themeFill="background1" w:themeFillShade="D9"/>
            <w:noWrap/>
            <w:hideMark/>
          </w:tcPr>
          <w:p w14:paraId="02801A9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12,28%</w:t>
            </w:r>
          </w:p>
        </w:tc>
        <w:tc>
          <w:tcPr>
            <w:tcW w:w="709" w:type="dxa"/>
            <w:shd w:val="clear" w:color="auto" w:fill="D9D9D9" w:themeFill="background1" w:themeFillShade="D9"/>
            <w:noWrap/>
            <w:hideMark/>
          </w:tcPr>
          <w:p w14:paraId="0788F8C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26,93%</w:t>
            </w:r>
          </w:p>
        </w:tc>
        <w:tc>
          <w:tcPr>
            <w:tcW w:w="1269" w:type="dxa"/>
            <w:noWrap/>
            <w:hideMark/>
          </w:tcPr>
          <w:p w14:paraId="2CBC0585"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61%</w:t>
            </w:r>
          </w:p>
        </w:tc>
      </w:tr>
      <w:tr w:rsidR="00C74C67" w:rsidRPr="00C74C67" w14:paraId="57327659" w14:textId="77777777" w:rsidTr="00D877C5">
        <w:trPr>
          <w:trHeight w:val="288"/>
        </w:trPr>
        <w:tc>
          <w:tcPr>
            <w:tcW w:w="1784" w:type="dxa"/>
            <w:noWrap/>
            <w:hideMark/>
          </w:tcPr>
          <w:p w14:paraId="79EB780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596927A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0,19%</w:t>
            </w:r>
          </w:p>
        </w:tc>
        <w:tc>
          <w:tcPr>
            <w:tcW w:w="794" w:type="dxa"/>
            <w:noWrap/>
            <w:hideMark/>
          </w:tcPr>
          <w:p w14:paraId="3222C34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1,21%</w:t>
            </w:r>
          </w:p>
        </w:tc>
        <w:tc>
          <w:tcPr>
            <w:tcW w:w="852" w:type="dxa"/>
            <w:noWrap/>
            <w:hideMark/>
          </w:tcPr>
          <w:p w14:paraId="7AAA489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16,52%</w:t>
            </w:r>
          </w:p>
        </w:tc>
        <w:tc>
          <w:tcPr>
            <w:tcW w:w="850" w:type="dxa"/>
            <w:shd w:val="clear" w:color="auto" w:fill="D9D9D9" w:themeFill="background1" w:themeFillShade="D9"/>
            <w:noWrap/>
            <w:hideMark/>
          </w:tcPr>
          <w:p w14:paraId="71AED15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30,11%</w:t>
            </w:r>
          </w:p>
        </w:tc>
        <w:tc>
          <w:tcPr>
            <w:tcW w:w="851" w:type="dxa"/>
            <w:shd w:val="clear" w:color="auto" w:fill="D9D9D9" w:themeFill="background1" w:themeFillShade="D9"/>
            <w:noWrap/>
            <w:hideMark/>
          </w:tcPr>
          <w:p w14:paraId="5AA201B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45,58%</w:t>
            </w:r>
          </w:p>
        </w:tc>
        <w:tc>
          <w:tcPr>
            <w:tcW w:w="709" w:type="dxa"/>
            <w:shd w:val="clear" w:color="auto" w:fill="D9D9D9" w:themeFill="background1" w:themeFillShade="D9"/>
            <w:noWrap/>
            <w:hideMark/>
          </w:tcPr>
          <w:p w14:paraId="1429E21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1,26%</w:t>
            </w:r>
          </w:p>
        </w:tc>
        <w:tc>
          <w:tcPr>
            <w:tcW w:w="708" w:type="dxa"/>
            <w:shd w:val="clear" w:color="auto" w:fill="D9D9D9" w:themeFill="background1" w:themeFillShade="D9"/>
            <w:noWrap/>
            <w:hideMark/>
          </w:tcPr>
          <w:p w14:paraId="25D26C5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4,92%</w:t>
            </w:r>
          </w:p>
        </w:tc>
        <w:tc>
          <w:tcPr>
            <w:tcW w:w="709" w:type="dxa"/>
            <w:shd w:val="clear" w:color="auto" w:fill="D9D9D9" w:themeFill="background1" w:themeFillShade="D9"/>
            <w:noWrap/>
            <w:hideMark/>
          </w:tcPr>
          <w:p w14:paraId="1491ED2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0,21%</w:t>
            </w:r>
          </w:p>
        </w:tc>
        <w:tc>
          <w:tcPr>
            <w:tcW w:w="1269" w:type="dxa"/>
            <w:noWrap/>
            <w:hideMark/>
          </w:tcPr>
          <w:p w14:paraId="3D433AC5"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82%</w:t>
            </w:r>
          </w:p>
        </w:tc>
      </w:tr>
      <w:tr w:rsidR="00C74C67" w:rsidRPr="00C74C67" w14:paraId="6C88E652" w14:textId="77777777" w:rsidTr="00D877C5">
        <w:trPr>
          <w:trHeight w:val="67"/>
        </w:trPr>
        <w:tc>
          <w:tcPr>
            <w:tcW w:w="1784" w:type="dxa"/>
            <w:noWrap/>
            <w:hideMark/>
          </w:tcPr>
          <w:p w14:paraId="45F32BEB"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Hoteli i restorani</w:t>
            </w:r>
          </w:p>
        </w:tc>
        <w:tc>
          <w:tcPr>
            <w:tcW w:w="818" w:type="dxa"/>
            <w:noWrap/>
            <w:hideMark/>
          </w:tcPr>
          <w:p w14:paraId="1CE8AC51"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14,02%</w:t>
            </w:r>
          </w:p>
        </w:tc>
        <w:tc>
          <w:tcPr>
            <w:tcW w:w="794" w:type="dxa"/>
            <w:noWrap/>
            <w:hideMark/>
          </w:tcPr>
          <w:p w14:paraId="2527600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19,42%</w:t>
            </w:r>
          </w:p>
        </w:tc>
        <w:tc>
          <w:tcPr>
            <w:tcW w:w="852" w:type="dxa"/>
            <w:noWrap/>
            <w:hideMark/>
          </w:tcPr>
          <w:p w14:paraId="729B42F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26,75%</w:t>
            </w:r>
          </w:p>
        </w:tc>
        <w:tc>
          <w:tcPr>
            <w:tcW w:w="850" w:type="dxa"/>
            <w:noWrap/>
            <w:hideMark/>
          </w:tcPr>
          <w:p w14:paraId="4964921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17,59%</w:t>
            </w:r>
          </w:p>
        </w:tc>
        <w:tc>
          <w:tcPr>
            <w:tcW w:w="851" w:type="dxa"/>
            <w:noWrap/>
            <w:hideMark/>
          </w:tcPr>
          <w:p w14:paraId="3246259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11,68%</w:t>
            </w:r>
          </w:p>
        </w:tc>
        <w:tc>
          <w:tcPr>
            <w:tcW w:w="709" w:type="dxa"/>
            <w:noWrap/>
            <w:hideMark/>
          </w:tcPr>
          <w:p w14:paraId="481D27D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7,10%</w:t>
            </w:r>
          </w:p>
        </w:tc>
        <w:tc>
          <w:tcPr>
            <w:tcW w:w="708" w:type="dxa"/>
            <w:noWrap/>
            <w:hideMark/>
          </w:tcPr>
          <w:p w14:paraId="218F157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2,38%</w:t>
            </w:r>
          </w:p>
        </w:tc>
        <w:tc>
          <w:tcPr>
            <w:tcW w:w="709" w:type="dxa"/>
            <w:noWrap/>
            <w:hideMark/>
          </w:tcPr>
          <w:p w14:paraId="09382BD6"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1,07%</w:t>
            </w:r>
          </w:p>
        </w:tc>
        <w:tc>
          <w:tcPr>
            <w:tcW w:w="1269" w:type="dxa"/>
            <w:noWrap/>
            <w:hideMark/>
          </w:tcPr>
          <w:p w14:paraId="4AF678E6"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0FAF0493" w14:textId="77777777" w:rsidTr="00D877C5">
        <w:trPr>
          <w:trHeight w:val="288"/>
        </w:trPr>
        <w:tc>
          <w:tcPr>
            <w:tcW w:w="1784" w:type="dxa"/>
            <w:noWrap/>
            <w:hideMark/>
          </w:tcPr>
          <w:p w14:paraId="5AF8BEA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13B768B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94" w:type="dxa"/>
            <w:noWrap/>
            <w:hideMark/>
          </w:tcPr>
          <w:p w14:paraId="7E39BA2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8,39%</w:t>
            </w:r>
          </w:p>
        </w:tc>
        <w:tc>
          <w:tcPr>
            <w:tcW w:w="852" w:type="dxa"/>
            <w:noWrap/>
            <w:hideMark/>
          </w:tcPr>
          <w:p w14:paraId="07A668E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28,44%</w:t>
            </w:r>
          </w:p>
        </w:tc>
        <w:tc>
          <w:tcPr>
            <w:tcW w:w="850" w:type="dxa"/>
            <w:noWrap/>
            <w:hideMark/>
          </w:tcPr>
          <w:p w14:paraId="1613CCA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27,39%</w:t>
            </w:r>
          </w:p>
        </w:tc>
        <w:tc>
          <w:tcPr>
            <w:tcW w:w="851" w:type="dxa"/>
            <w:shd w:val="clear" w:color="auto" w:fill="D9D9D9" w:themeFill="background1" w:themeFillShade="D9"/>
            <w:noWrap/>
            <w:hideMark/>
          </w:tcPr>
          <w:p w14:paraId="109DD40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8,61%</w:t>
            </w:r>
          </w:p>
        </w:tc>
        <w:tc>
          <w:tcPr>
            <w:tcW w:w="709" w:type="dxa"/>
            <w:shd w:val="clear" w:color="auto" w:fill="D9D9D9" w:themeFill="background1" w:themeFillShade="D9"/>
            <w:noWrap/>
            <w:hideMark/>
          </w:tcPr>
          <w:p w14:paraId="11DB78A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17,59%</w:t>
            </w:r>
          </w:p>
        </w:tc>
        <w:tc>
          <w:tcPr>
            <w:tcW w:w="708" w:type="dxa"/>
            <w:shd w:val="clear" w:color="auto" w:fill="D9D9D9" w:themeFill="background1" w:themeFillShade="D9"/>
            <w:noWrap/>
            <w:hideMark/>
          </w:tcPr>
          <w:p w14:paraId="2BB0079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5,84%</w:t>
            </w:r>
          </w:p>
        </w:tc>
        <w:tc>
          <w:tcPr>
            <w:tcW w:w="709" w:type="dxa"/>
            <w:shd w:val="clear" w:color="auto" w:fill="D9D9D9" w:themeFill="background1" w:themeFillShade="D9"/>
            <w:noWrap/>
            <w:hideMark/>
          </w:tcPr>
          <w:p w14:paraId="1B2007C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3,74%</w:t>
            </w:r>
          </w:p>
        </w:tc>
        <w:tc>
          <w:tcPr>
            <w:tcW w:w="1269" w:type="dxa"/>
            <w:noWrap/>
            <w:hideMark/>
          </w:tcPr>
          <w:p w14:paraId="36D7CBB7"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36%</w:t>
            </w:r>
          </w:p>
        </w:tc>
      </w:tr>
      <w:tr w:rsidR="00C74C67" w:rsidRPr="00C74C67" w14:paraId="66D474F7" w14:textId="77777777" w:rsidTr="00D877C5">
        <w:trPr>
          <w:trHeight w:val="288"/>
        </w:trPr>
        <w:tc>
          <w:tcPr>
            <w:tcW w:w="1784" w:type="dxa"/>
            <w:noWrap/>
            <w:hideMark/>
          </w:tcPr>
          <w:p w14:paraId="484F2DC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209B215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19,26%</w:t>
            </w:r>
          </w:p>
        </w:tc>
        <w:tc>
          <w:tcPr>
            <w:tcW w:w="794" w:type="dxa"/>
            <w:noWrap/>
            <w:hideMark/>
          </w:tcPr>
          <w:p w14:paraId="7A5B442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23,55%</w:t>
            </w:r>
          </w:p>
        </w:tc>
        <w:tc>
          <w:tcPr>
            <w:tcW w:w="852" w:type="dxa"/>
            <w:noWrap/>
            <w:hideMark/>
          </w:tcPr>
          <w:p w14:paraId="1A533AF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26,11%</w:t>
            </w:r>
          </w:p>
        </w:tc>
        <w:tc>
          <w:tcPr>
            <w:tcW w:w="850" w:type="dxa"/>
            <w:shd w:val="clear" w:color="auto" w:fill="D9D9D9" w:themeFill="background1" w:themeFillShade="D9"/>
            <w:noWrap/>
            <w:hideMark/>
          </w:tcPr>
          <w:p w14:paraId="06097CE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13,92%</w:t>
            </w:r>
          </w:p>
        </w:tc>
        <w:tc>
          <w:tcPr>
            <w:tcW w:w="851" w:type="dxa"/>
            <w:shd w:val="clear" w:color="auto" w:fill="D9D9D9" w:themeFill="background1" w:themeFillShade="D9"/>
            <w:noWrap/>
            <w:hideMark/>
          </w:tcPr>
          <w:p w14:paraId="350A8B9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12,82%</w:t>
            </w:r>
          </w:p>
        </w:tc>
        <w:tc>
          <w:tcPr>
            <w:tcW w:w="709" w:type="dxa"/>
            <w:shd w:val="clear" w:color="auto" w:fill="D9D9D9" w:themeFill="background1" w:themeFillShade="D9"/>
            <w:noWrap/>
            <w:hideMark/>
          </w:tcPr>
          <w:p w14:paraId="709993C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3,18%</w:t>
            </w:r>
          </w:p>
        </w:tc>
        <w:tc>
          <w:tcPr>
            <w:tcW w:w="708" w:type="dxa"/>
            <w:shd w:val="clear" w:color="auto" w:fill="D9D9D9" w:themeFill="background1" w:themeFillShade="D9"/>
            <w:noWrap/>
            <w:hideMark/>
          </w:tcPr>
          <w:p w14:paraId="4EC7A33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1,08%</w:t>
            </w:r>
          </w:p>
        </w:tc>
        <w:tc>
          <w:tcPr>
            <w:tcW w:w="709" w:type="dxa"/>
            <w:shd w:val="clear" w:color="auto" w:fill="D9D9D9" w:themeFill="background1" w:themeFillShade="D9"/>
            <w:noWrap/>
            <w:hideMark/>
          </w:tcPr>
          <w:p w14:paraId="5BCD787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0,07%</w:t>
            </w:r>
          </w:p>
        </w:tc>
        <w:tc>
          <w:tcPr>
            <w:tcW w:w="1269" w:type="dxa"/>
            <w:noWrap/>
            <w:hideMark/>
          </w:tcPr>
          <w:p w14:paraId="7493D80E"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31%</w:t>
            </w:r>
          </w:p>
        </w:tc>
      </w:tr>
      <w:tr w:rsidR="00C74C67" w:rsidRPr="00C74C67" w14:paraId="66B2C866" w14:textId="77777777" w:rsidTr="00D877C5">
        <w:trPr>
          <w:trHeight w:val="288"/>
        </w:trPr>
        <w:tc>
          <w:tcPr>
            <w:tcW w:w="1784" w:type="dxa"/>
            <w:noWrap/>
            <w:hideMark/>
          </w:tcPr>
          <w:p w14:paraId="7F98068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Obiteljske kuće</w:t>
            </w:r>
          </w:p>
        </w:tc>
        <w:tc>
          <w:tcPr>
            <w:tcW w:w="818" w:type="dxa"/>
            <w:noWrap/>
            <w:hideMark/>
          </w:tcPr>
          <w:p w14:paraId="063EC72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4,00%</w:t>
            </w:r>
          </w:p>
        </w:tc>
        <w:tc>
          <w:tcPr>
            <w:tcW w:w="794" w:type="dxa"/>
            <w:noWrap/>
            <w:hideMark/>
          </w:tcPr>
          <w:p w14:paraId="316BDF4B"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13,00%</w:t>
            </w:r>
          </w:p>
        </w:tc>
        <w:tc>
          <w:tcPr>
            <w:tcW w:w="852" w:type="dxa"/>
            <w:noWrap/>
            <w:hideMark/>
          </w:tcPr>
          <w:p w14:paraId="126200D6"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20,96%</w:t>
            </w:r>
          </w:p>
        </w:tc>
        <w:tc>
          <w:tcPr>
            <w:tcW w:w="850" w:type="dxa"/>
            <w:noWrap/>
            <w:hideMark/>
          </w:tcPr>
          <w:p w14:paraId="54C6DB3F"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20,65%</w:t>
            </w:r>
          </w:p>
        </w:tc>
        <w:tc>
          <w:tcPr>
            <w:tcW w:w="851" w:type="dxa"/>
            <w:noWrap/>
            <w:hideMark/>
          </w:tcPr>
          <w:p w14:paraId="6BD5E0F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13,78%</w:t>
            </w:r>
          </w:p>
        </w:tc>
        <w:tc>
          <w:tcPr>
            <w:tcW w:w="709" w:type="dxa"/>
            <w:noWrap/>
            <w:hideMark/>
          </w:tcPr>
          <w:p w14:paraId="072559B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10,61%</w:t>
            </w:r>
          </w:p>
        </w:tc>
        <w:tc>
          <w:tcPr>
            <w:tcW w:w="708" w:type="dxa"/>
            <w:noWrap/>
            <w:hideMark/>
          </w:tcPr>
          <w:p w14:paraId="3EEEF16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8,05%</w:t>
            </w:r>
          </w:p>
        </w:tc>
        <w:tc>
          <w:tcPr>
            <w:tcW w:w="709" w:type="dxa"/>
            <w:noWrap/>
            <w:hideMark/>
          </w:tcPr>
          <w:p w14:paraId="6FAF0FC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8,95%</w:t>
            </w:r>
          </w:p>
        </w:tc>
        <w:tc>
          <w:tcPr>
            <w:tcW w:w="1269" w:type="dxa"/>
            <w:noWrap/>
            <w:hideMark/>
          </w:tcPr>
          <w:p w14:paraId="29FCEA3C"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30340C07" w14:textId="77777777" w:rsidTr="00D877C5">
        <w:trPr>
          <w:trHeight w:val="288"/>
        </w:trPr>
        <w:tc>
          <w:tcPr>
            <w:tcW w:w="1784" w:type="dxa"/>
            <w:noWrap/>
            <w:hideMark/>
          </w:tcPr>
          <w:p w14:paraId="73BEF1A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7F48A20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0,25%</w:t>
            </w:r>
          </w:p>
        </w:tc>
        <w:tc>
          <w:tcPr>
            <w:tcW w:w="794" w:type="dxa"/>
            <w:noWrap/>
            <w:hideMark/>
          </w:tcPr>
          <w:p w14:paraId="207BC53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1,72%</w:t>
            </w:r>
          </w:p>
        </w:tc>
        <w:tc>
          <w:tcPr>
            <w:tcW w:w="852" w:type="dxa"/>
            <w:noWrap/>
            <w:hideMark/>
          </w:tcPr>
          <w:p w14:paraId="4749F2D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18,11%</w:t>
            </w:r>
          </w:p>
        </w:tc>
        <w:tc>
          <w:tcPr>
            <w:tcW w:w="850" w:type="dxa"/>
            <w:noWrap/>
            <w:hideMark/>
          </w:tcPr>
          <w:p w14:paraId="7AF6522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22,53%</w:t>
            </w:r>
          </w:p>
        </w:tc>
        <w:tc>
          <w:tcPr>
            <w:tcW w:w="851" w:type="dxa"/>
            <w:shd w:val="clear" w:color="auto" w:fill="D9D9D9" w:themeFill="background1" w:themeFillShade="D9"/>
            <w:noWrap/>
            <w:hideMark/>
          </w:tcPr>
          <w:p w14:paraId="56BBCFB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15,64%</w:t>
            </w:r>
          </w:p>
        </w:tc>
        <w:tc>
          <w:tcPr>
            <w:tcW w:w="709" w:type="dxa"/>
            <w:shd w:val="clear" w:color="auto" w:fill="D9D9D9" w:themeFill="background1" w:themeFillShade="D9"/>
            <w:noWrap/>
            <w:hideMark/>
          </w:tcPr>
          <w:p w14:paraId="7E1D201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14,98%</w:t>
            </w:r>
          </w:p>
        </w:tc>
        <w:tc>
          <w:tcPr>
            <w:tcW w:w="708" w:type="dxa"/>
            <w:shd w:val="clear" w:color="auto" w:fill="D9D9D9" w:themeFill="background1" w:themeFillShade="D9"/>
            <w:noWrap/>
            <w:hideMark/>
          </w:tcPr>
          <w:p w14:paraId="3E65B09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12,56%</w:t>
            </w:r>
          </w:p>
        </w:tc>
        <w:tc>
          <w:tcPr>
            <w:tcW w:w="709" w:type="dxa"/>
            <w:shd w:val="clear" w:color="auto" w:fill="D9D9D9" w:themeFill="background1" w:themeFillShade="D9"/>
            <w:noWrap/>
            <w:hideMark/>
          </w:tcPr>
          <w:p w14:paraId="5E3418D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14,22%</w:t>
            </w:r>
          </w:p>
        </w:tc>
        <w:tc>
          <w:tcPr>
            <w:tcW w:w="1269" w:type="dxa"/>
            <w:noWrap/>
            <w:hideMark/>
          </w:tcPr>
          <w:p w14:paraId="0FAB0D90"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57%</w:t>
            </w:r>
          </w:p>
        </w:tc>
      </w:tr>
      <w:tr w:rsidR="00C74C67" w:rsidRPr="00C74C67" w14:paraId="03CFAC97" w14:textId="77777777" w:rsidTr="00D877C5">
        <w:trPr>
          <w:trHeight w:val="288"/>
        </w:trPr>
        <w:tc>
          <w:tcPr>
            <w:tcW w:w="1784" w:type="dxa"/>
            <w:noWrap/>
            <w:hideMark/>
          </w:tcPr>
          <w:p w14:paraId="57BE43A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3936591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10,06%</w:t>
            </w:r>
          </w:p>
        </w:tc>
        <w:tc>
          <w:tcPr>
            <w:tcW w:w="794" w:type="dxa"/>
            <w:noWrap/>
            <w:hideMark/>
          </w:tcPr>
          <w:p w14:paraId="75040DF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31,20%</w:t>
            </w:r>
          </w:p>
        </w:tc>
        <w:tc>
          <w:tcPr>
            <w:tcW w:w="852" w:type="dxa"/>
            <w:noWrap/>
            <w:hideMark/>
          </w:tcPr>
          <w:p w14:paraId="37986AF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25,57%</w:t>
            </w:r>
          </w:p>
        </w:tc>
        <w:tc>
          <w:tcPr>
            <w:tcW w:w="850" w:type="dxa"/>
            <w:shd w:val="clear" w:color="auto" w:fill="D9D9D9" w:themeFill="background1" w:themeFillShade="D9"/>
            <w:noWrap/>
            <w:hideMark/>
          </w:tcPr>
          <w:p w14:paraId="6D4C3C0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17,63%</w:t>
            </w:r>
          </w:p>
        </w:tc>
        <w:tc>
          <w:tcPr>
            <w:tcW w:w="851" w:type="dxa"/>
            <w:shd w:val="clear" w:color="auto" w:fill="D9D9D9" w:themeFill="background1" w:themeFillShade="D9"/>
            <w:noWrap/>
            <w:hideMark/>
          </w:tcPr>
          <w:p w14:paraId="20A8B30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10,78%</w:t>
            </w:r>
          </w:p>
        </w:tc>
        <w:tc>
          <w:tcPr>
            <w:tcW w:w="709" w:type="dxa"/>
            <w:shd w:val="clear" w:color="auto" w:fill="D9D9D9" w:themeFill="background1" w:themeFillShade="D9"/>
            <w:noWrap/>
            <w:hideMark/>
          </w:tcPr>
          <w:p w14:paraId="02E8505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3,55%</w:t>
            </w:r>
          </w:p>
        </w:tc>
        <w:tc>
          <w:tcPr>
            <w:tcW w:w="708" w:type="dxa"/>
            <w:shd w:val="clear" w:color="auto" w:fill="D9D9D9" w:themeFill="background1" w:themeFillShade="D9"/>
            <w:noWrap/>
            <w:hideMark/>
          </w:tcPr>
          <w:p w14:paraId="255EA95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0,79%</w:t>
            </w:r>
          </w:p>
        </w:tc>
        <w:tc>
          <w:tcPr>
            <w:tcW w:w="709" w:type="dxa"/>
            <w:shd w:val="clear" w:color="auto" w:fill="D9D9D9" w:themeFill="background1" w:themeFillShade="D9"/>
            <w:noWrap/>
            <w:hideMark/>
          </w:tcPr>
          <w:p w14:paraId="3B934DF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0,43%</w:t>
            </w:r>
          </w:p>
        </w:tc>
        <w:tc>
          <w:tcPr>
            <w:tcW w:w="1269" w:type="dxa"/>
            <w:noWrap/>
            <w:hideMark/>
          </w:tcPr>
          <w:p w14:paraId="1D23DC85"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33%</w:t>
            </w:r>
          </w:p>
        </w:tc>
      </w:tr>
      <w:tr w:rsidR="00C74C67" w:rsidRPr="00C74C67" w14:paraId="0C04E009" w14:textId="77777777" w:rsidTr="00D877C5">
        <w:trPr>
          <w:trHeight w:val="288"/>
        </w:trPr>
        <w:tc>
          <w:tcPr>
            <w:tcW w:w="1784" w:type="dxa"/>
            <w:noWrap/>
            <w:hideMark/>
          </w:tcPr>
          <w:p w14:paraId="511CE14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 xml:space="preserve">Ostale nestambene zgrade </w:t>
            </w:r>
            <w:r w:rsidRPr="00D877C5">
              <w:rPr>
                <w:rFonts w:asciiTheme="minorHAnsi" w:hAnsiTheme="minorHAnsi" w:cstheme="minorHAnsi"/>
                <w:b/>
                <w:bCs/>
                <w:sz w:val="16"/>
                <w:szCs w:val="16"/>
              </w:rPr>
              <w:br/>
              <w:t>koje se griju na temperaturu + 18 ili višu</w:t>
            </w:r>
          </w:p>
        </w:tc>
        <w:tc>
          <w:tcPr>
            <w:tcW w:w="818" w:type="dxa"/>
            <w:noWrap/>
            <w:hideMark/>
          </w:tcPr>
          <w:p w14:paraId="5BFAC15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1,66%</w:t>
            </w:r>
          </w:p>
        </w:tc>
        <w:tc>
          <w:tcPr>
            <w:tcW w:w="794" w:type="dxa"/>
            <w:noWrap/>
            <w:hideMark/>
          </w:tcPr>
          <w:p w14:paraId="3DD75BE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14,79%</w:t>
            </w:r>
          </w:p>
        </w:tc>
        <w:tc>
          <w:tcPr>
            <w:tcW w:w="852" w:type="dxa"/>
            <w:noWrap/>
            <w:hideMark/>
          </w:tcPr>
          <w:p w14:paraId="09ED831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24,01%</w:t>
            </w:r>
          </w:p>
        </w:tc>
        <w:tc>
          <w:tcPr>
            <w:tcW w:w="850" w:type="dxa"/>
            <w:noWrap/>
            <w:hideMark/>
          </w:tcPr>
          <w:p w14:paraId="77CAB87B"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20,66%</w:t>
            </w:r>
          </w:p>
        </w:tc>
        <w:tc>
          <w:tcPr>
            <w:tcW w:w="851" w:type="dxa"/>
            <w:noWrap/>
            <w:hideMark/>
          </w:tcPr>
          <w:p w14:paraId="3714508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19,27%</w:t>
            </w:r>
          </w:p>
        </w:tc>
        <w:tc>
          <w:tcPr>
            <w:tcW w:w="709" w:type="dxa"/>
            <w:noWrap/>
            <w:hideMark/>
          </w:tcPr>
          <w:p w14:paraId="2163137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11,91%</w:t>
            </w:r>
          </w:p>
        </w:tc>
        <w:tc>
          <w:tcPr>
            <w:tcW w:w="708" w:type="dxa"/>
            <w:noWrap/>
            <w:hideMark/>
          </w:tcPr>
          <w:p w14:paraId="70EE27FF"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4,95%</w:t>
            </w:r>
          </w:p>
        </w:tc>
        <w:tc>
          <w:tcPr>
            <w:tcW w:w="709" w:type="dxa"/>
            <w:noWrap/>
            <w:hideMark/>
          </w:tcPr>
          <w:p w14:paraId="7B816030"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2,76%</w:t>
            </w:r>
          </w:p>
        </w:tc>
        <w:tc>
          <w:tcPr>
            <w:tcW w:w="1269" w:type="dxa"/>
            <w:noWrap/>
            <w:hideMark/>
          </w:tcPr>
          <w:p w14:paraId="2D5409B3"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1C04A913" w14:textId="77777777" w:rsidTr="00D877C5">
        <w:trPr>
          <w:trHeight w:val="288"/>
        </w:trPr>
        <w:tc>
          <w:tcPr>
            <w:tcW w:w="1784" w:type="dxa"/>
            <w:noWrap/>
            <w:hideMark/>
          </w:tcPr>
          <w:p w14:paraId="3213821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3172E83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0,48%</w:t>
            </w:r>
          </w:p>
        </w:tc>
        <w:tc>
          <w:tcPr>
            <w:tcW w:w="794" w:type="dxa"/>
            <w:noWrap/>
            <w:hideMark/>
          </w:tcPr>
          <w:p w14:paraId="2042D4A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8,76%</w:t>
            </w:r>
          </w:p>
        </w:tc>
        <w:tc>
          <w:tcPr>
            <w:tcW w:w="852" w:type="dxa"/>
            <w:noWrap/>
            <w:hideMark/>
          </w:tcPr>
          <w:p w14:paraId="3EE5DD1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26,11%</w:t>
            </w:r>
          </w:p>
        </w:tc>
        <w:tc>
          <w:tcPr>
            <w:tcW w:w="850" w:type="dxa"/>
            <w:noWrap/>
            <w:hideMark/>
          </w:tcPr>
          <w:p w14:paraId="1360B3C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21,25%</w:t>
            </w:r>
          </w:p>
        </w:tc>
        <w:tc>
          <w:tcPr>
            <w:tcW w:w="851" w:type="dxa"/>
            <w:shd w:val="clear" w:color="auto" w:fill="D9D9D9" w:themeFill="background1" w:themeFillShade="D9"/>
            <w:noWrap/>
            <w:hideMark/>
          </w:tcPr>
          <w:p w14:paraId="7FDE622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20,50%</w:t>
            </w:r>
          </w:p>
        </w:tc>
        <w:tc>
          <w:tcPr>
            <w:tcW w:w="709" w:type="dxa"/>
            <w:shd w:val="clear" w:color="auto" w:fill="D9D9D9" w:themeFill="background1" w:themeFillShade="D9"/>
            <w:noWrap/>
            <w:hideMark/>
          </w:tcPr>
          <w:p w14:paraId="1168C2E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13,61%</w:t>
            </w:r>
          </w:p>
        </w:tc>
        <w:tc>
          <w:tcPr>
            <w:tcW w:w="708" w:type="dxa"/>
            <w:shd w:val="clear" w:color="auto" w:fill="D9D9D9" w:themeFill="background1" w:themeFillShade="D9"/>
            <w:noWrap/>
            <w:hideMark/>
          </w:tcPr>
          <w:p w14:paraId="7B0A8D4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6,01%</w:t>
            </w:r>
          </w:p>
        </w:tc>
        <w:tc>
          <w:tcPr>
            <w:tcW w:w="709" w:type="dxa"/>
            <w:shd w:val="clear" w:color="auto" w:fill="D9D9D9" w:themeFill="background1" w:themeFillShade="D9"/>
            <w:noWrap/>
            <w:hideMark/>
          </w:tcPr>
          <w:p w14:paraId="5EDBE4A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3,28%</w:t>
            </w:r>
          </w:p>
        </w:tc>
        <w:tc>
          <w:tcPr>
            <w:tcW w:w="1269" w:type="dxa"/>
            <w:noWrap/>
            <w:hideMark/>
          </w:tcPr>
          <w:p w14:paraId="34E04D5D"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43%</w:t>
            </w:r>
          </w:p>
        </w:tc>
      </w:tr>
      <w:tr w:rsidR="00C74C67" w:rsidRPr="00C74C67" w14:paraId="7DDC937D" w14:textId="77777777" w:rsidTr="00D877C5">
        <w:trPr>
          <w:trHeight w:val="288"/>
        </w:trPr>
        <w:tc>
          <w:tcPr>
            <w:tcW w:w="1784" w:type="dxa"/>
            <w:noWrap/>
            <w:hideMark/>
          </w:tcPr>
          <w:p w14:paraId="79D711E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4AD66FC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6,87%</w:t>
            </w:r>
          </w:p>
        </w:tc>
        <w:tc>
          <w:tcPr>
            <w:tcW w:w="794" w:type="dxa"/>
            <w:noWrap/>
            <w:hideMark/>
          </w:tcPr>
          <w:p w14:paraId="1F8B339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41,47%</w:t>
            </w:r>
          </w:p>
        </w:tc>
        <w:tc>
          <w:tcPr>
            <w:tcW w:w="852" w:type="dxa"/>
            <w:noWrap/>
            <w:hideMark/>
          </w:tcPr>
          <w:p w14:paraId="3A46B27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14,74%</w:t>
            </w:r>
          </w:p>
        </w:tc>
        <w:tc>
          <w:tcPr>
            <w:tcW w:w="850" w:type="dxa"/>
            <w:shd w:val="clear" w:color="auto" w:fill="D9D9D9" w:themeFill="background1" w:themeFillShade="D9"/>
            <w:noWrap/>
            <w:hideMark/>
          </w:tcPr>
          <w:p w14:paraId="453A840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18,02%</w:t>
            </w:r>
          </w:p>
        </w:tc>
        <w:tc>
          <w:tcPr>
            <w:tcW w:w="851" w:type="dxa"/>
            <w:shd w:val="clear" w:color="auto" w:fill="D9D9D9" w:themeFill="background1" w:themeFillShade="D9"/>
            <w:noWrap/>
            <w:hideMark/>
          </w:tcPr>
          <w:p w14:paraId="70E8153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13,80%</w:t>
            </w:r>
          </w:p>
        </w:tc>
        <w:tc>
          <w:tcPr>
            <w:tcW w:w="709" w:type="dxa"/>
            <w:shd w:val="clear" w:color="auto" w:fill="D9D9D9" w:themeFill="background1" w:themeFillShade="D9"/>
            <w:noWrap/>
            <w:hideMark/>
          </w:tcPr>
          <w:p w14:paraId="12822DC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4,38%</w:t>
            </w:r>
          </w:p>
        </w:tc>
        <w:tc>
          <w:tcPr>
            <w:tcW w:w="708" w:type="dxa"/>
            <w:shd w:val="clear" w:color="auto" w:fill="D9D9D9" w:themeFill="background1" w:themeFillShade="D9"/>
            <w:noWrap/>
            <w:hideMark/>
          </w:tcPr>
          <w:p w14:paraId="2722121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0,24%</w:t>
            </w:r>
          </w:p>
        </w:tc>
        <w:tc>
          <w:tcPr>
            <w:tcW w:w="709" w:type="dxa"/>
            <w:shd w:val="clear" w:color="auto" w:fill="D9D9D9" w:themeFill="background1" w:themeFillShade="D9"/>
            <w:noWrap/>
            <w:hideMark/>
          </w:tcPr>
          <w:p w14:paraId="611BDE8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0,46%</w:t>
            </w:r>
          </w:p>
        </w:tc>
        <w:tc>
          <w:tcPr>
            <w:tcW w:w="1269" w:type="dxa"/>
            <w:noWrap/>
            <w:hideMark/>
          </w:tcPr>
          <w:p w14:paraId="0535D943"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37%</w:t>
            </w:r>
          </w:p>
        </w:tc>
      </w:tr>
      <w:tr w:rsidR="00C74C67" w:rsidRPr="00C74C67" w14:paraId="1F31807A" w14:textId="77777777" w:rsidTr="00D877C5">
        <w:trPr>
          <w:trHeight w:val="288"/>
        </w:trPr>
        <w:tc>
          <w:tcPr>
            <w:tcW w:w="1784" w:type="dxa"/>
            <w:noWrap/>
            <w:hideMark/>
          </w:tcPr>
          <w:p w14:paraId="12130C70"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Sportske dvorane</w:t>
            </w:r>
          </w:p>
        </w:tc>
        <w:tc>
          <w:tcPr>
            <w:tcW w:w="818" w:type="dxa"/>
            <w:noWrap/>
            <w:hideMark/>
          </w:tcPr>
          <w:p w14:paraId="7FD0D90F"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2,42%</w:t>
            </w:r>
          </w:p>
        </w:tc>
        <w:tc>
          <w:tcPr>
            <w:tcW w:w="794" w:type="dxa"/>
            <w:noWrap/>
            <w:hideMark/>
          </w:tcPr>
          <w:p w14:paraId="0A24136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5,25%</w:t>
            </w:r>
          </w:p>
        </w:tc>
        <w:tc>
          <w:tcPr>
            <w:tcW w:w="852" w:type="dxa"/>
            <w:noWrap/>
            <w:hideMark/>
          </w:tcPr>
          <w:p w14:paraId="25083EB1"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30,58%</w:t>
            </w:r>
          </w:p>
        </w:tc>
        <w:tc>
          <w:tcPr>
            <w:tcW w:w="850" w:type="dxa"/>
            <w:noWrap/>
            <w:hideMark/>
          </w:tcPr>
          <w:p w14:paraId="4859C69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33,96%</w:t>
            </w:r>
          </w:p>
        </w:tc>
        <w:tc>
          <w:tcPr>
            <w:tcW w:w="851" w:type="dxa"/>
            <w:noWrap/>
            <w:hideMark/>
          </w:tcPr>
          <w:p w14:paraId="37249B3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15,30%</w:t>
            </w:r>
          </w:p>
        </w:tc>
        <w:tc>
          <w:tcPr>
            <w:tcW w:w="709" w:type="dxa"/>
            <w:noWrap/>
            <w:hideMark/>
          </w:tcPr>
          <w:p w14:paraId="1262AF2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6,49%</w:t>
            </w:r>
          </w:p>
        </w:tc>
        <w:tc>
          <w:tcPr>
            <w:tcW w:w="708" w:type="dxa"/>
            <w:noWrap/>
            <w:hideMark/>
          </w:tcPr>
          <w:p w14:paraId="6EE6F4F0"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4,61%</w:t>
            </w:r>
          </w:p>
        </w:tc>
        <w:tc>
          <w:tcPr>
            <w:tcW w:w="709" w:type="dxa"/>
            <w:noWrap/>
            <w:hideMark/>
          </w:tcPr>
          <w:p w14:paraId="2D4F7FB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1,40%</w:t>
            </w:r>
          </w:p>
        </w:tc>
        <w:tc>
          <w:tcPr>
            <w:tcW w:w="1269" w:type="dxa"/>
            <w:noWrap/>
            <w:hideMark/>
          </w:tcPr>
          <w:p w14:paraId="5DE46CDF"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2F8EAA95" w14:textId="77777777" w:rsidTr="00D877C5">
        <w:trPr>
          <w:trHeight w:val="288"/>
        </w:trPr>
        <w:tc>
          <w:tcPr>
            <w:tcW w:w="1784" w:type="dxa"/>
            <w:noWrap/>
            <w:hideMark/>
          </w:tcPr>
          <w:p w14:paraId="491A9D8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1D19989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1,84%</w:t>
            </w:r>
          </w:p>
        </w:tc>
        <w:tc>
          <w:tcPr>
            <w:tcW w:w="794" w:type="dxa"/>
            <w:noWrap/>
            <w:hideMark/>
          </w:tcPr>
          <w:p w14:paraId="79FF7ED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4,25%</w:t>
            </w:r>
          </w:p>
        </w:tc>
        <w:tc>
          <w:tcPr>
            <w:tcW w:w="852" w:type="dxa"/>
            <w:noWrap/>
            <w:hideMark/>
          </w:tcPr>
          <w:p w14:paraId="59B201D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33,60%</w:t>
            </w:r>
          </w:p>
        </w:tc>
        <w:tc>
          <w:tcPr>
            <w:tcW w:w="850" w:type="dxa"/>
            <w:noWrap/>
            <w:hideMark/>
          </w:tcPr>
          <w:p w14:paraId="1CFD087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27,38%</w:t>
            </w:r>
          </w:p>
        </w:tc>
        <w:tc>
          <w:tcPr>
            <w:tcW w:w="851" w:type="dxa"/>
            <w:shd w:val="clear" w:color="auto" w:fill="D9D9D9" w:themeFill="background1" w:themeFillShade="D9"/>
            <w:noWrap/>
            <w:hideMark/>
          </w:tcPr>
          <w:p w14:paraId="3239BC8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15,42%</w:t>
            </w:r>
          </w:p>
        </w:tc>
        <w:tc>
          <w:tcPr>
            <w:tcW w:w="709" w:type="dxa"/>
            <w:shd w:val="clear" w:color="auto" w:fill="D9D9D9" w:themeFill="background1" w:themeFillShade="D9"/>
            <w:noWrap/>
            <w:hideMark/>
          </w:tcPr>
          <w:p w14:paraId="6C01787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9,10%</w:t>
            </w:r>
          </w:p>
        </w:tc>
        <w:tc>
          <w:tcPr>
            <w:tcW w:w="708" w:type="dxa"/>
            <w:shd w:val="clear" w:color="auto" w:fill="D9D9D9" w:themeFill="background1" w:themeFillShade="D9"/>
            <w:noWrap/>
            <w:hideMark/>
          </w:tcPr>
          <w:p w14:paraId="0F76E0F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6,46%</w:t>
            </w:r>
          </w:p>
        </w:tc>
        <w:tc>
          <w:tcPr>
            <w:tcW w:w="709" w:type="dxa"/>
            <w:shd w:val="clear" w:color="auto" w:fill="D9D9D9" w:themeFill="background1" w:themeFillShade="D9"/>
            <w:noWrap/>
            <w:hideMark/>
          </w:tcPr>
          <w:p w14:paraId="5EA05F7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1,96%</w:t>
            </w:r>
          </w:p>
        </w:tc>
        <w:tc>
          <w:tcPr>
            <w:tcW w:w="1269" w:type="dxa"/>
            <w:noWrap/>
            <w:hideMark/>
          </w:tcPr>
          <w:p w14:paraId="497BDB08"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33%</w:t>
            </w:r>
          </w:p>
        </w:tc>
      </w:tr>
      <w:tr w:rsidR="00C74C67" w:rsidRPr="00C74C67" w14:paraId="4D041F59" w14:textId="77777777" w:rsidTr="00D877C5">
        <w:trPr>
          <w:trHeight w:val="288"/>
        </w:trPr>
        <w:tc>
          <w:tcPr>
            <w:tcW w:w="1784" w:type="dxa"/>
            <w:noWrap/>
            <w:hideMark/>
          </w:tcPr>
          <w:p w14:paraId="0F32E67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2EBFBF3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3,86%</w:t>
            </w:r>
          </w:p>
        </w:tc>
        <w:tc>
          <w:tcPr>
            <w:tcW w:w="794" w:type="dxa"/>
            <w:noWrap/>
            <w:hideMark/>
          </w:tcPr>
          <w:p w14:paraId="0D16867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7,74%</w:t>
            </w:r>
          </w:p>
        </w:tc>
        <w:tc>
          <w:tcPr>
            <w:tcW w:w="852" w:type="dxa"/>
            <w:noWrap/>
            <w:hideMark/>
          </w:tcPr>
          <w:p w14:paraId="3431E1B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23,07%</w:t>
            </w:r>
          </w:p>
        </w:tc>
        <w:tc>
          <w:tcPr>
            <w:tcW w:w="850" w:type="dxa"/>
            <w:shd w:val="clear" w:color="auto" w:fill="D9D9D9" w:themeFill="background1" w:themeFillShade="D9"/>
            <w:noWrap/>
            <w:hideMark/>
          </w:tcPr>
          <w:p w14:paraId="78AC284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50,32%</w:t>
            </w:r>
          </w:p>
        </w:tc>
        <w:tc>
          <w:tcPr>
            <w:tcW w:w="851" w:type="dxa"/>
            <w:shd w:val="clear" w:color="auto" w:fill="D9D9D9" w:themeFill="background1" w:themeFillShade="D9"/>
            <w:noWrap/>
            <w:hideMark/>
          </w:tcPr>
          <w:p w14:paraId="7F930C7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15,00%</w:t>
            </w:r>
          </w:p>
        </w:tc>
        <w:tc>
          <w:tcPr>
            <w:tcW w:w="709" w:type="dxa"/>
            <w:shd w:val="clear" w:color="auto" w:fill="D9D9D9" w:themeFill="background1" w:themeFillShade="D9"/>
            <w:noWrap/>
            <w:hideMark/>
          </w:tcPr>
          <w:p w14:paraId="4752A3E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08" w:type="dxa"/>
            <w:shd w:val="clear" w:color="auto" w:fill="D9D9D9" w:themeFill="background1" w:themeFillShade="D9"/>
            <w:noWrap/>
            <w:hideMark/>
          </w:tcPr>
          <w:p w14:paraId="48677B7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09" w:type="dxa"/>
            <w:shd w:val="clear" w:color="auto" w:fill="D9D9D9" w:themeFill="background1" w:themeFillShade="D9"/>
            <w:noWrap/>
            <w:hideMark/>
          </w:tcPr>
          <w:p w14:paraId="44F838D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1269" w:type="dxa"/>
            <w:noWrap/>
            <w:hideMark/>
          </w:tcPr>
          <w:p w14:paraId="01A90A7D"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65%</w:t>
            </w:r>
          </w:p>
        </w:tc>
      </w:tr>
      <w:tr w:rsidR="00C74C67" w:rsidRPr="00C74C67" w14:paraId="64A109F9" w14:textId="77777777" w:rsidTr="00D877C5">
        <w:trPr>
          <w:trHeight w:val="288"/>
        </w:trPr>
        <w:tc>
          <w:tcPr>
            <w:tcW w:w="1784" w:type="dxa"/>
            <w:noWrap/>
            <w:hideMark/>
          </w:tcPr>
          <w:p w14:paraId="32336D2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Uredske zgrade</w:t>
            </w:r>
          </w:p>
        </w:tc>
        <w:tc>
          <w:tcPr>
            <w:tcW w:w="818" w:type="dxa"/>
            <w:noWrap/>
            <w:hideMark/>
          </w:tcPr>
          <w:p w14:paraId="79F0467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10,35%</w:t>
            </w:r>
          </w:p>
        </w:tc>
        <w:tc>
          <w:tcPr>
            <w:tcW w:w="794" w:type="dxa"/>
            <w:noWrap/>
            <w:hideMark/>
          </w:tcPr>
          <w:p w14:paraId="11CC2B6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13,16%</w:t>
            </w:r>
          </w:p>
        </w:tc>
        <w:tc>
          <w:tcPr>
            <w:tcW w:w="852" w:type="dxa"/>
            <w:noWrap/>
            <w:hideMark/>
          </w:tcPr>
          <w:p w14:paraId="60A914A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23,84%</w:t>
            </w:r>
          </w:p>
        </w:tc>
        <w:tc>
          <w:tcPr>
            <w:tcW w:w="850" w:type="dxa"/>
            <w:noWrap/>
            <w:hideMark/>
          </w:tcPr>
          <w:p w14:paraId="518A6AD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28,69%</w:t>
            </w:r>
          </w:p>
        </w:tc>
        <w:tc>
          <w:tcPr>
            <w:tcW w:w="851" w:type="dxa"/>
            <w:noWrap/>
            <w:hideMark/>
          </w:tcPr>
          <w:p w14:paraId="46328776"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15,10%</w:t>
            </w:r>
          </w:p>
        </w:tc>
        <w:tc>
          <w:tcPr>
            <w:tcW w:w="709" w:type="dxa"/>
            <w:noWrap/>
            <w:hideMark/>
          </w:tcPr>
          <w:p w14:paraId="1B83984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6,65%</w:t>
            </w:r>
          </w:p>
        </w:tc>
        <w:tc>
          <w:tcPr>
            <w:tcW w:w="708" w:type="dxa"/>
            <w:noWrap/>
            <w:hideMark/>
          </w:tcPr>
          <w:p w14:paraId="2275B08A"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1,29%</w:t>
            </w:r>
          </w:p>
        </w:tc>
        <w:tc>
          <w:tcPr>
            <w:tcW w:w="709" w:type="dxa"/>
            <w:noWrap/>
            <w:hideMark/>
          </w:tcPr>
          <w:p w14:paraId="1802625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0,92%</w:t>
            </w:r>
          </w:p>
        </w:tc>
        <w:tc>
          <w:tcPr>
            <w:tcW w:w="1269" w:type="dxa"/>
            <w:noWrap/>
            <w:hideMark/>
          </w:tcPr>
          <w:p w14:paraId="2E82A281"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4F4C91DA" w14:textId="77777777" w:rsidTr="00D877C5">
        <w:trPr>
          <w:trHeight w:val="288"/>
        </w:trPr>
        <w:tc>
          <w:tcPr>
            <w:tcW w:w="1784" w:type="dxa"/>
            <w:noWrap/>
            <w:hideMark/>
          </w:tcPr>
          <w:p w14:paraId="110890D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10AA4E5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8,57%</w:t>
            </w:r>
          </w:p>
        </w:tc>
        <w:tc>
          <w:tcPr>
            <w:tcW w:w="794" w:type="dxa"/>
            <w:noWrap/>
            <w:hideMark/>
          </w:tcPr>
          <w:p w14:paraId="708C5A8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10,43%</w:t>
            </w:r>
          </w:p>
        </w:tc>
        <w:tc>
          <w:tcPr>
            <w:tcW w:w="852" w:type="dxa"/>
            <w:noWrap/>
            <w:hideMark/>
          </w:tcPr>
          <w:p w14:paraId="537B22E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23,30%</w:t>
            </w:r>
          </w:p>
        </w:tc>
        <w:tc>
          <w:tcPr>
            <w:tcW w:w="850" w:type="dxa"/>
            <w:noWrap/>
            <w:hideMark/>
          </w:tcPr>
          <w:p w14:paraId="35F7A50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28,37%</w:t>
            </w:r>
          </w:p>
        </w:tc>
        <w:tc>
          <w:tcPr>
            <w:tcW w:w="851" w:type="dxa"/>
            <w:shd w:val="clear" w:color="auto" w:fill="D9D9D9" w:themeFill="background1" w:themeFillShade="D9"/>
            <w:noWrap/>
            <w:hideMark/>
          </w:tcPr>
          <w:p w14:paraId="7883E47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17,91%</w:t>
            </w:r>
          </w:p>
        </w:tc>
        <w:tc>
          <w:tcPr>
            <w:tcW w:w="709" w:type="dxa"/>
            <w:shd w:val="clear" w:color="auto" w:fill="D9D9D9" w:themeFill="background1" w:themeFillShade="D9"/>
            <w:noWrap/>
            <w:hideMark/>
          </w:tcPr>
          <w:p w14:paraId="76DFEBD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8,60%</w:t>
            </w:r>
          </w:p>
        </w:tc>
        <w:tc>
          <w:tcPr>
            <w:tcW w:w="708" w:type="dxa"/>
            <w:shd w:val="clear" w:color="auto" w:fill="D9D9D9" w:themeFill="background1" w:themeFillShade="D9"/>
            <w:noWrap/>
            <w:hideMark/>
          </w:tcPr>
          <w:p w14:paraId="0768604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1,63%</w:t>
            </w:r>
          </w:p>
        </w:tc>
        <w:tc>
          <w:tcPr>
            <w:tcW w:w="709" w:type="dxa"/>
            <w:shd w:val="clear" w:color="auto" w:fill="D9D9D9" w:themeFill="background1" w:themeFillShade="D9"/>
            <w:noWrap/>
            <w:hideMark/>
          </w:tcPr>
          <w:p w14:paraId="4A41E89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1,18%</w:t>
            </w:r>
          </w:p>
        </w:tc>
        <w:tc>
          <w:tcPr>
            <w:tcW w:w="1269" w:type="dxa"/>
            <w:noWrap/>
            <w:hideMark/>
          </w:tcPr>
          <w:p w14:paraId="5D84EB87"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29%</w:t>
            </w:r>
          </w:p>
        </w:tc>
      </w:tr>
      <w:tr w:rsidR="00C74C67" w:rsidRPr="00C74C67" w14:paraId="143A47ED" w14:textId="77777777" w:rsidTr="00D877C5">
        <w:trPr>
          <w:trHeight w:val="288"/>
        </w:trPr>
        <w:tc>
          <w:tcPr>
            <w:tcW w:w="1784" w:type="dxa"/>
            <w:noWrap/>
            <w:hideMark/>
          </w:tcPr>
          <w:p w14:paraId="4784430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380CD79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16,28%</w:t>
            </w:r>
          </w:p>
        </w:tc>
        <w:tc>
          <w:tcPr>
            <w:tcW w:w="794" w:type="dxa"/>
            <w:noWrap/>
            <w:hideMark/>
          </w:tcPr>
          <w:p w14:paraId="5FB7601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22,26%</w:t>
            </w:r>
          </w:p>
        </w:tc>
        <w:tc>
          <w:tcPr>
            <w:tcW w:w="852" w:type="dxa"/>
            <w:noWrap/>
            <w:hideMark/>
          </w:tcPr>
          <w:p w14:paraId="18EF5BC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25,66%</w:t>
            </w:r>
          </w:p>
        </w:tc>
        <w:tc>
          <w:tcPr>
            <w:tcW w:w="850" w:type="dxa"/>
            <w:shd w:val="clear" w:color="auto" w:fill="D9D9D9" w:themeFill="background1" w:themeFillShade="D9"/>
            <w:noWrap/>
            <w:hideMark/>
          </w:tcPr>
          <w:p w14:paraId="31A1BFC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29,74%</w:t>
            </w:r>
          </w:p>
        </w:tc>
        <w:tc>
          <w:tcPr>
            <w:tcW w:w="851" w:type="dxa"/>
            <w:shd w:val="clear" w:color="auto" w:fill="D9D9D9" w:themeFill="background1" w:themeFillShade="D9"/>
            <w:noWrap/>
            <w:hideMark/>
          </w:tcPr>
          <w:p w14:paraId="2548371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5,74%</w:t>
            </w:r>
          </w:p>
        </w:tc>
        <w:tc>
          <w:tcPr>
            <w:tcW w:w="709" w:type="dxa"/>
            <w:shd w:val="clear" w:color="auto" w:fill="D9D9D9" w:themeFill="background1" w:themeFillShade="D9"/>
            <w:noWrap/>
            <w:hideMark/>
          </w:tcPr>
          <w:p w14:paraId="5E769E2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0,14%</w:t>
            </w:r>
          </w:p>
        </w:tc>
        <w:tc>
          <w:tcPr>
            <w:tcW w:w="708" w:type="dxa"/>
            <w:shd w:val="clear" w:color="auto" w:fill="D9D9D9" w:themeFill="background1" w:themeFillShade="D9"/>
            <w:noWrap/>
            <w:hideMark/>
          </w:tcPr>
          <w:p w14:paraId="079F64B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0,14%</w:t>
            </w:r>
          </w:p>
        </w:tc>
        <w:tc>
          <w:tcPr>
            <w:tcW w:w="709" w:type="dxa"/>
            <w:shd w:val="clear" w:color="auto" w:fill="D9D9D9" w:themeFill="background1" w:themeFillShade="D9"/>
            <w:noWrap/>
            <w:hideMark/>
          </w:tcPr>
          <w:p w14:paraId="08E6983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0,04%</w:t>
            </w:r>
          </w:p>
        </w:tc>
        <w:tc>
          <w:tcPr>
            <w:tcW w:w="1269" w:type="dxa"/>
            <w:noWrap/>
            <w:hideMark/>
          </w:tcPr>
          <w:p w14:paraId="11696AFE"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36%</w:t>
            </w:r>
          </w:p>
        </w:tc>
      </w:tr>
      <w:tr w:rsidR="00C74C67" w:rsidRPr="00C74C67" w14:paraId="67B7F835" w14:textId="77777777" w:rsidTr="00D877C5">
        <w:trPr>
          <w:trHeight w:val="288"/>
        </w:trPr>
        <w:tc>
          <w:tcPr>
            <w:tcW w:w="1784" w:type="dxa"/>
            <w:noWrap/>
            <w:hideMark/>
          </w:tcPr>
          <w:p w14:paraId="1AE604A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Višestambene zgrade</w:t>
            </w:r>
          </w:p>
        </w:tc>
        <w:tc>
          <w:tcPr>
            <w:tcW w:w="818" w:type="dxa"/>
            <w:noWrap/>
            <w:hideMark/>
          </w:tcPr>
          <w:p w14:paraId="054E0F7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4,89%</w:t>
            </w:r>
          </w:p>
        </w:tc>
        <w:tc>
          <w:tcPr>
            <w:tcW w:w="794" w:type="dxa"/>
            <w:noWrap/>
            <w:hideMark/>
          </w:tcPr>
          <w:p w14:paraId="1EB3AE3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20,70%</w:t>
            </w:r>
          </w:p>
        </w:tc>
        <w:tc>
          <w:tcPr>
            <w:tcW w:w="852" w:type="dxa"/>
            <w:noWrap/>
            <w:hideMark/>
          </w:tcPr>
          <w:p w14:paraId="6E2FE62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29,30%</w:t>
            </w:r>
          </w:p>
        </w:tc>
        <w:tc>
          <w:tcPr>
            <w:tcW w:w="850" w:type="dxa"/>
            <w:noWrap/>
            <w:hideMark/>
          </w:tcPr>
          <w:p w14:paraId="3E9D1C0B"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21,40%</w:t>
            </w:r>
          </w:p>
        </w:tc>
        <w:tc>
          <w:tcPr>
            <w:tcW w:w="851" w:type="dxa"/>
            <w:noWrap/>
            <w:hideMark/>
          </w:tcPr>
          <w:p w14:paraId="2C499C8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15,28%</w:t>
            </w:r>
          </w:p>
        </w:tc>
        <w:tc>
          <w:tcPr>
            <w:tcW w:w="709" w:type="dxa"/>
            <w:noWrap/>
            <w:hideMark/>
          </w:tcPr>
          <w:p w14:paraId="1F079CC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5,80%</w:t>
            </w:r>
          </w:p>
        </w:tc>
        <w:tc>
          <w:tcPr>
            <w:tcW w:w="708" w:type="dxa"/>
            <w:noWrap/>
            <w:hideMark/>
          </w:tcPr>
          <w:p w14:paraId="0217143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2,03%</w:t>
            </w:r>
          </w:p>
        </w:tc>
        <w:tc>
          <w:tcPr>
            <w:tcW w:w="709" w:type="dxa"/>
            <w:noWrap/>
            <w:hideMark/>
          </w:tcPr>
          <w:p w14:paraId="4A6EDD6A"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0,60%</w:t>
            </w:r>
          </w:p>
        </w:tc>
        <w:tc>
          <w:tcPr>
            <w:tcW w:w="1269" w:type="dxa"/>
            <w:noWrap/>
            <w:hideMark/>
          </w:tcPr>
          <w:p w14:paraId="1A311323"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4B4235AC" w14:textId="77777777" w:rsidTr="00D877C5">
        <w:trPr>
          <w:trHeight w:val="288"/>
        </w:trPr>
        <w:tc>
          <w:tcPr>
            <w:tcW w:w="1784" w:type="dxa"/>
            <w:noWrap/>
            <w:hideMark/>
          </w:tcPr>
          <w:p w14:paraId="17BA08E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56F5801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1,07%</w:t>
            </w:r>
          </w:p>
        </w:tc>
        <w:tc>
          <w:tcPr>
            <w:tcW w:w="794" w:type="dxa"/>
            <w:noWrap/>
            <w:hideMark/>
          </w:tcPr>
          <w:p w14:paraId="233F758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11,50%</w:t>
            </w:r>
          </w:p>
        </w:tc>
        <w:tc>
          <w:tcPr>
            <w:tcW w:w="852" w:type="dxa"/>
            <w:noWrap/>
            <w:hideMark/>
          </w:tcPr>
          <w:p w14:paraId="548BA17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31,54%</w:t>
            </w:r>
          </w:p>
        </w:tc>
        <w:tc>
          <w:tcPr>
            <w:tcW w:w="850" w:type="dxa"/>
            <w:noWrap/>
            <w:hideMark/>
          </w:tcPr>
          <w:p w14:paraId="0BBE36A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22,02%</w:t>
            </w:r>
          </w:p>
        </w:tc>
        <w:tc>
          <w:tcPr>
            <w:tcW w:w="851" w:type="dxa"/>
            <w:shd w:val="clear" w:color="auto" w:fill="D9D9D9" w:themeFill="background1" w:themeFillShade="D9"/>
            <w:noWrap/>
            <w:hideMark/>
          </w:tcPr>
          <w:p w14:paraId="1B42CDF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20,53%</w:t>
            </w:r>
          </w:p>
        </w:tc>
        <w:tc>
          <w:tcPr>
            <w:tcW w:w="709" w:type="dxa"/>
            <w:shd w:val="clear" w:color="auto" w:fill="D9D9D9" w:themeFill="background1" w:themeFillShade="D9"/>
            <w:noWrap/>
            <w:hideMark/>
          </w:tcPr>
          <w:p w14:paraId="6CE4C39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9,00%</w:t>
            </w:r>
          </w:p>
        </w:tc>
        <w:tc>
          <w:tcPr>
            <w:tcW w:w="708" w:type="dxa"/>
            <w:shd w:val="clear" w:color="auto" w:fill="D9D9D9" w:themeFill="background1" w:themeFillShade="D9"/>
            <w:noWrap/>
            <w:hideMark/>
          </w:tcPr>
          <w:p w14:paraId="1F30548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3,37%</w:t>
            </w:r>
          </w:p>
        </w:tc>
        <w:tc>
          <w:tcPr>
            <w:tcW w:w="709" w:type="dxa"/>
            <w:shd w:val="clear" w:color="auto" w:fill="D9D9D9" w:themeFill="background1" w:themeFillShade="D9"/>
            <w:noWrap/>
            <w:hideMark/>
          </w:tcPr>
          <w:p w14:paraId="1C28268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0,97%</w:t>
            </w:r>
          </w:p>
        </w:tc>
        <w:tc>
          <w:tcPr>
            <w:tcW w:w="1269" w:type="dxa"/>
            <w:noWrap/>
            <w:hideMark/>
          </w:tcPr>
          <w:p w14:paraId="4B59B359"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34%</w:t>
            </w:r>
          </w:p>
        </w:tc>
      </w:tr>
      <w:tr w:rsidR="00C74C67" w:rsidRPr="00C74C67" w14:paraId="49FAF670" w14:textId="77777777" w:rsidTr="00D877C5">
        <w:trPr>
          <w:trHeight w:val="288"/>
        </w:trPr>
        <w:tc>
          <w:tcPr>
            <w:tcW w:w="1784" w:type="dxa"/>
            <w:noWrap/>
            <w:hideMark/>
          </w:tcPr>
          <w:p w14:paraId="4611E73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37E1149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10,29%</w:t>
            </w:r>
          </w:p>
        </w:tc>
        <w:tc>
          <w:tcPr>
            <w:tcW w:w="794" w:type="dxa"/>
            <w:noWrap/>
            <w:hideMark/>
          </w:tcPr>
          <w:p w14:paraId="50E06B6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33,70%</w:t>
            </w:r>
          </w:p>
        </w:tc>
        <w:tc>
          <w:tcPr>
            <w:tcW w:w="852" w:type="dxa"/>
            <w:noWrap/>
            <w:hideMark/>
          </w:tcPr>
          <w:p w14:paraId="4C853A3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26,14%</w:t>
            </w:r>
          </w:p>
        </w:tc>
        <w:tc>
          <w:tcPr>
            <w:tcW w:w="850" w:type="dxa"/>
            <w:shd w:val="clear" w:color="auto" w:fill="D9D9D9" w:themeFill="background1" w:themeFillShade="D9"/>
            <w:noWrap/>
            <w:hideMark/>
          </w:tcPr>
          <w:p w14:paraId="2E181E9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20,52%</w:t>
            </w:r>
          </w:p>
        </w:tc>
        <w:tc>
          <w:tcPr>
            <w:tcW w:w="851" w:type="dxa"/>
            <w:shd w:val="clear" w:color="auto" w:fill="D9D9D9" w:themeFill="background1" w:themeFillShade="D9"/>
            <w:noWrap/>
            <w:hideMark/>
          </w:tcPr>
          <w:p w14:paraId="6E5B287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7,87%</w:t>
            </w:r>
          </w:p>
        </w:tc>
        <w:tc>
          <w:tcPr>
            <w:tcW w:w="709" w:type="dxa"/>
            <w:shd w:val="clear" w:color="auto" w:fill="D9D9D9" w:themeFill="background1" w:themeFillShade="D9"/>
            <w:noWrap/>
            <w:hideMark/>
          </w:tcPr>
          <w:p w14:paraId="3A2BC58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1,28%</w:t>
            </w:r>
          </w:p>
        </w:tc>
        <w:tc>
          <w:tcPr>
            <w:tcW w:w="708" w:type="dxa"/>
            <w:shd w:val="clear" w:color="auto" w:fill="D9D9D9" w:themeFill="background1" w:themeFillShade="D9"/>
            <w:noWrap/>
            <w:hideMark/>
          </w:tcPr>
          <w:p w14:paraId="3C46A32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0,13%</w:t>
            </w:r>
          </w:p>
        </w:tc>
        <w:tc>
          <w:tcPr>
            <w:tcW w:w="709" w:type="dxa"/>
            <w:shd w:val="clear" w:color="auto" w:fill="D9D9D9" w:themeFill="background1" w:themeFillShade="D9"/>
            <w:noWrap/>
            <w:hideMark/>
          </w:tcPr>
          <w:p w14:paraId="7CED6BA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0,08%</w:t>
            </w:r>
          </w:p>
        </w:tc>
        <w:tc>
          <w:tcPr>
            <w:tcW w:w="1269" w:type="dxa"/>
            <w:noWrap/>
            <w:hideMark/>
          </w:tcPr>
          <w:p w14:paraId="3B47BBC3"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30%</w:t>
            </w:r>
          </w:p>
        </w:tc>
      </w:tr>
      <w:tr w:rsidR="00C74C67" w:rsidRPr="00C74C67" w14:paraId="7A6AF90B" w14:textId="77777777" w:rsidTr="00D877C5">
        <w:trPr>
          <w:trHeight w:val="288"/>
        </w:trPr>
        <w:tc>
          <w:tcPr>
            <w:tcW w:w="1784" w:type="dxa"/>
            <w:noWrap/>
            <w:hideMark/>
          </w:tcPr>
          <w:p w14:paraId="3BCD154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Zgrade trgovine</w:t>
            </w:r>
            <w:r w:rsidRPr="00D877C5">
              <w:rPr>
                <w:rFonts w:asciiTheme="minorHAnsi" w:hAnsiTheme="minorHAnsi" w:cstheme="minorHAnsi"/>
                <w:b/>
                <w:bCs/>
                <w:sz w:val="16"/>
                <w:szCs w:val="16"/>
              </w:rPr>
              <w:br/>
              <w:t xml:space="preserve"> - veleprodaja i maloprodaja</w:t>
            </w:r>
          </w:p>
        </w:tc>
        <w:tc>
          <w:tcPr>
            <w:tcW w:w="818" w:type="dxa"/>
            <w:noWrap/>
            <w:hideMark/>
          </w:tcPr>
          <w:p w14:paraId="45B648E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14,95%</w:t>
            </w:r>
          </w:p>
        </w:tc>
        <w:tc>
          <w:tcPr>
            <w:tcW w:w="794" w:type="dxa"/>
            <w:noWrap/>
            <w:hideMark/>
          </w:tcPr>
          <w:p w14:paraId="7D17359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15,90%</w:t>
            </w:r>
          </w:p>
        </w:tc>
        <w:tc>
          <w:tcPr>
            <w:tcW w:w="852" w:type="dxa"/>
            <w:noWrap/>
            <w:hideMark/>
          </w:tcPr>
          <w:p w14:paraId="7E6F7E66"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28,86%</w:t>
            </w:r>
          </w:p>
        </w:tc>
        <w:tc>
          <w:tcPr>
            <w:tcW w:w="850" w:type="dxa"/>
            <w:noWrap/>
            <w:hideMark/>
          </w:tcPr>
          <w:p w14:paraId="1651173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23,79%</w:t>
            </w:r>
          </w:p>
        </w:tc>
        <w:tc>
          <w:tcPr>
            <w:tcW w:w="851" w:type="dxa"/>
            <w:noWrap/>
            <w:hideMark/>
          </w:tcPr>
          <w:p w14:paraId="3FF3DB0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8,91%</w:t>
            </w:r>
          </w:p>
        </w:tc>
        <w:tc>
          <w:tcPr>
            <w:tcW w:w="709" w:type="dxa"/>
            <w:noWrap/>
            <w:hideMark/>
          </w:tcPr>
          <w:p w14:paraId="0925F9FB"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5,68%</w:t>
            </w:r>
          </w:p>
        </w:tc>
        <w:tc>
          <w:tcPr>
            <w:tcW w:w="708" w:type="dxa"/>
            <w:noWrap/>
            <w:hideMark/>
          </w:tcPr>
          <w:p w14:paraId="10F3B74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1,19%</w:t>
            </w:r>
          </w:p>
        </w:tc>
        <w:tc>
          <w:tcPr>
            <w:tcW w:w="709" w:type="dxa"/>
            <w:noWrap/>
            <w:hideMark/>
          </w:tcPr>
          <w:p w14:paraId="70CACEE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0,71%</w:t>
            </w:r>
          </w:p>
        </w:tc>
        <w:tc>
          <w:tcPr>
            <w:tcW w:w="1269" w:type="dxa"/>
            <w:noWrap/>
            <w:hideMark/>
          </w:tcPr>
          <w:p w14:paraId="2F70188F"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01016605" w14:textId="77777777" w:rsidTr="00D877C5">
        <w:trPr>
          <w:trHeight w:val="288"/>
        </w:trPr>
        <w:tc>
          <w:tcPr>
            <w:tcW w:w="1784" w:type="dxa"/>
            <w:noWrap/>
            <w:hideMark/>
          </w:tcPr>
          <w:p w14:paraId="74E105B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77A44A5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4,90%</w:t>
            </w:r>
          </w:p>
        </w:tc>
        <w:tc>
          <w:tcPr>
            <w:tcW w:w="794" w:type="dxa"/>
            <w:noWrap/>
            <w:hideMark/>
          </w:tcPr>
          <w:p w14:paraId="74C3D85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11,73%</w:t>
            </w:r>
          </w:p>
        </w:tc>
        <w:tc>
          <w:tcPr>
            <w:tcW w:w="852" w:type="dxa"/>
            <w:noWrap/>
            <w:hideMark/>
          </w:tcPr>
          <w:p w14:paraId="1850915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29,00%</w:t>
            </w:r>
          </w:p>
        </w:tc>
        <w:tc>
          <w:tcPr>
            <w:tcW w:w="850" w:type="dxa"/>
            <w:noWrap/>
            <w:hideMark/>
          </w:tcPr>
          <w:p w14:paraId="65E4DF4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30,58%</w:t>
            </w:r>
          </w:p>
        </w:tc>
        <w:tc>
          <w:tcPr>
            <w:tcW w:w="851" w:type="dxa"/>
            <w:shd w:val="clear" w:color="auto" w:fill="D9D9D9" w:themeFill="background1" w:themeFillShade="D9"/>
            <w:noWrap/>
            <w:hideMark/>
          </w:tcPr>
          <w:p w14:paraId="18562F0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11,46%</w:t>
            </w:r>
          </w:p>
        </w:tc>
        <w:tc>
          <w:tcPr>
            <w:tcW w:w="709" w:type="dxa"/>
            <w:shd w:val="clear" w:color="auto" w:fill="D9D9D9" w:themeFill="background1" w:themeFillShade="D9"/>
            <w:noWrap/>
            <w:hideMark/>
          </w:tcPr>
          <w:p w14:paraId="3D57455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9,22%</w:t>
            </w:r>
          </w:p>
        </w:tc>
        <w:tc>
          <w:tcPr>
            <w:tcW w:w="708" w:type="dxa"/>
            <w:shd w:val="clear" w:color="auto" w:fill="D9D9D9" w:themeFill="background1" w:themeFillShade="D9"/>
            <w:noWrap/>
            <w:hideMark/>
          </w:tcPr>
          <w:p w14:paraId="580CB32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1,97%</w:t>
            </w:r>
          </w:p>
        </w:tc>
        <w:tc>
          <w:tcPr>
            <w:tcW w:w="709" w:type="dxa"/>
            <w:shd w:val="clear" w:color="auto" w:fill="D9D9D9" w:themeFill="background1" w:themeFillShade="D9"/>
            <w:noWrap/>
            <w:hideMark/>
          </w:tcPr>
          <w:p w14:paraId="7A4121F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1,14%</w:t>
            </w:r>
          </w:p>
        </w:tc>
        <w:tc>
          <w:tcPr>
            <w:tcW w:w="1269" w:type="dxa"/>
            <w:noWrap/>
            <w:hideMark/>
          </w:tcPr>
          <w:p w14:paraId="2FC0581F"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24%</w:t>
            </w:r>
          </w:p>
        </w:tc>
      </w:tr>
      <w:tr w:rsidR="00C74C67" w:rsidRPr="00C74C67" w14:paraId="4F76AFCA" w14:textId="77777777" w:rsidTr="00D877C5">
        <w:trPr>
          <w:trHeight w:val="288"/>
        </w:trPr>
        <w:tc>
          <w:tcPr>
            <w:tcW w:w="1784" w:type="dxa"/>
            <w:noWrap/>
            <w:hideMark/>
          </w:tcPr>
          <w:p w14:paraId="2DB38F9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5C98F33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29,80%</w:t>
            </w:r>
          </w:p>
        </w:tc>
        <w:tc>
          <w:tcPr>
            <w:tcW w:w="794" w:type="dxa"/>
            <w:noWrap/>
            <w:hideMark/>
          </w:tcPr>
          <w:p w14:paraId="72B77C6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22,06%</w:t>
            </w:r>
          </w:p>
        </w:tc>
        <w:tc>
          <w:tcPr>
            <w:tcW w:w="852" w:type="dxa"/>
            <w:noWrap/>
            <w:hideMark/>
          </w:tcPr>
          <w:p w14:paraId="042B6CE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28,67%</w:t>
            </w:r>
          </w:p>
        </w:tc>
        <w:tc>
          <w:tcPr>
            <w:tcW w:w="850" w:type="dxa"/>
            <w:shd w:val="clear" w:color="auto" w:fill="D9D9D9" w:themeFill="background1" w:themeFillShade="D9"/>
            <w:noWrap/>
            <w:hideMark/>
          </w:tcPr>
          <w:p w14:paraId="10FDC7D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13,75%</w:t>
            </w:r>
          </w:p>
        </w:tc>
        <w:tc>
          <w:tcPr>
            <w:tcW w:w="851" w:type="dxa"/>
            <w:shd w:val="clear" w:color="auto" w:fill="D9D9D9" w:themeFill="background1" w:themeFillShade="D9"/>
            <w:noWrap/>
            <w:hideMark/>
          </w:tcPr>
          <w:p w14:paraId="72E8487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5,14%</w:t>
            </w:r>
          </w:p>
        </w:tc>
        <w:tc>
          <w:tcPr>
            <w:tcW w:w="709" w:type="dxa"/>
            <w:shd w:val="clear" w:color="auto" w:fill="D9D9D9" w:themeFill="background1" w:themeFillShade="D9"/>
            <w:noWrap/>
            <w:hideMark/>
          </w:tcPr>
          <w:p w14:paraId="5431C4E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0,45%</w:t>
            </w:r>
          </w:p>
        </w:tc>
        <w:tc>
          <w:tcPr>
            <w:tcW w:w="708" w:type="dxa"/>
            <w:shd w:val="clear" w:color="auto" w:fill="D9D9D9" w:themeFill="background1" w:themeFillShade="D9"/>
            <w:noWrap/>
            <w:hideMark/>
          </w:tcPr>
          <w:p w14:paraId="145B44C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0,04%</w:t>
            </w:r>
          </w:p>
        </w:tc>
        <w:tc>
          <w:tcPr>
            <w:tcW w:w="709" w:type="dxa"/>
            <w:shd w:val="clear" w:color="auto" w:fill="D9D9D9" w:themeFill="background1" w:themeFillShade="D9"/>
            <w:noWrap/>
            <w:hideMark/>
          </w:tcPr>
          <w:p w14:paraId="0C6B74D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0,09%</w:t>
            </w:r>
          </w:p>
        </w:tc>
        <w:tc>
          <w:tcPr>
            <w:tcW w:w="1269" w:type="dxa"/>
            <w:noWrap/>
            <w:hideMark/>
          </w:tcPr>
          <w:p w14:paraId="116E4C6D"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19%</w:t>
            </w:r>
          </w:p>
        </w:tc>
      </w:tr>
      <w:tr w:rsidR="00C74C67" w:rsidRPr="00C74C67" w14:paraId="65518D9A" w14:textId="77777777" w:rsidTr="00D877C5">
        <w:trPr>
          <w:trHeight w:val="288"/>
        </w:trPr>
        <w:tc>
          <w:tcPr>
            <w:tcW w:w="1784" w:type="dxa"/>
            <w:noWrap/>
            <w:hideMark/>
          </w:tcPr>
          <w:p w14:paraId="1742A91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Zgrade za obrazovanje</w:t>
            </w:r>
          </w:p>
        </w:tc>
        <w:tc>
          <w:tcPr>
            <w:tcW w:w="818" w:type="dxa"/>
            <w:noWrap/>
            <w:hideMark/>
          </w:tcPr>
          <w:p w14:paraId="735D562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6,93%</w:t>
            </w:r>
          </w:p>
        </w:tc>
        <w:tc>
          <w:tcPr>
            <w:tcW w:w="794" w:type="dxa"/>
            <w:noWrap/>
            <w:hideMark/>
          </w:tcPr>
          <w:p w14:paraId="5EBF19F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10,71%</w:t>
            </w:r>
          </w:p>
        </w:tc>
        <w:tc>
          <w:tcPr>
            <w:tcW w:w="852" w:type="dxa"/>
            <w:noWrap/>
            <w:hideMark/>
          </w:tcPr>
          <w:p w14:paraId="6454060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29,53%</w:t>
            </w:r>
          </w:p>
        </w:tc>
        <w:tc>
          <w:tcPr>
            <w:tcW w:w="850" w:type="dxa"/>
            <w:noWrap/>
            <w:hideMark/>
          </w:tcPr>
          <w:p w14:paraId="0678FB1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29,48%</w:t>
            </w:r>
          </w:p>
        </w:tc>
        <w:tc>
          <w:tcPr>
            <w:tcW w:w="851" w:type="dxa"/>
            <w:noWrap/>
            <w:hideMark/>
          </w:tcPr>
          <w:p w14:paraId="6A45571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14,62%</w:t>
            </w:r>
          </w:p>
        </w:tc>
        <w:tc>
          <w:tcPr>
            <w:tcW w:w="709" w:type="dxa"/>
            <w:noWrap/>
            <w:hideMark/>
          </w:tcPr>
          <w:p w14:paraId="012A7D2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6,51%</w:t>
            </w:r>
          </w:p>
        </w:tc>
        <w:tc>
          <w:tcPr>
            <w:tcW w:w="708" w:type="dxa"/>
            <w:noWrap/>
            <w:hideMark/>
          </w:tcPr>
          <w:p w14:paraId="5610D1D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1,85%</w:t>
            </w:r>
          </w:p>
        </w:tc>
        <w:tc>
          <w:tcPr>
            <w:tcW w:w="709" w:type="dxa"/>
            <w:noWrap/>
            <w:hideMark/>
          </w:tcPr>
          <w:p w14:paraId="5E4EB1D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0,36%</w:t>
            </w:r>
          </w:p>
        </w:tc>
        <w:tc>
          <w:tcPr>
            <w:tcW w:w="1269" w:type="dxa"/>
            <w:noWrap/>
            <w:hideMark/>
          </w:tcPr>
          <w:p w14:paraId="0C098C21"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4BBAE3F2" w14:textId="77777777" w:rsidTr="00D877C5">
        <w:trPr>
          <w:trHeight w:val="288"/>
        </w:trPr>
        <w:tc>
          <w:tcPr>
            <w:tcW w:w="1784" w:type="dxa"/>
            <w:noWrap/>
            <w:hideMark/>
          </w:tcPr>
          <w:p w14:paraId="04B22EF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42C0109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2,41%</w:t>
            </w:r>
          </w:p>
        </w:tc>
        <w:tc>
          <w:tcPr>
            <w:tcW w:w="794" w:type="dxa"/>
            <w:noWrap/>
            <w:hideMark/>
          </w:tcPr>
          <w:p w14:paraId="5D497BC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6,98%</w:t>
            </w:r>
          </w:p>
        </w:tc>
        <w:tc>
          <w:tcPr>
            <w:tcW w:w="852" w:type="dxa"/>
            <w:noWrap/>
            <w:hideMark/>
          </w:tcPr>
          <w:p w14:paraId="671E2BA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32,92%</w:t>
            </w:r>
          </w:p>
        </w:tc>
        <w:tc>
          <w:tcPr>
            <w:tcW w:w="850" w:type="dxa"/>
            <w:noWrap/>
            <w:hideMark/>
          </w:tcPr>
          <w:p w14:paraId="0B7C8B0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29,09%</w:t>
            </w:r>
          </w:p>
        </w:tc>
        <w:tc>
          <w:tcPr>
            <w:tcW w:w="851" w:type="dxa"/>
            <w:shd w:val="clear" w:color="auto" w:fill="D9D9D9" w:themeFill="background1" w:themeFillShade="D9"/>
            <w:noWrap/>
            <w:hideMark/>
          </w:tcPr>
          <w:p w14:paraId="43EDF5E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17,31%</w:t>
            </w:r>
          </w:p>
        </w:tc>
        <w:tc>
          <w:tcPr>
            <w:tcW w:w="709" w:type="dxa"/>
            <w:shd w:val="clear" w:color="auto" w:fill="D9D9D9" w:themeFill="background1" w:themeFillShade="D9"/>
            <w:noWrap/>
            <w:hideMark/>
          </w:tcPr>
          <w:p w14:paraId="1AFEF2B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8,36%</w:t>
            </w:r>
          </w:p>
        </w:tc>
        <w:tc>
          <w:tcPr>
            <w:tcW w:w="708" w:type="dxa"/>
            <w:shd w:val="clear" w:color="auto" w:fill="D9D9D9" w:themeFill="background1" w:themeFillShade="D9"/>
            <w:noWrap/>
            <w:hideMark/>
          </w:tcPr>
          <w:p w14:paraId="41B2038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2,44%</w:t>
            </w:r>
          </w:p>
        </w:tc>
        <w:tc>
          <w:tcPr>
            <w:tcW w:w="709" w:type="dxa"/>
            <w:shd w:val="clear" w:color="auto" w:fill="D9D9D9" w:themeFill="background1" w:themeFillShade="D9"/>
            <w:noWrap/>
            <w:hideMark/>
          </w:tcPr>
          <w:p w14:paraId="653D98C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0,47%</w:t>
            </w:r>
          </w:p>
        </w:tc>
        <w:tc>
          <w:tcPr>
            <w:tcW w:w="1269" w:type="dxa"/>
            <w:noWrap/>
            <w:hideMark/>
          </w:tcPr>
          <w:p w14:paraId="071BACA5"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29%</w:t>
            </w:r>
          </w:p>
        </w:tc>
      </w:tr>
      <w:tr w:rsidR="00C74C67" w:rsidRPr="00C74C67" w14:paraId="15754087" w14:textId="77777777" w:rsidTr="00D877C5">
        <w:trPr>
          <w:trHeight w:val="288"/>
        </w:trPr>
        <w:tc>
          <w:tcPr>
            <w:tcW w:w="1784" w:type="dxa"/>
            <w:noWrap/>
            <w:hideMark/>
          </w:tcPr>
          <w:p w14:paraId="5BC7A8F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15AA9ED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21,10%</w:t>
            </w:r>
          </w:p>
        </w:tc>
        <w:tc>
          <w:tcPr>
            <w:tcW w:w="794" w:type="dxa"/>
            <w:noWrap/>
            <w:hideMark/>
          </w:tcPr>
          <w:p w14:paraId="4D9D83E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22,39%</w:t>
            </w:r>
          </w:p>
        </w:tc>
        <w:tc>
          <w:tcPr>
            <w:tcW w:w="852" w:type="dxa"/>
            <w:noWrap/>
            <w:hideMark/>
          </w:tcPr>
          <w:p w14:paraId="2ED9821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18,90%</w:t>
            </w:r>
          </w:p>
        </w:tc>
        <w:tc>
          <w:tcPr>
            <w:tcW w:w="850" w:type="dxa"/>
            <w:shd w:val="clear" w:color="auto" w:fill="D9D9D9" w:themeFill="background1" w:themeFillShade="D9"/>
            <w:noWrap/>
            <w:hideMark/>
          </w:tcPr>
          <w:p w14:paraId="69618CE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30,69%</w:t>
            </w:r>
          </w:p>
        </w:tc>
        <w:tc>
          <w:tcPr>
            <w:tcW w:w="851" w:type="dxa"/>
            <w:shd w:val="clear" w:color="auto" w:fill="D9D9D9" w:themeFill="background1" w:themeFillShade="D9"/>
            <w:noWrap/>
            <w:hideMark/>
          </w:tcPr>
          <w:p w14:paraId="5E66F86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6,20%</w:t>
            </w:r>
          </w:p>
        </w:tc>
        <w:tc>
          <w:tcPr>
            <w:tcW w:w="709" w:type="dxa"/>
            <w:shd w:val="clear" w:color="auto" w:fill="D9D9D9" w:themeFill="background1" w:themeFillShade="D9"/>
            <w:noWrap/>
            <w:hideMark/>
          </w:tcPr>
          <w:p w14:paraId="2F5508C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0,72%</w:t>
            </w:r>
          </w:p>
        </w:tc>
        <w:tc>
          <w:tcPr>
            <w:tcW w:w="708" w:type="dxa"/>
            <w:shd w:val="clear" w:color="auto" w:fill="D9D9D9" w:themeFill="background1" w:themeFillShade="D9"/>
            <w:noWrap/>
            <w:hideMark/>
          </w:tcPr>
          <w:p w14:paraId="6C3F517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09" w:type="dxa"/>
            <w:shd w:val="clear" w:color="auto" w:fill="D9D9D9" w:themeFill="background1" w:themeFillShade="D9"/>
            <w:noWrap/>
            <w:hideMark/>
          </w:tcPr>
          <w:p w14:paraId="5425873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1269" w:type="dxa"/>
            <w:noWrap/>
            <w:hideMark/>
          </w:tcPr>
          <w:p w14:paraId="3EC1375A"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38%</w:t>
            </w:r>
          </w:p>
        </w:tc>
      </w:tr>
      <w:tr w:rsidR="00C74C67" w:rsidRPr="00C74C67" w14:paraId="59C11639" w14:textId="77777777" w:rsidTr="00D877C5">
        <w:trPr>
          <w:trHeight w:val="288"/>
        </w:trPr>
        <w:tc>
          <w:tcPr>
            <w:tcW w:w="1784" w:type="dxa"/>
            <w:noWrap/>
            <w:hideMark/>
          </w:tcPr>
          <w:p w14:paraId="4E3943C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Grand Total</w:t>
            </w:r>
          </w:p>
        </w:tc>
        <w:tc>
          <w:tcPr>
            <w:tcW w:w="818" w:type="dxa"/>
            <w:noWrap/>
            <w:hideMark/>
          </w:tcPr>
          <w:p w14:paraId="05EAD14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5,94%</w:t>
            </w:r>
          </w:p>
        </w:tc>
        <w:tc>
          <w:tcPr>
            <w:tcW w:w="794" w:type="dxa"/>
            <w:noWrap/>
            <w:hideMark/>
          </w:tcPr>
          <w:p w14:paraId="1C6ABD40"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16,18%</w:t>
            </w:r>
          </w:p>
        </w:tc>
        <w:tc>
          <w:tcPr>
            <w:tcW w:w="852" w:type="dxa"/>
            <w:noWrap/>
            <w:hideMark/>
          </w:tcPr>
          <w:p w14:paraId="45EB05C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26,30%</w:t>
            </w:r>
          </w:p>
        </w:tc>
        <w:tc>
          <w:tcPr>
            <w:tcW w:w="850" w:type="dxa"/>
            <w:noWrap/>
            <w:hideMark/>
          </w:tcPr>
          <w:p w14:paraId="6449B91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22,83%</w:t>
            </w:r>
          </w:p>
        </w:tc>
        <w:tc>
          <w:tcPr>
            <w:tcW w:w="851" w:type="dxa"/>
            <w:noWrap/>
            <w:hideMark/>
          </w:tcPr>
          <w:p w14:paraId="7B4DEB8F"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15,07%</w:t>
            </w:r>
          </w:p>
        </w:tc>
        <w:tc>
          <w:tcPr>
            <w:tcW w:w="709" w:type="dxa"/>
            <w:noWrap/>
            <w:hideMark/>
          </w:tcPr>
          <w:p w14:paraId="7752CF1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7,56%</w:t>
            </w:r>
          </w:p>
        </w:tc>
        <w:tc>
          <w:tcPr>
            <w:tcW w:w="708" w:type="dxa"/>
            <w:noWrap/>
            <w:hideMark/>
          </w:tcPr>
          <w:p w14:paraId="3EDFDF8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3,47%</w:t>
            </w:r>
          </w:p>
        </w:tc>
        <w:tc>
          <w:tcPr>
            <w:tcW w:w="709" w:type="dxa"/>
            <w:noWrap/>
            <w:hideMark/>
          </w:tcPr>
          <w:p w14:paraId="2D900C9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2,65%</w:t>
            </w:r>
          </w:p>
        </w:tc>
        <w:tc>
          <w:tcPr>
            <w:tcW w:w="1269" w:type="dxa"/>
            <w:noWrap/>
            <w:hideMark/>
          </w:tcPr>
          <w:p w14:paraId="0A402466" w14:textId="77777777" w:rsidR="00C74C67" w:rsidRPr="00D877C5" w:rsidRDefault="00C74C67" w:rsidP="00D877C5">
            <w:pPr>
              <w:jc w:val="right"/>
              <w:rPr>
                <w:rFonts w:asciiTheme="minorHAnsi" w:hAnsiTheme="minorHAnsi" w:cstheme="minorHAnsi"/>
                <w:b/>
                <w:bCs/>
                <w:sz w:val="16"/>
                <w:szCs w:val="16"/>
              </w:rPr>
            </w:pPr>
          </w:p>
        </w:tc>
      </w:tr>
    </w:tbl>
    <w:p w14:paraId="3A364105" w14:textId="4E6928F2" w:rsidR="00690F19" w:rsidRDefault="00690F19" w:rsidP="00BC2135"/>
    <w:p w14:paraId="6BA23E70" w14:textId="4DDF7FF0" w:rsidR="008E6D02" w:rsidRDefault="00DD35AE" w:rsidP="008E6D02">
      <w:pPr>
        <w:rPr>
          <w:lang w:eastAsia="hr-HR"/>
        </w:rPr>
      </w:pPr>
      <w:r>
        <w:rPr>
          <w:lang w:eastAsia="hr-HR"/>
        </w:rPr>
        <w:t xml:space="preserve">Uz loša energetska svojstva, </w:t>
      </w:r>
      <w:r w:rsidR="00A33CF8">
        <w:rPr>
          <w:lang w:eastAsia="hr-HR"/>
        </w:rPr>
        <w:t xml:space="preserve">dodatni problem predstavlja i opasnost od energetskog siromaštva. </w:t>
      </w:r>
      <w:r w:rsidR="00845EE3">
        <w:rPr>
          <w:lang w:eastAsia="hr-HR"/>
        </w:rPr>
        <w:t xml:space="preserve">U nacrtu </w:t>
      </w:r>
      <w:r>
        <w:rPr>
          <w:lang w:eastAsia="hr-HR"/>
        </w:rPr>
        <w:t>Program</w:t>
      </w:r>
      <w:r w:rsidR="00845EE3">
        <w:rPr>
          <w:lang w:eastAsia="hr-HR"/>
        </w:rPr>
        <w:t>a</w:t>
      </w:r>
      <w:r>
        <w:rPr>
          <w:lang w:eastAsia="hr-HR"/>
        </w:rPr>
        <w:t xml:space="preserve"> suzbijanja energetskog siromaštva</w:t>
      </w:r>
      <w:r w:rsidR="006F5AAA" w:rsidRPr="006F5AAA">
        <w:rPr>
          <w:lang w:eastAsia="hr-HR"/>
        </w:rPr>
        <w:t xml:space="preserve"> u stambenim zgradama na potpomognutim područjima i područjima posebne državne skrbi za razdoblje 2019. – 2021. godine</w:t>
      </w:r>
      <w:r w:rsidR="00845EE3">
        <w:rPr>
          <w:lang w:eastAsia="hr-HR"/>
        </w:rPr>
        <w:t xml:space="preserve"> </w:t>
      </w:r>
      <w:r w:rsidR="00BA7A9F">
        <w:rPr>
          <w:lang w:eastAsia="hr-HR"/>
        </w:rPr>
        <w:t>obrađen je dio fonda zgrada s najgorim svojstvima koji</w:t>
      </w:r>
      <w:r>
        <w:rPr>
          <w:lang w:eastAsia="hr-HR"/>
        </w:rPr>
        <w:t xml:space="preserve"> obuhvaća 407 zgrada, </w:t>
      </w:r>
      <w:r w:rsidR="00BA7A9F">
        <w:rPr>
          <w:lang w:eastAsia="hr-HR"/>
        </w:rPr>
        <w:t>te</w:t>
      </w:r>
      <w:r>
        <w:rPr>
          <w:lang w:eastAsia="hr-HR"/>
        </w:rPr>
        <w:t xml:space="preserve"> razrađuje detaljni set kriterija za ocjenu potencijala energetske obnove zgrada, čime je proširiv na ostale zgrade s najgorim svojstvima</w:t>
      </w:r>
      <w:r w:rsidR="00BA7A9F">
        <w:rPr>
          <w:lang w:eastAsia="hr-HR"/>
        </w:rPr>
        <w:t xml:space="preserve"> i njihovo rangiranje prema prioritetima za energetsku obnovu</w:t>
      </w:r>
      <w:r>
        <w:rPr>
          <w:lang w:eastAsia="hr-HR"/>
        </w:rPr>
        <w:t xml:space="preserve">. </w:t>
      </w:r>
      <w:r w:rsidR="005C6778">
        <w:rPr>
          <w:lang w:eastAsia="hr-HR"/>
        </w:rPr>
        <w:t xml:space="preserve">Time se program može, osim višestambenih zgrada </w:t>
      </w:r>
      <w:r w:rsidR="008F29A4">
        <w:rPr>
          <w:lang w:eastAsia="hr-HR"/>
        </w:rPr>
        <w:t>u vlasništvu države, proširiti na ostale višestambene zgrade</w:t>
      </w:r>
      <w:r w:rsidR="008E6D02">
        <w:rPr>
          <w:lang w:eastAsia="hr-HR"/>
        </w:rPr>
        <w:t xml:space="preserve"> i obiteljske kuće. </w:t>
      </w:r>
    </w:p>
    <w:p w14:paraId="7E5A2D05" w14:textId="656EDF72" w:rsidR="008E6D02" w:rsidRDefault="009052C6" w:rsidP="008E6D02">
      <w:pPr>
        <w:rPr>
          <w:lang w:eastAsia="hr-HR"/>
        </w:rPr>
      </w:pPr>
      <w:r>
        <w:rPr>
          <w:lang w:eastAsia="hr-HR"/>
        </w:rPr>
        <w:t xml:space="preserve">Prema razdoblju gradnje i regulativi u pogledu seizmičke otpornosti zgrada, </w:t>
      </w:r>
      <w:r w:rsidR="00FD61BA">
        <w:rPr>
          <w:lang w:eastAsia="hr-HR"/>
        </w:rPr>
        <w:t xml:space="preserve">u zgrade s najlošijim karakteristikama spadaju i zgrade koje su seizmički ugrožene. Kod stambenih zgrada, </w:t>
      </w:r>
      <w:r w:rsidR="00BB3483">
        <w:rPr>
          <w:lang w:eastAsia="hr-HR"/>
        </w:rPr>
        <w:t>samo zgrade iza 2012. godine zadovoljavaju važeće uvjete zaštite od potresa</w:t>
      </w:r>
      <w:r w:rsidR="004D5506">
        <w:rPr>
          <w:lang w:eastAsia="hr-HR"/>
        </w:rPr>
        <w:t xml:space="preserve">, dok je najveći dio ranije građenih zgrada znatno ugrožen. </w:t>
      </w:r>
    </w:p>
    <w:p w14:paraId="3E254BEA" w14:textId="6165F824" w:rsidR="00F27950" w:rsidRDefault="00F27950" w:rsidP="00D877C5">
      <w:pPr>
        <w:pStyle w:val="Opisslike"/>
        <w:keepNext/>
      </w:pPr>
      <w:bookmarkStart w:id="147" w:name="_Toc40089042"/>
      <w:r>
        <w:t xml:space="preserve">Tablica </w:t>
      </w:r>
      <w:fldSimple w:instr=" SEQ Tablica \* ARABIC ">
        <w:r w:rsidR="00CE61F3">
          <w:rPr>
            <w:noProof/>
          </w:rPr>
          <w:t>6</w:t>
        </w:r>
      </w:fldSimple>
      <w:r>
        <w:t xml:space="preserve"> Udio zgrada prema preuzimanju potresnog opterećenja prema razdoblju gradnje</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60"/>
        <w:gridCol w:w="1184"/>
        <w:gridCol w:w="1220"/>
        <w:gridCol w:w="1220"/>
        <w:gridCol w:w="1220"/>
        <w:gridCol w:w="1247"/>
        <w:gridCol w:w="1593"/>
      </w:tblGrid>
      <w:tr w:rsidR="004D5506" w:rsidRPr="004D5506" w14:paraId="57AC88A4" w14:textId="77777777" w:rsidTr="00D877C5">
        <w:trPr>
          <w:trHeight w:val="584"/>
        </w:trPr>
        <w:tc>
          <w:tcPr>
            <w:tcW w:w="1657" w:type="dxa"/>
            <w:shd w:val="clear" w:color="auto" w:fill="8C8D86"/>
            <w:tcMar>
              <w:top w:w="72" w:type="dxa"/>
              <w:left w:w="144" w:type="dxa"/>
              <w:bottom w:w="72" w:type="dxa"/>
              <w:right w:w="144" w:type="dxa"/>
            </w:tcMar>
            <w:hideMark/>
          </w:tcPr>
          <w:p w14:paraId="0896DBEE"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b/>
                <w:bCs/>
                <w:color w:val="FFFFFF" w:themeColor="light1"/>
                <w:kern w:val="24"/>
                <w:szCs w:val="20"/>
                <w:lang w:eastAsia="hr-HR"/>
              </w:rPr>
              <w:t>Razdoblje</w:t>
            </w:r>
          </w:p>
        </w:tc>
        <w:tc>
          <w:tcPr>
            <w:tcW w:w="1183" w:type="dxa"/>
            <w:shd w:val="clear" w:color="auto" w:fill="8C8D86"/>
            <w:tcMar>
              <w:top w:w="72" w:type="dxa"/>
              <w:left w:w="144" w:type="dxa"/>
              <w:bottom w:w="72" w:type="dxa"/>
              <w:right w:w="144" w:type="dxa"/>
            </w:tcMar>
            <w:hideMark/>
          </w:tcPr>
          <w:p w14:paraId="1E7FFAF3"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b/>
                <w:bCs/>
                <w:color w:val="FFFFFF" w:themeColor="light1"/>
                <w:kern w:val="24"/>
                <w:szCs w:val="20"/>
                <w:lang w:val="en-US" w:eastAsia="hr-HR"/>
              </w:rPr>
              <w:t>Do 1945</w:t>
            </w:r>
          </w:p>
        </w:tc>
        <w:tc>
          <w:tcPr>
            <w:tcW w:w="1219" w:type="dxa"/>
            <w:shd w:val="clear" w:color="auto" w:fill="8C8D86"/>
            <w:tcMar>
              <w:top w:w="72" w:type="dxa"/>
              <w:left w:w="144" w:type="dxa"/>
              <w:bottom w:w="72" w:type="dxa"/>
              <w:right w:w="144" w:type="dxa"/>
            </w:tcMar>
            <w:hideMark/>
          </w:tcPr>
          <w:p w14:paraId="2ECB0CAD"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b/>
                <w:bCs/>
                <w:color w:val="FFFFFF" w:themeColor="light1"/>
                <w:kern w:val="24"/>
                <w:szCs w:val="20"/>
                <w:lang w:val="en-US" w:eastAsia="hr-HR"/>
              </w:rPr>
              <w:t>1946 – 1964</w:t>
            </w:r>
          </w:p>
        </w:tc>
        <w:tc>
          <w:tcPr>
            <w:tcW w:w="1219" w:type="dxa"/>
            <w:shd w:val="clear" w:color="auto" w:fill="8C8D86"/>
            <w:tcMar>
              <w:top w:w="72" w:type="dxa"/>
              <w:left w:w="144" w:type="dxa"/>
              <w:bottom w:w="72" w:type="dxa"/>
              <w:right w:w="144" w:type="dxa"/>
            </w:tcMar>
            <w:hideMark/>
          </w:tcPr>
          <w:p w14:paraId="3EB21EDE"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b/>
                <w:bCs/>
                <w:color w:val="FFFFFF" w:themeColor="light1"/>
                <w:kern w:val="24"/>
                <w:szCs w:val="20"/>
                <w:lang w:val="en-US" w:eastAsia="hr-HR"/>
              </w:rPr>
              <w:t>1965 - 1981</w:t>
            </w:r>
          </w:p>
        </w:tc>
        <w:tc>
          <w:tcPr>
            <w:tcW w:w="1219" w:type="dxa"/>
            <w:shd w:val="clear" w:color="auto" w:fill="8C8D86"/>
            <w:tcMar>
              <w:top w:w="72" w:type="dxa"/>
              <w:left w:w="144" w:type="dxa"/>
              <w:bottom w:w="72" w:type="dxa"/>
              <w:right w:w="144" w:type="dxa"/>
            </w:tcMar>
            <w:hideMark/>
          </w:tcPr>
          <w:p w14:paraId="5256F234"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b/>
                <w:bCs/>
                <w:color w:val="FFFFFF" w:themeColor="light1"/>
                <w:kern w:val="24"/>
                <w:szCs w:val="20"/>
                <w:lang w:val="en-US" w:eastAsia="hr-HR"/>
              </w:rPr>
              <w:t>1982 – 1997</w:t>
            </w:r>
          </w:p>
        </w:tc>
        <w:tc>
          <w:tcPr>
            <w:tcW w:w="1246" w:type="dxa"/>
            <w:shd w:val="clear" w:color="auto" w:fill="8C8D86"/>
            <w:tcMar>
              <w:top w:w="72" w:type="dxa"/>
              <w:left w:w="144" w:type="dxa"/>
              <w:bottom w:w="72" w:type="dxa"/>
              <w:right w:w="144" w:type="dxa"/>
            </w:tcMar>
            <w:hideMark/>
          </w:tcPr>
          <w:p w14:paraId="6C96A0A3"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b/>
                <w:bCs/>
                <w:color w:val="FFFFFF" w:themeColor="light1"/>
                <w:kern w:val="24"/>
                <w:szCs w:val="20"/>
                <w:lang w:val="en-US" w:eastAsia="hr-HR"/>
              </w:rPr>
              <w:t>1998 – 2011</w:t>
            </w:r>
          </w:p>
        </w:tc>
        <w:tc>
          <w:tcPr>
            <w:tcW w:w="1591" w:type="dxa"/>
            <w:shd w:val="clear" w:color="auto" w:fill="8C8D86"/>
            <w:tcMar>
              <w:top w:w="72" w:type="dxa"/>
              <w:left w:w="144" w:type="dxa"/>
              <w:bottom w:w="72" w:type="dxa"/>
              <w:right w:w="144" w:type="dxa"/>
            </w:tcMar>
            <w:hideMark/>
          </w:tcPr>
          <w:p w14:paraId="699D6EB2"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b/>
                <w:bCs/>
                <w:color w:val="FFFFFF" w:themeColor="light1"/>
                <w:kern w:val="24"/>
                <w:szCs w:val="20"/>
                <w:lang w:val="en-US" w:eastAsia="hr-HR"/>
              </w:rPr>
              <w:t xml:space="preserve">2012 - </w:t>
            </w:r>
            <w:r w:rsidRPr="00D877C5">
              <w:rPr>
                <w:rFonts w:asciiTheme="minorHAnsi" w:hAnsiTheme="minorHAnsi" w:cstheme="minorHAnsi"/>
                <w:b/>
                <w:bCs/>
                <w:color w:val="FFFFFF" w:themeColor="light1"/>
                <w:kern w:val="24"/>
                <w:szCs w:val="20"/>
                <w:lang w:eastAsia="hr-HR"/>
              </w:rPr>
              <w:t>danas</w:t>
            </w:r>
          </w:p>
        </w:tc>
      </w:tr>
      <w:tr w:rsidR="004D5506" w:rsidRPr="004D5506" w14:paraId="0BA61CAF" w14:textId="77777777" w:rsidTr="00D877C5">
        <w:trPr>
          <w:trHeight w:val="584"/>
        </w:trPr>
        <w:tc>
          <w:tcPr>
            <w:tcW w:w="1657" w:type="dxa"/>
            <w:shd w:val="clear" w:color="auto" w:fill="DBDBD9"/>
            <w:tcMar>
              <w:top w:w="72" w:type="dxa"/>
              <w:left w:w="144" w:type="dxa"/>
              <w:bottom w:w="72" w:type="dxa"/>
              <w:right w:w="144" w:type="dxa"/>
            </w:tcMar>
            <w:hideMark/>
          </w:tcPr>
          <w:p w14:paraId="1102DD96" w14:textId="2CA281D0"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Definirano</w:t>
            </w:r>
            <w:r w:rsidRPr="00D877C5">
              <w:rPr>
                <w:rFonts w:asciiTheme="minorHAnsi" w:hAnsiTheme="minorHAnsi" w:cstheme="minorHAnsi"/>
                <w:color w:val="000000" w:themeColor="dark1"/>
                <w:kern w:val="24"/>
                <w:szCs w:val="20"/>
                <w:lang w:eastAsia="hr-HR"/>
              </w:rPr>
              <w:t xml:space="preserve"> horizontalno djelovanje</w:t>
            </w:r>
          </w:p>
        </w:tc>
        <w:tc>
          <w:tcPr>
            <w:tcW w:w="1183" w:type="dxa"/>
            <w:shd w:val="clear" w:color="auto" w:fill="DBDBD9"/>
            <w:tcMar>
              <w:top w:w="72" w:type="dxa"/>
              <w:left w:w="144" w:type="dxa"/>
              <w:bottom w:w="72" w:type="dxa"/>
              <w:right w:w="144" w:type="dxa"/>
            </w:tcMar>
            <w:vAlign w:val="center"/>
            <w:hideMark/>
          </w:tcPr>
          <w:p w14:paraId="35FB8D73"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0 – 5 %</w:t>
            </w:r>
          </w:p>
        </w:tc>
        <w:tc>
          <w:tcPr>
            <w:tcW w:w="1219" w:type="dxa"/>
            <w:shd w:val="clear" w:color="auto" w:fill="DBDBD9"/>
            <w:tcMar>
              <w:top w:w="72" w:type="dxa"/>
              <w:left w:w="144" w:type="dxa"/>
              <w:bottom w:w="72" w:type="dxa"/>
              <w:right w:w="144" w:type="dxa"/>
            </w:tcMar>
            <w:vAlign w:val="center"/>
            <w:hideMark/>
          </w:tcPr>
          <w:p w14:paraId="0E6E32F9"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0 – 10 %</w:t>
            </w:r>
          </w:p>
        </w:tc>
        <w:tc>
          <w:tcPr>
            <w:tcW w:w="1219" w:type="dxa"/>
            <w:shd w:val="clear" w:color="auto" w:fill="DBDBD9"/>
            <w:tcMar>
              <w:top w:w="72" w:type="dxa"/>
              <w:left w:w="144" w:type="dxa"/>
              <w:bottom w:w="72" w:type="dxa"/>
              <w:right w:w="144" w:type="dxa"/>
            </w:tcMar>
            <w:vAlign w:val="center"/>
            <w:hideMark/>
          </w:tcPr>
          <w:p w14:paraId="34A624CB"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30 – 50 %</w:t>
            </w:r>
          </w:p>
        </w:tc>
        <w:tc>
          <w:tcPr>
            <w:tcW w:w="1219" w:type="dxa"/>
            <w:shd w:val="clear" w:color="auto" w:fill="DBDBD9"/>
            <w:tcMar>
              <w:top w:w="72" w:type="dxa"/>
              <w:left w:w="144" w:type="dxa"/>
              <w:bottom w:w="72" w:type="dxa"/>
              <w:right w:w="144" w:type="dxa"/>
            </w:tcMar>
            <w:vAlign w:val="center"/>
            <w:hideMark/>
          </w:tcPr>
          <w:p w14:paraId="64DE4B46"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30 – 50 %</w:t>
            </w:r>
          </w:p>
        </w:tc>
        <w:tc>
          <w:tcPr>
            <w:tcW w:w="1246" w:type="dxa"/>
            <w:shd w:val="clear" w:color="auto" w:fill="DBDBD9"/>
            <w:tcMar>
              <w:top w:w="72" w:type="dxa"/>
              <w:left w:w="144" w:type="dxa"/>
              <w:bottom w:w="72" w:type="dxa"/>
              <w:right w:w="144" w:type="dxa"/>
            </w:tcMar>
            <w:vAlign w:val="center"/>
            <w:hideMark/>
          </w:tcPr>
          <w:p w14:paraId="3EFA99DE"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75 – 100 %</w:t>
            </w:r>
          </w:p>
        </w:tc>
        <w:tc>
          <w:tcPr>
            <w:tcW w:w="1591" w:type="dxa"/>
            <w:shd w:val="clear" w:color="auto" w:fill="DBDBD9"/>
            <w:tcMar>
              <w:top w:w="72" w:type="dxa"/>
              <w:left w:w="144" w:type="dxa"/>
              <w:bottom w:w="72" w:type="dxa"/>
              <w:right w:w="144" w:type="dxa"/>
            </w:tcMar>
            <w:vAlign w:val="center"/>
            <w:hideMark/>
          </w:tcPr>
          <w:p w14:paraId="2EEDA088"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100%</w:t>
            </w:r>
          </w:p>
          <w:p w14:paraId="6D3454CD"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mjerodavno</w:t>
            </w:r>
          </w:p>
        </w:tc>
      </w:tr>
      <w:tr w:rsidR="004D5506" w:rsidRPr="004D5506" w14:paraId="046AD6AF" w14:textId="77777777" w:rsidTr="00D877C5">
        <w:trPr>
          <w:trHeight w:val="584"/>
        </w:trPr>
        <w:tc>
          <w:tcPr>
            <w:tcW w:w="1657" w:type="dxa"/>
            <w:shd w:val="clear" w:color="auto" w:fill="EEEEED"/>
            <w:tcMar>
              <w:top w:w="72" w:type="dxa"/>
              <w:left w:w="144" w:type="dxa"/>
              <w:bottom w:w="72" w:type="dxa"/>
              <w:right w:w="144" w:type="dxa"/>
            </w:tcMar>
            <w:hideMark/>
          </w:tcPr>
          <w:p w14:paraId="7EA721BD" w14:textId="142376E2"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 xml:space="preserve">Izgrađeno stambenih jedinica </w:t>
            </w:r>
            <w:r>
              <w:rPr>
                <w:rFonts w:asciiTheme="minorHAnsi" w:hAnsiTheme="minorHAnsi" w:cstheme="minorHAnsi"/>
                <w:color w:val="000000" w:themeColor="dark1"/>
                <w:kern w:val="24"/>
                <w:szCs w:val="20"/>
                <w:lang w:val="en-US" w:eastAsia="hr-HR"/>
              </w:rPr>
              <w:t xml:space="preserve">prema popisu </w:t>
            </w:r>
            <w:r w:rsidR="00F27950">
              <w:rPr>
                <w:rFonts w:asciiTheme="minorHAnsi" w:hAnsiTheme="minorHAnsi" w:cstheme="minorHAnsi"/>
                <w:color w:val="000000" w:themeColor="dark1"/>
                <w:kern w:val="24"/>
                <w:szCs w:val="20"/>
                <w:lang w:val="en-US" w:eastAsia="hr-HR"/>
              </w:rPr>
              <w:t>2011.</w:t>
            </w:r>
          </w:p>
        </w:tc>
        <w:tc>
          <w:tcPr>
            <w:tcW w:w="1183" w:type="dxa"/>
            <w:shd w:val="clear" w:color="auto" w:fill="EEEEED"/>
            <w:tcMar>
              <w:top w:w="72" w:type="dxa"/>
              <w:left w:w="144" w:type="dxa"/>
              <w:bottom w:w="72" w:type="dxa"/>
              <w:right w:w="144" w:type="dxa"/>
            </w:tcMar>
            <w:vAlign w:val="center"/>
            <w:hideMark/>
          </w:tcPr>
          <w:p w14:paraId="6CC64A64"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13 %</w:t>
            </w:r>
          </w:p>
        </w:tc>
        <w:tc>
          <w:tcPr>
            <w:tcW w:w="1219" w:type="dxa"/>
            <w:shd w:val="clear" w:color="auto" w:fill="EEEEED"/>
            <w:tcMar>
              <w:top w:w="72" w:type="dxa"/>
              <w:left w:w="144" w:type="dxa"/>
              <w:bottom w:w="72" w:type="dxa"/>
              <w:right w:w="144" w:type="dxa"/>
            </w:tcMar>
            <w:vAlign w:val="center"/>
            <w:hideMark/>
          </w:tcPr>
          <w:p w14:paraId="0E20CC8D"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17 %</w:t>
            </w:r>
          </w:p>
        </w:tc>
        <w:tc>
          <w:tcPr>
            <w:tcW w:w="1219" w:type="dxa"/>
            <w:shd w:val="clear" w:color="auto" w:fill="EEEEED"/>
            <w:tcMar>
              <w:top w:w="72" w:type="dxa"/>
              <w:left w:w="144" w:type="dxa"/>
              <w:bottom w:w="72" w:type="dxa"/>
              <w:right w:w="144" w:type="dxa"/>
            </w:tcMar>
            <w:vAlign w:val="center"/>
            <w:hideMark/>
          </w:tcPr>
          <w:p w14:paraId="1B53F832"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35 %</w:t>
            </w:r>
          </w:p>
        </w:tc>
        <w:tc>
          <w:tcPr>
            <w:tcW w:w="1219" w:type="dxa"/>
            <w:shd w:val="clear" w:color="auto" w:fill="EEEEED"/>
            <w:tcMar>
              <w:top w:w="72" w:type="dxa"/>
              <w:left w:w="144" w:type="dxa"/>
              <w:bottom w:w="72" w:type="dxa"/>
              <w:right w:w="144" w:type="dxa"/>
            </w:tcMar>
            <w:vAlign w:val="center"/>
            <w:hideMark/>
          </w:tcPr>
          <w:p w14:paraId="7F6547C3"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21 %</w:t>
            </w:r>
          </w:p>
        </w:tc>
        <w:tc>
          <w:tcPr>
            <w:tcW w:w="1246" w:type="dxa"/>
            <w:shd w:val="clear" w:color="auto" w:fill="EEEEED"/>
            <w:tcMar>
              <w:top w:w="72" w:type="dxa"/>
              <w:left w:w="144" w:type="dxa"/>
              <w:bottom w:w="72" w:type="dxa"/>
              <w:right w:w="144" w:type="dxa"/>
            </w:tcMar>
            <w:vAlign w:val="center"/>
            <w:hideMark/>
          </w:tcPr>
          <w:p w14:paraId="6B7F0D7B"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14 %</w:t>
            </w:r>
          </w:p>
        </w:tc>
        <w:tc>
          <w:tcPr>
            <w:tcW w:w="1591" w:type="dxa"/>
            <w:shd w:val="clear" w:color="auto" w:fill="EEEEED"/>
            <w:tcMar>
              <w:top w:w="72" w:type="dxa"/>
              <w:left w:w="144" w:type="dxa"/>
              <w:bottom w:w="72" w:type="dxa"/>
              <w:right w:w="144" w:type="dxa"/>
            </w:tcMar>
            <w:vAlign w:val="center"/>
            <w:hideMark/>
          </w:tcPr>
          <w:p w14:paraId="04351B74" w14:textId="77777777" w:rsidR="004D5506" w:rsidRPr="00D877C5" w:rsidRDefault="004D5506" w:rsidP="004D5506">
            <w:pPr>
              <w:tabs>
                <w:tab w:val="clear" w:pos="431"/>
              </w:tabs>
              <w:spacing w:after="0" w:line="240" w:lineRule="auto"/>
              <w:ind w:left="0"/>
              <w:jc w:val="left"/>
              <w:rPr>
                <w:rFonts w:asciiTheme="minorHAnsi" w:hAnsiTheme="minorHAnsi" w:cstheme="minorHAnsi"/>
                <w:szCs w:val="20"/>
                <w:lang w:eastAsia="hr-HR"/>
              </w:rPr>
            </w:pPr>
          </w:p>
        </w:tc>
      </w:tr>
      <w:tr w:rsidR="004D5506" w:rsidRPr="004D5506" w14:paraId="4F98E565" w14:textId="77777777" w:rsidTr="00D877C5">
        <w:trPr>
          <w:trHeight w:val="584"/>
        </w:trPr>
        <w:tc>
          <w:tcPr>
            <w:tcW w:w="1657" w:type="dxa"/>
            <w:shd w:val="clear" w:color="auto" w:fill="DBDBD9"/>
            <w:tcMar>
              <w:top w:w="72" w:type="dxa"/>
              <w:left w:w="144" w:type="dxa"/>
              <w:bottom w:w="72" w:type="dxa"/>
              <w:right w:w="144" w:type="dxa"/>
            </w:tcMar>
            <w:hideMark/>
          </w:tcPr>
          <w:p w14:paraId="11BAAB21"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Ukupno</w:t>
            </w:r>
          </w:p>
        </w:tc>
        <w:tc>
          <w:tcPr>
            <w:tcW w:w="1183" w:type="dxa"/>
            <w:shd w:val="clear" w:color="auto" w:fill="DBDBD9"/>
            <w:tcMar>
              <w:top w:w="72" w:type="dxa"/>
              <w:left w:w="144" w:type="dxa"/>
              <w:bottom w:w="72" w:type="dxa"/>
              <w:right w:w="144" w:type="dxa"/>
            </w:tcMar>
            <w:vAlign w:val="center"/>
            <w:hideMark/>
          </w:tcPr>
          <w:p w14:paraId="4143C344"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13 %</w:t>
            </w:r>
          </w:p>
        </w:tc>
        <w:tc>
          <w:tcPr>
            <w:tcW w:w="1219" w:type="dxa"/>
            <w:shd w:val="clear" w:color="auto" w:fill="DBDBD9"/>
            <w:tcMar>
              <w:top w:w="72" w:type="dxa"/>
              <w:left w:w="144" w:type="dxa"/>
              <w:bottom w:w="72" w:type="dxa"/>
              <w:right w:w="144" w:type="dxa"/>
            </w:tcMar>
            <w:vAlign w:val="center"/>
            <w:hideMark/>
          </w:tcPr>
          <w:p w14:paraId="5FA6DCF8"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30 %</w:t>
            </w:r>
          </w:p>
        </w:tc>
        <w:tc>
          <w:tcPr>
            <w:tcW w:w="1219" w:type="dxa"/>
            <w:shd w:val="clear" w:color="auto" w:fill="DBDBD9"/>
            <w:tcMar>
              <w:top w:w="72" w:type="dxa"/>
              <w:left w:w="144" w:type="dxa"/>
              <w:bottom w:w="72" w:type="dxa"/>
              <w:right w:w="144" w:type="dxa"/>
            </w:tcMar>
            <w:vAlign w:val="center"/>
            <w:hideMark/>
          </w:tcPr>
          <w:p w14:paraId="1F780B0F"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65 %</w:t>
            </w:r>
          </w:p>
        </w:tc>
        <w:tc>
          <w:tcPr>
            <w:tcW w:w="1219" w:type="dxa"/>
            <w:shd w:val="clear" w:color="auto" w:fill="DBDBD9"/>
            <w:tcMar>
              <w:top w:w="72" w:type="dxa"/>
              <w:left w:w="144" w:type="dxa"/>
              <w:bottom w:w="72" w:type="dxa"/>
              <w:right w:w="144" w:type="dxa"/>
            </w:tcMar>
            <w:vAlign w:val="center"/>
            <w:hideMark/>
          </w:tcPr>
          <w:p w14:paraId="5B4D06AE"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86 %</w:t>
            </w:r>
          </w:p>
        </w:tc>
        <w:tc>
          <w:tcPr>
            <w:tcW w:w="1246" w:type="dxa"/>
            <w:shd w:val="clear" w:color="auto" w:fill="DBDBD9"/>
            <w:tcMar>
              <w:top w:w="72" w:type="dxa"/>
              <w:left w:w="144" w:type="dxa"/>
              <w:bottom w:w="72" w:type="dxa"/>
              <w:right w:w="144" w:type="dxa"/>
            </w:tcMar>
            <w:vAlign w:val="center"/>
            <w:hideMark/>
          </w:tcPr>
          <w:p w14:paraId="35061EF2" w14:textId="77777777" w:rsidR="004D5506" w:rsidRPr="00D877C5" w:rsidRDefault="004D5506" w:rsidP="004D5506">
            <w:pPr>
              <w:tabs>
                <w:tab w:val="clear" w:pos="431"/>
              </w:tabs>
              <w:spacing w:after="0" w:line="240" w:lineRule="auto"/>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100%</w:t>
            </w:r>
          </w:p>
        </w:tc>
        <w:tc>
          <w:tcPr>
            <w:tcW w:w="1591" w:type="dxa"/>
            <w:shd w:val="clear" w:color="auto" w:fill="DBDBD9"/>
            <w:tcMar>
              <w:top w:w="72" w:type="dxa"/>
              <w:left w:w="144" w:type="dxa"/>
              <w:bottom w:w="72" w:type="dxa"/>
              <w:right w:w="144" w:type="dxa"/>
            </w:tcMar>
            <w:vAlign w:val="center"/>
            <w:hideMark/>
          </w:tcPr>
          <w:p w14:paraId="46DE0CAB" w14:textId="77777777" w:rsidR="004D5506" w:rsidRPr="00D877C5" w:rsidRDefault="004D5506" w:rsidP="004D5506">
            <w:pPr>
              <w:tabs>
                <w:tab w:val="clear" w:pos="431"/>
              </w:tabs>
              <w:spacing w:after="0" w:line="240" w:lineRule="auto"/>
              <w:ind w:left="0"/>
              <w:jc w:val="left"/>
              <w:rPr>
                <w:rFonts w:asciiTheme="minorHAnsi" w:hAnsiTheme="minorHAnsi" w:cstheme="minorHAnsi"/>
                <w:szCs w:val="20"/>
                <w:lang w:eastAsia="hr-HR"/>
              </w:rPr>
            </w:pPr>
          </w:p>
        </w:tc>
      </w:tr>
    </w:tbl>
    <w:p w14:paraId="6284496C" w14:textId="77777777" w:rsidR="004D5506" w:rsidRPr="00F82BF3" w:rsidRDefault="004D5506" w:rsidP="008E6D02">
      <w:pPr>
        <w:rPr>
          <w:lang w:eastAsia="hr-HR"/>
        </w:rPr>
      </w:pPr>
    </w:p>
    <w:p w14:paraId="2B98BE71" w14:textId="77777777" w:rsidR="00882ACD" w:rsidRPr="00F82BF3" w:rsidRDefault="00882ACD" w:rsidP="00670678">
      <w:pPr>
        <w:rPr>
          <w:lang w:eastAsia="hr-HR"/>
        </w:rPr>
      </w:pPr>
    </w:p>
    <w:p w14:paraId="1DCEC408" w14:textId="77777777" w:rsidR="00115593" w:rsidRDefault="00115593" w:rsidP="007649C2">
      <w:pPr>
        <w:pStyle w:val="Naslov20"/>
      </w:pPr>
      <w:bookmarkStart w:id="148" w:name="_Toc34052888"/>
      <w:bookmarkStart w:id="149" w:name="_Toc46163832"/>
      <w:r>
        <w:t>Politike i mjere za nacionalni fond zgrada s najgorim svojstvima</w:t>
      </w:r>
      <w:bookmarkEnd w:id="148"/>
      <w:bookmarkEnd w:id="149"/>
    </w:p>
    <w:p w14:paraId="20431C42" w14:textId="6327E9DF" w:rsidR="00D62E52" w:rsidRDefault="00734C1C" w:rsidP="00734C1C">
      <w:pPr>
        <w:ind w:left="0"/>
        <w:rPr>
          <w:lang w:eastAsia="hr-HR"/>
        </w:rPr>
      </w:pPr>
      <w:r>
        <w:rPr>
          <w:lang w:eastAsia="hr-HR"/>
        </w:rPr>
        <w:t>Temeljem dosadašnjih iskustava u provedbi programa energetske obnove zgrada u Republici Hrvatskoj, mjere javne politike</w:t>
      </w:r>
      <w:r w:rsidR="00581D8B">
        <w:rPr>
          <w:lang w:eastAsia="hr-HR"/>
        </w:rPr>
        <w:t xml:space="preserve"> i programi sufinanciranja bit će primarno </w:t>
      </w:r>
      <w:r w:rsidR="00581D8B" w:rsidRPr="0077156E">
        <w:rPr>
          <w:lang w:eastAsia="hr-HR"/>
        </w:rPr>
        <w:t>usmjereni na javne i stamene zgrade (višestambene zgrade i obiteljske kuće)</w:t>
      </w:r>
      <w:r w:rsidR="00BF0170" w:rsidRPr="0077156E">
        <w:rPr>
          <w:lang w:eastAsia="hr-HR"/>
        </w:rPr>
        <w:t xml:space="preserve"> i to one najgorih karakteristika (zgrade </w:t>
      </w:r>
      <w:r w:rsidR="00E20921" w:rsidRPr="0077156E">
        <w:rPr>
          <w:lang w:eastAsia="hr-HR"/>
        </w:rPr>
        <w:t>energetskog</w:t>
      </w:r>
      <w:r w:rsidR="00BF0170" w:rsidRPr="0077156E">
        <w:rPr>
          <w:lang w:eastAsia="hr-HR"/>
        </w:rPr>
        <w:t xml:space="preserve"> razreda </w:t>
      </w:r>
      <w:r w:rsidR="008C009A" w:rsidRPr="0077156E">
        <w:rPr>
          <w:lang w:eastAsia="hr-HR"/>
        </w:rPr>
        <w:t>D ili lošije)</w:t>
      </w:r>
      <w:r w:rsidR="00581D8B" w:rsidRPr="0077156E">
        <w:rPr>
          <w:lang w:eastAsia="hr-HR"/>
        </w:rPr>
        <w:t>.</w:t>
      </w:r>
      <w:r w:rsidR="00581D8B">
        <w:rPr>
          <w:lang w:eastAsia="hr-HR"/>
        </w:rPr>
        <w:t xml:space="preserve"> Mjere </w:t>
      </w:r>
      <w:r w:rsidR="0061499E">
        <w:rPr>
          <w:lang w:eastAsia="hr-HR"/>
        </w:rPr>
        <w:t xml:space="preserve">odnosno programi predviđeni za energetsku obnovu ovih zgrada </w:t>
      </w:r>
      <w:r w:rsidR="006562C5">
        <w:rPr>
          <w:lang w:eastAsia="hr-HR"/>
        </w:rPr>
        <w:t xml:space="preserve">prikazani su u nastavku te su sastavni dio Integriranog nacionalnog energetsko klimatskog plana za razdoblje od 2021. do 2030. godine. </w:t>
      </w:r>
      <w:r w:rsidR="00A22539">
        <w:rPr>
          <w:lang w:eastAsia="hr-HR"/>
        </w:rPr>
        <w:t>Provođenje</w:t>
      </w:r>
      <w:r w:rsidR="00A92C0C">
        <w:rPr>
          <w:lang w:eastAsia="hr-HR"/>
        </w:rPr>
        <w:t xml:space="preserve"> </w:t>
      </w:r>
      <w:r w:rsidR="00A22539">
        <w:rPr>
          <w:lang w:eastAsia="hr-HR"/>
        </w:rPr>
        <w:t>mjera predviđa se i u razdoblju nakon 2030. godine</w:t>
      </w:r>
      <w:r w:rsidR="007B1C1A">
        <w:rPr>
          <w:lang w:eastAsia="hr-HR"/>
        </w:rPr>
        <w:t xml:space="preserve"> odnosno do 2050. godine,</w:t>
      </w:r>
      <w:r w:rsidR="00A22539">
        <w:rPr>
          <w:lang w:eastAsia="hr-HR"/>
        </w:rPr>
        <w:t xml:space="preserve"> uz prilagodbu temeljenu na iskustvima iz same provedbe. </w:t>
      </w:r>
    </w:p>
    <w:p w14:paraId="499FD00A" w14:textId="77777777" w:rsidR="007C5FB2" w:rsidRDefault="004E7FC6" w:rsidP="00734C1C">
      <w:pPr>
        <w:ind w:left="0"/>
        <w:rPr>
          <w:lang w:eastAsia="hr-HR"/>
        </w:rPr>
      </w:pPr>
      <w:r>
        <w:rPr>
          <w:lang w:eastAsia="hr-HR"/>
        </w:rPr>
        <w:t>Što se zgrada komercijalnog sektora tiče, predviđa</w:t>
      </w:r>
      <w:r w:rsidR="001F4238">
        <w:rPr>
          <w:lang w:eastAsia="hr-HR"/>
        </w:rPr>
        <w:t xml:space="preserve"> se da će sustav obveza energetske učinkovitosti </w:t>
      </w:r>
      <w:r w:rsidR="000B23C8">
        <w:rPr>
          <w:lang w:eastAsia="hr-HR"/>
        </w:rPr>
        <w:t>opskrbljivača energije značajno doprinijeti obnovi ovog segmenta zgrada</w:t>
      </w:r>
      <w:r w:rsidR="008205A2">
        <w:rPr>
          <w:lang w:eastAsia="hr-HR"/>
        </w:rPr>
        <w:t xml:space="preserve"> u razdoblju najmanje do 2030. godine, a </w:t>
      </w:r>
      <w:r w:rsidR="00812384">
        <w:rPr>
          <w:lang w:eastAsia="hr-HR"/>
        </w:rPr>
        <w:t>moguće i nakon toga</w:t>
      </w:r>
      <w:r w:rsidR="000B23C8">
        <w:rPr>
          <w:lang w:eastAsia="hr-HR"/>
        </w:rPr>
        <w:t>, poglavito daljnjim razvojem tržišta energetskih uslug</w:t>
      </w:r>
      <w:r w:rsidR="00E845AF">
        <w:rPr>
          <w:lang w:eastAsia="hr-HR"/>
        </w:rPr>
        <w:t xml:space="preserve">a i mogućnosti trgovanja ostvarenim uštedama energije. </w:t>
      </w:r>
    </w:p>
    <w:p w14:paraId="12FCF517" w14:textId="77777777" w:rsidR="002139B7" w:rsidRDefault="002139B7" w:rsidP="002139B7">
      <w:pPr>
        <w:pStyle w:val="StandardWeb"/>
        <w:spacing w:after="120" w:line="288" w:lineRule="auto"/>
        <w:rPr>
          <w:rFonts w:ascii="Arial" w:hAnsi="Arial" w:cs="Arial"/>
          <w:b/>
          <w:bCs/>
          <w:color w:val="000000"/>
          <w:sz w:val="22"/>
          <w:szCs w:val="22"/>
        </w:rPr>
      </w:pPr>
    </w:p>
    <w:tbl>
      <w:tblPr>
        <w:tblStyle w:val="Reetkatablice"/>
        <w:tblW w:w="0" w:type="auto"/>
        <w:tblInd w:w="3" w:type="dxa"/>
        <w:tblLook w:val="04A0" w:firstRow="1" w:lastRow="0" w:firstColumn="1" w:lastColumn="0" w:noHBand="0" w:noVBand="1"/>
      </w:tblPr>
      <w:tblGrid>
        <w:gridCol w:w="9341"/>
      </w:tblGrid>
      <w:tr w:rsidR="002139B7" w14:paraId="5EC95F05" w14:textId="77777777" w:rsidTr="009C0678">
        <w:tc>
          <w:tcPr>
            <w:tcW w:w="9341" w:type="dxa"/>
          </w:tcPr>
          <w:p w14:paraId="0D532496" w14:textId="77777777" w:rsidR="002139B7" w:rsidRPr="002139B7" w:rsidRDefault="002139B7" w:rsidP="002139B7">
            <w:pPr>
              <w:pStyle w:val="StandardWeb"/>
              <w:spacing w:after="120" w:line="288" w:lineRule="auto"/>
              <w:rPr>
                <w:rFonts w:cs="Tahoma"/>
                <w:b/>
                <w:bCs/>
                <w:color w:val="000000"/>
                <w:szCs w:val="20"/>
                <w:u w:val="single"/>
              </w:rPr>
            </w:pPr>
            <w:r w:rsidRPr="002139B7">
              <w:rPr>
                <w:rFonts w:cs="Tahoma"/>
                <w:b/>
                <w:bCs/>
                <w:color w:val="000000"/>
                <w:szCs w:val="20"/>
                <w:u w:val="single"/>
              </w:rPr>
              <w:t>ENU-3: Program energetske obnove višestambenih zgrada</w:t>
            </w:r>
          </w:p>
          <w:p w14:paraId="49AF4EEE" w14:textId="77777777" w:rsidR="002139B7" w:rsidRPr="002139B7" w:rsidRDefault="002139B7" w:rsidP="002139B7">
            <w:pPr>
              <w:pStyle w:val="StandardWeb"/>
              <w:spacing w:after="120" w:line="288" w:lineRule="auto"/>
              <w:rPr>
                <w:rFonts w:cs="Tahoma"/>
                <w:b/>
                <w:bCs/>
                <w:color w:val="000000"/>
                <w:szCs w:val="20"/>
              </w:rPr>
            </w:pPr>
            <w:r w:rsidRPr="002139B7">
              <w:rPr>
                <w:rFonts w:cs="Tahoma"/>
                <w:b/>
                <w:bCs/>
                <w:color w:val="000000"/>
                <w:szCs w:val="20"/>
              </w:rPr>
              <w:t>Financijska mjera; provedba 2021. -2030.</w:t>
            </w:r>
            <w:r w:rsidR="006A4C03">
              <w:rPr>
                <w:rFonts w:cs="Tahoma"/>
                <w:b/>
                <w:bCs/>
                <w:color w:val="000000"/>
                <w:szCs w:val="20"/>
              </w:rPr>
              <w:t xml:space="preserve"> </w:t>
            </w:r>
            <w:r w:rsidR="006A4C03" w:rsidRPr="00634A74">
              <w:rPr>
                <w:rFonts w:cs="Tahoma"/>
                <w:color w:val="000000"/>
                <w:szCs w:val="20"/>
              </w:rPr>
              <w:t>(</w:t>
            </w:r>
            <w:r w:rsidR="00D224EF" w:rsidRPr="00634A74">
              <w:rPr>
                <w:rFonts w:cs="Tahoma"/>
                <w:color w:val="000000"/>
                <w:szCs w:val="20"/>
              </w:rPr>
              <w:t xml:space="preserve">mjera će se nastaviti provoditi i do 2050. godine u moguće izmjene temeljene na </w:t>
            </w:r>
            <w:r w:rsidR="00634A74" w:rsidRPr="00634A74">
              <w:rPr>
                <w:rFonts w:cs="Tahoma"/>
                <w:color w:val="000000"/>
                <w:szCs w:val="20"/>
              </w:rPr>
              <w:t>prikupljenim iskustvima)</w:t>
            </w:r>
          </w:p>
          <w:p w14:paraId="3E57DC13" w14:textId="727D5F64" w:rsidR="0079151E" w:rsidRPr="00A92C0C" w:rsidRDefault="002139B7" w:rsidP="0079151E">
            <w:pPr>
              <w:pStyle w:val="StandardWeb"/>
              <w:spacing w:after="120" w:line="288" w:lineRule="auto"/>
              <w:rPr>
                <w:rFonts w:cs="Myriad Pro"/>
                <w:lang w:eastAsia="hr-HR"/>
              </w:rPr>
            </w:pPr>
            <w:r w:rsidRPr="002139B7">
              <w:rPr>
                <w:rFonts w:cs="Tahoma"/>
                <w:b/>
                <w:bCs/>
                <w:color w:val="000000"/>
                <w:szCs w:val="20"/>
              </w:rPr>
              <w:t>Cilj i opis mjere</w:t>
            </w:r>
            <w:r w:rsidRPr="002139B7">
              <w:rPr>
                <w:rFonts w:cs="Tahoma"/>
                <w:b/>
                <w:bCs/>
                <w:color w:val="000000"/>
                <w:szCs w:val="20"/>
                <w:lang w:eastAsia="en-GB"/>
              </w:rPr>
              <w:t>:</w:t>
            </w:r>
            <w:r w:rsidRPr="002139B7">
              <w:rPr>
                <w:rFonts w:cs="Tahoma"/>
                <w:color w:val="000000"/>
                <w:szCs w:val="20"/>
                <w:lang w:eastAsia="en-GB"/>
              </w:rPr>
              <w:t xml:space="preserve"> </w:t>
            </w:r>
            <w:r w:rsidR="002318D4" w:rsidRPr="002318D4">
              <w:rPr>
                <w:rFonts w:cs="Myriad Pro"/>
                <w:lang w:eastAsia="hr-HR"/>
              </w:rPr>
              <w:t xml:space="preserve">Program je potrebno koncipirati kao nastavak provedbe Programa energetske obnove višestambenih zgrada iz razdoblja od 2014. do 2020. U tu svrhu, potrebno je planirati sredstva iz ESI fondova za sljedeće programsko razdoblje 2021.-2027. (s provedbom do 2030.), a provedbene procedure je potrebno </w:t>
            </w:r>
            <w:r w:rsidR="002318D4" w:rsidRPr="00A92C0C">
              <w:rPr>
                <w:rFonts w:cs="Myriad Pro"/>
                <w:lang w:eastAsia="hr-HR"/>
              </w:rPr>
              <w:t>značajno olakšati, poglavito u dijelu provedbe javne nabave. Potrebno je poticati dubinsku obnovu zgrada.</w:t>
            </w:r>
            <w:r w:rsidR="0079151E" w:rsidRPr="00A92C0C">
              <w:rPr>
                <w:rFonts w:cs="Myriad Pro"/>
                <w:lang w:eastAsia="hr-HR"/>
              </w:rPr>
              <w:t xml:space="preserve"> 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w:t>
            </w:r>
          </w:p>
          <w:p w14:paraId="6573E264" w14:textId="4BA28DBB" w:rsidR="002318D4" w:rsidRPr="002318D4" w:rsidRDefault="002318D4" w:rsidP="002318D4">
            <w:pPr>
              <w:pStyle w:val="StandardWeb"/>
              <w:spacing w:after="120" w:line="288" w:lineRule="auto"/>
              <w:rPr>
                <w:rFonts w:cs="Myriad Pro"/>
                <w:lang w:eastAsia="hr-HR"/>
              </w:rPr>
            </w:pPr>
            <w:r w:rsidRPr="002318D4">
              <w:rPr>
                <w:rFonts w:cs="Myriad Pro"/>
                <w:lang w:eastAsia="hr-HR"/>
              </w:rPr>
              <w:t xml:space="preserve"> Snažnije je potrebno poticati obnovu do nZEB standarda. Dodatno, potrebno je razmotriti osnivanje posebnog fonda iz kojega će se troškovi refundirati energetski siromašnim kućanstvima ili kućanstvima u riziku od energetskog siromaštva, kako bi se uklonila prepreka osiguravanja dovoljnog broja suglasnosti suvlasnika za energetsku obnovu. Provedba Programa mora biti praćena snažnim promotivnim aktivnostima, osiguranom tehničkom pomoći prijaviteljima te je nužno osigurati praćenje potrošnje energije prije i nakon energetske obnove, za što je potrebno stvoriti preduvjete u sklopu ISGE-a. Uštede su izračunate uz pretpostavku energetske obnove zgrada na razinu zadovoljavanja uvjeta iz Tehničkog propisa propisom o </w:t>
            </w:r>
            <w:r w:rsidRPr="00DC644D">
              <w:rPr>
                <w:rFonts w:cs="Myriad Pro"/>
                <w:lang w:eastAsia="hr-HR"/>
              </w:rPr>
              <w:t>racionalnoj uporabi energije i toplinskoj zaštiti u zgradama, prema razdobljima izgradnje zgrada</w:t>
            </w:r>
            <w:r w:rsidR="00AA1D69" w:rsidRPr="007C3860">
              <w:rPr>
                <w:rFonts w:cs="Myriad Pro"/>
                <w:lang w:eastAsia="hr-HR"/>
              </w:rPr>
              <w:t>, po godišn</w:t>
            </w:r>
            <w:r w:rsidR="0079697D" w:rsidRPr="007C3860">
              <w:rPr>
                <w:rFonts w:cs="Myriad Pro"/>
                <w:lang w:eastAsia="hr-HR"/>
              </w:rPr>
              <w:t xml:space="preserve">joj </w:t>
            </w:r>
            <w:r w:rsidR="00AA1D69" w:rsidRPr="00F16F23">
              <w:rPr>
                <w:rFonts w:cs="Myriad Pro"/>
                <w:lang w:eastAsia="hr-HR"/>
              </w:rPr>
              <w:t>stop</w:t>
            </w:r>
            <w:r w:rsidR="0079697D" w:rsidRPr="00F16F23">
              <w:rPr>
                <w:rFonts w:cs="Myriad Pro"/>
                <w:lang w:eastAsia="hr-HR"/>
              </w:rPr>
              <w:t>i</w:t>
            </w:r>
            <w:r w:rsidR="00AA1D69" w:rsidRPr="00F16F23">
              <w:rPr>
                <w:rFonts w:cs="Myriad Pro"/>
                <w:lang w:eastAsia="hr-HR"/>
              </w:rPr>
              <w:t xml:space="preserve"> </w:t>
            </w:r>
            <w:r w:rsidR="0079697D" w:rsidRPr="00F16F23">
              <w:rPr>
                <w:rFonts w:cs="Myriad Pro"/>
                <w:lang w:eastAsia="hr-HR"/>
              </w:rPr>
              <w:t xml:space="preserve">obnove </w:t>
            </w:r>
            <w:r w:rsidR="00AA1D69" w:rsidRPr="00F16F23">
              <w:rPr>
                <w:rFonts w:cs="Myriad Pro"/>
                <w:lang w:eastAsia="hr-HR"/>
              </w:rPr>
              <w:t>koj</w:t>
            </w:r>
            <w:r w:rsidR="00F40A7B" w:rsidRPr="00F16F23">
              <w:rPr>
                <w:rFonts w:cs="Myriad Pro"/>
                <w:lang w:eastAsia="hr-HR"/>
              </w:rPr>
              <w:t>a</w:t>
            </w:r>
            <w:r w:rsidR="00AA1D69" w:rsidRPr="00F16F23">
              <w:rPr>
                <w:rFonts w:cs="Myriad Pro"/>
                <w:lang w:eastAsia="hr-HR"/>
              </w:rPr>
              <w:t xml:space="preserve"> na početku razdoblja</w:t>
            </w:r>
            <w:r w:rsidR="00F40A7B" w:rsidRPr="00F16F23">
              <w:rPr>
                <w:rFonts w:cs="Myriad Pro"/>
                <w:lang w:eastAsia="hr-HR"/>
              </w:rPr>
              <w:t xml:space="preserve"> (2021. godine)</w:t>
            </w:r>
            <w:r w:rsidR="00AA1D69" w:rsidRPr="00F16F23">
              <w:rPr>
                <w:rFonts w:cs="Myriad Pro"/>
                <w:lang w:eastAsia="hr-HR"/>
              </w:rPr>
              <w:t xml:space="preserve"> iznos</w:t>
            </w:r>
            <w:r w:rsidR="00A9176B" w:rsidRPr="00F16F23">
              <w:rPr>
                <w:rFonts w:cs="Myriad Pro"/>
                <w:lang w:eastAsia="hr-HR"/>
              </w:rPr>
              <w:t>i</w:t>
            </w:r>
            <w:r w:rsidR="00AA1D69" w:rsidRPr="00F16F23">
              <w:rPr>
                <w:rFonts w:cs="Myriad Pro"/>
                <w:lang w:eastAsia="hr-HR"/>
              </w:rPr>
              <w:t xml:space="preserve"> 1%, a potom se do 2030. godine postupno povećava na 3%</w:t>
            </w:r>
            <w:r w:rsidR="00A9176B" w:rsidRPr="00F16F23">
              <w:rPr>
                <w:rFonts w:cs="Myriad Pro"/>
                <w:lang w:eastAsia="hr-HR"/>
              </w:rPr>
              <w:t xml:space="preserve"> te se na toj vrijednosti zadržava i do 2050. godine</w:t>
            </w:r>
            <w:r w:rsidRPr="00F16F23">
              <w:rPr>
                <w:rFonts w:cs="Myriad Pro"/>
                <w:lang w:eastAsia="hr-HR"/>
              </w:rPr>
              <w:t xml:space="preserve">. Godišnje uštede iznose 0,148 PJ. Pretpostavljeni </w:t>
            </w:r>
            <w:r w:rsidR="00020A25">
              <w:rPr>
                <w:rFonts w:cs="Myriad Pro"/>
                <w:lang w:eastAsia="hr-HR"/>
              </w:rPr>
              <w:t xml:space="preserve">jedinični </w:t>
            </w:r>
            <w:r w:rsidRPr="00F16F23">
              <w:rPr>
                <w:rFonts w:cs="Myriad Pro"/>
                <w:lang w:eastAsia="hr-HR"/>
              </w:rPr>
              <w:t>trošak energetske</w:t>
            </w:r>
            <w:r w:rsidRPr="002318D4">
              <w:rPr>
                <w:rFonts w:cs="Myriad Pro"/>
                <w:lang w:eastAsia="hr-HR"/>
              </w:rPr>
              <w:t xml:space="preserve"> obnove je 1.500 kn/m</w:t>
            </w:r>
            <w:r w:rsidRPr="004E2FFF">
              <w:rPr>
                <w:rFonts w:cs="Myriad Pro"/>
                <w:vertAlign w:val="superscript"/>
                <w:lang w:eastAsia="hr-HR"/>
              </w:rPr>
              <w:t>2</w:t>
            </w:r>
            <w:r w:rsidRPr="002318D4">
              <w:rPr>
                <w:rFonts w:cs="Myriad Pro"/>
                <w:lang w:eastAsia="hr-HR"/>
              </w:rPr>
              <w:t xml:space="preserve"> </w:t>
            </w:r>
            <w:r w:rsidR="00976869">
              <w:rPr>
                <w:rFonts w:cs="Myriad Pro"/>
                <w:lang w:eastAsia="hr-HR"/>
              </w:rPr>
              <w:t xml:space="preserve">, što odgovara </w:t>
            </w:r>
            <w:r w:rsidR="00A56692">
              <w:rPr>
                <w:rFonts w:cs="Myriad Pro"/>
                <w:lang w:eastAsia="hr-HR"/>
              </w:rPr>
              <w:t>trošku u 2020. godini.</w:t>
            </w:r>
            <w:r w:rsidR="00142B30">
              <w:rPr>
                <w:rFonts w:cs="Myriad Pro"/>
                <w:lang w:eastAsia="hr-HR"/>
              </w:rPr>
              <w:t xml:space="preserve"> Uključivanjem troškova seizmičke sanacije</w:t>
            </w:r>
            <w:r w:rsidR="0050331B">
              <w:rPr>
                <w:rFonts w:cs="Myriad Pro"/>
                <w:lang w:eastAsia="hr-HR"/>
              </w:rPr>
              <w:t xml:space="preserve"> u rasponu od 1.000 do 2.500 kn/m²</w:t>
            </w:r>
            <w:r w:rsidR="00142B30">
              <w:rPr>
                <w:rFonts w:cs="Myriad Pro"/>
                <w:lang w:eastAsia="hr-HR"/>
              </w:rPr>
              <w:t xml:space="preserve">, jedinični trošak </w:t>
            </w:r>
            <w:r w:rsidR="0050331B">
              <w:rPr>
                <w:rFonts w:cs="Myriad Pro"/>
                <w:lang w:eastAsia="hr-HR"/>
              </w:rPr>
              <w:t xml:space="preserve">integralne </w:t>
            </w:r>
            <w:r w:rsidR="00142B30">
              <w:rPr>
                <w:rFonts w:cs="Myriad Pro"/>
                <w:lang w:eastAsia="hr-HR"/>
              </w:rPr>
              <w:t>obnove raste do 3.500 kn/m</w:t>
            </w:r>
            <w:r w:rsidR="0050331B">
              <w:rPr>
                <w:rFonts w:cs="Myriad Pro"/>
                <w:lang w:eastAsia="hr-HR"/>
              </w:rPr>
              <w:t xml:space="preserve">². </w:t>
            </w:r>
          </w:p>
          <w:p w14:paraId="29C0FFAE" w14:textId="77777777" w:rsidR="002318D4" w:rsidRPr="002139B7" w:rsidRDefault="002318D4" w:rsidP="002318D4">
            <w:pPr>
              <w:pStyle w:val="StandardWeb"/>
              <w:spacing w:after="120" w:line="288" w:lineRule="auto"/>
              <w:rPr>
                <w:rFonts w:cs="Tahoma"/>
                <w:szCs w:val="20"/>
              </w:rPr>
            </w:pPr>
            <w:r w:rsidRPr="004E2FFF">
              <w:rPr>
                <w:b/>
                <w:lang w:eastAsia="hr-HR"/>
              </w:rPr>
              <w:t>Napomena:</w:t>
            </w:r>
            <w:r w:rsidRPr="002318D4">
              <w:rPr>
                <w:lang w:eastAsia="hr-HR"/>
              </w:rPr>
              <w:t xml:space="preserve"> ciljevi, uvjeti i aktivnosti te navedene brojčane vrijednosti su okvirne, a detaljno će se utvrditi u samom Programu energetske obnove višestambenih zgrada za razdoblje od 2021. do 2030.</w:t>
            </w:r>
          </w:p>
          <w:p w14:paraId="6C1D7885" w14:textId="77777777" w:rsidR="002139B7" w:rsidRPr="002139B7" w:rsidRDefault="002139B7" w:rsidP="002139B7">
            <w:pPr>
              <w:spacing w:after="0"/>
              <w:rPr>
                <w:rFonts w:cs="Tahoma"/>
                <w:color w:val="000000"/>
                <w:szCs w:val="20"/>
                <w:lang w:eastAsia="en-GB"/>
              </w:rPr>
            </w:pPr>
            <w:r w:rsidRPr="002139B7">
              <w:rPr>
                <w:rFonts w:cs="Tahoma"/>
                <w:b/>
                <w:bCs/>
                <w:color w:val="000000"/>
                <w:szCs w:val="20"/>
                <w:lang w:eastAsia="en-GB"/>
              </w:rPr>
              <w:t>Aktivnosti:</w:t>
            </w:r>
            <w:r w:rsidRPr="002139B7">
              <w:rPr>
                <w:rFonts w:cs="Tahoma"/>
                <w:color w:val="000000"/>
                <w:szCs w:val="20"/>
                <w:lang w:eastAsia="en-GB"/>
              </w:rPr>
              <w:t xml:space="preserve"> U okviru mjere provest će se sljedeće aktivnosti: </w:t>
            </w:r>
          </w:p>
          <w:p w14:paraId="41A57D01" w14:textId="77777777" w:rsidR="002318D4" w:rsidRPr="00283711" w:rsidRDefault="002318D4" w:rsidP="00853D9C">
            <w:pPr>
              <w:numPr>
                <w:ilvl w:val="0"/>
                <w:numId w:val="45"/>
              </w:numPr>
              <w:tabs>
                <w:tab w:val="clear" w:pos="431"/>
              </w:tabs>
              <w:spacing w:after="0"/>
              <w:rPr>
                <w:rFonts w:cs="Arial"/>
                <w:color w:val="000000"/>
              </w:rPr>
            </w:pPr>
            <w:r w:rsidRPr="00283711">
              <w:rPr>
                <w:rFonts w:cs="Arial"/>
                <w:color w:val="000000"/>
              </w:rPr>
              <w:t>Tijekom 2020. godine MGIPU će izraditi Program energetske obnove višestambenih zgrada za razdoblje od 2021. do 2030. godine, kojega usvaja Vlada, a koji je temelj za korištenje sredstava ESI fondova u programskom razdoblju od 2021. do 2027. godine</w:t>
            </w:r>
            <w:r w:rsidR="00DD5B32">
              <w:rPr>
                <w:rFonts w:cs="Arial"/>
                <w:color w:val="000000"/>
              </w:rPr>
              <w:t xml:space="preserve"> – </w:t>
            </w:r>
            <w:r w:rsidR="00882991">
              <w:rPr>
                <w:rFonts w:cs="Arial"/>
                <w:color w:val="000000"/>
              </w:rPr>
              <w:t>P</w:t>
            </w:r>
            <w:r w:rsidR="00DD5B32">
              <w:rPr>
                <w:rFonts w:cs="Arial"/>
                <w:color w:val="000000"/>
              </w:rPr>
              <w:t>rogram je prema Zakonu o gradnji (NN</w:t>
            </w:r>
            <w:r w:rsidR="00882991">
              <w:rPr>
                <w:rFonts w:cs="Arial"/>
                <w:color w:val="000000"/>
              </w:rPr>
              <w:t xml:space="preserve"> br. </w:t>
            </w:r>
            <w:r w:rsidR="00882991" w:rsidRPr="00882991">
              <w:rPr>
                <w:rFonts w:cs="Arial"/>
                <w:color w:val="000000"/>
              </w:rPr>
              <w:t>153/13, 20/17, 39/19, 125/19</w:t>
            </w:r>
            <w:r w:rsidR="00882991">
              <w:rPr>
                <w:rFonts w:cs="Arial"/>
                <w:color w:val="000000"/>
              </w:rPr>
              <w:t xml:space="preserve">) potrebno donijeti do </w:t>
            </w:r>
            <w:r w:rsidR="00081324">
              <w:t>30. lipnja 2021. godine</w:t>
            </w:r>
          </w:p>
          <w:p w14:paraId="04B95E6B" w14:textId="77777777" w:rsidR="002318D4" w:rsidRPr="003B3956" w:rsidRDefault="002318D4" w:rsidP="00853D9C">
            <w:pPr>
              <w:numPr>
                <w:ilvl w:val="0"/>
                <w:numId w:val="45"/>
              </w:numPr>
              <w:tabs>
                <w:tab w:val="clear" w:pos="431"/>
              </w:tabs>
              <w:spacing w:after="0"/>
              <w:rPr>
                <w:rFonts w:cs="Arial"/>
                <w:color w:val="000000"/>
              </w:rPr>
            </w:pPr>
            <w:r w:rsidRPr="00283711">
              <w:rPr>
                <w:rFonts w:cs="Arial"/>
                <w:color w:val="000000"/>
              </w:rPr>
              <w:t xml:space="preserve">Provedba </w:t>
            </w:r>
            <w:r w:rsidRPr="003B3956">
              <w:rPr>
                <w:rFonts w:cs="Arial"/>
                <w:color w:val="000000"/>
              </w:rPr>
              <w:t>na način utvrđen Programom</w:t>
            </w:r>
            <w:r w:rsidRPr="00283711">
              <w:rPr>
                <w:rFonts w:cs="Arial"/>
                <w:color w:val="000000"/>
              </w:rPr>
              <w:t xml:space="preserve"> </w:t>
            </w:r>
          </w:p>
          <w:p w14:paraId="5667D42F" w14:textId="77777777" w:rsidR="00355E46" w:rsidRDefault="00355E46" w:rsidP="002139B7">
            <w:pPr>
              <w:spacing w:after="0"/>
              <w:rPr>
                <w:rFonts w:cs="Tahoma"/>
                <w:b/>
                <w:bCs/>
                <w:color w:val="000000"/>
                <w:szCs w:val="20"/>
                <w:lang w:eastAsia="en-GB"/>
              </w:rPr>
            </w:pPr>
          </w:p>
          <w:p w14:paraId="6843FA72" w14:textId="77777777" w:rsidR="00D4206F" w:rsidRPr="00283711" w:rsidRDefault="00D4206F" w:rsidP="00D4206F">
            <w:pPr>
              <w:spacing w:after="0"/>
              <w:rPr>
                <w:rFonts w:cs="Arial"/>
                <w:color w:val="000000"/>
              </w:rPr>
            </w:pPr>
            <w:r w:rsidRPr="00283711">
              <w:rPr>
                <w:rFonts w:cs="Arial"/>
                <w:b/>
                <w:bCs/>
                <w:color w:val="000000"/>
                <w:lang w:eastAsia="en-GB"/>
              </w:rPr>
              <w:t xml:space="preserve">Izvori financiranja: </w:t>
            </w:r>
            <w:r w:rsidRPr="00283711">
              <w:rPr>
                <w:rFonts w:cs="Arial"/>
                <w:color w:val="000000"/>
                <w:lang w:eastAsia="en-GB"/>
              </w:rPr>
              <w:t>Potrebno je osigurati bespovratna sredstava iz ESI fondova u iznosu do 60% opravdanih troškova, uz maksimalno sufinanciranje energetskih pregleda, energetskih certifikata, projektne dokumentacije i tehničke pomoći u pripremi i provedbi projekta.</w:t>
            </w:r>
            <w:r>
              <w:rPr>
                <w:rFonts w:cs="Arial"/>
                <w:color w:val="000000"/>
                <w:lang w:eastAsia="en-GB"/>
              </w:rPr>
              <w:t xml:space="preserve"> Potrebno je razmotriti mogućnost korištenja nacionalnih sredstava i drugih izvora financiranja.</w:t>
            </w:r>
          </w:p>
          <w:p w14:paraId="12EBCC6C" w14:textId="77777777" w:rsidR="00D4206F" w:rsidRPr="00283711" w:rsidRDefault="00D4206F" w:rsidP="00D4206F">
            <w:pPr>
              <w:spacing w:after="0"/>
              <w:rPr>
                <w:rFonts w:cs="Arial"/>
                <w:color w:val="000000"/>
                <w:lang w:eastAsia="en-GB"/>
              </w:rPr>
            </w:pPr>
            <w:r w:rsidRPr="00283711">
              <w:rPr>
                <w:rFonts w:cs="Arial"/>
                <w:b/>
                <w:bCs/>
                <w:color w:val="000000"/>
                <w:lang w:eastAsia="en-GB"/>
              </w:rPr>
              <w:t>Izvršno tijelo:</w:t>
            </w:r>
            <w:r w:rsidRPr="00283711">
              <w:rPr>
                <w:rFonts w:cs="Arial"/>
                <w:color w:val="000000"/>
                <w:lang w:eastAsia="en-GB"/>
              </w:rPr>
              <w:t xml:space="preserve"> MGIPU – Posredničko tijelo razine 1 (PT1) u sustavu upravljanja i kontrole korištenja sredstava ESI fondova; MGIPU – operativno praćenje provedbe programa; FZOEU -</w:t>
            </w:r>
            <w:r>
              <w:rPr>
                <w:rFonts w:cs="Arial"/>
                <w:color w:val="000000"/>
                <w:lang w:eastAsia="en-GB"/>
              </w:rPr>
              <w:t xml:space="preserve"> </w:t>
            </w:r>
            <w:r w:rsidRPr="00283711">
              <w:rPr>
                <w:rFonts w:cs="Arial"/>
                <w:color w:val="000000"/>
                <w:lang w:eastAsia="en-GB"/>
              </w:rPr>
              <w:t>Posredničko tijelo razine 2 (PT2) u sustavu upravljanja i kontrole korištenja sredstava ESI fondova</w:t>
            </w:r>
          </w:p>
          <w:p w14:paraId="7B0DF903" w14:textId="77777777" w:rsidR="00D4206F" w:rsidRPr="00283711" w:rsidRDefault="00D4206F" w:rsidP="00D4206F">
            <w:pPr>
              <w:spacing w:after="0"/>
              <w:rPr>
                <w:rFonts w:cs="Arial"/>
                <w:color w:val="000000"/>
              </w:rPr>
            </w:pPr>
            <w:r w:rsidRPr="00283711">
              <w:rPr>
                <w:rFonts w:cs="Arial"/>
                <w:b/>
                <w:bCs/>
                <w:color w:val="000000"/>
                <w:lang w:eastAsia="en-GB"/>
              </w:rPr>
              <w:t>Tijela za praćenje (nadzor):</w:t>
            </w:r>
            <w:r w:rsidRPr="00283711">
              <w:rPr>
                <w:rFonts w:cs="Arial"/>
                <w:color w:val="000000"/>
                <w:lang w:eastAsia="en-GB"/>
              </w:rPr>
              <w:t xml:space="preserve"> MZOE-NKT</w:t>
            </w:r>
          </w:p>
          <w:p w14:paraId="6216E79E" w14:textId="77777777" w:rsidR="00D4206F" w:rsidRPr="00283711" w:rsidRDefault="00D4206F" w:rsidP="00D4206F">
            <w:pPr>
              <w:spacing w:after="0"/>
              <w:rPr>
                <w:rFonts w:cs="Arial"/>
                <w:color w:val="000000"/>
                <w:lang w:eastAsia="en-GB"/>
              </w:rPr>
            </w:pPr>
            <w:r w:rsidRPr="00283711">
              <w:rPr>
                <w:rFonts w:cs="Arial"/>
                <w:b/>
                <w:bCs/>
                <w:color w:val="000000"/>
                <w:lang w:eastAsia="en-GB"/>
              </w:rPr>
              <w:t xml:space="preserve">Učinak: </w:t>
            </w:r>
            <w:r w:rsidRPr="00283711">
              <w:rPr>
                <w:rFonts w:cs="Arial"/>
                <w:color w:val="000000"/>
                <w:lang w:eastAsia="en-GB"/>
              </w:rPr>
              <w:t>Smanjenje toplinskih potreba i potrošnje energije u višestambenim zgradama i povećanje korištenja OIE te posljedično smanjenje emisija CO</w:t>
            </w:r>
            <w:r w:rsidRPr="00283711">
              <w:rPr>
                <w:rFonts w:cs="Arial"/>
                <w:color w:val="000000"/>
                <w:vertAlign w:val="subscript"/>
                <w:lang w:eastAsia="en-GB"/>
              </w:rPr>
              <w:t>2</w:t>
            </w:r>
            <w:r w:rsidRPr="00283711">
              <w:rPr>
                <w:rFonts w:cs="Arial"/>
                <w:color w:val="000000"/>
                <w:lang w:eastAsia="en-GB"/>
              </w:rPr>
              <w:t>; procijenjene uštede u 2030. 1,48 PJ (35,40 ktoe); procijenjeno smanjenje emisija CO</w:t>
            </w:r>
            <w:r w:rsidRPr="00283711">
              <w:rPr>
                <w:rFonts w:cs="Arial"/>
                <w:color w:val="000000"/>
                <w:vertAlign w:val="subscript"/>
                <w:lang w:eastAsia="en-GB"/>
              </w:rPr>
              <w:t>2</w:t>
            </w:r>
            <w:r w:rsidRPr="00283711">
              <w:rPr>
                <w:rFonts w:cs="Arial"/>
                <w:color w:val="000000"/>
                <w:lang w:eastAsia="en-GB"/>
              </w:rPr>
              <w:t xml:space="preserve"> u 2030. 40,74 ktCO</w:t>
            </w:r>
            <w:r w:rsidRPr="00283711">
              <w:rPr>
                <w:rFonts w:cs="Arial"/>
                <w:color w:val="000000"/>
                <w:vertAlign w:val="subscript"/>
                <w:lang w:eastAsia="en-GB"/>
              </w:rPr>
              <w:t>2e</w:t>
            </w:r>
            <w:r w:rsidRPr="00283711">
              <w:rPr>
                <w:rFonts w:cs="Arial"/>
                <w:color w:val="000000"/>
                <w:lang w:eastAsia="en-GB"/>
              </w:rPr>
              <w:t>; kumulativne uštede energije u razdoblju 2021.-2030. 8,15 PJ (194,70 ktoe); kumulativno smanjenje emisija CO</w:t>
            </w:r>
            <w:r w:rsidRPr="00283711">
              <w:rPr>
                <w:rFonts w:cs="Arial"/>
                <w:color w:val="000000"/>
                <w:vertAlign w:val="subscript"/>
                <w:lang w:eastAsia="en-GB"/>
              </w:rPr>
              <w:t>2</w:t>
            </w:r>
            <w:r w:rsidRPr="00283711">
              <w:rPr>
                <w:rFonts w:cs="Arial"/>
                <w:color w:val="000000"/>
                <w:lang w:eastAsia="en-GB"/>
              </w:rPr>
              <w:t xml:space="preserve"> u razdoblju 2021.-2030. 232,17 ktCO</w:t>
            </w:r>
            <w:r w:rsidRPr="00283711">
              <w:rPr>
                <w:rFonts w:cs="Arial"/>
                <w:color w:val="000000"/>
                <w:vertAlign w:val="subscript"/>
                <w:lang w:eastAsia="en-GB"/>
              </w:rPr>
              <w:t>2e</w:t>
            </w:r>
          </w:p>
          <w:p w14:paraId="23C0783C" w14:textId="77777777" w:rsidR="00D4206F" w:rsidRPr="00283711" w:rsidRDefault="00D4206F" w:rsidP="00D4206F">
            <w:pPr>
              <w:spacing w:after="0"/>
              <w:rPr>
                <w:rFonts w:cs="Arial"/>
                <w:color w:val="000000"/>
              </w:rPr>
            </w:pPr>
            <w:r w:rsidRPr="00283711">
              <w:rPr>
                <w:rFonts w:cs="Arial"/>
                <w:b/>
                <w:bCs/>
                <w:color w:val="000000"/>
                <w:lang w:eastAsia="en-GB"/>
              </w:rPr>
              <w:t>Metoda praćenja:</w:t>
            </w:r>
            <w:r w:rsidRPr="00283711">
              <w:rPr>
                <w:rFonts w:cs="Arial"/>
                <w:color w:val="000000"/>
                <w:lang w:eastAsia="en-GB"/>
              </w:rPr>
              <w:t xml:space="preserve"> Sustav za praćenje, mjerenje i verifikaciju ušteda energije (SMiV), metodom odozdo-prema-gore za integralnu obnovu zgrada</w:t>
            </w:r>
          </w:p>
          <w:p w14:paraId="29D1557D" w14:textId="77777777" w:rsidR="00D4206F" w:rsidRPr="002139B7" w:rsidRDefault="00D4206F" w:rsidP="008C009A">
            <w:pPr>
              <w:spacing w:after="0"/>
              <w:rPr>
                <w:rFonts w:cs="Arial"/>
              </w:rPr>
            </w:pPr>
          </w:p>
        </w:tc>
      </w:tr>
    </w:tbl>
    <w:p w14:paraId="6E4F2F03" w14:textId="77777777" w:rsidR="00036292" w:rsidRDefault="00036292"/>
    <w:tbl>
      <w:tblPr>
        <w:tblStyle w:val="Reetkatablice"/>
        <w:tblW w:w="0" w:type="auto"/>
        <w:tblInd w:w="3" w:type="dxa"/>
        <w:tblLook w:val="04A0" w:firstRow="1" w:lastRow="0" w:firstColumn="1" w:lastColumn="0" w:noHBand="0" w:noVBand="1"/>
      </w:tblPr>
      <w:tblGrid>
        <w:gridCol w:w="9341"/>
      </w:tblGrid>
      <w:tr w:rsidR="009C0678" w14:paraId="34868980" w14:textId="77777777" w:rsidTr="009C0678">
        <w:tc>
          <w:tcPr>
            <w:tcW w:w="9341" w:type="dxa"/>
          </w:tcPr>
          <w:p w14:paraId="6ECB6B04" w14:textId="77777777" w:rsidR="009C0678" w:rsidRPr="009C0678" w:rsidRDefault="009C0678" w:rsidP="009C0678">
            <w:pPr>
              <w:pStyle w:val="StandardWeb"/>
              <w:spacing w:after="120" w:line="288" w:lineRule="auto"/>
              <w:rPr>
                <w:rFonts w:cs="Tahoma"/>
                <w:b/>
                <w:bCs/>
                <w:color w:val="000000"/>
                <w:szCs w:val="20"/>
                <w:u w:val="single"/>
              </w:rPr>
            </w:pPr>
            <w:r w:rsidRPr="009C0678">
              <w:rPr>
                <w:rFonts w:cs="Tahoma"/>
                <w:b/>
                <w:bCs/>
                <w:color w:val="000000"/>
                <w:szCs w:val="20"/>
                <w:u w:val="single"/>
              </w:rPr>
              <w:t>ENU-4: Program energetske obnove obiteljskih kuća</w:t>
            </w:r>
          </w:p>
          <w:p w14:paraId="0CD56C12" w14:textId="77777777" w:rsidR="009C0678" w:rsidRPr="009C0678" w:rsidRDefault="009C0678" w:rsidP="009C0678">
            <w:pPr>
              <w:pStyle w:val="StandardWeb"/>
              <w:spacing w:after="120" w:line="288" w:lineRule="auto"/>
              <w:rPr>
                <w:rFonts w:cs="Tahoma"/>
                <w:b/>
                <w:bCs/>
                <w:color w:val="000000"/>
                <w:szCs w:val="20"/>
              </w:rPr>
            </w:pPr>
            <w:r w:rsidRPr="009C0678">
              <w:rPr>
                <w:rFonts w:cs="Tahoma"/>
                <w:b/>
                <w:bCs/>
                <w:color w:val="000000"/>
                <w:szCs w:val="20"/>
              </w:rPr>
              <w:t>Financijska mjera; provedba 2021. -2030.</w:t>
            </w:r>
            <w:r w:rsidR="00634A74" w:rsidRPr="00634A74">
              <w:rPr>
                <w:rFonts w:cs="Tahoma"/>
                <w:color w:val="000000"/>
                <w:szCs w:val="20"/>
              </w:rPr>
              <w:t xml:space="preserve"> (mjera će se nastaviti provoditi i do 2050. godine u moguće izmjene temeljene na prikupljenim iskustvima)</w:t>
            </w:r>
          </w:p>
          <w:p w14:paraId="04FA3599" w14:textId="4F31AA65" w:rsidR="00596BEA" w:rsidRDefault="009C0678" w:rsidP="00C01B1C">
            <w:pPr>
              <w:pStyle w:val="StandardWeb"/>
              <w:spacing w:after="120" w:line="288" w:lineRule="auto"/>
              <w:rPr>
                <w:rFonts w:cs="Myriad Pro"/>
                <w:color w:val="FF0000"/>
                <w:lang w:eastAsia="hr-HR"/>
              </w:rPr>
            </w:pPr>
            <w:r w:rsidRPr="009C0678">
              <w:rPr>
                <w:rFonts w:cs="Tahoma"/>
                <w:b/>
                <w:bCs/>
                <w:color w:val="000000"/>
                <w:szCs w:val="20"/>
              </w:rPr>
              <w:t>Cilj i opis mjere</w:t>
            </w:r>
            <w:r w:rsidRPr="009C0678">
              <w:rPr>
                <w:rFonts w:cs="Tahoma"/>
                <w:b/>
                <w:bCs/>
                <w:color w:val="000000"/>
                <w:szCs w:val="20"/>
                <w:lang w:eastAsia="en-GB"/>
              </w:rPr>
              <w:t>:</w:t>
            </w:r>
            <w:r w:rsidRPr="009C0678">
              <w:rPr>
                <w:rFonts w:cs="Tahoma"/>
                <w:color w:val="000000"/>
                <w:szCs w:val="20"/>
                <w:lang w:eastAsia="en-GB"/>
              </w:rPr>
              <w:t xml:space="preserve"> </w:t>
            </w:r>
            <w:r w:rsidR="00D4206F" w:rsidRPr="00D4206F">
              <w:rPr>
                <w:rFonts w:cs="Tahoma"/>
                <w:szCs w:val="20"/>
              </w:rPr>
              <w:t xml:space="preserve">Program je potrebno koncipirati kao nastavak provedbe Programa energetske obnove obiteljskih kuća iz razdoblja od 2014. do 2020., uz sufinanciranje iz sredstava Fonda za zaštitu okoliša i energetsku učinkovitost. Potrebno je osigurati kontinuiranu provedbu obnove obiteljskih kuća obnovom javnih poziva za dodjelu bespovratnih sredstava svake godine u razdoblju 2021.-2030. Primarni izvori sufinanciranja trebaju biti prihodi od prodaje emisijskih jedinica stakleničkih plinova na dražbama te prihodi od naknada koju plaćaju opskrbljivači u sustavu obveze energetske učinkovitosti u slučaju neispunjenja svojih obveza. Programom se treba ostaviti mogućnost provedbe individualnih mjera, ali uz uvažavanje redoslijeda provedbe mjera (npr. zamjenu sustava grijanja učinkovitijim sustavom koji koristi OIE treba omogućiti samo onim kućama koje imaju dobre toplinske karakteristike i ne trebaju </w:t>
            </w:r>
            <w:r w:rsidR="00D4206F" w:rsidRPr="00A92C0C">
              <w:rPr>
                <w:rFonts w:cs="Tahoma"/>
                <w:szCs w:val="20"/>
              </w:rPr>
              <w:t>zahvate na ovojnici). Snažnije je potrebno poticati obnovu do nZEB standarda</w:t>
            </w:r>
            <w:r w:rsidR="00932A34" w:rsidRPr="00A92C0C">
              <w:rPr>
                <w:rFonts w:cs="Tahoma"/>
                <w:szCs w:val="20"/>
              </w:rPr>
              <w:t xml:space="preserve"> utvrđenog za obnovu</w:t>
            </w:r>
            <w:r w:rsidR="00D4206F" w:rsidRPr="00A92C0C">
              <w:rPr>
                <w:rFonts w:cs="Tahoma"/>
                <w:szCs w:val="20"/>
              </w:rPr>
              <w:t>.</w:t>
            </w:r>
            <w:r w:rsidR="00C01B1C" w:rsidRPr="00A92C0C">
              <w:rPr>
                <w:rFonts w:cs="Tahoma"/>
                <w:szCs w:val="20"/>
              </w:rPr>
              <w:br/>
            </w:r>
            <w:r w:rsidR="00F70CF2" w:rsidRPr="00A92C0C">
              <w:rPr>
                <w:rFonts w:cs="Myriad Pro"/>
                <w:lang w:eastAsia="hr-HR"/>
              </w:rPr>
              <w:t>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w:t>
            </w:r>
            <w:r w:rsidR="00596BEA" w:rsidRPr="00A92C0C">
              <w:rPr>
                <w:rFonts w:cs="Myriad Pro"/>
                <w:lang w:eastAsia="hr-HR"/>
              </w:rPr>
              <w:t>.</w:t>
            </w:r>
          </w:p>
          <w:p w14:paraId="729FAC81" w14:textId="30BF429B" w:rsidR="00D4206F" w:rsidRPr="00D4206F" w:rsidRDefault="00DF0E15" w:rsidP="00596BEA">
            <w:pPr>
              <w:pStyle w:val="StandardWeb"/>
              <w:spacing w:after="120" w:line="288" w:lineRule="auto"/>
              <w:ind w:left="0"/>
              <w:rPr>
                <w:rFonts w:cs="Tahoma"/>
                <w:szCs w:val="20"/>
              </w:rPr>
            </w:pPr>
            <w:r>
              <w:rPr>
                <w:rFonts w:cs="Tahoma"/>
                <w:szCs w:val="20"/>
              </w:rPr>
              <w:t xml:space="preserve">Programom će se obuhvatiti i </w:t>
            </w:r>
            <w:r w:rsidR="00840F66">
              <w:rPr>
                <w:rFonts w:cs="Tahoma"/>
                <w:szCs w:val="20"/>
              </w:rPr>
              <w:t>segment</w:t>
            </w:r>
            <w:r>
              <w:rPr>
                <w:rFonts w:cs="Tahoma"/>
                <w:szCs w:val="20"/>
              </w:rPr>
              <w:t xml:space="preserve"> građana</w:t>
            </w:r>
            <w:r w:rsidR="003065DF">
              <w:rPr>
                <w:rFonts w:cs="Tahoma"/>
                <w:szCs w:val="20"/>
              </w:rPr>
              <w:t xml:space="preserve"> u riziku od energetskog siromaštva</w:t>
            </w:r>
            <w:r w:rsidR="001F0FF5">
              <w:rPr>
                <w:rFonts w:cs="Tahoma"/>
                <w:szCs w:val="20"/>
              </w:rPr>
              <w:t>.</w:t>
            </w:r>
            <w:r>
              <w:rPr>
                <w:rFonts w:cs="Tahoma"/>
                <w:szCs w:val="20"/>
              </w:rPr>
              <w:t xml:space="preserve"> </w:t>
            </w:r>
            <w:r w:rsidR="00D4206F" w:rsidRPr="00D4206F">
              <w:rPr>
                <w:rFonts w:cs="Tahoma"/>
                <w:szCs w:val="20"/>
              </w:rPr>
              <w:t xml:space="preserve">Uštede su izračunate uz </w:t>
            </w:r>
            <w:r w:rsidR="00D4206F" w:rsidRPr="00DC644D">
              <w:rPr>
                <w:rFonts w:cs="Tahoma"/>
                <w:szCs w:val="20"/>
              </w:rPr>
              <w:t>pretpostavku energetske obnove zgrada na razinu zadovoljavanja uvjeta iz Tehničkog propisa propisom o racionalnoj uporabi energije i toplinskoj zaštiti u zgradama, prema razdobljima</w:t>
            </w:r>
            <w:r w:rsidR="00D4206F" w:rsidRPr="007C3860">
              <w:rPr>
                <w:rFonts w:cs="Tahoma"/>
                <w:szCs w:val="20"/>
              </w:rPr>
              <w:t xml:space="preserve"> izgradnje zgrada</w:t>
            </w:r>
            <w:r w:rsidR="00C713B4" w:rsidRPr="00334A49">
              <w:rPr>
                <w:rFonts w:cs="Myriad Pro"/>
                <w:lang w:eastAsia="hr-HR"/>
              </w:rPr>
              <w:t>, po godišnjoj stopi obnove koja na početku razdoblja (2021. godine) iznosi 1%, a potom se do 2030. godine postupno povećava na 3% te se na toj vrijednosti zadržava i do 2050. godine</w:t>
            </w:r>
            <w:r w:rsidR="00C713B4" w:rsidRPr="00DC644D">
              <w:rPr>
                <w:rFonts w:cs="Myriad Pro"/>
                <w:lang w:eastAsia="hr-HR"/>
              </w:rPr>
              <w:t>.</w:t>
            </w:r>
            <w:r w:rsidR="00D4206F" w:rsidRPr="00DC644D">
              <w:rPr>
                <w:rFonts w:cs="Tahoma"/>
                <w:szCs w:val="20"/>
              </w:rPr>
              <w:t xml:space="preserve"> Godišnje uštede iznose 0,191 PJ. </w:t>
            </w:r>
            <w:r w:rsidR="00F86583" w:rsidRPr="00F16F23">
              <w:rPr>
                <w:rFonts w:cs="Myriad Pro"/>
                <w:lang w:eastAsia="hr-HR"/>
              </w:rPr>
              <w:t xml:space="preserve">Pretpostavljeni </w:t>
            </w:r>
            <w:r w:rsidR="00F86583">
              <w:rPr>
                <w:rFonts w:cs="Myriad Pro"/>
                <w:lang w:eastAsia="hr-HR"/>
              </w:rPr>
              <w:t xml:space="preserve">jedinični </w:t>
            </w:r>
            <w:r w:rsidR="00F86583" w:rsidRPr="00F16F23">
              <w:rPr>
                <w:rFonts w:cs="Myriad Pro"/>
                <w:lang w:eastAsia="hr-HR"/>
              </w:rPr>
              <w:t>trošak energetske</w:t>
            </w:r>
            <w:r w:rsidR="00F86583" w:rsidRPr="002318D4">
              <w:rPr>
                <w:rFonts w:cs="Myriad Pro"/>
                <w:lang w:eastAsia="hr-HR"/>
              </w:rPr>
              <w:t xml:space="preserve"> obnove je 1.500 kn/m</w:t>
            </w:r>
            <w:r w:rsidR="00F86583" w:rsidRPr="004E2FFF">
              <w:rPr>
                <w:rFonts w:cs="Myriad Pro"/>
                <w:vertAlign w:val="superscript"/>
                <w:lang w:eastAsia="hr-HR"/>
              </w:rPr>
              <w:t>2</w:t>
            </w:r>
            <w:r w:rsidR="00F86583" w:rsidRPr="002318D4">
              <w:rPr>
                <w:rFonts w:cs="Myriad Pro"/>
                <w:lang w:eastAsia="hr-HR"/>
              </w:rPr>
              <w:t xml:space="preserve"> </w:t>
            </w:r>
            <w:r w:rsidR="00F86583">
              <w:rPr>
                <w:rFonts w:cs="Myriad Pro"/>
                <w:lang w:eastAsia="hr-HR"/>
              </w:rPr>
              <w:t>, što odgovara trošku u 2020. godini. Uključivanjem troškova seizmičke sanacije u rasponu od 1.000 do 2.500 kn/m², jedinični trošak integralne obnove raste do 3.500 kn/m².</w:t>
            </w:r>
          </w:p>
          <w:p w14:paraId="72A9B304" w14:textId="77777777" w:rsidR="009C0678" w:rsidRPr="009C0678" w:rsidRDefault="00D4206F" w:rsidP="00D4206F">
            <w:pPr>
              <w:pStyle w:val="StandardWeb"/>
              <w:spacing w:after="120" w:line="288" w:lineRule="auto"/>
              <w:rPr>
                <w:rFonts w:cs="Tahoma"/>
                <w:szCs w:val="20"/>
              </w:rPr>
            </w:pPr>
            <w:r w:rsidRPr="004E2FFF">
              <w:rPr>
                <w:rFonts w:cs="Tahoma"/>
                <w:b/>
                <w:szCs w:val="20"/>
              </w:rPr>
              <w:t>Napomena:</w:t>
            </w:r>
            <w:r w:rsidRPr="00D4206F">
              <w:rPr>
                <w:rFonts w:cs="Tahoma"/>
                <w:szCs w:val="20"/>
              </w:rPr>
              <w:t xml:space="preserve"> ciljevi, uvjeti i aktivnosti te navedene brojčane vrijednosti su okvirne, a detaljno će se utvrditi u samom Programu energetske obnove obiteljskih kuća za razdoblje od 2021. do 2030.</w:t>
            </w:r>
          </w:p>
          <w:p w14:paraId="73459EDB" w14:textId="77777777" w:rsidR="009C0678" w:rsidRPr="009C0678" w:rsidRDefault="009C0678" w:rsidP="009C0678">
            <w:pPr>
              <w:spacing w:after="0"/>
              <w:rPr>
                <w:rFonts w:cs="Tahoma"/>
                <w:color w:val="000000"/>
                <w:szCs w:val="20"/>
                <w:lang w:eastAsia="en-GB"/>
              </w:rPr>
            </w:pPr>
            <w:r w:rsidRPr="009C0678">
              <w:rPr>
                <w:rFonts w:cs="Tahoma"/>
                <w:b/>
                <w:bCs/>
                <w:color w:val="000000"/>
                <w:szCs w:val="20"/>
                <w:lang w:eastAsia="en-GB"/>
              </w:rPr>
              <w:t>Aktivnosti:</w:t>
            </w:r>
            <w:r w:rsidRPr="009C0678">
              <w:rPr>
                <w:rFonts w:cs="Tahoma"/>
                <w:color w:val="000000"/>
                <w:szCs w:val="20"/>
                <w:lang w:eastAsia="en-GB"/>
              </w:rPr>
              <w:t xml:space="preserve"> U okviru mjere provest će se sljedeće aktivnosti: </w:t>
            </w:r>
          </w:p>
          <w:p w14:paraId="50EC21E2" w14:textId="77777777" w:rsidR="00D4206F" w:rsidRPr="00223709" w:rsidRDefault="00D4206F" w:rsidP="00853D9C">
            <w:pPr>
              <w:numPr>
                <w:ilvl w:val="0"/>
                <w:numId w:val="45"/>
              </w:numPr>
              <w:tabs>
                <w:tab w:val="clear" w:pos="431"/>
              </w:tabs>
              <w:spacing w:after="0"/>
              <w:rPr>
                <w:rFonts w:cs="Arial"/>
                <w:color w:val="000000"/>
              </w:rPr>
            </w:pPr>
            <w:r w:rsidRPr="00223709">
              <w:rPr>
                <w:rFonts w:cs="Arial"/>
                <w:color w:val="000000"/>
              </w:rPr>
              <w:t>Tijekom 2020. godine MGIPU će izraditi Program energetske obnove obiteljskih kuća za razdoblje od 2021. do 2030. godine, kojega usvaja Vlada</w:t>
            </w:r>
            <w:r w:rsidR="00AB2323">
              <w:rPr>
                <w:rFonts w:cs="Arial"/>
                <w:color w:val="000000"/>
              </w:rPr>
              <w:t xml:space="preserve"> – Program je prema Zakonu o gradnji (NN br. </w:t>
            </w:r>
            <w:r w:rsidR="00AB2323" w:rsidRPr="00882991">
              <w:rPr>
                <w:rFonts w:cs="Arial"/>
                <w:color w:val="000000"/>
              </w:rPr>
              <w:t>153/13, 20/17, 39/19, 125/19</w:t>
            </w:r>
            <w:r w:rsidR="00AB2323">
              <w:rPr>
                <w:rFonts w:cs="Arial"/>
                <w:color w:val="000000"/>
              </w:rPr>
              <w:t xml:space="preserve">) potrebno donijeti do </w:t>
            </w:r>
            <w:r w:rsidR="00AB2323">
              <w:t>30. lipnja 2021. godine</w:t>
            </w:r>
            <w:r w:rsidRPr="00223709">
              <w:rPr>
                <w:rFonts w:cs="Arial"/>
                <w:color w:val="000000"/>
              </w:rPr>
              <w:t>;</w:t>
            </w:r>
          </w:p>
          <w:p w14:paraId="0DDCAB5A" w14:textId="77777777" w:rsidR="00D4206F" w:rsidRPr="00223709" w:rsidRDefault="00D4206F" w:rsidP="00853D9C">
            <w:pPr>
              <w:numPr>
                <w:ilvl w:val="0"/>
                <w:numId w:val="45"/>
              </w:numPr>
              <w:tabs>
                <w:tab w:val="clear" w:pos="431"/>
              </w:tabs>
              <w:spacing w:after="0"/>
              <w:rPr>
                <w:rFonts w:cs="Arial"/>
                <w:color w:val="000000"/>
              </w:rPr>
            </w:pPr>
            <w:r w:rsidRPr="00223709">
              <w:rPr>
                <w:rFonts w:cs="Arial"/>
                <w:color w:val="000000"/>
              </w:rPr>
              <w:t>Tijekom 2020. godine Vlada usvaja novi Plan korištenja financijskih sredstava dobivenih od prodaje emisijskih jedinica putem dražbi u Republici Hrvatskoj za razdoblje od 2021. godine u kojem se predviđaju dostatna sredstva za provedbu ove mjere kao i Plan korištenja sredstava od naknade koju plaćaju opskrbljivači u sustavu obveze energetske učinkovitosti;</w:t>
            </w:r>
          </w:p>
          <w:p w14:paraId="65A663C6" w14:textId="77777777" w:rsidR="00D4206F" w:rsidRPr="00223709" w:rsidRDefault="00D4206F" w:rsidP="00853D9C">
            <w:pPr>
              <w:numPr>
                <w:ilvl w:val="0"/>
                <w:numId w:val="45"/>
              </w:numPr>
              <w:tabs>
                <w:tab w:val="clear" w:pos="431"/>
              </w:tabs>
              <w:spacing w:after="0"/>
              <w:rPr>
                <w:rFonts w:cs="Arial"/>
                <w:color w:val="000000"/>
              </w:rPr>
            </w:pPr>
            <w:r w:rsidRPr="00223709">
              <w:rPr>
                <w:rFonts w:cs="Arial"/>
                <w:color w:val="000000"/>
              </w:rPr>
              <w:t xml:space="preserve">FZOEU se zadužuje za cjelokupnu provedbu ove mjere raspisivanjem godišnjih javnih poziva, čije kriterije razvija u suradnji s MGIPU. </w:t>
            </w:r>
          </w:p>
          <w:p w14:paraId="3B4E9918" w14:textId="77777777" w:rsidR="00355E46" w:rsidRDefault="00355E46" w:rsidP="009C0678">
            <w:pPr>
              <w:spacing w:after="0"/>
              <w:rPr>
                <w:rFonts w:cs="Tahoma"/>
                <w:b/>
                <w:bCs/>
                <w:color w:val="000000"/>
                <w:szCs w:val="20"/>
                <w:lang w:eastAsia="en-GB"/>
              </w:rPr>
            </w:pPr>
          </w:p>
          <w:p w14:paraId="5153F25A" w14:textId="77777777" w:rsidR="00D4206F" w:rsidRPr="00223709" w:rsidRDefault="00D4206F" w:rsidP="00D4206F">
            <w:pPr>
              <w:spacing w:after="0"/>
              <w:rPr>
                <w:rFonts w:cs="Arial"/>
                <w:color w:val="000000"/>
              </w:rPr>
            </w:pPr>
            <w:r w:rsidRPr="00223709">
              <w:rPr>
                <w:rFonts w:cs="Arial"/>
                <w:b/>
                <w:bCs/>
                <w:color w:val="000000"/>
                <w:lang w:eastAsia="en-GB"/>
              </w:rPr>
              <w:t xml:space="preserve">Izvori financiranja: </w:t>
            </w:r>
            <w:r w:rsidRPr="00223709">
              <w:rPr>
                <w:rFonts w:cs="Arial"/>
                <w:color w:val="000000"/>
                <w:lang w:eastAsia="en-GB"/>
              </w:rPr>
              <w:t>Potrebno je osigurati bespovratna sredstava iz FZOEU u iznosu do 60% opravdanih troškova opreme i radova energetske obnove. Sredstva FZOEU osigurava iz prihoda dobivenih od prodaje emisijskih jedinica putem dražbi te prihoda iz sustava obveza energetske učinkovitosti kao i drugih izvora prihoda FZOEU-a.</w:t>
            </w:r>
          </w:p>
          <w:p w14:paraId="1C854F39" w14:textId="77777777" w:rsidR="00D4206F" w:rsidRPr="00223709" w:rsidRDefault="00D4206F" w:rsidP="00D4206F">
            <w:pPr>
              <w:spacing w:after="0"/>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MGIPU – izrada Programa, definiranje kriterija, operativno praćenje provedbe Programa; FZOEU – cjelokupna provedba Programa putem godišnjih javnih poziva</w:t>
            </w:r>
          </w:p>
          <w:p w14:paraId="413D0018" w14:textId="77777777" w:rsidR="00D4206F" w:rsidRPr="00223709" w:rsidRDefault="00D4206F" w:rsidP="00D4206F">
            <w:pPr>
              <w:spacing w:after="0"/>
              <w:rPr>
                <w:rFonts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5C397002" w14:textId="77777777" w:rsidR="00D4206F" w:rsidRPr="00223709" w:rsidRDefault="00D4206F" w:rsidP="00D4206F">
            <w:pPr>
              <w:spacing w:after="0"/>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toplinskih potreba i potrošnje energije u obiteljskim kućama i povećanje korištenja OIE te posljedično smanjenje emisija CO</w:t>
            </w:r>
            <w:r w:rsidRPr="00223709">
              <w:rPr>
                <w:rFonts w:cs="Arial"/>
                <w:color w:val="000000"/>
                <w:vertAlign w:val="subscript"/>
                <w:lang w:eastAsia="en-GB"/>
              </w:rPr>
              <w:t>2</w:t>
            </w:r>
            <w:r w:rsidRPr="00223709">
              <w:rPr>
                <w:rFonts w:cs="Arial"/>
                <w:color w:val="000000"/>
                <w:lang w:eastAsia="en-GB"/>
              </w:rPr>
              <w:t>; procijenjene uštede u 2030.</w:t>
            </w:r>
            <w:r w:rsidRPr="00223709">
              <w:rPr>
                <w:rFonts w:cs="Arial"/>
              </w:rPr>
              <w:t xml:space="preserve"> </w:t>
            </w:r>
            <w:r w:rsidRPr="00223709">
              <w:rPr>
                <w:rFonts w:cs="Arial"/>
                <w:color w:val="000000"/>
                <w:lang w:eastAsia="en-GB"/>
              </w:rPr>
              <w:t>1,91 PJ (45,60 ktoe); procijenjeno smanjenje emisija CO</w:t>
            </w:r>
            <w:r w:rsidRPr="00223709">
              <w:rPr>
                <w:rFonts w:cs="Arial"/>
                <w:color w:val="000000"/>
                <w:vertAlign w:val="subscript"/>
                <w:lang w:eastAsia="en-GB"/>
              </w:rPr>
              <w:t>2</w:t>
            </w:r>
            <w:r w:rsidRPr="00223709">
              <w:rPr>
                <w:rFonts w:cs="Arial"/>
                <w:color w:val="000000"/>
                <w:lang w:eastAsia="en-GB"/>
              </w:rPr>
              <w:t xml:space="preserve"> u 2030. 52,57 ktCO</w:t>
            </w:r>
            <w:r w:rsidRPr="00223709">
              <w:rPr>
                <w:rFonts w:cs="Arial"/>
                <w:color w:val="000000"/>
                <w:vertAlign w:val="subscript"/>
                <w:lang w:eastAsia="en-GB"/>
              </w:rPr>
              <w:t>2e</w:t>
            </w:r>
            <w:r w:rsidRPr="00223709">
              <w:rPr>
                <w:rFonts w:cs="Arial"/>
                <w:color w:val="000000"/>
                <w:lang w:eastAsia="en-GB"/>
              </w:rPr>
              <w:t>; kumulativne uštede energije u razdoblju 2021.-2030. 10,50 PJ (250,80 ktoe); kumulativno smanjenje emisija CO</w:t>
            </w:r>
            <w:r w:rsidRPr="00223709">
              <w:rPr>
                <w:rFonts w:cs="Arial"/>
                <w:color w:val="000000"/>
                <w:vertAlign w:val="subscript"/>
                <w:lang w:eastAsia="en-GB"/>
              </w:rPr>
              <w:t>2</w:t>
            </w:r>
            <w:r w:rsidRPr="00223709">
              <w:rPr>
                <w:rFonts w:cs="Arial"/>
                <w:color w:val="000000"/>
                <w:lang w:eastAsia="en-GB"/>
              </w:rPr>
              <w:t xml:space="preserve"> u razdoblju 2021.-2030. 299,12 ktCO</w:t>
            </w:r>
            <w:r w:rsidRPr="00223709">
              <w:rPr>
                <w:rFonts w:cs="Arial"/>
                <w:color w:val="000000"/>
                <w:vertAlign w:val="subscript"/>
                <w:lang w:eastAsia="en-GB"/>
              </w:rPr>
              <w:t>2e</w:t>
            </w:r>
          </w:p>
          <w:p w14:paraId="228AEE05" w14:textId="77777777" w:rsidR="00D4206F" w:rsidRPr="00223709" w:rsidRDefault="00D4206F" w:rsidP="00D4206F">
            <w:pPr>
              <w:spacing w:after="0"/>
              <w:rPr>
                <w:rFonts w:cs="Arial"/>
                <w:color w:val="000000"/>
              </w:rPr>
            </w:pPr>
            <w:r w:rsidRPr="00223709">
              <w:rPr>
                <w:rFonts w:cs="Arial"/>
                <w:b/>
                <w:bCs/>
                <w:color w:val="000000"/>
                <w:lang w:eastAsia="en-GB"/>
              </w:rPr>
              <w:t>Metoda praćenja:</w:t>
            </w:r>
            <w:r w:rsidRPr="00223709">
              <w:rPr>
                <w:rFonts w:cs="Arial"/>
                <w:color w:val="000000"/>
                <w:lang w:eastAsia="en-GB"/>
              </w:rPr>
              <w:t xml:space="preserve"> Sustav za praćenje, mjerenje i verifikaciju ušteda energije (SMiV), metodom odozdo-prema-gore za integralnu obnovu zgrada ili drugom odgovarajućom metodom, ako se radi o provedbi individualnih mjera</w:t>
            </w:r>
          </w:p>
          <w:p w14:paraId="46DA01DE" w14:textId="77777777" w:rsidR="000931A7" w:rsidRPr="000931A7" w:rsidRDefault="000931A7" w:rsidP="000931A7">
            <w:pPr>
              <w:spacing w:after="0"/>
              <w:rPr>
                <w:rFonts w:cs="Tahoma"/>
                <w:color w:val="000000"/>
                <w:szCs w:val="20"/>
              </w:rPr>
            </w:pPr>
          </w:p>
        </w:tc>
      </w:tr>
    </w:tbl>
    <w:p w14:paraId="2855C3E6" w14:textId="77777777" w:rsidR="009C0678" w:rsidRDefault="009C0678" w:rsidP="002139B7">
      <w:pPr>
        <w:pStyle w:val="StandardWeb"/>
        <w:spacing w:after="120" w:line="288" w:lineRule="auto"/>
        <w:rPr>
          <w:rFonts w:cs="Tahoma"/>
          <w:b/>
          <w:bCs/>
          <w:color w:val="000000"/>
          <w:szCs w:val="20"/>
        </w:rPr>
      </w:pPr>
    </w:p>
    <w:tbl>
      <w:tblPr>
        <w:tblStyle w:val="Reetkatablice"/>
        <w:tblW w:w="0" w:type="auto"/>
        <w:tblInd w:w="3" w:type="dxa"/>
        <w:tblLook w:val="04A0" w:firstRow="1" w:lastRow="0" w:firstColumn="1" w:lastColumn="0" w:noHBand="0" w:noVBand="1"/>
      </w:tblPr>
      <w:tblGrid>
        <w:gridCol w:w="9341"/>
      </w:tblGrid>
      <w:tr w:rsidR="00791799" w:rsidRPr="00791799" w14:paraId="1D95FAC0" w14:textId="77777777" w:rsidTr="00791799">
        <w:tc>
          <w:tcPr>
            <w:tcW w:w="9341" w:type="dxa"/>
          </w:tcPr>
          <w:p w14:paraId="7D492492" w14:textId="77777777" w:rsidR="00791799" w:rsidRPr="00791799" w:rsidRDefault="00791799" w:rsidP="00791799">
            <w:pPr>
              <w:pStyle w:val="StandardWeb"/>
              <w:spacing w:after="120" w:line="288" w:lineRule="auto"/>
              <w:rPr>
                <w:rFonts w:cs="Tahoma"/>
                <w:b/>
                <w:bCs/>
                <w:color w:val="000000"/>
                <w:szCs w:val="20"/>
                <w:u w:val="single"/>
              </w:rPr>
            </w:pPr>
            <w:r w:rsidRPr="00791799">
              <w:rPr>
                <w:rFonts w:cs="Tahoma"/>
                <w:b/>
                <w:bCs/>
                <w:color w:val="000000"/>
                <w:szCs w:val="20"/>
                <w:u w:val="single"/>
              </w:rPr>
              <w:t xml:space="preserve">ENU-5: Program energetske obnove zgrada javnog sektora </w:t>
            </w:r>
          </w:p>
          <w:p w14:paraId="7A0CE2F5" w14:textId="77777777" w:rsidR="00791799" w:rsidRPr="00791799" w:rsidRDefault="00791799" w:rsidP="00791799">
            <w:pPr>
              <w:pStyle w:val="StandardWeb"/>
              <w:spacing w:after="120" w:line="288" w:lineRule="auto"/>
              <w:rPr>
                <w:rFonts w:cs="Tahoma"/>
                <w:b/>
                <w:bCs/>
                <w:color w:val="000000"/>
                <w:szCs w:val="20"/>
              </w:rPr>
            </w:pPr>
            <w:r w:rsidRPr="00791799">
              <w:rPr>
                <w:rFonts w:cs="Tahoma"/>
                <w:b/>
                <w:bCs/>
                <w:color w:val="000000"/>
                <w:szCs w:val="20"/>
              </w:rPr>
              <w:t>Financijska mjera; provedba 2021. -2030.</w:t>
            </w:r>
            <w:r w:rsidR="00634A74" w:rsidRPr="00634A74">
              <w:rPr>
                <w:rFonts w:cs="Tahoma"/>
                <w:color w:val="000000"/>
                <w:szCs w:val="20"/>
              </w:rPr>
              <w:t xml:space="preserve"> (mjera će se nastaviti provoditi i do 2050. godine u moguće izmjene temeljene na prikupljenim iskustvima)</w:t>
            </w:r>
          </w:p>
          <w:p w14:paraId="4C5160AB" w14:textId="77777777" w:rsidR="002E3E6A" w:rsidRDefault="00791799" w:rsidP="00D4206F">
            <w:pPr>
              <w:pStyle w:val="StandardWeb"/>
              <w:spacing w:after="120" w:line="288" w:lineRule="auto"/>
              <w:rPr>
                <w:rFonts w:cs="Myriad Pro"/>
                <w:color w:val="FF0000"/>
                <w:lang w:eastAsia="hr-HR"/>
              </w:rPr>
            </w:pPr>
            <w:r w:rsidRPr="00791799">
              <w:rPr>
                <w:rFonts w:cs="Tahoma"/>
                <w:b/>
                <w:bCs/>
                <w:color w:val="000000"/>
                <w:szCs w:val="20"/>
              </w:rPr>
              <w:t>Cilj i opis mjere</w:t>
            </w:r>
            <w:r w:rsidRPr="00791799">
              <w:rPr>
                <w:rFonts w:cs="Tahoma"/>
                <w:b/>
                <w:bCs/>
                <w:color w:val="000000"/>
                <w:szCs w:val="20"/>
                <w:lang w:eastAsia="en-GB"/>
              </w:rPr>
              <w:t>:</w:t>
            </w:r>
            <w:r w:rsidRPr="00791799">
              <w:rPr>
                <w:rFonts w:cs="Tahoma"/>
                <w:color w:val="000000"/>
                <w:szCs w:val="20"/>
                <w:lang w:eastAsia="en-GB"/>
              </w:rPr>
              <w:t xml:space="preserve"> </w:t>
            </w:r>
            <w:r w:rsidR="00D4206F" w:rsidRPr="004E2FFF">
              <w:rPr>
                <w:rFonts w:cs="Tahoma"/>
                <w:szCs w:val="20"/>
              </w:rPr>
              <w:t xml:space="preserve">Mjera predstavlja nastavak provedbe Programa energetske obnove zgrada javnog sektora iz razdoblja 2016. do 2020. U tu svrhu, potrebno je planirati sredstva iz ESI fondova za sljedeće programsko razdoblje 2021. -2027. (s provedbom do 2030). Sredstva je potrebno planirati tako da se osigura i aktiviranje privatnog kapitala i ESCO tržišta, poglavito za zgrade koje su prikladne za ovakve modele financiranja (zgrade s kontinuiranim radom, kao što su bolnice, kaznionice, domovi za smještaj starijih i sl.) i koje pripadaju kategoriji zgrada središnje države, za koje postoji obvezujući cilj obnove definiran u Direktivi 2012/27/EU o energetskoj učinkovitosti. Tržišne modele potrebno je kombinirati s bespovratnim sredstvima s ciljem postizanja nZEB standarda. Osim ESI sredstava, FZOEU je također dužan planirati sredstva za ovaj Program i to u dijelu koji se odnosi na sufinanciranje energetske obnove zgrada središnje države po ESCO modelu. Za zgrade koje nisu prikladne za tržišne modele, potrebno je osigurati bespovratna sredstva prema istim uvjetima kao u dosadašnjem programu. Obnovu zgrada javnog sektora nužno je usmjeriti prema nZEB standardu </w:t>
            </w:r>
            <w:r w:rsidR="003B2E79">
              <w:rPr>
                <w:rFonts w:cs="Tahoma"/>
                <w:szCs w:val="20"/>
              </w:rPr>
              <w:t>utvrđenom za obnovu</w:t>
            </w:r>
            <w:r w:rsidR="00975958">
              <w:rPr>
                <w:rFonts w:cs="Tahoma"/>
                <w:szCs w:val="20"/>
              </w:rPr>
              <w:t xml:space="preserve"> </w:t>
            </w:r>
            <w:r w:rsidR="00D4206F" w:rsidRPr="004E2FFF">
              <w:rPr>
                <w:rFonts w:cs="Tahoma"/>
                <w:szCs w:val="20"/>
              </w:rPr>
              <w:t xml:space="preserve">svugdje gdje je to </w:t>
            </w:r>
            <w:r w:rsidR="00D4206F" w:rsidRPr="00A92C0C">
              <w:rPr>
                <w:rFonts w:cs="Tahoma"/>
                <w:szCs w:val="20"/>
              </w:rPr>
              <w:t xml:space="preserve">tehnički izvedivo. </w:t>
            </w:r>
            <w:r w:rsidR="002E3E6A" w:rsidRPr="00A92C0C">
              <w:rPr>
                <w:rFonts w:cs="Myriad Pro"/>
                <w:lang w:eastAsia="hr-HR"/>
              </w:rPr>
              <w:t>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w:t>
            </w:r>
          </w:p>
          <w:p w14:paraId="497CC5C1" w14:textId="06F6FCEA" w:rsidR="0093721E" w:rsidRDefault="00D4206F" w:rsidP="00D4206F">
            <w:pPr>
              <w:pStyle w:val="StandardWeb"/>
              <w:spacing w:after="120" w:line="288" w:lineRule="auto"/>
              <w:rPr>
                <w:rFonts w:ascii="Arial" w:hAnsi="Arial"/>
                <w:sz w:val="22"/>
              </w:rPr>
            </w:pPr>
            <w:r w:rsidRPr="004E2FFF">
              <w:rPr>
                <w:rFonts w:cs="Tahoma"/>
                <w:szCs w:val="20"/>
              </w:rPr>
              <w:t>Uštede su izračunate uz pretpostavku energetske obnove zgrada na razinu zadovoljavanja uvjeta iz Tehničkog propisa propisom o racionalnoj uporabi energije i toplinskoj zaštiti u zgradama, prema razdobljima izgradnje zgrada</w:t>
            </w:r>
            <w:r w:rsidR="00746146" w:rsidRPr="00334A49">
              <w:rPr>
                <w:rFonts w:cs="Myriad Pro"/>
                <w:lang w:eastAsia="hr-HR"/>
              </w:rPr>
              <w:t>, po godišnjoj stopi obnove koja na početku razdoblja (2021. godine) iznosi 1%, a potom se do 2030. godine postupno povećava na 3% te se na toj vrijednosti zadržava i do 2050. godine</w:t>
            </w:r>
            <w:r w:rsidR="00746146" w:rsidRPr="00DC644D">
              <w:rPr>
                <w:rFonts w:cs="Myriad Pro"/>
                <w:lang w:eastAsia="hr-HR"/>
              </w:rPr>
              <w:t>.</w:t>
            </w:r>
            <w:r w:rsidRPr="00DC644D">
              <w:rPr>
                <w:rFonts w:cs="Tahoma"/>
                <w:szCs w:val="20"/>
              </w:rPr>
              <w:t>. Godišnje uštede</w:t>
            </w:r>
            <w:r w:rsidRPr="004E2FFF">
              <w:rPr>
                <w:rFonts w:cs="Tahoma"/>
                <w:szCs w:val="20"/>
              </w:rPr>
              <w:t xml:space="preserve"> iznose 0,169 PJ. </w:t>
            </w:r>
            <w:r w:rsidR="0093721E" w:rsidRPr="00F16F23">
              <w:rPr>
                <w:rFonts w:cs="Myriad Pro"/>
                <w:lang w:eastAsia="hr-HR"/>
              </w:rPr>
              <w:t xml:space="preserve">Pretpostavljeni </w:t>
            </w:r>
            <w:r w:rsidR="0093721E">
              <w:rPr>
                <w:rFonts w:cs="Myriad Pro"/>
                <w:lang w:eastAsia="hr-HR"/>
              </w:rPr>
              <w:t xml:space="preserve">jedinični </w:t>
            </w:r>
            <w:r w:rsidR="0093721E" w:rsidRPr="00F16F23">
              <w:rPr>
                <w:rFonts w:cs="Myriad Pro"/>
                <w:lang w:eastAsia="hr-HR"/>
              </w:rPr>
              <w:t>trošak energetske</w:t>
            </w:r>
            <w:r w:rsidR="0093721E" w:rsidRPr="002318D4">
              <w:rPr>
                <w:rFonts w:cs="Myriad Pro"/>
                <w:lang w:eastAsia="hr-HR"/>
              </w:rPr>
              <w:t xml:space="preserve"> obnove je </w:t>
            </w:r>
            <w:r w:rsidR="0093721E">
              <w:rPr>
                <w:rFonts w:cs="Myriad Pro"/>
                <w:lang w:eastAsia="hr-HR"/>
              </w:rPr>
              <w:t>2</w:t>
            </w:r>
            <w:r w:rsidR="0093721E" w:rsidRPr="002318D4">
              <w:rPr>
                <w:rFonts w:cs="Myriad Pro"/>
                <w:lang w:eastAsia="hr-HR"/>
              </w:rPr>
              <w:t>.500 kn/m</w:t>
            </w:r>
            <w:r w:rsidR="0093721E" w:rsidRPr="004E2FFF">
              <w:rPr>
                <w:rFonts w:cs="Myriad Pro"/>
                <w:vertAlign w:val="superscript"/>
                <w:lang w:eastAsia="hr-HR"/>
              </w:rPr>
              <w:t>2</w:t>
            </w:r>
            <w:r w:rsidR="0093721E" w:rsidRPr="002318D4">
              <w:rPr>
                <w:rFonts w:cs="Myriad Pro"/>
                <w:lang w:eastAsia="hr-HR"/>
              </w:rPr>
              <w:t xml:space="preserve"> </w:t>
            </w:r>
            <w:r w:rsidR="0093721E">
              <w:rPr>
                <w:rFonts w:cs="Myriad Pro"/>
                <w:lang w:eastAsia="hr-HR"/>
              </w:rPr>
              <w:t>, što odgovara trošku u 2020. godini. Uključivanjem troškova seizmičke sanacije u rasponu od 1.000 do 2.500 kn/m², jedinični trošak integralne obnove raste do 4.500 kn/m².</w:t>
            </w:r>
          </w:p>
          <w:p w14:paraId="4F37D32D" w14:textId="77777777" w:rsidR="00D4206F" w:rsidRPr="004E2FFF" w:rsidRDefault="00D4206F" w:rsidP="00D4206F">
            <w:pPr>
              <w:pStyle w:val="StandardWeb"/>
              <w:spacing w:after="120" w:line="288" w:lineRule="auto"/>
              <w:rPr>
                <w:rFonts w:cs="Tahoma"/>
                <w:b/>
                <w:szCs w:val="20"/>
              </w:rPr>
            </w:pPr>
            <w:r w:rsidRPr="004E2FFF">
              <w:rPr>
                <w:rFonts w:cs="Tahoma"/>
                <w:b/>
                <w:szCs w:val="20"/>
              </w:rPr>
              <w:t xml:space="preserve">Napomena: </w:t>
            </w:r>
            <w:r w:rsidRPr="004E2FFF">
              <w:rPr>
                <w:rFonts w:cs="Tahoma"/>
                <w:szCs w:val="20"/>
              </w:rPr>
              <w:t>ciljevi, uvjeti i aktivnosti te navedene brojčane vrijednosti su okvirne, a detaljno će se utvrditi u samom Programu energetske obnove zgrada javnog sektora za razdoblje od 2021. do 2030.</w:t>
            </w:r>
          </w:p>
          <w:p w14:paraId="2BAD4E19" w14:textId="77777777" w:rsidR="00791799" w:rsidRPr="00791799" w:rsidRDefault="00791799" w:rsidP="004E2FFF">
            <w:pPr>
              <w:pStyle w:val="StandardWeb"/>
              <w:spacing w:after="120" w:line="288" w:lineRule="auto"/>
              <w:rPr>
                <w:rFonts w:cs="Tahoma"/>
                <w:color w:val="000000"/>
                <w:szCs w:val="20"/>
                <w:lang w:eastAsia="en-GB"/>
              </w:rPr>
            </w:pPr>
            <w:r w:rsidRPr="00791799">
              <w:rPr>
                <w:rFonts w:cs="Tahoma"/>
                <w:b/>
                <w:bCs/>
                <w:color w:val="000000"/>
                <w:szCs w:val="20"/>
                <w:lang w:eastAsia="en-GB"/>
              </w:rPr>
              <w:t>Aktivnosti:</w:t>
            </w:r>
            <w:r w:rsidRPr="00791799">
              <w:rPr>
                <w:rFonts w:cs="Tahoma"/>
                <w:color w:val="000000"/>
                <w:szCs w:val="20"/>
                <w:lang w:eastAsia="en-GB"/>
              </w:rPr>
              <w:t xml:space="preserve"> U okviru mjere provest će se sljedeće aktivnosti: </w:t>
            </w:r>
          </w:p>
          <w:p w14:paraId="3299EC60" w14:textId="77777777" w:rsidR="00D4206F" w:rsidRPr="00223709" w:rsidRDefault="00D4206F" w:rsidP="00853D9C">
            <w:pPr>
              <w:numPr>
                <w:ilvl w:val="0"/>
                <w:numId w:val="45"/>
              </w:numPr>
              <w:tabs>
                <w:tab w:val="clear" w:pos="431"/>
              </w:tabs>
              <w:spacing w:after="0"/>
              <w:rPr>
                <w:rFonts w:cs="Arial"/>
                <w:color w:val="000000"/>
              </w:rPr>
            </w:pPr>
            <w:r w:rsidRPr="00223709">
              <w:rPr>
                <w:rFonts w:cs="Arial"/>
                <w:color w:val="000000"/>
              </w:rPr>
              <w:t>Tijekom 2020. godine MGIPU će izraditi Program energetske obnove zgrada javnog sektora za razdoblje od 2021. do 2030. godine, kojega usvaja Vlada, a koji je temelj za korištenje sredstava ESI fondova u programskom razdoblju od 2021. do 2027. godine kao i temelj za planiranje sredstva FZOEU-a</w:t>
            </w:r>
            <w:r w:rsidR="00AB2323">
              <w:rPr>
                <w:rFonts w:cs="Arial"/>
                <w:color w:val="000000"/>
              </w:rPr>
              <w:t xml:space="preserve"> – Program je prema Zakonu o gradnji (NN br. </w:t>
            </w:r>
            <w:r w:rsidR="00AB2323" w:rsidRPr="00882991">
              <w:rPr>
                <w:rFonts w:cs="Arial"/>
                <w:color w:val="000000"/>
              </w:rPr>
              <w:t>153/13, 20/17, 39/19, 125/19</w:t>
            </w:r>
            <w:r w:rsidR="00AB2323">
              <w:rPr>
                <w:rFonts w:cs="Arial"/>
                <w:color w:val="000000"/>
              </w:rPr>
              <w:t xml:space="preserve">) potrebno donijeti do </w:t>
            </w:r>
            <w:r w:rsidR="00AB2323">
              <w:t>30. lipnja 2021. godine</w:t>
            </w:r>
            <w:r w:rsidRPr="00223709">
              <w:rPr>
                <w:rFonts w:cs="Arial"/>
                <w:color w:val="000000"/>
              </w:rPr>
              <w:t>;</w:t>
            </w:r>
          </w:p>
          <w:p w14:paraId="560DE9CD" w14:textId="77777777" w:rsidR="00D4206F" w:rsidRPr="00223709" w:rsidRDefault="00D4206F" w:rsidP="00853D9C">
            <w:pPr>
              <w:numPr>
                <w:ilvl w:val="0"/>
                <w:numId w:val="45"/>
              </w:numPr>
              <w:tabs>
                <w:tab w:val="clear" w:pos="431"/>
              </w:tabs>
              <w:spacing w:after="0"/>
              <w:rPr>
                <w:rFonts w:cs="Arial"/>
                <w:color w:val="000000"/>
              </w:rPr>
            </w:pPr>
            <w:r>
              <w:rPr>
                <w:rFonts w:cs="Arial"/>
                <w:color w:val="000000"/>
              </w:rPr>
              <w:t>P</w:t>
            </w:r>
            <w:r w:rsidRPr="00223709">
              <w:rPr>
                <w:rFonts w:cs="Arial"/>
                <w:color w:val="000000"/>
              </w:rPr>
              <w:t xml:space="preserve">rovedba </w:t>
            </w:r>
            <w:r>
              <w:rPr>
                <w:rFonts w:cs="Arial"/>
                <w:color w:val="000000"/>
              </w:rPr>
              <w:t>na način utvrđen Programom</w:t>
            </w:r>
            <w:r w:rsidRPr="00223709">
              <w:rPr>
                <w:rFonts w:cs="Arial"/>
                <w:color w:val="000000"/>
              </w:rPr>
              <w:t xml:space="preserve"> </w:t>
            </w:r>
          </w:p>
          <w:p w14:paraId="6ECF4FE3" w14:textId="77777777" w:rsidR="00D4206F" w:rsidRPr="00223709" w:rsidRDefault="00D4206F" w:rsidP="00853D9C">
            <w:pPr>
              <w:numPr>
                <w:ilvl w:val="0"/>
                <w:numId w:val="53"/>
              </w:numPr>
              <w:tabs>
                <w:tab w:val="clear" w:pos="431"/>
              </w:tabs>
              <w:spacing w:after="0"/>
              <w:rPr>
                <w:rFonts w:cs="Arial"/>
                <w:color w:val="000000"/>
              </w:rPr>
            </w:pPr>
            <w:r w:rsidRPr="00223709">
              <w:rPr>
                <w:rFonts w:cs="Arial"/>
                <w:color w:val="000000"/>
              </w:rPr>
              <w:t xml:space="preserve">Za energetsku obnovu zgrada središnje države kao i drugih zgrada javnog sektora , gdje je to izvedivo primjenjivat će se model energetske usluge (ESCO), za čiju je provedbu zadužen APN, a sufinanciranje </w:t>
            </w:r>
            <w:r>
              <w:rPr>
                <w:rFonts w:cs="Arial"/>
                <w:color w:val="000000"/>
              </w:rPr>
              <w:t xml:space="preserve">se </w:t>
            </w:r>
            <w:r w:rsidRPr="00223709">
              <w:rPr>
                <w:rFonts w:cs="Arial"/>
                <w:color w:val="000000"/>
              </w:rPr>
              <w:t xml:space="preserve">osigurava </w:t>
            </w:r>
            <w:r>
              <w:rPr>
                <w:rFonts w:cs="Arial"/>
                <w:color w:val="000000"/>
              </w:rPr>
              <w:t xml:space="preserve">iz </w:t>
            </w:r>
            <w:r w:rsidRPr="00223709">
              <w:rPr>
                <w:rFonts w:cs="Arial"/>
                <w:color w:val="000000"/>
              </w:rPr>
              <w:t>FZOEU</w:t>
            </w:r>
            <w:r>
              <w:rPr>
                <w:rFonts w:cs="Arial"/>
                <w:color w:val="000000"/>
              </w:rPr>
              <w:t xml:space="preserve"> i iz drugih izvora uključujući ESI fondove</w:t>
            </w:r>
            <w:r w:rsidRPr="00223709">
              <w:rPr>
                <w:rFonts w:cs="Arial"/>
                <w:color w:val="000000"/>
              </w:rPr>
              <w:t xml:space="preserve"> – ovaj segment Programa je nužan kako bi se mobilizirao privatni kapital, razvilo tržište energetskih usluga i ostvarili ciljevi bez dodatnog zaduživanja javnog sektora.</w:t>
            </w:r>
          </w:p>
          <w:p w14:paraId="22389F51" w14:textId="77777777" w:rsidR="00791799" w:rsidRPr="00791799" w:rsidRDefault="00791799" w:rsidP="00791799">
            <w:pPr>
              <w:spacing w:after="0"/>
              <w:rPr>
                <w:rFonts w:cs="Tahoma"/>
                <w:b/>
                <w:bCs/>
                <w:color w:val="000000"/>
                <w:szCs w:val="20"/>
                <w:lang w:eastAsia="en-GB"/>
              </w:rPr>
            </w:pPr>
          </w:p>
          <w:p w14:paraId="7144B6F9" w14:textId="77777777" w:rsidR="00D4206F" w:rsidRPr="00223709" w:rsidRDefault="00D4206F" w:rsidP="00D4206F">
            <w:pPr>
              <w:spacing w:after="0"/>
              <w:rPr>
                <w:rFonts w:cs="Arial"/>
                <w:color w:val="000000"/>
              </w:rPr>
            </w:pPr>
            <w:r w:rsidRPr="00223709">
              <w:rPr>
                <w:rFonts w:cs="Arial"/>
                <w:b/>
                <w:bCs/>
                <w:color w:val="000000"/>
                <w:lang w:eastAsia="en-GB"/>
              </w:rPr>
              <w:t xml:space="preserve">Izvori financiranja: </w:t>
            </w:r>
            <w:r w:rsidRPr="00223709">
              <w:rPr>
                <w:rFonts w:cs="Arial"/>
                <w:color w:val="000000"/>
                <w:lang w:eastAsia="en-GB"/>
              </w:rPr>
              <w:t>Potrebno je osigurati bespovratna sredstava iz ESI fondova kao i u prethodnom Programu u ovisnosti o klimatskoj zoni (primorska ili kontinentalna) i indeksu razvijenosti, uz maksimalno sufinanciranje energetskih pregleda, energetskih certifikata, projektne dokumentacije i tehničke pomoći u pripremi i provedbi projekta. Za ESCO model, FZOEU osigurava sredstva iz prihoda dobivenih od prodaje emisijskih jedinica putem dražbi te prihoda iz sustava obveza energetske učinkovitosti kao i drugih izvora prihoda FZOEU-a.</w:t>
            </w:r>
          </w:p>
          <w:p w14:paraId="742C5269" w14:textId="77777777" w:rsidR="00D4206F" w:rsidRPr="00223709" w:rsidRDefault="00D4206F" w:rsidP="00D4206F">
            <w:pPr>
              <w:spacing w:after="0"/>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MGIPU – Posredničko tijelo razine 1 (PT1) u sustavu upravljanja i kontrole korištenja sredstava ESI fondova; MGIPU – operativno praćenje provedbe programa;; FZOEU -</w:t>
            </w:r>
            <w:r>
              <w:rPr>
                <w:rFonts w:cs="Arial"/>
                <w:color w:val="000000"/>
                <w:lang w:eastAsia="en-GB"/>
              </w:rPr>
              <w:t xml:space="preserve"> </w:t>
            </w:r>
            <w:r w:rsidRPr="00223709">
              <w:rPr>
                <w:rFonts w:cs="Arial"/>
                <w:color w:val="000000"/>
                <w:lang w:eastAsia="en-GB"/>
              </w:rPr>
              <w:t>Posredničko tijelo razine 2 (PT2) u sustavu upravljanja i kontrole korištenja sredstava ESI fondova</w:t>
            </w:r>
            <w:r>
              <w:rPr>
                <w:rFonts w:cs="Arial"/>
                <w:color w:val="000000"/>
                <w:lang w:eastAsia="en-GB"/>
              </w:rPr>
              <w:t xml:space="preserve"> / sufinanciranje projekata iz vlastitih sredstava</w:t>
            </w:r>
            <w:r w:rsidRPr="00223709">
              <w:rPr>
                <w:rFonts w:cs="Arial"/>
                <w:color w:val="000000"/>
                <w:lang w:eastAsia="en-GB"/>
              </w:rPr>
              <w:t>; APN – provedba po modelu ugovaranja energetske usluge</w:t>
            </w:r>
          </w:p>
          <w:p w14:paraId="63626BF8" w14:textId="77777777" w:rsidR="00D4206F" w:rsidRPr="00223709" w:rsidRDefault="00D4206F" w:rsidP="00D4206F">
            <w:pPr>
              <w:spacing w:after="0"/>
              <w:rPr>
                <w:rFonts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51D5039A" w14:textId="77777777" w:rsidR="00D4206F" w:rsidRPr="00223709" w:rsidRDefault="00D4206F" w:rsidP="00D4206F">
            <w:pPr>
              <w:spacing w:after="0"/>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toplinskih potreba i potrošnje energije u zgradama javnog sektora i povećanje korištenja OIE te posljedično smanjenje emisija CO</w:t>
            </w:r>
            <w:r w:rsidRPr="00223709">
              <w:rPr>
                <w:rFonts w:cs="Arial"/>
                <w:color w:val="000000"/>
                <w:vertAlign w:val="subscript"/>
                <w:lang w:eastAsia="en-GB"/>
              </w:rPr>
              <w:t>2</w:t>
            </w:r>
            <w:r w:rsidRPr="00223709">
              <w:rPr>
                <w:rFonts w:cs="Arial"/>
                <w:color w:val="000000"/>
                <w:lang w:eastAsia="en-GB"/>
              </w:rPr>
              <w:t>; procijenjene uštede u 2030.</w:t>
            </w:r>
            <w:r w:rsidRPr="00223709">
              <w:rPr>
                <w:rFonts w:cs="Arial"/>
              </w:rPr>
              <w:t xml:space="preserve"> </w:t>
            </w:r>
            <w:r w:rsidRPr="00223709">
              <w:rPr>
                <w:rFonts w:cs="Arial"/>
                <w:color w:val="000000"/>
                <w:lang w:eastAsia="en-GB"/>
              </w:rPr>
              <w:t>1,69 PJ (40,40 ktoe); procijenjeno smanjenje emisija CO</w:t>
            </w:r>
            <w:r w:rsidRPr="00223709">
              <w:rPr>
                <w:rFonts w:cs="Arial"/>
                <w:color w:val="000000"/>
                <w:vertAlign w:val="subscript"/>
                <w:lang w:eastAsia="en-GB"/>
              </w:rPr>
              <w:t>2</w:t>
            </w:r>
            <w:r w:rsidRPr="00223709">
              <w:rPr>
                <w:rFonts w:cs="Arial"/>
                <w:color w:val="000000"/>
                <w:lang w:eastAsia="en-GB"/>
              </w:rPr>
              <w:t xml:space="preserve"> u 2030. 46,52 ktCO</w:t>
            </w:r>
            <w:r w:rsidRPr="00223709">
              <w:rPr>
                <w:rFonts w:cs="Arial"/>
                <w:color w:val="000000"/>
                <w:vertAlign w:val="subscript"/>
                <w:lang w:eastAsia="en-GB"/>
              </w:rPr>
              <w:t>2e</w:t>
            </w:r>
            <w:r w:rsidRPr="00223709">
              <w:rPr>
                <w:rFonts w:cs="Arial"/>
                <w:color w:val="000000"/>
                <w:lang w:eastAsia="en-GB"/>
              </w:rPr>
              <w:t>; kumulativne uštede energije u razdoblju 2021.-2030. 9,30 PJ (222,20 ktoe); kumulativno smanjenje emisija CO</w:t>
            </w:r>
            <w:r w:rsidRPr="00223709">
              <w:rPr>
                <w:rFonts w:cs="Arial"/>
                <w:color w:val="000000"/>
                <w:vertAlign w:val="subscript"/>
                <w:lang w:eastAsia="en-GB"/>
              </w:rPr>
              <w:t>2</w:t>
            </w:r>
            <w:r w:rsidRPr="00223709">
              <w:rPr>
                <w:rFonts w:cs="Arial"/>
                <w:color w:val="000000"/>
                <w:lang w:eastAsia="en-GB"/>
              </w:rPr>
              <w:t xml:space="preserve"> u razdoblju 2021.-2030. 264,93 ktCO</w:t>
            </w:r>
            <w:r w:rsidRPr="00223709">
              <w:rPr>
                <w:rFonts w:cs="Arial"/>
                <w:color w:val="000000"/>
                <w:vertAlign w:val="subscript"/>
                <w:lang w:eastAsia="en-GB"/>
              </w:rPr>
              <w:t>2e</w:t>
            </w:r>
          </w:p>
          <w:p w14:paraId="73F8041B" w14:textId="77777777" w:rsidR="00D4206F" w:rsidRPr="00223709" w:rsidRDefault="00D4206F" w:rsidP="00D4206F">
            <w:pPr>
              <w:spacing w:after="0"/>
              <w:rPr>
                <w:rFonts w:cs="Arial"/>
                <w:color w:val="000000"/>
              </w:rPr>
            </w:pPr>
            <w:r w:rsidRPr="00223709">
              <w:rPr>
                <w:rFonts w:cs="Arial"/>
                <w:b/>
                <w:bCs/>
                <w:color w:val="000000"/>
                <w:lang w:eastAsia="en-GB"/>
              </w:rPr>
              <w:t>Metoda praćenja:</w:t>
            </w:r>
            <w:r w:rsidRPr="00223709">
              <w:rPr>
                <w:rFonts w:cs="Arial"/>
                <w:color w:val="000000"/>
                <w:lang w:eastAsia="en-GB"/>
              </w:rPr>
              <w:t xml:space="preserve"> Sustav za praćenje, mjerenje i verifikaciju ušteda energije (SMiV), metodom odozdo-prema-gore za integralnu obnovu zgrada</w:t>
            </w:r>
          </w:p>
          <w:p w14:paraId="0CC285DC" w14:textId="77777777" w:rsidR="00791799" w:rsidRPr="00124354" w:rsidRDefault="00791799" w:rsidP="00124354">
            <w:pPr>
              <w:spacing w:after="0"/>
              <w:rPr>
                <w:rFonts w:cs="Tahoma"/>
                <w:color w:val="000000"/>
                <w:szCs w:val="20"/>
              </w:rPr>
            </w:pPr>
          </w:p>
        </w:tc>
      </w:tr>
    </w:tbl>
    <w:p w14:paraId="1DC16993" w14:textId="77777777" w:rsidR="009B2F8C" w:rsidRPr="00F604A4" w:rsidRDefault="009B2F8C" w:rsidP="00334A49"/>
    <w:tbl>
      <w:tblPr>
        <w:tblStyle w:val="Reetkatablice"/>
        <w:tblW w:w="0" w:type="auto"/>
        <w:tblInd w:w="3" w:type="dxa"/>
        <w:tblLook w:val="04A0" w:firstRow="1" w:lastRow="0" w:firstColumn="1" w:lastColumn="0" w:noHBand="0" w:noVBand="1"/>
      </w:tblPr>
      <w:tblGrid>
        <w:gridCol w:w="9319"/>
      </w:tblGrid>
      <w:tr w:rsidR="009B2F8C" w14:paraId="4D37FA0B" w14:textId="77777777" w:rsidTr="0074042C">
        <w:tc>
          <w:tcPr>
            <w:tcW w:w="9319" w:type="dxa"/>
          </w:tcPr>
          <w:p w14:paraId="1FFBED5E" w14:textId="77777777" w:rsidR="009B2F8C" w:rsidRPr="004E2FFF" w:rsidRDefault="009B2F8C" w:rsidP="009B2F8C">
            <w:pPr>
              <w:ind w:left="0"/>
              <w:rPr>
                <w:b/>
              </w:rPr>
            </w:pPr>
            <w:r w:rsidRPr="004E2FFF">
              <w:rPr>
                <w:b/>
              </w:rPr>
              <w:t>ENU-6: Program energetske obnove zgrada koje imaju status kulturnog dobra</w:t>
            </w:r>
          </w:p>
          <w:p w14:paraId="46E3CBAB" w14:textId="77777777" w:rsidR="00F12502" w:rsidRPr="004E2FFF" w:rsidRDefault="00F12502" w:rsidP="00F12502">
            <w:pPr>
              <w:ind w:left="0"/>
              <w:rPr>
                <w:b/>
              </w:rPr>
            </w:pPr>
            <w:r w:rsidRPr="004E2FFF">
              <w:rPr>
                <w:b/>
              </w:rPr>
              <w:t>Financijska mjera; provedba 2021. -2030.</w:t>
            </w:r>
          </w:p>
          <w:p w14:paraId="2C09354A" w14:textId="77777777" w:rsidR="00F12502" w:rsidRPr="00A92C0C" w:rsidRDefault="00F12502" w:rsidP="00F12502">
            <w:pPr>
              <w:ind w:left="0"/>
            </w:pPr>
            <w:r w:rsidRPr="004E2FFF">
              <w:rPr>
                <w:b/>
              </w:rPr>
              <w:t>Cilj i opis mjere:</w:t>
            </w:r>
            <w:r>
              <w:t xml:space="preserve"> Zaštićene zgrade u smislu ovog Programa su one koje se mogu svrstati u dvije kategorije: Pojedinačno zaštićena kulturna dobra (pojedinačne građevine i graditeljski sklopovi) i Zgrade koje se nalaze unutar zaštićene kulturno-povijesne cjeline. Program ne obuhvaća zgrade zaštićene kao preventivno zaštićeno kulturno dobro, niti zgrade zaštićene kao evidentirano kulturno dobro. Kroz Program razvijena su </w:t>
            </w:r>
            <w:r w:rsidRPr="00A92C0C">
              <w:t>dva osnovna pristupa energetskoj obnovi zgrada koje su predmet ovog Programa: cjeloviti (integralni) pristup te pristup s primjenom pojedinačnih mjera energetske obnove.</w:t>
            </w:r>
          </w:p>
          <w:p w14:paraId="784E2D5F" w14:textId="77777777" w:rsidR="00F12502" w:rsidRPr="00A92C0C" w:rsidRDefault="00F12502" w:rsidP="00F12502">
            <w:pPr>
              <w:ind w:left="0"/>
            </w:pPr>
            <w:r w:rsidRPr="00A92C0C">
              <w:t>Sukladno nacrtu programa dane su potrebe kako slijedi:</w:t>
            </w:r>
          </w:p>
          <w:p w14:paraId="29177644" w14:textId="5CD85F4D" w:rsidR="005C3FEA" w:rsidRPr="00A92C0C" w:rsidRDefault="005C3FEA" w:rsidP="007D44EF">
            <w:pPr>
              <w:pStyle w:val="Odlomakpopisa"/>
              <w:numPr>
                <w:ilvl w:val="0"/>
                <w:numId w:val="65"/>
              </w:numPr>
            </w:pPr>
            <w:r w:rsidRPr="00A92C0C">
              <w:t>Ukupna investicija (HRK):</w:t>
            </w:r>
            <w:r w:rsidRPr="00A92C0C">
              <w:tab/>
              <w:t>6,342 milijarde</w:t>
            </w:r>
          </w:p>
          <w:p w14:paraId="0420D750" w14:textId="77777777" w:rsidR="005C3FEA" w:rsidRPr="00A92C0C" w:rsidRDefault="005C3FEA" w:rsidP="007D44EF">
            <w:pPr>
              <w:pStyle w:val="Odlomakpopisa"/>
              <w:numPr>
                <w:ilvl w:val="0"/>
                <w:numId w:val="65"/>
              </w:numPr>
            </w:pPr>
            <w:r w:rsidRPr="00A92C0C">
              <w:t>Trošak održavanja (HRK):</w:t>
            </w:r>
            <w:r w:rsidRPr="00A92C0C">
              <w:tab/>
              <w:t>1,796 milijardi</w:t>
            </w:r>
          </w:p>
          <w:p w14:paraId="7AF0CBE9" w14:textId="77777777" w:rsidR="005C3FEA" w:rsidRPr="00A92C0C" w:rsidRDefault="005C3FEA" w:rsidP="007D44EF">
            <w:pPr>
              <w:pStyle w:val="Odlomakpopisa"/>
              <w:numPr>
                <w:ilvl w:val="0"/>
                <w:numId w:val="65"/>
              </w:numPr>
            </w:pPr>
            <w:r w:rsidRPr="00A92C0C">
              <w:t>Prosječna godišnja stopa obnove (%):</w:t>
            </w:r>
            <w:r w:rsidRPr="00A92C0C">
              <w:tab/>
              <w:t>1,6</w:t>
            </w:r>
          </w:p>
          <w:p w14:paraId="02CB9E29" w14:textId="77777777" w:rsidR="005C3FEA" w:rsidRPr="00A92C0C" w:rsidRDefault="005C3FEA" w:rsidP="007D44EF">
            <w:pPr>
              <w:pStyle w:val="Odlomakpopisa"/>
              <w:numPr>
                <w:ilvl w:val="0"/>
                <w:numId w:val="65"/>
              </w:numPr>
            </w:pPr>
            <w:r w:rsidRPr="00A92C0C">
              <w:t>Ukupno obnovljena površina (m2):</w:t>
            </w:r>
            <w:r w:rsidRPr="00A92C0C">
              <w:tab/>
              <w:t>4.162.756</w:t>
            </w:r>
          </w:p>
          <w:p w14:paraId="587F4FC1" w14:textId="77777777" w:rsidR="005C3FEA" w:rsidRPr="00A92C0C" w:rsidRDefault="005C3FEA" w:rsidP="007D44EF">
            <w:pPr>
              <w:pStyle w:val="Odlomakpopisa"/>
              <w:numPr>
                <w:ilvl w:val="0"/>
                <w:numId w:val="65"/>
              </w:numPr>
            </w:pPr>
            <w:r w:rsidRPr="00A92C0C">
              <w:t>Energetska ušteda (MWh):</w:t>
            </w:r>
            <w:r w:rsidRPr="00A92C0C">
              <w:tab/>
              <w:t>1 440 058,72</w:t>
            </w:r>
          </w:p>
          <w:p w14:paraId="2723762F" w14:textId="77777777" w:rsidR="005C3FEA" w:rsidRPr="00A92C0C" w:rsidRDefault="005C3FEA" w:rsidP="007D44EF">
            <w:pPr>
              <w:pStyle w:val="Odlomakpopisa"/>
              <w:numPr>
                <w:ilvl w:val="0"/>
                <w:numId w:val="65"/>
              </w:numPr>
            </w:pPr>
            <w:r w:rsidRPr="00A92C0C">
              <w:t>Financijska ušteda (HRK):</w:t>
            </w:r>
            <w:r w:rsidRPr="00A92C0C">
              <w:tab/>
              <w:t>0,512 milijardi</w:t>
            </w:r>
          </w:p>
          <w:p w14:paraId="1679B61A" w14:textId="77777777" w:rsidR="005C3FEA" w:rsidRPr="00A92C0C" w:rsidRDefault="005C3FEA" w:rsidP="007D44EF">
            <w:pPr>
              <w:pStyle w:val="Odlomakpopisa"/>
              <w:numPr>
                <w:ilvl w:val="0"/>
                <w:numId w:val="65"/>
              </w:numPr>
            </w:pPr>
            <w:r w:rsidRPr="00A92C0C">
              <w:t>Smanjenje emisija CO2 (kt):</w:t>
            </w:r>
            <w:r w:rsidRPr="00A92C0C">
              <w:tab/>
              <w:t>201,26</w:t>
            </w:r>
          </w:p>
          <w:p w14:paraId="5CC5CAF1" w14:textId="4D2BEC5C" w:rsidR="005C3FEA" w:rsidRPr="00A92C0C" w:rsidRDefault="005C3FEA" w:rsidP="00F12502">
            <w:pPr>
              <w:ind w:left="0"/>
            </w:pPr>
          </w:p>
          <w:p w14:paraId="65A09CEB" w14:textId="77777777" w:rsidR="005C3FEA" w:rsidRPr="00A92C0C" w:rsidRDefault="005C3FEA" w:rsidP="005C3FEA">
            <w:pPr>
              <w:pStyle w:val="Tekstkomentara"/>
              <w:rPr>
                <w:szCs w:val="24"/>
              </w:rPr>
            </w:pPr>
            <w:r w:rsidRPr="00A92C0C">
              <w:t>Ukupne potrebe za realizaciju programa energetske obnove zgrada koje imaju status kulturnog dobra a sa svrhom dostizanja nacionalnih ciljeva iznose 8,14 milijardi kn u razdoblju od 2021. do 2030. godine. Navedeni iznos uključuje potrebne investicije u iznosu od 6,342 milijardi kn te troškove održavanja u iznosu od 1,796 milijardi kn. S obzirom na vrlo visoke perioda povrata investicija biti će potrebno maksimalno iskoristiti mogućnosti sufinanciranja programa bespovratnim sredstvima kako bi se smanjili jednostavni periodi povrata investicije te kako bi se potaknula energetska obnova ovakvih građevina. Kao izvore financiranja bespovratnih sredstava prepoznaju se Fondovi EU te sredstva prikupljena kroz spomeničku rentu</w:t>
            </w:r>
            <w:r w:rsidRPr="00A92C0C">
              <w:rPr>
                <w:strike/>
              </w:rPr>
              <w:t xml:space="preserve">. </w:t>
            </w:r>
            <w:r w:rsidRPr="00A92C0C">
              <w:rPr>
                <w:szCs w:val="24"/>
              </w:rPr>
              <w:t>S obzirom na ukupne investicijske potrebe</w:t>
            </w:r>
            <w:r w:rsidRPr="00A92C0C">
              <w:rPr>
                <w:b/>
                <w:szCs w:val="24"/>
              </w:rPr>
              <w:t xml:space="preserve">, </w:t>
            </w:r>
            <w:r w:rsidRPr="00A92C0C">
              <w:rPr>
                <w:szCs w:val="24"/>
              </w:rPr>
              <w:t>ukupne potrebne investicije iznose oko 0,63 milijarde HRK godišnje tijekom perioda od 2021. do 2030. godine, od čega bi potrebno sufinanciranje iznosilo 0,46 milijardi HRK. S obzirom da se na godišnjoj razini od spomeničke rente prikupi oko 100 milijuna HRK, preostali iznos od oko 360 milijuna HRK na godišnjoj razini potrebno je osigurati iz Fondova EU. Navedeni iznosi ne uključuju PDV.</w:t>
            </w:r>
          </w:p>
          <w:p w14:paraId="58B9206F" w14:textId="77777777" w:rsidR="00F12502" w:rsidRPr="00A92C0C" w:rsidRDefault="00F12502" w:rsidP="00F12502">
            <w:pPr>
              <w:spacing w:after="0"/>
              <w:rPr>
                <w:rFonts w:cs="Tahoma"/>
                <w:szCs w:val="20"/>
                <w:lang w:eastAsia="en-GB"/>
              </w:rPr>
            </w:pPr>
            <w:r w:rsidRPr="00A92C0C">
              <w:rPr>
                <w:rFonts w:cs="Tahoma"/>
                <w:b/>
                <w:bCs/>
                <w:szCs w:val="20"/>
                <w:lang w:eastAsia="en-GB"/>
              </w:rPr>
              <w:t>Aktivnosti:</w:t>
            </w:r>
            <w:r w:rsidRPr="00A92C0C">
              <w:rPr>
                <w:rFonts w:cs="Tahoma"/>
                <w:szCs w:val="20"/>
                <w:lang w:eastAsia="en-GB"/>
              </w:rPr>
              <w:t xml:space="preserve"> U okviru mjere provest će se sljedeće aktivnosti: </w:t>
            </w:r>
          </w:p>
          <w:p w14:paraId="511E205C" w14:textId="77777777" w:rsidR="00F12502" w:rsidRPr="003B6DA7" w:rsidRDefault="00F12502" w:rsidP="00F12502">
            <w:pPr>
              <w:numPr>
                <w:ilvl w:val="0"/>
                <w:numId w:val="45"/>
              </w:numPr>
              <w:tabs>
                <w:tab w:val="clear" w:pos="431"/>
              </w:tabs>
              <w:spacing w:after="0"/>
              <w:rPr>
                <w:rFonts w:cs="Tahoma"/>
                <w:color w:val="000000"/>
                <w:szCs w:val="20"/>
              </w:rPr>
            </w:pPr>
            <w:r w:rsidRPr="003B6DA7">
              <w:rPr>
                <w:rFonts w:cs="Tahoma"/>
                <w:color w:val="000000"/>
                <w:szCs w:val="20"/>
              </w:rPr>
              <w:t>Tijekom 20</w:t>
            </w:r>
            <w:r>
              <w:rPr>
                <w:rFonts w:cs="Tahoma"/>
                <w:color w:val="000000"/>
                <w:szCs w:val="20"/>
              </w:rPr>
              <w:t>19</w:t>
            </w:r>
            <w:r w:rsidRPr="003B6DA7">
              <w:rPr>
                <w:rFonts w:cs="Tahoma"/>
                <w:color w:val="000000"/>
                <w:szCs w:val="20"/>
              </w:rPr>
              <w:t xml:space="preserve">. godine MGIPU </w:t>
            </w:r>
            <w:r>
              <w:rPr>
                <w:rFonts w:cs="Tahoma"/>
                <w:color w:val="000000"/>
                <w:szCs w:val="20"/>
              </w:rPr>
              <w:t>je izradilo</w:t>
            </w:r>
            <w:r w:rsidRPr="003B6DA7">
              <w:rPr>
                <w:rFonts w:cs="Tahoma"/>
                <w:color w:val="000000"/>
                <w:szCs w:val="20"/>
              </w:rPr>
              <w:t xml:space="preserve"> </w:t>
            </w:r>
            <w:r w:rsidRPr="00D405E9">
              <w:rPr>
                <w:rFonts w:cs="Tahoma"/>
                <w:color w:val="000000"/>
                <w:szCs w:val="20"/>
              </w:rPr>
              <w:t>Program energetske obnove zgrada koje imaju status kulturnog dobra za razdoblje 2021. - 2030. godine</w:t>
            </w:r>
            <w:r w:rsidRPr="003B6DA7">
              <w:rPr>
                <w:rFonts w:cs="Tahoma"/>
                <w:color w:val="000000"/>
                <w:szCs w:val="20"/>
              </w:rPr>
              <w:t xml:space="preserve">, kojega usvaja Vlada, a koji je temelj za korištenje sredstava ESI fondova u programskom razdoblju od 2021. do 2027. godine kao i temelj za planiranje sredstva FZOEU-a </w:t>
            </w:r>
          </w:p>
          <w:p w14:paraId="0BCC41B1" w14:textId="77777777" w:rsidR="00F12502" w:rsidRPr="003B6DA7" w:rsidRDefault="00F12502" w:rsidP="00F12502">
            <w:pPr>
              <w:numPr>
                <w:ilvl w:val="0"/>
                <w:numId w:val="45"/>
              </w:numPr>
              <w:tabs>
                <w:tab w:val="clear" w:pos="431"/>
              </w:tabs>
              <w:spacing w:after="0"/>
              <w:rPr>
                <w:rFonts w:cs="Tahoma"/>
                <w:color w:val="000000"/>
                <w:szCs w:val="20"/>
              </w:rPr>
            </w:pPr>
            <w:r w:rsidRPr="003B6DA7">
              <w:rPr>
                <w:rFonts w:cs="Tahoma"/>
                <w:color w:val="000000"/>
                <w:szCs w:val="20"/>
              </w:rPr>
              <w:t xml:space="preserve">Provedba na način utvrđen Programom </w:t>
            </w:r>
          </w:p>
          <w:p w14:paraId="3600D5BA" w14:textId="77777777" w:rsidR="00F12502" w:rsidRPr="003B6DA7" w:rsidRDefault="00F12502" w:rsidP="00F12502">
            <w:pPr>
              <w:numPr>
                <w:ilvl w:val="0"/>
                <w:numId w:val="45"/>
              </w:numPr>
              <w:tabs>
                <w:tab w:val="clear" w:pos="431"/>
              </w:tabs>
              <w:spacing w:after="0"/>
              <w:rPr>
                <w:rFonts w:cs="Tahoma"/>
                <w:color w:val="000000"/>
                <w:szCs w:val="20"/>
              </w:rPr>
            </w:pPr>
            <w:r w:rsidRPr="003B6DA7">
              <w:rPr>
                <w:rFonts w:cs="Tahoma"/>
                <w:color w:val="000000"/>
                <w:szCs w:val="20"/>
              </w:rPr>
              <w:t>Za energetsku obnovu zgrada središnje države kao i drugih zgrada javnog sektora , gdje je to izvedivo primjenjivat će se model energetske usluge (ESCO), za čiju je provedbu zadužen APN, a sufinanciranje se osigurava iz FZOEU i iz drugih izvora uključujući ESI fondove – ovaj segment Programa je nužan kako bi se mobilizirao privatni kapital, razvilo tržište energetskih usluga i ostvarili ciljevi bez dodatnog zaduživanja javnog sektora.</w:t>
            </w:r>
          </w:p>
          <w:p w14:paraId="591423C6" w14:textId="77777777" w:rsidR="00F12502" w:rsidRDefault="00F12502" w:rsidP="00F12502">
            <w:pPr>
              <w:ind w:left="0"/>
            </w:pPr>
          </w:p>
          <w:p w14:paraId="74AD4FA6" w14:textId="77777777" w:rsidR="00F12502" w:rsidRPr="001A57C5" w:rsidRDefault="00F12502" w:rsidP="00F12502">
            <w:pPr>
              <w:spacing w:after="0"/>
              <w:rPr>
                <w:rFonts w:cs="Tahoma"/>
                <w:color w:val="000000"/>
                <w:szCs w:val="20"/>
              </w:rPr>
            </w:pPr>
            <w:r w:rsidRPr="001A57C5">
              <w:rPr>
                <w:rFonts w:cs="Tahoma"/>
                <w:b/>
                <w:bCs/>
                <w:color w:val="000000"/>
                <w:szCs w:val="20"/>
                <w:lang w:eastAsia="en-GB"/>
              </w:rPr>
              <w:t xml:space="preserve">Izvori financiranja: </w:t>
            </w:r>
            <w:r>
              <w:rPr>
                <w:rFonts w:cs="Tahoma"/>
                <w:color w:val="000000"/>
                <w:szCs w:val="20"/>
                <w:lang w:eastAsia="en-GB"/>
              </w:rPr>
              <w:t>Sredstva spomeničke rente i Fondovi EU</w:t>
            </w:r>
          </w:p>
          <w:p w14:paraId="37D582A6" w14:textId="77777777" w:rsidR="00F12502" w:rsidRPr="001A57C5" w:rsidRDefault="00F12502" w:rsidP="00F12502">
            <w:pPr>
              <w:spacing w:after="0"/>
              <w:rPr>
                <w:rFonts w:cs="Tahoma"/>
                <w:color w:val="000000"/>
                <w:szCs w:val="20"/>
                <w:lang w:eastAsia="en-GB"/>
              </w:rPr>
            </w:pPr>
            <w:r w:rsidRPr="001A57C5">
              <w:rPr>
                <w:rFonts w:cs="Tahoma"/>
                <w:b/>
                <w:bCs/>
                <w:color w:val="000000"/>
                <w:szCs w:val="20"/>
                <w:lang w:eastAsia="en-GB"/>
              </w:rPr>
              <w:t>Izvršno tijelo:</w:t>
            </w:r>
            <w:r w:rsidRPr="001A57C5">
              <w:rPr>
                <w:rFonts w:cs="Tahoma"/>
                <w:color w:val="000000"/>
                <w:szCs w:val="20"/>
                <w:lang w:eastAsia="en-GB"/>
              </w:rPr>
              <w:t xml:space="preserve"> MGIPU – provedba svih aktivnosti Programa </w:t>
            </w:r>
          </w:p>
          <w:p w14:paraId="1501F126" w14:textId="77777777" w:rsidR="00F12502" w:rsidRPr="001A57C5" w:rsidRDefault="00F12502" w:rsidP="00F12502">
            <w:pPr>
              <w:spacing w:after="0"/>
              <w:rPr>
                <w:rFonts w:cs="Tahoma"/>
                <w:color w:val="000000"/>
                <w:szCs w:val="20"/>
              </w:rPr>
            </w:pPr>
            <w:r w:rsidRPr="001A57C5">
              <w:rPr>
                <w:rFonts w:cs="Tahoma"/>
                <w:b/>
                <w:bCs/>
                <w:color w:val="000000"/>
                <w:szCs w:val="20"/>
                <w:lang w:eastAsia="en-GB"/>
              </w:rPr>
              <w:t>Tijela za praćenje (nadzor):</w:t>
            </w:r>
            <w:r w:rsidRPr="001A57C5">
              <w:rPr>
                <w:rFonts w:cs="Tahoma"/>
                <w:color w:val="000000"/>
                <w:szCs w:val="20"/>
                <w:lang w:eastAsia="en-GB"/>
              </w:rPr>
              <w:t xml:space="preserve"> </w:t>
            </w:r>
            <w:r>
              <w:rPr>
                <w:rFonts w:cs="Tahoma"/>
                <w:color w:val="000000"/>
                <w:szCs w:val="20"/>
                <w:lang w:eastAsia="en-GB"/>
              </w:rPr>
              <w:t>MGIPU</w:t>
            </w:r>
          </w:p>
          <w:p w14:paraId="068D064A" w14:textId="7A8731DE" w:rsidR="00F12502" w:rsidRPr="001A57C5" w:rsidRDefault="00F12502" w:rsidP="00F12502">
            <w:pPr>
              <w:spacing w:after="0"/>
              <w:rPr>
                <w:rFonts w:cs="Tahoma"/>
                <w:color w:val="000000"/>
                <w:szCs w:val="20"/>
              </w:rPr>
            </w:pPr>
            <w:r w:rsidRPr="001A57C5">
              <w:rPr>
                <w:rFonts w:cs="Tahoma"/>
                <w:b/>
                <w:bCs/>
                <w:color w:val="000000"/>
                <w:szCs w:val="20"/>
                <w:lang w:eastAsia="en-GB"/>
              </w:rPr>
              <w:t xml:space="preserve">Učinak: </w:t>
            </w:r>
            <w:r>
              <w:rPr>
                <w:rFonts w:cs="Tahoma"/>
                <w:color w:val="000000"/>
                <w:szCs w:val="20"/>
                <w:lang w:eastAsia="en-GB"/>
              </w:rPr>
              <w:t xml:space="preserve">Ukupna ušteda od 5.073.234,38 GWh energije, smanjenje emisija CO2 za </w:t>
            </w:r>
            <w:r w:rsidR="00E263BE">
              <w:rPr>
                <w:rFonts w:cs="Tahoma"/>
                <w:color w:val="000000"/>
                <w:szCs w:val="20"/>
                <w:lang w:eastAsia="en-GB"/>
              </w:rPr>
              <w:t>201,26</w:t>
            </w:r>
            <w:r w:rsidR="00B64AB6">
              <w:rPr>
                <w:rFonts w:cs="Tahoma"/>
                <w:color w:val="000000"/>
                <w:szCs w:val="20"/>
                <w:lang w:eastAsia="en-GB"/>
              </w:rPr>
              <w:t xml:space="preserve"> </w:t>
            </w:r>
            <w:r>
              <w:rPr>
                <w:rFonts w:cs="Tahoma"/>
                <w:color w:val="000000"/>
                <w:szCs w:val="20"/>
                <w:lang w:eastAsia="en-GB"/>
              </w:rPr>
              <w:t>kt</w:t>
            </w:r>
          </w:p>
          <w:p w14:paraId="43B52E71" w14:textId="77777777" w:rsidR="00D437EA" w:rsidRDefault="00F12502" w:rsidP="00F12502">
            <w:pPr>
              <w:spacing w:after="0"/>
              <w:rPr>
                <w:rFonts w:cs="Tahoma"/>
                <w:color w:val="000000"/>
                <w:szCs w:val="20"/>
                <w:lang w:eastAsia="en-GB"/>
              </w:rPr>
            </w:pPr>
            <w:r w:rsidRPr="001A57C5">
              <w:rPr>
                <w:rFonts w:cs="Tahoma"/>
                <w:b/>
                <w:bCs/>
                <w:color w:val="000000"/>
                <w:szCs w:val="20"/>
                <w:lang w:eastAsia="en-GB"/>
              </w:rPr>
              <w:t>Metoda praćenja:</w:t>
            </w:r>
            <w:r w:rsidRPr="001A57C5">
              <w:rPr>
                <w:rFonts w:cs="Tahoma"/>
                <w:color w:val="000000"/>
                <w:szCs w:val="20"/>
                <w:lang w:eastAsia="en-GB"/>
              </w:rPr>
              <w:t xml:space="preserve"> </w:t>
            </w:r>
            <w:r>
              <w:rPr>
                <w:rFonts w:cs="Tahoma"/>
                <w:color w:val="000000"/>
                <w:szCs w:val="20"/>
                <w:lang w:eastAsia="en-GB"/>
              </w:rPr>
              <w:t>Unos provedenih mjera i ostvarenih ušteda u SMIV</w:t>
            </w:r>
          </w:p>
          <w:p w14:paraId="6A6B2999" w14:textId="77777777" w:rsidR="00724601" w:rsidRDefault="00724601" w:rsidP="00F12502">
            <w:pPr>
              <w:spacing w:after="0"/>
              <w:rPr>
                <w:rFonts w:cs="Tahoma"/>
                <w:color w:val="000000"/>
                <w:szCs w:val="20"/>
                <w:lang w:eastAsia="en-GB"/>
              </w:rPr>
            </w:pPr>
          </w:p>
          <w:p w14:paraId="1D0468DF" w14:textId="6EB68076" w:rsidR="002130FB" w:rsidRPr="00F12502" w:rsidRDefault="00724601" w:rsidP="00F12502">
            <w:pPr>
              <w:spacing w:after="0"/>
              <w:rPr>
                <w:rFonts w:cs="Tahoma"/>
                <w:color w:val="000000"/>
                <w:szCs w:val="20"/>
                <w:lang w:eastAsia="en-GB"/>
              </w:rPr>
            </w:pPr>
            <w:r w:rsidRPr="00724601">
              <w:rPr>
                <w:rFonts w:cs="Tahoma"/>
                <w:color w:val="000000"/>
                <w:szCs w:val="20"/>
                <w:lang w:eastAsia="en-GB"/>
              </w:rPr>
              <w:t>Prilikom obnove poticati će se   korištenje visokoučinkovitih alternativnih sustava, u mjeri u kojoj je to tehnički, funkcionalno i gospodarski izvedivo te  će se posebna pažnja obratiti osiguranju zdravih unutarnjih klimatskih uvjeta, zaštiti od požara i  rizika povezanih s pojačanom seizmičkom aktivnosti</w:t>
            </w:r>
          </w:p>
        </w:tc>
      </w:tr>
    </w:tbl>
    <w:p w14:paraId="77805953" w14:textId="77777777" w:rsidR="009B2F8C" w:rsidRPr="003D092B" w:rsidRDefault="009B2F8C" w:rsidP="003D092B">
      <w:pPr>
        <w:rPr>
          <w:lang w:eastAsia="hr-HR"/>
        </w:rPr>
      </w:pPr>
    </w:p>
    <w:p w14:paraId="11EFC37C" w14:textId="77777777" w:rsidR="00D45E66" w:rsidRDefault="00D45E66" w:rsidP="007649C2">
      <w:pPr>
        <w:pStyle w:val="Naslov20"/>
      </w:pPr>
      <w:bookmarkStart w:id="150" w:name="_Toc34052889"/>
      <w:bookmarkStart w:id="151" w:name="_Toc46163833"/>
      <w:r w:rsidRPr="00A209F1">
        <w:t>Dileme suprotstavljenih interesa najmodavaca i najmoprimaca</w:t>
      </w:r>
      <w:bookmarkEnd w:id="150"/>
      <w:bookmarkEnd w:id="151"/>
    </w:p>
    <w:p w14:paraId="362B291D" w14:textId="77777777" w:rsidR="00670678" w:rsidRDefault="00D7250D" w:rsidP="00670678">
      <w:pPr>
        <w:rPr>
          <w:rStyle w:val="tlid-translation"/>
          <w:rFonts w:cs="Myriad Pro"/>
        </w:rPr>
      </w:pPr>
      <w:r>
        <w:rPr>
          <w:lang w:eastAsia="hr-HR"/>
        </w:rPr>
        <w:t xml:space="preserve">Jedna od prepoznatih barijera </w:t>
      </w:r>
      <w:r w:rsidR="00D97EA4">
        <w:rPr>
          <w:lang w:eastAsia="hr-HR"/>
        </w:rPr>
        <w:t>energetskoj</w:t>
      </w:r>
      <w:r>
        <w:rPr>
          <w:lang w:eastAsia="hr-HR"/>
        </w:rPr>
        <w:t xml:space="preserve"> obnovi zgrada je tzv.</w:t>
      </w:r>
      <w:r w:rsidR="00D97EA4">
        <w:rPr>
          <w:lang w:eastAsia="hr-HR"/>
        </w:rPr>
        <w:t xml:space="preserve"> dilema suprotstavljenih interesa najmodavaca i najmoprimaca (eng. </w:t>
      </w:r>
      <w:r w:rsidR="00D97EA4" w:rsidRPr="00D97EA4">
        <w:rPr>
          <w:i/>
          <w:lang w:eastAsia="hr-HR"/>
        </w:rPr>
        <w:t>split incentive</w:t>
      </w:r>
      <w:r w:rsidR="00D97EA4">
        <w:rPr>
          <w:lang w:eastAsia="hr-HR"/>
        </w:rPr>
        <w:t xml:space="preserve">). Direktiva 2012/27/EU o energetskoj učinkovitosti </w:t>
      </w:r>
      <w:r w:rsidR="00BF4DC2">
        <w:rPr>
          <w:lang w:eastAsia="hr-HR"/>
        </w:rPr>
        <w:t xml:space="preserve">u članku 19(1) prepoznaje ovaj problem </w:t>
      </w:r>
      <w:r w:rsidR="000F76B1">
        <w:rPr>
          <w:lang w:eastAsia="hr-HR"/>
        </w:rPr>
        <w:t xml:space="preserve">i </w:t>
      </w:r>
      <w:r w:rsidR="00BF4DC2">
        <w:rPr>
          <w:lang w:eastAsia="hr-HR"/>
        </w:rPr>
        <w:t>nalaž</w:t>
      </w:r>
      <w:r w:rsidR="000F76B1">
        <w:rPr>
          <w:lang w:eastAsia="hr-HR"/>
        </w:rPr>
        <w:t>e državama članicama da ga adresiraju</w:t>
      </w:r>
      <w:r w:rsidR="00E52B97">
        <w:rPr>
          <w:lang w:eastAsia="hr-HR"/>
        </w:rPr>
        <w:t>.</w:t>
      </w:r>
      <w:r w:rsidR="00436FD3">
        <w:rPr>
          <w:lang w:eastAsia="hr-HR"/>
        </w:rPr>
        <w:t xml:space="preserve"> Dilema suprotstavljenih interesa </w:t>
      </w:r>
      <w:r w:rsidR="00436FD3">
        <w:rPr>
          <w:rStyle w:val="tlid-translation"/>
          <w:rFonts w:cs="Myriad Pro"/>
        </w:rPr>
        <w:t>predstavlja svaku situaciju u kojoj korist od transakcije ( u ovom slučaju investicije u poboljšanje energetske učinkovitosti) ne dolazi do aktera koji plaća tu transakciju</w:t>
      </w:r>
      <w:r w:rsidR="00436FD3">
        <w:rPr>
          <w:rStyle w:val="Referencafusnote"/>
          <w:rFonts w:cs="Myriad Pro"/>
        </w:rPr>
        <w:footnoteReference w:id="30"/>
      </w:r>
      <w:r w:rsidR="00436FD3">
        <w:rPr>
          <w:rStyle w:val="tlid-translation"/>
          <w:rFonts w:cs="Myriad Pro"/>
        </w:rPr>
        <w:t xml:space="preserve">. U kontekstu energetske učinkovitosti u zgradama, </w:t>
      </w:r>
      <w:r w:rsidR="008D6435">
        <w:rPr>
          <w:rStyle w:val="tlid-translation"/>
          <w:rFonts w:cs="Myriad Pro"/>
        </w:rPr>
        <w:t xml:space="preserve">ovo bi značilo da </w:t>
      </w:r>
      <w:r w:rsidR="0040045A">
        <w:rPr>
          <w:rStyle w:val="tlid-translation"/>
          <w:rFonts w:cs="Myriad Pro"/>
        </w:rPr>
        <w:t>korist od energetske učinkovitosti primaju najmoprimci</w:t>
      </w:r>
      <w:r w:rsidR="00626DFE">
        <w:rPr>
          <w:rStyle w:val="tlid-translation"/>
          <w:rFonts w:cs="Myriad Pro"/>
        </w:rPr>
        <w:t xml:space="preserve"> (troškovi za energiju)</w:t>
      </w:r>
      <w:r w:rsidR="0040045A">
        <w:rPr>
          <w:rStyle w:val="tlid-translation"/>
          <w:rFonts w:cs="Myriad Pro"/>
        </w:rPr>
        <w:t>, a investiciju plaćaju najmodavci</w:t>
      </w:r>
      <w:r w:rsidR="008D6435">
        <w:rPr>
          <w:rStyle w:val="tlid-translation"/>
          <w:rFonts w:cs="Myriad Pro"/>
        </w:rPr>
        <w:t xml:space="preserve"> (vlasnici zgrade ili dijela zgrade)</w:t>
      </w:r>
      <w:r w:rsidR="00436FD3">
        <w:rPr>
          <w:rStyle w:val="tlid-translation"/>
          <w:rFonts w:cs="Myriad Pro"/>
        </w:rPr>
        <w:t>.</w:t>
      </w:r>
      <w:r w:rsidR="003628B7">
        <w:rPr>
          <w:rStyle w:val="tlid-translation"/>
          <w:rFonts w:cs="Myriad Pro"/>
        </w:rPr>
        <w:t xml:space="preserve"> Ovakva situacija dovodi do izostanka investicija u energetsku obnovu zgrada. </w:t>
      </w:r>
    </w:p>
    <w:p w14:paraId="7A252D16" w14:textId="77777777" w:rsidR="00355F17" w:rsidRDefault="00B4193E" w:rsidP="00670678">
      <w:pPr>
        <w:rPr>
          <w:rStyle w:val="tlid-translation"/>
          <w:rFonts w:cs="Myriad Pro"/>
        </w:rPr>
      </w:pPr>
      <w:r>
        <w:rPr>
          <w:rStyle w:val="tlid-translation"/>
          <w:rFonts w:cs="Myriad Pro"/>
        </w:rPr>
        <w:t xml:space="preserve">Ovaj problem u Republici Hrvatskoj nije </w:t>
      </w:r>
      <w:r w:rsidR="000358A8">
        <w:rPr>
          <w:rStyle w:val="tlid-translation"/>
          <w:rFonts w:cs="Myriad Pro"/>
        </w:rPr>
        <w:t xml:space="preserve">izražen u tolikoj mjeri, kao što je to slučaj u zemljama zapadne i sjeverne Europe. Naime, </w:t>
      </w:r>
      <w:r w:rsidR="00C94B2C">
        <w:rPr>
          <w:rStyle w:val="tlid-translation"/>
          <w:rFonts w:cs="Myriad Pro"/>
        </w:rPr>
        <w:t>stopa vlasništva stambenih jedinica u Hrvatskoj je izuzetno visok</w:t>
      </w:r>
      <w:r w:rsidR="00756508">
        <w:rPr>
          <w:rStyle w:val="tlid-translation"/>
          <w:rFonts w:cs="Myriad Pro"/>
        </w:rPr>
        <w:t xml:space="preserve">ih 90,1%, čime je Hrvatska druga zemlja u EU, iza Rumunjske, </w:t>
      </w:r>
      <w:r w:rsidR="002C49EC">
        <w:rPr>
          <w:rStyle w:val="tlid-translation"/>
          <w:rFonts w:cs="Myriad Pro"/>
        </w:rPr>
        <w:t>po udjelu stambenih jedinica u kojima su nastanjeni vlasnici tih stambenih jedinica</w:t>
      </w:r>
      <w:r w:rsidR="00EA7BE2">
        <w:rPr>
          <w:rStyle w:val="Referencafusnote"/>
          <w:rFonts w:cs="Myriad Pro"/>
        </w:rPr>
        <w:footnoteReference w:id="31"/>
      </w:r>
      <w:r w:rsidR="002C49EC">
        <w:rPr>
          <w:rStyle w:val="tlid-translation"/>
          <w:rFonts w:cs="Myriad Pro"/>
        </w:rPr>
        <w:t xml:space="preserve">. </w:t>
      </w:r>
      <w:r w:rsidR="001D7691">
        <w:rPr>
          <w:rStyle w:val="tlid-translation"/>
          <w:rFonts w:cs="Myriad Pro"/>
        </w:rPr>
        <w:t>Zbog tog</w:t>
      </w:r>
      <w:r w:rsidR="00DF0697">
        <w:rPr>
          <w:rStyle w:val="tlid-translation"/>
          <w:rFonts w:cs="Myriad Pro"/>
        </w:rPr>
        <w:t>a se ne predviđaju posebne mjere za adresiranje problema suprotstavljenih interesa najmodavaca i najmoprimaca u stambenom sektoru.</w:t>
      </w:r>
    </w:p>
    <w:p w14:paraId="4763A454" w14:textId="77777777" w:rsidR="00D97EA4" w:rsidRPr="00670678" w:rsidRDefault="00DF0697" w:rsidP="00353F21">
      <w:r>
        <w:rPr>
          <w:rStyle w:val="tlid-translation"/>
          <w:rFonts w:cs="Myriad Pro"/>
        </w:rPr>
        <w:t xml:space="preserve">S druge strane, ovaj problem </w:t>
      </w:r>
      <w:r w:rsidR="00E726D5">
        <w:rPr>
          <w:rStyle w:val="tlid-translation"/>
          <w:rFonts w:cs="Myriad Pro"/>
        </w:rPr>
        <w:t xml:space="preserve">može nešto više biti izražen u poslovnom sektoru, ali se u dosadašnjim aktivnostima nije pokazao kao jedna od barijera s visokim učinkom. </w:t>
      </w:r>
      <w:r w:rsidR="00C73316">
        <w:rPr>
          <w:rStyle w:val="tlid-translation"/>
          <w:rFonts w:cs="Myriad Pro"/>
        </w:rPr>
        <w:t>Ipak, u daljnjem razvoju legislativnog okvira</w:t>
      </w:r>
      <w:r w:rsidR="00311A86">
        <w:rPr>
          <w:rStyle w:val="tlid-translation"/>
          <w:rFonts w:cs="Myriad Pro"/>
        </w:rPr>
        <w:t xml:space="preserve"> (za razdoblje od 2021. godine </w:t>
      </w:r>
      <w:r w:rsidR="00F8715F">
        <w:rPr>
          <w:rStyle w:val="tlid-translation"/>
          <w:rFonts w:cs="Myriad Pro"/>
        </w:rPr>
        <w:t>pa nadalje)</w:t>
      </w:r>
      <w:r w:rsidR="00C73316">
        <w:rPr>
          <w:rStyle w:val="tlid-translation"/>
          <w:rFonts w:cs="Myriad Pro"/>
        </w:rPr>
        <w:t xml:space="preserve"> potrebno je razmotriti </w:t>
      </w:r>
      <w:r w:rsidR="00C73316">
        <w:t>uvođenje ograničenja i restrikcija za prodaju i iznajmljivanje građevina energetskog razreda D</w:t>
      </w:r>
      <w:r w:rsidR="00420F98">
        <w:t xml:space="preserve"> ili lošijeg</w:t>
      </w:r>
      <w:r w:rsidR="0031481E">
        <w:t xml:space="preserve"> u komercijalnom sektoru</w:t>
      </w:r>
      <w:r w:rsidR="00420F98">
        <w:t>, čime bi se dodatno potaknula energetska obnova</w:t>
      </w:r>
      <w:r w:rsidR="00353F21">
        <w:t xml:space="preserve">. </w:t>
      </w:r>
      <w:r w:rsidR="00311A86">
        <w:t xml:space="preserve">Ova mjera </w:t>
      </w:r>
      <w:r w:rsidR="00F8715F">
        <w:t xml:space="preserve">ne bi zahtijevala nikakva financijska sredstva, </w:t>
      </w:r>
      <w:r w:rsidR="00DA1C38">
        <w:t xml:space="preserve">već izmjene zakonodavstva iz područja graditeljstva i vlasništva. </w:t>
      </w:r>
      <w:r w:rsidR="00F8715F">
        <w:t xml:space="preserve"> </w:t>
      </w:r>
    </w:p>
    <w:p w14:paraId="54A40028" w14:textId="77777777" w:rsidR="00DF34DE" w:rsidRDefault="00D056D9" w:rsidP="007649C2">
      <w:pPr>
        <w:pStyle w:val="Naslov20"/>
      </w:pPr>
      <w:bookmarkStart w:id="152" w:name="_Toc34052890"/>
      <w:bookmarkStart w:id="153" w:name="_Toc46163834"/>
      <w:r w:rsidRPr="00A209F1">
        <w:t>Nedostatci tržišta</w:t>
      </w:r>
      <w:bookmarkEnd w:id="152"/>
      <w:bookmarkEnd w:id="153"/>
    </w:p>
    <w:p w14:paraId="32A6EFF9" w14:textId="4D0CF202" w:rsidR="00F964C6" w:rsidRPr="00670678" w:rsidRDefault="00F964C6" w:rsidP="00670678">
      <w:pPr>
        <w:rPr>
          <w:lang w:eastAsia="hr-HR"/>
        </w:rPr>
      </w:pPr>
      <w:r w:rsidRPr="00F964C6">
        <w:rPr>
          <w:rStyle w:val="tlid-translation"/>
          <w:rFonts w:cs="Myriad Pro"/>
        </w:rPr>
        <w:t>Tržište nekretnina u Hrvatskoj se postepeno oporavlja. U 2017. godini porastao je broj novosagrađenih</w:t>
      </w:r>
      <w:r w:rsidRPr="00F964C6">
        <w:rPr>
          <w:rStyle w:val="tlid-translation"/>
          <w:rFonts w:cs="Myriad Pro"/>
        </w:rPr>
        <w:br/>
        <w:t>nestambenih zgrada, kao i broj izgrađenih novih stanova. Usporedno s tim povećala se i prosječna</w:t>
      </w:r>
      <w:r w:rsidRPr="00F964C6">
        <w:rPr>
          <w:rStyle w:val="tlid-translation"/>
          <w:rFonts w:cs="Myriad Pro"/>
        </w:rPr>
        <w:br/>
        <w:t>cijena novosagrađenih stanova. Najveći doprinos tome dao je rast cijena u priobalju i Gradu Zagrebu</w:t>
      </w:r>
      <w:r>
        <w:rPr>
          <w:rStyle w:val="tlid-translation"/>
          <w:rFonts w:cs="Myriad Pro"/>
        </w:rPr>
        <w:t xml:space="preserve"> </w:t>
      </w:r>
      <w:r>
        <w:rPr>
          <w:rStyle w:val="tlid-translation"/>
          <w:rFonts w:cs="Myriad Pro"/>
          <w:lang w:val="en-US"/>
        </w:rPr>
        <w:fldChar w:fldCharType="begin"/>
      </w:r>
      <w:r>
        <w:rPr>
          <w:rStyle w:val="tlid-translation"/>
          <w:rFonts w:cs="Myriad Pro"/>
          <w:lang w:val="en-US"/>
        </w:rPr>
        <w:instrText xml:space="preserve"> CITATION DMi19 \l 1033 </w:instrText>
      </w:r>
      <w:r>
        <w:rPr>
          <w:rStyle w:val="tlid-translation"/>
          <w:rFonts w:cs="Myriad Pro"/>
          <w:lang w:val="en-US"/>
        </w:rPr>
        <w:fldChar w:fldCharType="separate"/>
      </w:r>
      <w:r w:rsidR="002D258B">
        <w:rPr>
          <w:rStyle w:val="tlid-translation"/>
          <w:rFonts w:cs="Myriad Pro"/>
          <w:noProof/>
          <w:lang w:val="en-US"/>
        </w:rPr>
        <w:t xml:space="preserve"> </w:t>
      </w:r>
      <w:r w:rsidR="002D258B" w:rsidRPr="002D258B">
        <w:rPr>
          <w:noProof/>
          <w:lang w:val="en-US"/>
        </w:rPr>
        <w:t>(D., i dr., 2019)</w:t>
      </w:r>
      <w:r>
        <w:rPr>
          <w:rStyle w:val="tlid-translation"/>
          <w:rFonts w:cs="Myriad Pro"/>
          <w:lang w:val="en-US"/>
        </w:rPr>
        <w:fldChar w:fldCharType="end"/>
      </w:r>
      <w:r w:rsidRPr="00F964C6">
        <w:rPr>
          <w:rStyle w:val="tlid-translation"/>
          <w:rFonts w:cs="Myriad Pro"/>
        </w:rPr>
        <w:t xml:space="preserve">. </w:t>
      </w:r>
      <w:r w:rsidR="00ED43EF">
        <w:rPr>
          <w:rStyle w:val="tlid-translation"/>
          <w:rFonts w:cs="Myriad Pro"/>
        </w:rPr>
        <w:t>Time se dodatno potvrđuj</w:t>
      </w:r>
      <w:r w:rsidR="00232561">
        <w:rPr>
          <w:rStyle w:val="tlid-translation"/>
          <w:rFonts w:cs="Myriad Pro"/>
        </w:rPr>
        <w:t xml:space="preserve">u pretpostavke o prostornom </w:t>
      </w:r>
      <w:r w:rsidR="00616B29">
        <w:rPr>
          <w:rStyle w:val="tlid-translation"/>
          <w:rFonts w:cs="Myriad Pro"/>
        </w:rPr>
        <w:t xml:space="preserve">pomaku fonda zgrada prema većim urbanim središtima i priobalju, uz </w:t>
      </w:r>
      <w:r w:rsidR="00CF2001">
        <w:rPr>
          <w:rStyle w:val="tlid-translation"/>
          <w:rFonts w:cs="Myriad Pro"/>
        </w:rPr>
        <w:t>intenzivno napuštanje ruralnih i slabije razvijenih područja</w:t>
      </w:r>
      <w:r w:rsidR="005245FF">
        <w:rPr>
          <w:rStyle w:val="tlid-translation"/>
          <w:rFonts w:cs="Myriad Pro"/>
        </w:rPr>
        <w:t xml:space="preserve">, što izaziva povećane troškove – novogradnja umjesto energetske obnove, uz potrebu za razvojem nove infrastrukture. </w:t>
      </w:r>
      <w:r w:rsidR="00C73D71">
        <w:rPr>
          <w:rStyle w:val="tlid-translation"/>
          <w:rFonts w:cs="Myriad Pro"/>
        </w:rPr>
        <w:t xml:space="preserve">Studija </w:t>
      </w:r>
      <w:r w:rsidR="00DB3614" w:rsidRPr="00DB3614">
        <w:rPr>
          <w:rStyle w:val="tlid-translation"/>
          <w:rFonts w:cs="Myriad Pro"/>
        </w:rPr>
        <w:t>Pregled tržišta</w:t>
      </w:r>
      <w:r w:rsidR="00DB3614">
        <w:rPr>
          <w:rStyle w:val="tlid-translation"/>
          <w:rFonts w:cs="Myriad Pro"/>
        </w:rPr>
        <w:t xml:space="preserve"> </w:t>
      </w:r>
      <w:r w:rsidR="00DB3614" w:rsidRPr="00DB3614">
        <w:rPr>
          <w:rStyle w:val="tlid-translation"/>
          <w:rFonts w:cs="Myriad Pro"/>
        </w:rPr>
        <w:t>nekretnina</w:t>
      </w:r>
      <w:r w:rsidR="00DB3614">
        <w:rPr>
          <w:rStyle w:val="tlid-translation"/>
          <w:rFonts w:cs="Myriad Pro"/>
        </w:rPr>
        <w:t xml:space="preserve"> </w:t>
      </w:r>
      <w:r w:rsidR="00DB3614" w:rsidRPr="00DB3614">
        <w:rPr>
          <w:rStyle w:val="tlid-translation"/>
          <w:rFonts w:cs="Myriad Pro"/>
        </w:rPr>
        <w:t>Republike Hrvatske</w:t>
      </w:r>
      <w:r w:rsidR="00DB3614">
        <w:rPr>
          <w:rStyle w:val="tlid-translation"/>
          <w:rFonts w:cs="Myriad Pro"/>
        </w:rPr>
        <w:t xml:space="preserve"> </w:t>
      </w:r>
      <w:r w:rsidR="00DB3614" w:rsidRPr="00A52F19">
        <w:rPr>
          <w:rStyle w:val="tlid-translation"/>
          <w:rFonts w:cs="Myriad Pro"/>
        </w:rPr>
        <w:fldChar w:fldCharType="begin"/>
      </w:r>
      <w:r w:rsidR="00DB3614" w:rsidRPr="00A52F19">
        <w:rPr>
          <w:rStyle w:val="tlid-translation"/>
          <w:rFonts w:cs="Myriad Pro"/>
        </w:rPr>
        <w:instrText xml:space="preserve"> CITATION Tka18 \l 1033 </w:instrText>
      </w:r>
      <w:r w:rsidR="00DB3614" w:rsidRPr="00A52F19">
        <w:rPr>
          <w:rStyle w:val="tlid-translation"/>
          <w:rFonts w:cs="Myriad Pro"/>
        </w:rPr>
        <w:fldChar w:fldCharType="separate"/>
      </w:r>
      <w:r w:rsidR="002D258B">
        <w:rPr>
          <w:rStyle w:val="tlid-translation"/>
          <w:rFonts w:cs="Myriad Pro"/>
          <w:noProof/>
        </w:rPr>
        <w:t xml:space="preserve"> </w:t>
      </w:r>
      <w:r w:rsidR="002D258B" w:rsidRPr="002D258B">
        <w:rPr>
          <w:noProof/>
        </w:rPr>
        <w:t>(Tkalec, et al., 2018.)</w:t>
      </w:r>
      <w:r w:rsidR="00DB3614" w:rsidRPr="00A52F19">
        <w:rPr>
          <w:rStyle w:val="tlid-translation"/>
          <w:rFonts w:cs="Myriad Pro"/>
        </w:rPr>
        <w:fldChar w:fldCharType="end"/>
      </w:r>
      <w:r w:rsidR="00DB3614">
        <w:rPr>
          <w:rStyle w:val="tlid-translation"/>
          <w:rFonts w:cs="Myriad Pro"/>
        </w:rPr>
        <w:t xml:space="preserve"> </w:t>
      </w:r>
      <w:r w:rsidR="00A52F19">
        <w:rPr>
          <w:rStyle w:val="tlid-translation"/>
          <w:rFonts w:cs="Myriad Pro"/>
        </w:rPr>
        <w:t>pokazuje najve</w:t>
      </w:r>
      <w:r w:rsidR="005127EC">
        <w:rPr>
          <w:rStyle w:val="tlid-translation"/>
          <w:rFonts w:cs="Myriad Pro"/>
        </w:rPr>
        <w:t>ći promet stambenim i nestambenim nekretninama u gradu Zagrebu, te Splitsko-dalmatinskoj županiji.</w:t>
      </w:r>
      <w:r w:rsidR="00E012DF">
        <w:rPr>
          <w:rStyle w:val="tlid-translation"/>
          <w:rFonts w:cs="Myriad Pro"/>
        </w:rPr>
        <w:t xml:space="preserve"> In</w:t>
      </w:r>
      <w:r w:rsidR="0000188F">
        <w:rPr>
          <w:rStyle w:val="tlid-translation"/>
          <w:rFonts w:cs="Myriad Pro"/>
        </w:rPr>
        <w:t>deks priuštivosti potvrđuje i najmanju priušti</w:t>
      </w:r>
      <w:r w:rsidR="005D1C6B">
        <w:rPr>
          <w:rStyle w:val="tlid-translation"/>
          <w:rFonts w:cs="Myriad Pro"/>
        </w:rPr>
        <w:t xml:space="preserve">vost nekretnina upravo na tom području. </w:t>
      </w:r>
      <w:r w:rsidR="006B50BA">
        <w:rPr>
          <w:rStyle w:val="tlid-translation"/>
          <w:rFonts w:cs="Myriad Pro"/>
        </w:rPr>
        <w:t xml:space="preserve">Veća priuštivost nekretnina, osobito stambenih, na područjima pod najveći depopulacijskim pritiskom </w:t>
      </w:r>
      <w:r w:rsidR="00F55A09">
        <w:rPr>
          <w:rStyle w:val="tlid-translation"/>
          <w:rFonts w:cs="Myriad Pro"/>
        </w:rPr>
        <w:t xml:space="preserve">istodobno nije dovoljna za povećanje stope obnove u tim područjima, zbog </w:t>
      </w:r>
      <w:r w:rsidR="00F513F3">
        <w:rPr>
          <w:rStyle w:val="tlid-translation"/>
          <w:rFonts w:cs="Myriad Pro"/>
        </w:rPr>
        <w:t xml:space="preserve">velikog troška energetske obnove u usporedbi s postignutim kupoprodajnim cijenama na </w:t>
      </w:r>
      <w:r w:rsidR="002243EC">
        <w:rPr>
          <w:rStyle w:val="tlid-translation"/>
          <w:rFonts w:cs="Myriad Pro"/>
        </w:rPr>
        <w:t>tržištu</w:t>
      </w:r>
      <w:r w:rsidR="001121FD">
        <w:rPr>
          <w:rStyle w:val="tlid-translation"/>
          <w:rFonts w:cs="Myriad Pro"/>
        </w:rPr>
        <w:t xml:space="preserve">, čime se ulaganje u energetsku obnovu ne </w:t>
      </w:r>
      <w:r w:rsidR="00241CC0">
        <w:rPr>
          <w:rStyle w:val="tlid-translation"/>
          <w:rFonts w:cs="Myriad Pro"/>
        </w:rPr>
        <w:t xml:space="preserve">reflektira na vrijednost </w:t>
      </w:r>
      <w:r w:rsidR="008A4836">
        <w:rPr>
          <w:rStyle w:val="tlid-translation"/>
          <w:rFonts w:cs="Myriad Pro"/>
        </w:rPr>
        <w:t xml:space="preserve">nekretnine </w:t>
      </w:r>
      <w:r w:rsidR="00241CC0">
        <w:rPr>
          <w:rStyle w:val="tlid-translation"/>
          <w:rFonts w:cs="Myriad Pro"/>
        </w:rPr>
        <w:t xml:space="preserve">na tržištu. </w:t>
      </w:r>
    </w:p>
    <w:p w14:paraId="4950FD72" w14:textId="77777777" w:rsidR="00D056D9" w:rsidRDefault="00D056D9" w:rsidP="007649C2">
      <w:pPr>
        <w:pStyle w:val="Naslov20"/>
      </w:pPr>
      <w:bookmarkStart w:id="154" w:name="_Toc34052891"/>
      <w:bookmarkStart w:id="155" w:name="_Toc46163835"/>
      <w:r w:rsidRPr="00A209F1">
        <w:t>Energetsko siromaštvo</w:t>
      </w:r>
      <w:bookmarkEnd w:id="154"/>
      <w:bookmarkEnd w:id="155"/>
    </w:p>
    <w:p w14:paraId="4317DE06" w14:textId="77777777" w:rsidR="00A43509" w:rsidRDefault="00B375AA" w:rsidP="00A43509">
      <w:pPr>
        <w:rPr>
          <w:lang w:eastAsia="hr-HR"/>
        </w:rPr>
      </w:pPr>
      <w:r w:rsidRPr="00B375AA">
        <w:rPr>
          <w:lang w:eastAsia="hr-HR"/>
        </w:rPr>
        <w:t xml:space="preserve">Energetsko siromaštvo prepoznato je kao rastući problem u EU. Izmijenjena Direktiva (EU) 2018/844 o energetskim svojstvima zgrada nalaže državama članicama da u svojim dugoročnim strategijama definiraju mjere kojima se doprinosi ublažavanju energetskog siromaštva. Izmijenjena Direktiva (EU) 2018/2002 o energetskoj učinkovitosti nalaže državama članicama da u osmišljavanju mjera politike za ispunjavanje svojih obveza u pogledu uštede energije uzmu u obzir potrebu za smanjenjem energetskog siromaštva, u skladu s kriterijima koje su uspostavile, uzimajući u obzir svoje dostupne prakse u tom području, zahtijevajući, u mjeri u kojoj je to primjereno, da se dio mjera energetske učinkovitosti u okviru njihovih nacionalnih sustava obveze energetske učinkovitosti, alternativnih mjera politike, ili programa ili mjera financiranih u okviru nacionalnog fonda za energetsku učinkovitost prioritetno provedu među ranjivim kućanstvima, uključujući ona pogođena energetskim siromaštvom i, prema potrebi, u  socijalnim prostorima za stanovanje. I konačno, Uredba (EU) 2018/1999 o upravljanju energetskom unijom i djelovanjem u području klime obvezuje države članice EU da u svojim integriranim nacionalnim energetskim i klimatskim planovima procijene broj kućanstava u energetskom siromaštvu, uzimajući u obzir domaće energetske usluge potrebne za jamčenje osnovnih životnih standarda u odgovarajućem nacionalnom kontekstu, postojeću socijalnu politiku i druge relevantne politike, kao i Komisijine okvirne smjernice o relevantnim pokazateljima, uključujući geografsku raspršenost, koje su utemeljene na zajedničkom pristupu energetskom siromaštvu te da donesu politike i mjere za zaštitu potrošača, osobito ranjivih i energetski siromašnih potrošača. </w:t>
      </w:r>
    </w:p>
    <w:p w14:paraId="05AD5D55" w14:textId="77777777" w:rsidR="00852BCB" w:rsidRDefault="00E84CDC" w:rsidP="00A43509">
      <w:pPr>
        <w:rPr>
          <w:lang w:eastAsia="hr-HR"/>
        </w:rPr>
      </w:pPr>
      <w:r>
        <w:rPr>
          <w:lang w:eastAsia="hr-HR"/>
        </w:rPr>
        <w:t xml:space="preserve">U Hrvatskoj ne postoji definicija energetskog siromaštva niti su do sada utvrđeni opći kriteriji odnosno metodologija za utvrđivanje energetskog siromaštva. Stoga, </w:t>
      </w:r>
      <w:r w:rsidR="00852BCB" w:rsidRPr="00852BCB">
        <w:rPr>
          <w:lang w:eastAsia="hr-HR"/>
        </w:rPr>
        <w:t>Integriran</w:t>
      </w:r>
      <w:r w:rsidR="00852BCB">
        <w:rPr>
          <w:lang w:eastAsia="hr-HR"/>
        </w:rPr>
        <w:t>i</w:t>
      </w:r>
      <w:r w:rsidR="00852BCB" w:rsidRPr="00852BCB">
        <w:rPr>
          <w:lang w:eastAsia="hr-HR"/>
        </w:rPr>
        <w:t xml:space="preserve"> nacionaln</w:t>
      </w:r>
      <w:r w:rsidR="00852BCB">
        <w:rPr>
          <w:lang w:eastAsia="hr-HR"/>
        </w:rPr>
        <w:t>i</w:t>
      </w:r>
      <w:r w:rsidR="00852BCB" w:rsidRPr="00852BCB">
        <w:rPr>
          <w:lang w:eastAsia="hr-HR"/>
        </w:rPr>
        <w:t xml:space="preserve"> energetsko-klimatsk</w:t>
      </w:r>
      <w:r w:rsidR="00852BCB">
        <w:rPr>
          <w:lang w:eastAsia="hr-HR"/>
        </w:rPr>
        <w:t>i</w:t>
      </w:r>
      <w:r w:rsidR="00852BCB" w:rsidRPr="00852BCB">
        <w:rPr>
          <w:lang w:eastAsia="hr-HR"/>
        </w:rPr>
        <w:t xml:space="preserve"> plan</w:t>
      </w:r>
      <w:r w:rsidR="00852BCB">
        <w:rPr>
          <w:lang w:eastAsia="hr-HR"/>
        </w:rPr>
        <w:t xml:space="preserve"> </w:t>
      </w:r>
      <w:r w:rsidR="00FD5D3F">
        <w:rPr>
          <w:lang w:eastAsia="hr-HR"/>
        </w:rPr>
        <w:t xml:space="preserve">predviđa </w:t>
      </w:r>
      <w:r w:rsidR="00D36543">
        <w:rPr>
          <w:lang w:eastAsia="hr-HR"/>
        </w:rPr>
        <w:t xml:space="preserve">izradu, usvajanje i provedbu sveobuhvatnog </w:t>
      </w:r>
      <w:r w:rsidR="00D36543" w:rsidRPr="00D36543">
        <w:rPr>
          <w:lang w:eastAsia="hr-HR"/>
        </w:rPr>
        <w:t>Programa suzbijanja energetskog siromaštva</w:t>
      </w:r>
      <w:r w:rsidR="00891E5C">
        <w:rPr>
          <w:lang w:eastAsia="hr-HR"/>
        </w:rPr>
        <w:t xml:space="preserve">. Opis mjere je dan u nastavku. Također se predviđa integracija kriterija energetskog siromaštva u programe energetske obnove višestambenih zgrada i obiteljskih kuća. </w:t>
      </w:r>
      <w:r w:rsidR="00CC7629">
        <w:rPr>
          <w:lang w:eastAsia="hr-HR"/>
        </w:rPr>
        <w:t xml:space="preserve">Određeni koraci po ovom pitanju već su i poduzeti i to </w:t>
      </w:r>
      <w:r w:rsidR="004A5084">
        <w:rPr>
          <w:lang w:eastAsia="hr-HR"/>
        </w:rPr>
        <w:t xml:space="preserve">kroz dva dokumenta: </w:t>
      </w:r>
    </w:p>
    <w:p w14:paraId="66E22E7D" w14:textId="1F72CC36" w:rsidR="004A5084" w:rsidRPr="00A92C0C" w:rsidRDefault="00A1343A" w:rsidP="00A1343A">
      <w:pPr>
        <w:pStyle w:val="Odlomakpopisa"/>
        <w:numPr>
          <w:ilvl w:val="0"/>
          <w:numId w:val="55"/>
        </w:numPr>
      </w:pPr>
      <w:r w:rsidRPr="00A92C0C">
        <w:t>I</w:t>
      </w:r>
      <w:r w:rsidR="008A22D5" w:rsidRPr="00A92C0C">
        <w:t>zmjene i dopune</w:t>
      </w:r>
      <w:r w:rsidRPr="00A92C0C">
        <w:t xml:space="preserve"> Programa energetske obnove obiteljskih kuća za razdoblje od 2014. do 2020. godine s detaljnim planom za razdoblje od 2014. do 2016. godine  </w:t>
      </w:r>
      <w:r w:rsidR="009F516C">
        <w:t xml:space="preserve">(Narodne novine, </w:t>
      </w:r>
      <w:r w:rsidR="001E0A06">
        <w:t>57/</w:t>
      </w:r>
      <w:r w:rsidR="000E2597">
        <w:t>2020)</w:t>
      </w:r>
      <w:r w:rsidRPr="00A92C0C">
        <w:t xml:space="preserve"> </w:t>
      </w:r>
    </w:p>
    <w:p w14:paraId="0E1E5C7C" w14:textId="2C7087E9" w:rsidR="00007084" w:rsidRPr="00A92C0C" w:rsidRDefault="008A22D5" w:rsidP="00853D9C">
      <w:pPr>
        <w:pStyle w:val="Odlomakpopisa"/>
        <w:numPr>
          <w:ilvl w:val="0"/>
          <w:numId w:val="55"/>
        </w:numPr>
      </w:pPr>
      <w:r w:rsidRPr="00A92C0C">
        <w:t xml:space="preserve">Nacrt </w:t>
      </w:r>
      <w:r w:rsidR="000F1E28" w:rsidRPr="00A92C0C">
        <w:t>Program</w:t>
      </w:r>
      <w:r w:rsidRPr="00A92C0C">
        <w:t>a</w:t>
      </w:r>
      <w:r w:rsidR="000F1E28" w:rsidRPr="00A92C0C">
        <w:t xml:space="preserve"> suzbijanja energetskog siromaštva koji uključuje korištenje obnovljivih izvora energije u stambenim zgradama na potpomognutim područjima i područjima posebne državne skrbi za razdoblje </w:t>
      </w:r>
      <w:r w:rsidR="005C3FEA" w:rsidRPr="00A92C0C">
        <w:t xml:space="preserve">2020. – 2022. </w:t>
      </w:r>
      <w:r w:rsidR="000F1E28" w:rsidRPr="00A92C0C">
        <w:t>godine.</w:t>
      </w:r>
    </w:p>
    <w:p w14:paraId="3DCECA2D" w14:textId="77777777" w:rsidR="00534B6F" w:rsidRDefault="000F1E28">
      <w:r>
        <w:t xml:space="preserve">Oba ova dokumenta adresiraju pitanje energetskog siromaštva i njima se pokreću pilot projekti </w:t>
      </w:r>
      <w:r w:rsidR="00CE1161">
        <w:t xml:space="preserve">energetske obnove zgrada u kojima žive građani u riziku od energetskog siromaštva. Pri tome će se ovi pilot projekti usmjeriti na socijalno najugroženije skupine građana, a to su primatelji zajamčene minimalne naknade. </w:t>
      </w:r>
      <w:r w:rsidR="00E35A0B">
        <w:t>Zajamčena minimalna naknada dodjeljuje se socijalno najugroženijem stanovništvu sukladno Zakonu o socijalnoj skrbi (NN br. 157/13, 152/14, 99/15, 52/16, 16/17, 130/17).</w:t>
      </w:r>
      <w:r w:rsidR="00E4479D">
        <w:t xml:space="preserve"> Ovim građanima osigurat će se 100% subvencionirana energetska obnova. </w:t>
      </w:r>
    </w:p>
    <w:p w14:paraId="412F04FA" w14:textId="77777777" w:rsidR="000F1E28" w:rsidRDefault="00E4479D">
      <w:r>
        <w:t xml:space="preserve">Temeljem iskustava iz ova dva pilot projekta, u Republici Hrvatskoj će se nastaviti dalje raditi kako na definiciji </w:t>
      </w:r>
      <w:r w:rsidR="00F344E4">
        <w:t>energetskog</w:t>
      </w:r>
      <w:r>
        <w:t xml:space="preserve"> siromaštva tako i na širenju kriterija </w:t>
      </w:r>
      <w:r w:rsidR="008221D9">
        <w:t xml:space="preserve">za utvrđivanje građana koji su u riziku od energetskog siromaštva i kojima je potrebna pomoć pri energetskoj obnovi. </w:t>
      </w:r>
      <w:r w:rsidR="00C67D99">
        <w:t xml:space="preserve">Široka rasprava s dionicima </w:t>
      </w:r>
      <w:r w:rsidR="00A464D3">
        <w:t xml:space="preserve">o kriterijima energetskog siromaštva već je i započela kroz inicijativu „Otvoreni dijalog partnera“, čiji je </w:t>
      </w:r>
      <w:r w:rsidR="00213472">
        <w:t>drugi radni sastanak upravo bio posvećen energetskom siromaštvu</w:t>
      </w:r>
      <w:r w:rsidR="00213472">
        <w:rPr>
          <w:rStyle w:val="Referencafusnote"/>
        </w:rPr>
        <w:footnoteReference w:id="32"/>
      </w:r>
      <w:r w:rsidR="00213472">
        <w:t xml:space="preserve">. </w:t>
      </w:r>
      <w:r w:rsidR="000070AE">
        <w:t>Osim zajamčene minimalne naknade, n</w:t>
      </w:r>
      <w:r w:rsidR="00A92753">
        <w:t>eki o</w:t>
      </w:r>
      <w:r w:rsidR="000C2B93">
        <w:t xml:space="preserve">d najvažnijih </w:t>
      </w:r>
      <w:r w:rsidR="003F6503">
        <w:t xml:space="preserve">kriterija koji su </w:t>
      </w:r>
      <w:r w:rsidR="009573E3">
        <w:t xml:space="preserve">raspravljani i koji će se dalje razrađivati </w:t>
      </w:r>
      <w:r w:rsidR="000070AE">
        <w:t>kao pokazatelji rizika od energetskog siromaštva su</w:t>
      </w:r>
      <w:r w:rsidR="009573E3">
        <w:t>:</w:t>
      </w:r>
    </w:p>
    <w:p w14:paraId="53D7FCD1" w14:textId="77777777" w:rsidR="00D47363" w:rsidRDefault="00C060DA" w:rsidP="00853D9C">
      <w:pPr>
        <w:pStyle w:val="Odlomakpopisa"/>
        <w:numPr>
          <w:ilvl w:val="0"/>
          <w:numId w:val="53"/>
        </w:numPr>
      </w:pPr>
      <w:r>
        <w:t>Prihodi kućanstva</w:t>
      </w:r>
      <w:r w:rsidR="00D94FE2">
        <w:t>,</w:t>
      </w:r>
    </w:p>
    <w:p w14:paraId="200ABBBD" w14:textId="77777777" w:rsidR="00C060DA" w:rsidRDefault="00C060DA" w:rsidP="00853D9C">
      <w:pPr>
        <w:pStyle w:val="Odlomakpopisa"/>
        <w:numPr>
          <w:ilvl w:val="0"/>
          <w:numId w:val="53"/>
        </w:numPr>
      </w:pPr>
      <w:r>
        <w:t>Energetski razred zgrade</w:t>
      </w:r>
      <w:r w:rsidR="00D94FE2">
        <w:t>,</w:t>
      </w:r>
    </w:p>
    <w:p w14:paraId="56D10505" w14:textId="77777777" w:rsidR="000070AE" w:rsidRDefault="000070AE" w:rsidP="00853D9C">
      <w:pPr>
        <w:pStyle w:val="Odlomakpopisa"/>
        <w:numPr>
          <w:ilvl w:val="0"/>
          <w:numId w:val="53"/>
        </w:numPr>
      </w:pPr>
      <w:r>
        <w:t>Kvadratura po članu kućanstva</w:t>
      </w:r>
      <w:r w:rsidR="006F3D8F">
        <w:t>,</w:t>
      </w:r>
    </w:p>
    <w:p w14:paraId="2BBA75F9" w14:textId="77777777" w:rsidR="006013BA" w:rsidRDefault="006013BA" w:rsidP="00853D9C">
      <w:pPr>
        <w:pStyle w:val="Odlomakpopisa"/>
        <w:numPr>
          <w:ilvl w:val="0"/>
          <w:numId w:val="53"/>
        </w:numPr>
      </w:pPr>
      <w:r>
        <w:t>Ukupni troškovi za energiju u odnosu na ukupne prihode kućanstva</w:t>
      </w:r>
      <w:r w:rsidR="006F3D8F">
        <w:t xml:space="preserve"> kao i</w:t>
      </w:r>
    </w:p>
    <w:p w14:paraId="2B4C8D2D" w14:textId="77777777" w:rsidR="006F3D8F" w:rsidRDefault="006F3D8F" w:rsidP="00853D9C">
      <w:pPr>
        <w:pStyle w:val="Odlomakpopisa"/>
        <w:numPr>
          <w:ilvl w:val="0"/>
          <w:numId w:val="53"/>
        </w:numPr>
      </w:pPr>
      <w:r>
        <w:t xml:space="preserve">Ostale kategorije </w:t>
      </w:r>
      <w:r w:rsidR="00B267F3">
        <w:t xml:space="preserve">socijalnog statusa </w:t>
      </w:r>
      <w:r w:rsidR="00DF23E8">
        <w:t xml:space="preserve">(invalidnina, </w:t>
      </w:r>
      <w:r w:rsidR="005A6697">
        <w:t>dječji</w:t>
      </w:r>
      <w:r w:rsidR="002753F2">
        <w:t xml:space="preserve"> doplatak, umirovljenici s </w:t>
      </w:r>
      <w:r w:rsidR="005A6697">
        <w:t>minimalnom</w:t>
      </w:r>
      <w:r w:rsidR="002753F2">
        <w:t xml:space="preserve"> </w:t>
      </w:r>
      <w:r w:rsidR="005A6697">
        <w:t>mirovinom</w:t>
      </w:r>
      <w:r w:rsidR="002753F2">
        <w:t xml:space="preserve">, </w:t>
      </w:r>
      <w:r w:rsidR="004A6A8E">
        <w:t>socijalno zdravstveni cenzus</w:t>
      </w:r>
      <w:r w:rsidR="00793283">
        <w:t>, imovinsko</w:t>
      </w:r>
      <w:r w:rsidR="005A6697">
        <w:t>-</w:t>
      </w:r>
      <w:r w:rsidR="00793283">
        <w:t>vlasnički cenz</w:t>
      </w:r>
      <w:r w:rsidR="005A6697">
        <w:t>us i dr.)</w:t>
      </w:r>
    </w:p>
    <w:p w14:paraId="32D0C845" w14:textId="7B28F4DD" w:rsidR="00827B0A" w:rsidRDefault="00827B0A" w:rsidP="005A6697">
      <w:r>
        <w:br w:type="page"/>
      </w:r>
    </w:p>
    <w:p w14:paraId="0E9FDF81" w14:textId="77777777" w:rsidR="00891E5C" w:rsidRPr="002139B7" w:rsidRDefault="006728A3" w:rsidP="00891E5C">
      <w:pPr>
        <w:pBdr>
          <w:top w:val="single" w:sz="4" w:space="1" w:color="auto"/>
          <w:left w:val="single" w:sz="4" w:space="4" w:color="auto"/>
          <w:bottom w:val="single" w:sz="4" w:space="1" w:color="auto"/>
          <w:right w:val="single" w:sz="4" w:space="4" w:color="auto"/>
        </w:pBdr>
        <w:rPr>
          <w:rFonts w:ascii="Arial" w:hAnsi="Arial" w:cs="Times New Roman"/>
          <w:b/>
          <w:szCs w:val="22"/>
          <w:u w:val="single"/>
          <w:lang w:eastAsia="hr-HR"/>
        </w:rPr>
      </w:pPr>
      <w:r w:rsidRPr="002139B7">
        <w:rPr>
          <w:b/>
          <w:u w:val="single"/>
        </w:rPr>
        <w:t xml:space="preserve">Mjera </w:t>
      </w:r>
      <w:r w:rsidR="00891E5C" w:rsidRPr="002139B7">
        <w:rPr>
          <w:b/>
          <w:u w:val="single"/>
        </w:rPr>
        <w:t>UET-5:</w:t>
      </w:r>
      <w:r w:rsidRPr="002139B7">
        <w:rPr>
          <w:b/>
          <w:u w:val="single"/>
        </w:rPr>
        <w:t xml:space="preserve"> </w:t>
      </w:r>
      <w:r w:rsidR="00891E5C" w:rsidRPr="002139B7">
        <w:rPr>
          <w:b/>
          <w:u w:val="single"/>
        </w:rPr>
        <w:t>Usvajanje i provedba Programa suzbijanja energetskog siromaštva</w:t>
      </w:r>
    </w:p>
    <w:p w14:paraId="264E0293" w14:textId="77777777" w:rsidR="00891E5C" w:rsidRDefault="00891E5C" w:rsidP="00891E5C">
      <w:pPr>
        <w:pBdr>
          <w:top w:val="single" w:sz="4" w:space="1" w:color="auto"/>
          <w:left w:val="single" w:sz="4" w:space="4" w:color="auto"/>
          <w:bottom w:val="single" w:sz="4" w:space="1" w:color="auto"/>
          <w:right w:val="single" w:sz="4" w:space="4" w:color="auto"/>
        </w:pBdr>
      </w:pPr>
      <w:r>
        <w:t>Informativna i financijska mjera; Provedba 2021. – 2030.</w:t>
      </w:r>
    </w:p>
    <w:p w14:paraId="19C58969" w14:textId="77777777" w:rsidR="00BE72EE" w:rsidRDefault="00891E5C" w:rsidP="00BE72EE">
      <w:pPr>
        <w:pBdr>
          <w:top w:val="single" w:sz="4" w:space="1" w:color="auto"/>
          <w:left w:val="single" w:sz="4" w:space="4" w:color="auto"/>
          <w:bottom w:val="single" w:sz="4" w:space="1" w:color="auto"/>
          <w:right w:val="single" w:sz="4" w:space="4" w:color="auto"/>
        </w:pBdr>
      </w:pPr>
      <w:r w:rsidRPr="004E2FFF">
        <w:rPr>
          <w:b/>
        </w:rPr>
        <w:t>Cilj i opis mjere:</w:t>
      </w:r>
      <w:r>
        <w:t xml:space="preserve"> </w:t>
      </w:r>
      <w:r w:rsidR="00BE72EE">
        <w:t>ublažavanje energetskog siromaštva i stupnja ugroženosti njime; uspostava sustava praćenja energetskog siromaštva</w:t>
      </w:r>
    </w:p>
    <w:p w14:paraId="4A3549F9" w14:textId="4AC780F7" w:rsidR="00BE72EE" w:rsidRDefault="00BE72EE" w:rsidP="00BE72EE">
      <w:pPr>
        <w:pBdr>
          <w:top w:val="single" w:sz="4" w:space="1" w:color="auto"/>
          <w:left w:val="single" w:sz="4" w:space="4" w:color="auto"/>
          <w:bottom w:val="single" w:sz="4" w:space="1" w:color="auto"/>
          <w:right w:val="single" w:sz="4" w:space="4" w:color="auto"/>
        </w:pBdr>
      </w:pPr>
      <w:r w:rsidRPr="004E2FFF">
        <w:rPr>
          <w:b/>
        </w:rPr>
        <w:t>Aktivnosti:</w:t>
      </w:r>
      <w:r>
        <w:t xml:space="preserve"> U okviru Programa suzbijanja energetskog siromaštva, nastavit će se s izgradnjom kapaciteta putem lokalnih info-centara te će se energetski siromašnim građanima kao i građanima u riziku od energetskog siromaštva osigurati adekvatne informacije i savjeti, o mjerama energetske učinkovitosti koje doprinose suzbijanju energetskog siromaštva, kao i o mogućnostima sufinanciranja aktivnosti na tom polju. Nadalje, identificirat će se </w:t>
      </w:r>
      <w:r w:rsidR="006A7B80">
        <w:t xml:space="preserve">pokazatelji </w:t>
      </w:r>
      <w:r>
        <w:t xml:space="preserve">nužni za praćenje energetskog siromaštva te će se uspostaviti sustav njihovog praćenja, kroz već postojeći sustav prikupljanja podataka o potrošnji i navikama kućanstava (Državni zavod za statistiku). Na temelju podataka analizirat će se moguće proširenje kriterija za stjecanje statusa ugroženih kupaca energije. Sufinancirat će se provedba mjera energetske učinkovitosti u energetski siromašnim kućanstvima, primjerice zamjena kućanskih uređaja po sistemu „staro za novo“, unaprjeđenje ili zamjena sustava grijanja (poboljšanja učinkovitosti sustava grijanja i zamjene energenata (naročito električne energije i loživog ulja) okolišno, ekonomski i energetski povoljnijima, a poglavito sustavima koji koriste obnovljive izvore energije te provedba drugih tehničkih mjera energetske učinkovitosti. Programom će se detaljno razraditi navedene mjere te prema potrebi osmisliti i druge mjere, kao i mogućnost njihove provedbe u okviru sustava obveze energetske učinkovitosti za opskrbljivače. U okviru Programa razradit će se i implementirati model za podmirivanje troškova za energiju. Modelom će se utvrditi razina potrebne pomoći kućanstvima koja su suočena s problemom podmirivanja troškova za energiju, na temelju potrebne količine energije kojom se zadovoljava minimalni standard stanovanja. </w:t>
      </w:r>
      <w:r w:rsidR="006772AF">
        <w:t xml:space="preserve">Mjere za suzbijanje energetskog siromaštva kroz energetsku obnovu zgrada </w:t>
      </w:r>
      <w:r>
        <w:t>bit će dodatno razrađene u Programu energetske obnove višestambenih zgrada za razdoblje 2021.-2030. i u Programu energetske obnove obiteljskih kuća za razdoblje 2021.-2030.</w:t>
      </w:r>
    </w:p>
    <w:p w14:paraId="7963C493" w14:textId="77777777" w:rsidR="00BE72EE" w:rsidRDefault="00BE72EE" w:rsidP="00BE72EE">
      <w:pPr>
        <w:pBdr>
          <w:top w:val="single" w:sz="4" w:space="1" w:color="auto"/>
          <w:left w:val="single" w:sz="4" w:space="4" w:color="auto"/>
          <w:bottom w:val="single" w:sz="4" w:space="1" w:color="auto"/>
          <w:right w:val="single" w:sz="4" w:space="4" w:color="auto"/>
        </w:pBdr>
      </w:pPr>
      <w:r w:rsidRPr="004E2FFF">
        <w:rPr>
          <w:b/>
        </w:rPr>
        <w:t>Izvori financiranja:</w:t>
      </w:r>
      <w:r>
        <w:t xml:space="preserve"> Sredstva obveznika sustava obveze energetske učinkovitosti, EU fondovi</w:t>
      </w:r>
    </w:p>
    <w:p w14:paraId="0379238F" w14:textId="77777777" w:rsidR="00BE72EE" w:rsidRDefault="00BE72EE" w:rsidP="00BE72EE">
      <w:pPr>
        <w:pBdr>
          <w:top w:val="single" w:sz="4" w:space="1" w:color="auto"/>
          <w:left w:val="single" w:sz="4" w:space="4" w:color="auto"/>
          <w:bottom w:val="single" w:sz="4" w:space="1" w:color="auto"/>
          <w:right w:val="single" w:sz="4" w:space="4" w:color="auto"/>
        </w:pBdr>
      </w:pPr>
      <w:r w:rsidRPr="004E2FFF">
        <w:rPr>
          <w:b/>
        </w:rPr>
        <w:t>Izvršno tijelo:</w:t>
      </w:r>
      <w:r>
        <w:t xml:space="preserve"> ministarstvo nadležno za energetiku i ministarstvo nadležno za socijalnu skrb, DZS</w:t>
      </w:r>
    </w:p>
    <w:p w14:paraId="5955C4A5" w14:textId="77777777" w:rsidR="00BE72EE" w:rsidRDefault="00BE72EE" w:rsidP="00BE72EE">
      <w:pPr>
        <w:pBdr>
          <w:top w:val="single" w:sz="4" w:space="1" w:color="auto"/>
          <w:left w:val="single" w:sz="4" w:space="4" w:color="auto"/>
          <w:bottom w:val="single" w:sz="4" w:space="1" w:color="auto"/>
          <w:right w:val="single" w:sz="4" w:space="4" w:color="auto"/>
        </w:pBdr>
      </w:pPr>
      <w:r w:rsidRPr="004E2FFF">
        <w:rPr>
          <w:b/>
        </w:rPr>
        <w:t>Tijela za praćenje (nadzor):</w:t>
      </w:r>
      <w:r>
        <w:t xml:space="preserve"> ministarstvo nadležno za energetiku i ministarstvo nadležno za socijalnu skrb</w:t>
      </w:r>
    </w:p>
    <w:p w14:paraId="4A65C169" w14:textId="77777777" w:rsidR="00BE72EE" w:rsidRDefault="00BE72EE" w:rsidP="00BE72EE">
      <w:pPr>
        <w:pBdr>
          <w:top w:val="single" w:sz="4" w:space="1" w:color="auto"/>
          <w:left w:val="single" w:sz="4" w:space="4" w:color="auto"/>
          <w:bottom w:val="single" w:sz="4" w:space="1" w:color="auto"/>
          <w:right w:val="single" w:sz="4" w:space="4" w:color="auto"/>
        </w:pBdr>
      </w:pPr>
      <w:r w:rsidRPr="004E2FFF">
        <w:rPr>
          <w:b/>
        </w:rPr>
        <w:t>Učinak:</w:t>
      </w:r>
      <w:r>
        <w:t xml:space="preserve"> Uspostava sustava za praćenje energetskog siromaštva i ugroženosti njime; izgradnja kapaciteta za ublažavanje energetskog siromaštva; uspostava modela za podmirivanje troškova za energiju; smanjenje neposredne potrošnje energije i posljedično smanjenje emisija CO2 u energetski siromašnim kućanstvima i kućanstvima ugroženima njime</w:t>
      </w:r>
    </w:p>
    <w:p w14:paraId="3CB9C052" w14:textId="77777777" w:rsidR="001A57C5" w:rsidRDefault="00BE72EE" w:rsidP="00BE72EE">
      <w:pPr>
        <w:pBdr>
          <w:top w:val="single" w:sz="4" w:space="1" w:color="auto"/>
          <w:left w:val="single" w:sz="4" w:space="4" w:color="auto"/>
          <w:bottom w:val="single" w:sz="4" w:space="1" w:color="auto"/>
          <w:right w:val="single" w:sz="4" w:space="4" w:color="auto"/>
        </w:pBdr>
        <w:rPr>
          <w:rFonts w:cs="Arial"/>
          <w:color w:val="000000"/>
        </w:rPr>
      </w:pPr>
      <w:r w:rsidRPr="004E2FFF">
        <w:rPr>
          <w:b/>
        </w:rPr>
        <w:t>Metoda praćenja:</w:t>
      </w:r>
      <w:r>
        <w:t xml:space="preserve"> Publikacije DZS; Ostvarene uštede prate se i dokazuju korištenjem metoda odozdo-prema-gore prema Pravilniku o sustavu za praćenje, mjerenje i verifikaciju ušteda energije</w:t>
      </w:r>
    </w:p>
    <w:p w14:paraId="224FDA7B" w14:textId="2C18200A" w:rsidR="00827B0A" w:rsidRDefault="00827B0A" w:rsidP="00827B0A">
      <w:bookmarkStart w:id="156" w:name="_Toc34052892"/>
    </w:p>
    <w:p w14:paraId="3D13E833" w14:textId="613751F4" w:rsidR="000509E7" w:rsidRDefault="00D056D9" w:rsidP="007649C2">
      <w:pPr>
        <w:pStyle w:val="Naslov20"/>
      </w:pPr>
      <w:bookmarkStart w:id="157" w:name="_Toc46163836"/>
      <w:r w:rsidRPr="00A209F1">
        <w:t>Promicanje vještina</w:t>
      </w:r>
      <w:r w:rsidR="00A209F1" w:rsidRPr="00A209F1">
        <w:t xml:space="preserve">, </w:t>
      </w:r>
      <w:r w:rsidRPr="00A209F1">
        <w:t>nov</w:t>
      </w:r>
      <w:r w:rsidR="00A209F1" w:rsidRPr="00A209F1">
        <w:t>ih</w:t>
      </w:r>
      <w:r w:rsidRPr="00A209F1">
        <w:t xml:space="preserve"> tehnik</w:t>
      </w:r>
      <w:r w:rsidR="00A209F1" w:rsidRPr="00A209F1">
        <w:t>a</w:t>
      </w:r>
      <w:r w:rsidRPr="00A209F1">
        <w:t xml:space="preserve"> i tehnologij</w:t>
      </w:r>
      <w:r w:rsidR="00A209F1" w:rsidRPr="00A209F1">
        <w:t>a</w:t>
      </w:r>
      <w:r w:rsidRPr="00A209F1">
        <w:t xml:space="preserve"> u području zgrada gotovo nulte energije i energetske obnove</w:t>
      </w:r>
      <w:bookmarkEnd w:id="156"/>
      <w:bookmarkEnd w:id="157"/>
    </w:p>
    <w:p w14:paraId="3FBFC146" w14:textId="77777777" w:rsidR="009075B4" w:rsidRDefault="009075B4" w:rsidP="009075B4">
      <w:r>
        <w:t xml:space="preserve">Ovom Dugoročnom strategijom planira se provedba sveobuhvatnog programa za promociju nZEB standarda gradnje i obnove, koji je opisan u nastavku. </w:t>
      </w:r>
    </w:p>
    <w:tbl>
      <w:tblPr>
        <w:tblStyle w:val="Reetkatablice"/>
        <w:tblW w:w="0" w:type="auto"/>
        <w:tblInd w:w="3" w:type="dxa"/>
        <w:tblLook w:val="04A0" w:firstRow="1" w:lastRow="0" w:firstColumn="1" w:lastColumn="0" w:noHBand="0" w:noVBand="1"/>
      </w:tblPr>
      <w:tblGrid>
        <w:gridCol w:w="9341"/>
      </w:tblGrid>
      <w:tr w:rsidR="001A57C5" w14:paraId="327E83CD" w14:textId="77777777" w:rsidTr="00E209D5">
        <w:tc>
          <w:tcPr>
            <w:tcW w:w="9341" w:type="dxa"/>
          </w:tcPr>
          <w:p w14:paraId="3A665E9D" w14:textId="77777777" w:rsidR="001A57C5" w:rsidRPr="001A57C5" w:rsidRDefault="001A57C5" w:rsidP="001A57C5">
            <w:pPr>
              <w:pStyle w:val="StandardWeb"/>
              <w:spacing w:after="120" w:line="288" w:lineRule="auto"/>
              <w:rPr>
                <w:rFonts w:cs="Tahoma"/>
                <w:b/>
                <w:bCs/>
                <w:color w:val="000000"/>
                <w:szCs w:val="20"/>
                <w:u w:val="single"/>
              </w:rPr>
            </w:pPr>
            <w:r w:rsidRPr="001A57C5">
              <w:rPr>
                <w:rFonts w:cs="Tahoma"/>
                <w:b/>
                <w:bCs/>
                <w:color w:val="000000"/>
                <w:szCs w:val="20"/>
                <w:u w:val="single"/>
              </w:rPr>
              <w:t xml:space="preserve">ENU-2: </w:t>
            </w:r>
            <w:r w:rsidR="00BE72EE" w:rsidRPr="00BE72EE">
              <w:rPr>
                <w:rFonts w:cs="Tahoma"/>
                <w:b/>
                <w:bCs/>
                <w:color w:val="000000"/>
                <w:szCs w:val="20"/>
                <w:u w:val="single"/>
              </w:rPr>
              <w:t>Promoviranje nZEB standarda gradnje i obnove</w:t>
            </w:r>
          </w:p>
          <w:p w14:paraId="0448921E" w14:textId="77777777" w:rsidR="001A57C5" w:rsidRPr="001A57C5" w:rsidRDefault="001A57C5" w:rsidP="001A57C5">
            <w:pPr>
              <w:pStyle w:val="StandardWeb"/>
              <w:spacing w:after="120" w:line="288" w:lineRule="auto"/>
              <w:rPr>
                <w:rFonts w:cs="Tahoma"/>
                <w:b/>
                <w:bCs/>
                <w:color w:val="000000"/>
                <w:szCs w:val="20"/>
              </w:rPr>
            </w:pPr>
            <w:r w:rsidRPr="001A57C5">
              <w:rPr>
                <w:rFonts w:cs="Tahoma"/>
                <w:b/>
                <w:bCs/>
                <w:color w:val="000000"/>
                <w:szCs w:val="20"/>
              </w:rPr>
              <w:t>Informacijska mjera; provedba 2019. -2030.</w:t>
            </w:r>
          </w:p>
          <w:p w14:paraId="6F1A3DA5" w14:textId="77777777" w:rsidR="001A57C5" w:rsidRPr="001A57C5" w:rsidRDefault="001A57C5" w:rsidP="001A57C5">
            <w:pPr>
              <w:pStyle w:val="StandardWeb"/>
              <w:spacing w:after="120" w:line="288" w:lineRule="auto"/>
              <w:rPr>
                <w:rFonts w:cs="Tahoma"/>
                <w:szCs w:val="20"/>
              </w:rPr>
            </w:pPr>
            <w:r w:rsidRPr="001A57C5">
              <w:rPr>
                <w:rFonts w:cs="Tahoma"/>
                <w:b/>
                <w:bCs/>
                <w:color w:val="000000"/>
                <w:szCs w:val="20"/>
              </w:rPr>
              <w:t>Cilj i opis mjere</w:t>
            </w:r>
            <w:r w:rsidRPr="001A57C5">
              <w:rPr>
                <w:rFonts w:cs="Tahoma"/>
                <w:b/>
                <w:bCs/>
                <w:color w:val="000000"/>
                <w:szCs w:val="20"/>
                <w:lang w:eastAsia="en-GB"/>
              </w:rPr>
              <w:t>:</w:t>
            </w:r>
            <w:r w:rsidRPr="001A57C5">
              <w:rPr>
                <w:rFonts w:cs="Tahoma"/>
                <w:color w:val="000000"/>
                <w:szCs w:val="20"/>
                <w:lang w:eastAsia="en-GB"/>
              </w:rPr>
              <w:t xml:space="preserve"> </w:t>
            </w:r>
            <w:r w:rsidR="00BE72EE" w:rsidRPr="00BE72EE">
              <w:rPr>
                <w:rFonts w:cs="Tahoma"/>
                <w:szCs w:val="20"/>
              </w:rPr>
              <w:t>Nakon 31.12.2018. godine sve javne zgrade u RH u kojima borave ili su u vlasništvu javnih tijela moraju biti izgrađene prema nZEB standardu, a obveza za sve ostale novoizgrađene zgrade nastupa nakon 31.12.2020. godine. Navedene zakonske odredbe osiguravaju da sve novoizgrađene zgrade od 2021. godine pa nadalje budu u nZEB standardu. Ipak, kako bi se osigurala ispravna primjena ovih odredbi, ali i potaknula energetska obnova zgrada do nZEB standarda, u sljedećem se razdoblju planira provoditi niz informativno-edukacijskih aktivnosti za promociju izgradnje i obnove po nZEB standardu.</w:t>
            </w:r>
          </w:p>
          <w:p w14:paraId="5CBBDE59" w14:textId="6A2E975F" w:rsidR="001A57C5" w:rsidRPr="00A92C0C" w:rsidRDefault="001A57C5" w:rsidP="001A57C5">
            <w:pPr>
              <w:spacing w:after="0"/>
              <w:rPr>
                <w:rFonts w:cs="Tahoma"/>
                <w:szCs w:val="20"/>
              </w:rPr>
            </w:pPr>
            <w:r w:rsidRPr="001A57C5">
              <w:rPr>
                <w:rFonts w:cs="Tahoma"/>
                <w:b/>
                <w:bCs/>
                <w:color w:val="000000"/>
                <w:szCs w:val="20"/>
                <w:lang w:eastAsia="en-GB"/>
              </w:rPr>
              <w:t>Aktivnosti:</w:t>
            </w:r>
            <w:r w:rsidRPr="001A57C5">
              <w:rPr>
                <w:rFonts w:cs="Tahoma"/>
                <w:color w:val="000000"/>
                <w:szCs w:val="20"/>
                <w:lang w:eastAsia="en-GB"/>
              </w:rPr>
              <w:t xml:space="preserve"> U okviru </w:t>
            </w:r>
            <w:r w:rsidRPr="00A92C0C">
              <w:rPr>
                <w:rFonts w:cs="Tahoma"/>
                <w:szCs w:val="20"/>
                <w:lang w:eastAsia="en-GB"/>
              </w:rPr>
              <w:t xml:space="preserve">mjere </w:t>
            </w:r>
            <w:r w:rsidR="008A22D5" w:rsidRPr="00A92C0C">
              <w:rPr>
                <w:rFonts w:cs="Tahoma"/>
                <w:szCs w:val="20"/>
                <w:lang w:eastAsia="en-GB"/>
              </w:rPr>
              <w:t>provode</w:t>
            </w:r>
            <w:r w:rsidRPr="00A92C0C">
              <w:rPr>
                <w:rFonts w:cs="Tahoma"/>
                <w:szCs w:val="20"/>
                <w:lang w:eastAsia="en-GB"/>
              </w:rPr>
              <w:t xml:space="preserve"> se sljedeće aktivnosti: </w:t>
            </w:r>
          </w:p>
          <w:p w14:paraId="2E4DDC77" w14:textId="77777777" w:rsidR="001A57C5" w:rsidRPr="001A57C5" w:rsidRDefault="001A57C5" w:rsidP="00853D9C">
            <w:pPr>
              <w:numPr>
                <w:ilvl w:val="0"/>
                <w:numId w:val="46"/>
              </w:numPr>
              <w:tabs>
                <w:tab w:val="clear" w:pos="431"/>
                <w:tab w:val="left" w:pos="168"/>
                <w:tab w:val="left" w:pos="5040"/>
                <w:tab w:val="right" w:pos="8504"/>
              </w:tabs>
              <w:spacing w:after="0"/>
              <w:rPr>
                <w:rFonts w:cs="Tahoma"/>
                <w:color w:val="000000"/>
                <w:szCs w:val="20"/>
                <w:lang w:eastAsia="en-GB"/>
              </w:rPr>
            </w:pPr>
            <w:r w:rsidRPr="00A92C0C">
              <w:rPr>
                <w:rFonts w:cs="Tahoma"/>
                <w:szCs w:val="20"/>
                <w:lang w:eastAsia="en-GB"/>
              </w:rPr>
              <w:t xml:space="preserve">Otvoreni dijalog partnera - radionice </w:t>
            </w:r>
            <w:r w:rsidRPr="001A57C5">
              <w:rPr>
                <w:rFonts w:cs="Tahoma"/>
                <w:color w:val="000000"/>
                <w:szCs w:val="20"/>
                <w:lang w:eastAsia="en-GB"/>
              </w:rPr>
              <w:t>koje će okupiti dionike tijela državne uprave, lokalne vlasti, građevinskog sektora, energetskog sektora te obrazovnih i drugih javnih institucija, kako bi se zajedničkim dijalogom razvila adekvatna nacionalna definicija zgrade s gotovo nultom potrošnjom energije i putokaz za transformaciju postojećeg fonda zgrada u energetski visokoučinkovit i dekarboniziran fond zgrada do 2050. godine;</w:t>
            </w:r>
          </w:p>
          <w:p w14:paraId="7DFEF03C" w14:textId="77777777" w:rsidR="001A57C5" w:rsidRPr="001A57C5" w:rsidRDefault="001A57C5" w:rsidP="00853D9C">
            <w:pPr>
              <w:numPr>
                <w:ilvl w:val="0"/>
                <w:numId w:val="46"/>
              </w:numPr>
              <w:tabs>
                <w:tab w:val="clear" w:pos="431"/>
                <w:tab w:val="left" w:pos="168"/>
                <w:tab w:val="left" w:pos="5040"/>
                <w:tab w:val="right" w:pos="8504"/>
              </w:tabs>
              <w:spacing w:after="0"/>
              <w:rPr>
                <w:rFonts w:cs="Tahoma"/>
                <w:color w:val="000000"/>
                <w:szCs w:val="20"/>
                <w:lang w:eastAsia="en-GB"/>
              </w:rPr>
            </w:pPr>
            <w:r w:rsidRPr="001A57C5">
              <w:rPr>
                <w:rFonts w:cs="Tahoma"/>
                <w:color w:val="000000"/>
                <w:szCs w:val="20"/>
                <w:lang w:eastAsia="en-GB"/>
              </w:rPr>
              <w:t>Izrada smjernica o nZEB zgradama za investitore i projektante - smjernice će dati stručnu, preglednu i nedvosmislenu informaciju o nZEB zgradama, a ima te dvije ciljne skupine: opću i stručnu javnost;</w:t>
            </w:r>
          </w:p>
          <w:p w14:paraId="6755678F" w14:textId="77777777" w:rsidR="001A57C5" w:rsidRPr="001A57C5" w:rsidRDefault="001A57C5" w:rsidP="00853D9C">
            <w:pPr>
              <w:numPr>
                <w:ilvl w:val="0"/>
                <w:numId w:val="46"/>
              </w:numPr>
              <w:tabs>
                <w:tab w:val="clear" w:pos="431"/>
              </w:tabs>
              <w:spacing w:after="0"/>
              <w:rPr>
                <w:rFonts w:cs="Tahoma"/>
                <w:color w:val="000000"/>
                <w:szCs w:val="20"/>
                <w:lang w:eastAsia="en-GB"/>
              </w:rPr>
            </w:pPr>
            <w:r w:rsidRPr="001A57C5">
              <w:rPr>
                <w:rFonts w:cs="Tahoma"/>
                <w:color w:val="000000"/>
                <w:szCs w:val="20"/>
                <w:lang w:eastAsia="en-GB"/>
              </w:rPr>
              <w:t>Medijske kampanje za energetsko certificiranje i promidžbu nZEB standarda – kampanjama će se informirati javnost s ciljem podizanja svijesti o značenju energetskih certifikata te njihovom značaju u energetskoj obnovi i dokazivanju nZEB standarda, o dostupnosti informacija u Informacijskom sustavu energetskih certifikata (IEC), a također će se provesti i ciljana kampanja za informiranje i podizanje svijesti o nZEB standardu novogradnje i energetske obnove zgrada.</w:t>
            </w:r>
          </w:p>
          <w:p w14:paraId="5272C9A4" w14:textId="77777777" w:rsidR="001A57C5" w:rsidRPr="001A57C5" w:rsidRDefault="001A57C5" w:rsidP="001A57C5">
            <w:pPr>
              <w:spacing w:after="0"/>
              <w:rPr>
                <w:rFonts w:cs="Tahoma"/>
                <w:b/>
                <w:bCs/>
                <w:color w:val="000000"/>
                <w:szCs w:val="20"/>
                <w:lang w:eastAsia="en-GB"/>
              </w:rPr>
            </w:pPr>
          </w:p>
          <w:p w14:paraId="18AE799D" w14:textId="77777777" w:rsidR="001A57C5" w:rsidRPr="001A57C5" w:rsidRDefault="001A57C5" w:rsidP="001A57C5">
            <w:pPr>
              <w:spacing w:after="0"/>
              <w:rPr>
                <w:rFonts w:cs="Tahoma"/>
                <w:color w:val="000000"/>
                <w:szCs w:val="20"/>
              </w:rPr>
            </w:pPr>
            <w:r w:rsidRPr="001A57C5">
              <w:rPr>
                <w:rFonts w:cs="Tahoma"/>
                <w:b/>
                <w:bCs/>
                <w:color w:val="000000"/>
                <w:szCs w:val="20"/>
                <w:lang w:eastAsia="en-GB"/>
              </w:rPr>
              <w:t xml:space="preserve">Izvori financiranja: </w:t>
            </w:r>
            <w:r w:rsidRPr="001A57C5">
              <w:rPr>
                <w:rFonts w:cs="Tahoma"/>
                <w:color w:val="000000"/>
                <w:szCs w:val="20"/>
                <w:lang w:eastAsia="en-GB"/>
              </w:rPr>
              <w:t>Državni proračun (MGIPU)</w:t>
            </w:r>
          </w:p>
          <w:p w14:paraId="787C3820" w14:textId="77777777" w:rsidR="001A57C5" w:rsidRPr="001A57C5" w:rsidRDefault="001A57C5" w:rsidP="001A57C5">
            <w:pPr>
              <w:spacing w:after="0"/>
              <w:rPr>
                <w:rFonts w:cs="Tahoma"/>
                <w:color w:val="000000"/>
                <w:szCs w:val="20"/>
                <w:lang w:eastAsia="en-GB"/>
              </w:rPr>
            </w:pPr>
            <w:r w:rsidRPr="001A57C5">
              <w:rPr>
                <w:rFonts w:cs="Tahoma"/>
                <w:b/>
                <w:bCs/>
                <w:color w:val="000000"/>
                <w:szCs w:val="20"/>
                <w:lang w:eastAsia="en-GB"/>
              </w:rPr>
              <w:t>Izvršno tijelo:</w:t>
            </w:r>
            <w:r w:rsidRPr="001A57C5">
              <w:rPr>
                <w:rFonts w:cs="Tahoma"/>
                <w:color w:val="000000"/>
                <w:szCs w:val="20"/>
                <w:lang w:eastAsia="en-GB"/>
              </w:rPr>
              <w:t xml:space="preserve"> MGIPU – provedba svih aktivnosti Programa </w:t>
            </w:r>
          </w:p>
          <w:p w14:paraId="50821763" w14:textId="77777777" w:rsidR="001A57C5" w:rsidRPr="001A57C5" w:rsidRDefault="001A57C5" w:rsidP="001A57C5">
            <w:pPr>
              <w:spacing w:after="0"/>
              <w:rPr>
                <w:rFonts w:cs="Tahoma"/>
                <w:color w:val="000000"/>
                <w:szCs w:val="20"/>
              </w:rPr>
            </w:pPr>
            <w:r w:rsidRPr="001A57C5">
              <w:rPr>
                <w:rFonts w:cs="Tahoma"/>
                <w:b/>
                <w:bCs/>
                <w:color w:val="000000"/>
                <w:szCs w:val="20"/>
                <w:lang w:eastAsia="en-GB"/>
              </w:rPr>
              <w:t>Tijela za praćenje (nadzor):</w:t>
            </w:r>
            <w:r w:rsidRPr="001A57C5">
              <w:rPr>
                <w:rFonts w:cs="Tahoma"/>
                <w:color w:val="000000"/>
                <w:szCs w:val="20"/>
                <w:lang w:eastAsia="en-GB"/>
              </w:rPr>
              <w:t xml:space="preserve"> MZOE-NKT</w:t>
            </w:r>
          </w:p>
          <w:p w14:paraId="29C8233B" w14:textId="77777777" w:rsidR="001A57C5" w:rsidRPr="001A57C5" w:rsidRDefault="001A57C5" w:rsidP="001A57C5">
            <w:pPr>
              <w:spacing w:after="0"/>
              <w:rPr>
                <w:rFonts w:cs="Tahoma"/>
                <w:color w:val="000000"/>
                <w:szCs w:val="20"/>
              </w:rPr>
            </w:pPr>
            <w:r w:rsidRPr="001A57C5">
              <w:rPr>
                <w:rFonts w:cs="Tahoma"/>
                <w:b/>
                <w:bCs/>
                <w:color w:val="000000"/>
                <w:szCs w:val="20"/>
                <w:lang w:eastAsia="en-GB"/>
              </w:rPr>
              <w:t xml:space="preserve">Učinak: </w:t>
            </w:r>
            <w:r w:rsidRPr="001A57C5">
              <w:rPr>
                <w:rFonts w:cs="Tahoma"/>
                <w:color w:val="000000"/>
                <w:szCs w:val="20"/>
                <w:lang w:eastAsia="en-GB"/>
              </w:rPr>
              <w:t>Mjera nema izravan učinak na smanjenje potrošnje energije, već je potpora regulatornoj mjeri izgradnje novih zgrada prema nZEB standardu, kao i promocijska mjera za energetsku obnovu do nZEB standarda, koja će rezultirati mjerljivim smanjenjem potrošnje energije, većim korištenjem OIE i izbjegnutim emisijama CO</w:t>
            </w:r>
            <w:r w:rsidRPr="001A57C5">
              <w:rPr>
                <w:rFonts w:cs="Tahoma"/>
                <w:color w:val="000000"/>
                <w:szCs w:val="20"/>
                <w:vertAlign w:val="subscript"/>
                <w:lang w:eastAsia="en-GB"/>
              </w:rPr>
              <w:t>2</w:t>
            </w:r>
            <w:r w:rsidRPr="001A57C5">
              <w:rPr>
                <w:rFonts w:cs="Tahoma"/>
                <w:color w:val="000000"/>
                <w:szCs w:val="20"/>
                <w:lang w:eastAsia="en-GB"/>
              </w:rPr>
              <w:t>.</w:t>
            </w:r>
          </w:p>
          <w:p w14:paraId="7DFC6858" w14:textId="77777777" w:rsidR="001A57C5" w:rsidRDefault="001A57C5" w:rsidP="001A57C5">
            <w:pPr>
              <w:spacing w:after="0"/>
              <w:rPr>
                <w:rFonts w:cs="Tahoma"/>
                <w:color w:val="000000"/>
                <w:szCs w:val="20"/>
                <w:lang w:eastAsia="en-GB"/>
              </w:rPr>
            </w:pPr>
            <w:r w:rsidRPr="001A57C5">
              <w:rPr>
                <w:rFonts w:cs="Tahoma"/>
                <w:b/>
                <w:bCs/>
                <w:color w:val="000000"/>
                <w:szCs w:val="20"/>
                <w:lang w:eastAsia="en-GB"/>
              </w:rPr>
              <w:t>Metoda praćenja:</w:t>
            </w:r>
            <w:r w:rsidRPr="001A57C5">
              <w:rPr>
                <w:rFonts w:cs="Tahoma"/>
                <w:color w:val="000000"/>
                <w:szCs w:val="20"/>
                <w:lang w:eastAsia="en-GB"/>
              </w:rPr>
              <w:t xml:space="preserve"> Izvješća o provedenim informativno-edukacijskim aktivnostima</w:t>
            </w:r>
          </w:p>
          <w:p w14:paraId="573BF6F9" w14:textId="77777777" w:rsidR="001A57C5" w:rsidRPr="001A57C5" w:rsidRDefault="001A57C5" w:rsidP="001A57C5">
            <w:pPr>
              <w:spacing w:after="0"/>
              <w:rPr>
                <w:rFonts w:cs="Tahoma"/>
                <w:color w:val="000000"/>
                <w:szCs w:val="20"/>
              </w:rPr>
            </w:pPr>
          </w:p>
        </w:tc>
      </w:tr>
    </w:tbl>
    <w:p w14:paraId="1EC2EA17" w14:textId="3491E072" w:rsidR="00827B0A" w:rsidRDefault="00827B0A" w:rsidP="00827B0A">
      <w:bookmarkStart w:id="158" w:name="_Toc34052893"/>
    </w:p>
    <w:p w14:paraId="3A93250B" w14:textId="1D2E92D0" w:rsidR="00E209D5" w:rsidRDefault="00E209D5" w:rsidP="007649C2">
      <w:pPr>
        <w:pStyle w:val="Naslov20"/>
      </w:pPr>
      <w:bookmarkStart w:id="159" w:name="_Toc46163837"/>
      <w:r>
        <w:t>Elektromobilnost</w:t>
      </w:r>
      <w:bookmarkEnd w:id="158"/>
      <w:bookmarkEnd w:id="159"/>
    </w:p>
    <w:p w14:paraId="3A00DB1B" w14:textId="71875779" w:rsidR="00E209D5" w:rsidRDefault="00FF6536" w:rsidP="00334A49">
      <w:pPr>
        <w:rPr>
          <w:lang w:eastAsia="hr-HR"/>
        </w:rPr>
      </w:pPr>
      <w:r>
        <w:rPr>
          <w:lang w:eastAsia="hr-HR"/>
        </w:rPr>
        <w:t xml:space="preserve">Zahtjevi za uključivanje elektromobilnosti integrirani su u Zakon o gradnji, u članku </w:t>
      </w:r>
      <w:r w:rsidR="001E09F6">
        <w:rPr>
          <w:lang w:eastAsia="hr-HR"/>
        </w:rPr>
        <w:t>21.a</w:t>
      </w:r>
      <w:r w:rsidR="00EE677F">
        <w:rPr>
          <w:lang w:eastAsia="hr-HR"/>
        </w:rPr>
        <w:t>, 21.</w:t>
      </w:r>
      <w:r w:rsidR="001E09F6">
        <w:rPr>
          <w:lang w:eastAsia="hr-HR"/>
        </w:rPr>
        <w:t>b</w:t>
      </w:r>
      <w:r w:rsidR="00EE677F">
        <w:rPr>
          <w:lang w:eastAsia="hr-HR"/>
        </w:rPr>
        <w:t xml:space="preserve"> i 21.c</w:t>
      </w:r>
      <w:r w:rsidR="001E09F6">
        <w:rPr>
          <w:lang w:eastAsia="hr-HR"/>
        </w:rPr>
        <w:t xml:space="preserve">, na način da se </w:t>
      </w:r>
      <w:r w:rsidR="0002107D">
        <w:rPr>
          <w:lang w:eastAsia="hr-HR"/>
        </w:rPr>
        <w:t xml:space="preserve">za </w:t>
      </w:r>
      <w:r w:rsidR="00E3122B">
        <w:rPr>
          <w:lang w:eastAsia="hr-HR"/>
        </w:rPr>
        <w:t xml:space="preserve">nove zgrade i </w:t>
      </w:r>
      <w:r w:rsidR="0002107D">
        <w:rPr>
          <w:lang w:eastAsia="hr-HR"/>
        </w:rPr>
        <w:t xml:space="preserve">zgrade </w:t>
      </w:r>
      <w:r w:rsidR="00E3122B">
        <w:rPr>
          <w:lang w:eastAsia="hr-HR"/>
        </w:rPr>
        <w:t xml:space="preserve">koje se podvrgavaju značajnoj obnovi </w:t>
      </w:r>
      <w:r w:rsidR="0002107D">
        <w:rPr>
          <w:lang w:eastAsia="hr-HR"/>
        </w:rPr>
        <w:t xml:space="preserve">nestambene namjene </w:t>
      </w:r>
      <w:r w:rsidR="000C1BB2">
        <w:rPr>
          <w:lang w:eastAsia="hr-HR"/>
        </w:rPr>
        <w:t xml:space="preserve">osigurava </w:t>
      </w:r>
      <w:r w:rsidR="0045137C">
        <w:rPr>
          <w:lang w:eastAsia="hr-HR"/>
        </w:rPr>
        <w:t xml:space="preserve">kanalska </w:t>
      </w:r>
      <w:r w:rsidR="000C1BB2">
        <w:rPr>
          <w:lang w:eastAsia="hr-HR"/>
        </w:rPr>
        <w:t xml:space="preserve">infrastruktura za </w:t>
      </w:r>
      <w:r w:rsidR="0045137C">
        <w:rPr>
          <w:lang w:eastAsia="hr-HR"/>
        </w:rPr>
        <w:t xml:space="preserve">mjesta za punjenje za </w:t>
      </w:r>
      <w:r w:rsidR="006D53D5">
        <w:rPr>
          <w:lang w:eastAsia="hr-HR"/>
        </w:rPr>
        <w:t xml:space="preserve">20% parkirališnih mjesta, odnosno </w:t>
      </w:r>
      <w:r w:rsidR="005A603C">
        <w:rPr>
          <w:lang w:eastAsia="hr-HR"/>
        </w:rPr>
        <w:t xml:space="preserve">za svako parkirališno mjesto za </w:t>
      </w:r>
      <w:r w:rsidR="00902D5A">
        <w:rPr>
          <w:lang w:eastAsia="hr-HR"/>
        </w:rPr>
        <w:t>stambene zgrade</w:t>
      </w:r>
      <w:r w:rsidR="0011766F">
        <w:rPr>
          <w:lang w:eastAsia="hr-HR"/>
        </w:rPr>
        <w:t xml:space="preserve">, </w:t>
      </w:r>
      <w:r w:rsidR="00902D5A">
        <w:rPr>
          <w:lang w:eastAsia="hr-HR"/>
        </w:rPr>
        <w:t xml:space="preserve">za </w:t>
      </w:r>
      <w:r w:rsidR="0011766F">
        <w:rPr>
          <w:lang w:eastAsia="hr-HR"/>
        </w:rPr>
        <w:t xml:space="preserve">zgrade s više od deset parkirališnih mjesta. </w:t>
      </w:r>
    </w:p>
    <w:p w14:paraId="753E62A9" w14:textId="3F2E0B3F" w:rsidR="00897E4E" w:rsidRDefault="00327A50" w:rsidP="00897E4E">
      <w:pPr>
        <w:ind w:left="0"/>
        <w:rPr>
          <w:lang w:eastAsia="hr-HR"/>
        </w:rPr>
      </w:pPr>
      <w:r>
        <w:rPr>
          <w:lang w:eastAsia="hr-HR"/>
        </w:rPr>
        <w:t xml:space="preserve">Uspostava mjesta za punjenje u novim i postojećim stambenim i nestambenim zgradama </w:t>
      </w:r>
      <w:r w:rsidR="007876BB">
        <w:rPr>
          <w:lang w:eastAsia="hr-HR"/>
        </w:rPr>
        <w:t xml:space="preserve">ostavljena je tržišnim akterima, prema potrebama tržišta </w:t>
      </w:r>
      <w:r w:rsidR="009467A1">
        <w:rPr>
          <w:lang w:eastAsia="hr-HR"/>
        </w:rPr>
        <w:t xml:space="preserve">i stvarnom broju električnih vozila. </w:t>
      </w:r>
      <w:r w:rsidR="00E7180F">
        <w:rPr>
          <w:lang w:eastAsia="hr-HR"/>
        </w:rPr>
        <w:t>Prema Nacionalnom okv</w:t>
      </w:r>
      <w:r w:rsidR="008C2A75">
        <w:rPr>
          <w:lang w:eastAsia="hr-HR"/>
        </w:rPr>
        <w:t>i</w:t>
      </w:r>
      <w:r w:rsidR="00E7180F">
        <w:rPr>
          <w:lang w:eastAsia="hr-HR"/>
        </w:rPr>
        <w:t xml:space="preserve">ru politike za uspostavu infrastrukture i razvoj tržišta alternativnih goriva u prometu (Narodne novine 34/17) </w:t>
      </w:r>
      <w:r w:rsidR="00A27FF2">
        <w:rPr>
          <w:lang w:eastAsia="hr-HR"/>
        </w:rPr>
        <w:t>razvoj tržišta elektr</w:t>
      </w:r>
      <w:r w:rsidR="003D40A4">
        <w:rPr>
          <w:lang w:eastAsia="hr-HR"/>
        </w:rPr>
        <w:t xml:space="preserve">ičnih vozila ne predviđa udio vozila koja koriste alternativnu energiju preko 10% do 2025. godine. </w:t>
      </w:r>
      <w:r w:rsidR="00897E4E">
        <w:rPr>
          <w:lang w:eastAsia="hr-HR"/>
        </w:rPr>
        <w:t xml:space="preserve">Cilj uspostave minimalne infrastrukture za opskrbu vozila električnom energijom na teritoriju RH je stvaranje održivijeg gradskog i cestovnog prometa te omogućavanje prometovanja električnim vozilima u većim gradskim središtima i po glavnim prometnim pravcima RH kao i omogućivanje opskrbe električnom energijom s kopna za plovila na unutarnjim vodnim putovima i morske brodove u lukama osnovne mreže TEN-T. </w:t>
      </w:r>
    </w:p>
    <w:p w14:paraId="09669FFE" w14:textId="102D4967" w:rsidR="009467A1" w:rsidRDefault="00897E4E" w:rsidP="00897E4E">
      <w:pPr>
        <w:ind w:left="0"/>
        <w:rPr>
          <w:lang w:eastAsia="hr-HR"/>
        </w:rPr>
      </w:pPr>
      <w:r>
        <w:rPr>
          <w:lang w:eastAsia="hr-HR"/>
        </w:rPr>
        <w:t>Javno dostupne punionice moraju biti dostupne u aglomeracijama i na prometnoj mreži u dovoljnom broju. Postojeće stanje od 126 punionica i 856 vozila (1 punionica na 6 vozila) premašuje potrebe tržišta s jedne strane, a s druge strane ne omogućava korištenje električnih vozila na cijelom području RH.</w:t>
      </w:r>
    </w:p>
    <w:p w14:paraId="7D8B286D" w14:textId="77777777" w:rsidR="00850174" w:rsidRDefault="00850174" w:rsidP="00850174">
      <w:pPr>
        <w:ind w:left="0"/>
        <w:rPr>
          <w:lang w:eastAsia="hr-HR"/>
        </w:rPr>
      </w:pPr>
      <w:r>
        <w:rPr>
          <w:lang w:eastAsia="hr-HR"/>
        </w:rPr>
        <w:t>U cilju pokrivanja potreba za funkcioniranje elektromobilnosti, prijedlog o broju punionica i utičnih mjesta zasnovan je na scenariju niskog udjela prijenosa energije na mreži javnih punionica iz dokumenta »Modeliranje parametara infrastrukture za punjenje električnih vozila – Pregled mjera poticanja prihvaćanja električnih vozila«. Adekvatno prateći rast tržišta električnih vozila, nužno je osigurati sljedeće uvjete:</w:t>
      </w:r>
    </w:p>
    <w:p w14:paraId="5E9AD52F" w14:textId="77777777" w:rsidR="00850174" w:rsidRDefault="00850174" w:rsidP="00850174">
      <w:pPr>
        <w:ind w:left="0"/>
        <w:rPr>
          <w:lang w:eastAsia="hr-HR"/>
        </w:rPr>
      </w:pPr>
      <w:r>
        <w:rPr>
          <w:lang w:eastAsia="hr-HR"/>
        </w:rPr>
        <w:t>– 2020. godina – minimalno 296 utičnih mjesta (222 AC minimalne snage 22/(11) kW, 74 DC minimalne snage 50 kW); na 164 punionice</w:t>
      </w:r>
    </w:p>
    <w:p w14:paraId="74F14D8E" w14:textId="77777777" w:rsidR="00850174" w:rsidRDefault="00850174" w:rsidP="00850174">
      <w:pPr>
        <w:ind w:left="0"/>
        <w:rPr>
          <w:lang w:eastAsia="hr-HR"/>
        </w:rPr>
      </w:pPr>
      <w:r>
        <w:rPr>
          <w:lang w:eastAsia="hr-HR"/>
        </w:rPr>
        <w:t>– 2025. – minimalno 602 utična mjesta (434 AC minimalne snage 22/(11) kW, 168 DC minimalne snage 50 kW); na 348 punionica</w:t>
      </w:r>
    </w:p>
    <w:p w14:paraId="6839267C" w14:textId="77777777" w:rsidR="00850174" w:rsidRDefault="00850174" w:rsidP="00850174">
      <w:pPr>
        <w:ind w:left="0"/>
        <w:rPr>
          <w:lang w:eastAsia="hr-HR"/>
        </w:rPr>
      </w:pPr>
      <w:r>
        <w:rPr>
          <w:lang w:eastAsia="hr-HR"/>
        </w:rPr>
        <w:t>– 2030. – minimalno 806 utičnih mjesta (554 AC minimalne snage 22/(11) kW, 252 DC minimalne snage 50 kW); na 479 punionica</w:t>
      </w:r>
    </w:p>
    <w:p w14:paraId="3465C0C5" w14:textId="14DB51AD" w:rsidR="00897E4E" w:rsidRDefault="00850174" w:rsidP="00850174">
      <w:pPr>
        <w:ind w:left="0"/>
        <w:rPr>
          <w:lang w:eastAsia="hr-HR"/>
        </w:rPr>
      </w:pPr>
      <w:r>
        <w:rPr>
          <w:lang w:eastAsia="hr-HR"/>
        </w:rPr>
        <w:t xml:space="preserve">– optimalan broj lokacija za punionice 2030. godine </w:t>
      </w:r>
      <w:r w:rsidR="00EC1D1E">
        <w:rPr>
          <w:lang w:eastAsia="hr-HR"/>
        </w:rPr>
        <w:t>je</w:t>
      </w:r>
      <w:r>
        <w:rPr>
          <w:lang w:eastAsia="hr-HR"/>
        </w:rPr>
        <w:t xml:space="preserve"> nešto manje od 300 lokacija.</w:t>
      </w:r>
    </w:p>
    <w:p w14:paraId="3CD9224E" w14:textId="1654C89B" w:rsidR="00EC1D1E" w:rsidRDefault="00EC1D1E" w:rsidP="00850174">
      <w:pPr>
        <w:ind w:left="0"/>
        <w:rPr>
          <w:lang w:eastAsia="hr-HR"/>
        </w:rPr>
      </w:pPr>
      <w:r>
        <w:rPr>
          <w:lang w:eastAsia="hr-HR"/>
        </w:rPr>
        <w:t xml:space="preserve">Postupak za </w:t>
      </w:r>
      <w:r w:rsidR="00BC1E60">
        <w:rPr>
          <w:lang w:eastAsia="hr-HR"/>
        </w:rPr>
        <w:t xml:space="preserve">ishođenje dozvola za </w:t>
      </w:r>
      <w:r w:rsidR="008E17E8">
        <w:rPr>
          <w:lang w:eastAsia="hr-HR"/>
        </w:rPr>
        <w:t xml:space="preserve">postavljanje opreme za </w:t>
      </w:r>
      <w:r w:rsidR="00EE6729">
        <w:rPr>
          <w:lang w:eastAsia="hr-HR"/>
        </w:rPr>
        <w:t xml:space="preserve">punjenje elektromotornih vozila </w:t>
      </w:r>
      <w:r w:rsidR="0094020B">
        <w:rPr>
          <w:lang w:eastAsia="hr-HR"/>
        </w:rPr>
        <w:t>se provodi prema Pravilniku o jednostavnim i drugim radovima i građevinama,</w:t>
      </w:r>
      <w:r w:rsidR="00BC34E0">
        <w:rPr>
          <w:lang w:eastAsia="hr-HR"/>
        </w:rPr>
        <w:t xml:space="preserve"> u skladu s glavnim projektom, a bez ishođenja građevinske dozvole</w:t>
      </w:r>
      <w:r w:rsidR="00B35F92">
        <w:rPr>
          <w:lang w:eastAsia="hr-HR"/>
        </w:rPr>
        <w:t xml:space="preserve">. čime je maksimalno skraćeni i pojednostavljen upravni postupak, </w:t>
      </w:r>
      <w:r w:rsidR="00C81A80">
        <w:rPr>
          <w:lang w:eastAsia="hr-HR"/>
        </w:rPr>
        <w:t>izuzev</w:t>
      </w:r>
      <w:r w:rsidR="00B35F92">
        <w:rPr>
          <w:lang w:eastAsia="hr-HR"/>
        </w:rPr>
        <w:t xml:space="preserve"> osiguranja tehničkih preduvjeta priključka kroz Elaborat optimalnog </w:t>
      </w:r>
      <w:r w:rsidR="00C81A80">
        <w:rPr>
          <w:lang w:eastAsia="hr-HR"/>
        </w:rPr>
        <w:t xml:space="preserve">tehničkog </w:t>
      </w:r>
      <w:r w:rsidR="00B35F92">
        <w:rPr>
          <w:lang w:eastAsia="hr-HR"/>
        </w:rPr>
        <w:t xml:space="preserve">rješenja priključka i Elektroenergetsku suglasnost. </w:t>
      </w:r>
      <w:r w:rsidR="00BC34E0">
        <w:rPr>
          <w:lang w:eastAsia="hr-HR"/>
        </w:rPr>
        <w:t xml:space="preserve"> </w:t>
      </w:r>
    </w:p>
    <w:p w14:paraId="4DE278EB" w14:textId="77777777" w:rsidR="00131972" w:rsidRPr="00334A49" w:rsidRDefault="00131972" w:rsidP="00334A49">
      <w:pPr>
        <w:rPr>
          <w:lang w:eastAsia="hr-HR"/>
        </w:rPr>
      </w:pPr>
    </w:p>
    <w:p w14:paraId="0445AE9C" w14:textId="77777777" w:rsidR="001A57C5" w:rsidRDefault="001A57C5" w:rsidP="009075B4">
      <w:pPr>
        <w:pStyle w:val="StandardWeb"/>
        <w:spacing w:after="120" w:line="288" w:lineRule="auto"/>
        <w:rPr>
          <w:rFonts w:cs="Tahoma"/>
          <w:b/>
          <w:bCs/>
          <w:color w:val="000000"/>
          <w:szCs w:val="20"/>
          <w:u w:val="single"/>
        </w:rPr>
      </w:pPr>
    </w:p>
    <w:p w14:paraId="5F5A73C4" w14:textId="77777777" w:rsidR="00827B0A" w:rsidRDefault="00827B0A" w:rsidP="00827B0A">
      <w:bookmarkStart w:id="160" w:name="_Toc34052894"/>
      <w:r>
        <w:br w:type="page"/>
      </w:r>
    </w:p>
    <w:p w14:paraId="6F8B0E66" w14:textId="1C435D2E" w:rsidR="00AC0BE6" w:rsidRDefault="002E64B8" w:rsidP="008129E7">
      <w:pPr>
        <w:pStyle w:val="Naslov10"/>
      </w:pPr>
      <w:bookmarkStart w:id="161" w:name="_Toc46163838"/>
      <w:r>
        <w:t>P</w:t>
      </w:r>
      <w:r w:rsidR="00BD5976">
        <w:t>olitike i mjere usmjerene na sve zgrade javnog sektora</w:t>
      </w:r>
      <w:bookmarkEnd w:id="160"/>
      <w:bookmarkEnd w:id="161"/>
    </w:p>
    <w:p w14:paraId="44B44841" w14:textId="77777777" w:rsidR="00AC0BE6" w:rsidRDefault="00B8375C" w:rsidP="007649C2">
      <w:pPr>
        <w:pStyle w:val="Naslov20"/>
      </w:pPr>
      <w:bookmarkStart w:id="162" w:name="_Toc34052895"/>
      <w:bookmarkStart w:id="163" w:name="_Toc46163839"/>
      <w:r>
        <w:t>Pregled politika i mjera za zgrade javnog sektora</w:t>
      </w:r>
      <w:bookmarkEnd w:id="162"/>
      <w:bookmarkEnd w:id="163"/>
    </w:p>
    <w:p w14:paraId="5344CEBD" w14:textId="77777777" w:rsidR="005B71EF" w:rsidRDefault="00051373" w:rsidP="00D35AE3">
      <w:pPr>
        <w:pStyle w:val="StandardWeb"/>
        <w:spacing w:after="120" w:line="288" w:lineRule="auto"/>
        <w:rPr>
          <w:lang w:eastAsia="hr-HR"/>
        </w:rPr>
      </w:pPr>
      <w:r>
        <w:rPr>
          <w:lang w:eastAsia="hr-HR"/>
        </w:rPr>
        <w:t xml:space="preserve">Ključna mjera za zgrade javnog sektora je </w:t>
      </w:r>
      <w:r w:rsidRPr="00571ACC">
        <w:rPr>
          <w:rFonts w:cs="Tahoma"/>
          <w:bCs/>
          <w:color w:val="000000"/>
          <w:szCs w:val="20"/>
          <w:u w:val="single"/>
        </w:rPr>
        <w:t>ENU-5: Program energetske obnove zgrada javnog sektora</w:t>
      </w:r>
      <w:r w:rsidR="00D35AE3" w:rsidRPr="00D35AE3">
        <w:rPr>
          <w:lang w:eastAsia="hr-HR"/>
        </w:rPr>
        <w:t>, a detaljno je opisano u poglavlju 5.2.</w:t>
      </w:r>
      <w:r w:rsidR="00D35AE3">
        <w:rPr>
          <w:lang w:eastAsia="hr-HR"/>
        </w:rPr>
        <w:t xml:space="preserve"> Osim te mjere, za javni sektor se predviđa provedba i drugih</w:t>
      </w:r>
      <w:r w:rsidR="00571ACC">
        <w:rPr>
          <w:lang w:eastAsia="hr-HR"/>
        </w:rPr>
        <w:t xml:space="preserve"> mjera koje će doprinijeti energetskoj obnovi i općenito poboljšanju energetskih svojstava </w:t>
      </w:r>
      <w:r w:rsidR="003C1DBA">
        <w:rPr>
          <w:lang w:eastAsia="hr-HR"/>
        </w:rPr>
        <w:t xml:space="preserve">zgrada javnog sektora kako na nacionalnoj tako i na lokalnoj razini. Ove mjere su također navedene i u Integriranom nacionalnom energetsko klimatskom planu, a opisan su u nastavku. </w:t>
      </w:r>
    </w:p>
    <w:tbl>
      <w:tblPr>
        <w:tblStyle w:val="Reetkatablice"/>
        <w:tblW w:w="0" w:type="auto"/>
        <w:tblInd w:w="3" w:type="dxa"/>
        <w:tblLook w:val="04A0" w:firstRow="1" w:lastRow="0" w:firstColumn="1" w:lastColumn="0" w:noHBand="0" w:noVBand="1"/>
      </w:tblPr>
      <w:tblGrid>
        <w:gridCol w:w="9341"/>
      </w:tblGrid>
      <w:tr w:rsidR="005B71EF" w:rsidRPr="005B71EF" w14:paraId="64695774" w14:textId="77777777" w:rsidTr="005B71EF">
        <w:tc>
          <w:tcPr>
            <w:tcW w:w="9344" w:type="dxa"/>
          </w:tcPr>
          <w:p w14:paraId="11BBFC6F" w14:textId="5EBF0579" w:rsidR="005B71EF" w:rsidRPr="005B71EF" w:rsidRDefault="005B71EF" w:rsidP="005B71EF">
            <w:pPr>
              <w:pStyle w:val="StandardWeb"/>
              <w:spacing w:after="120" w:line="288" w:lineRule="auto"/>
              <w:rPr>
                <w:rFonts w:cs="Tahoma"/>
                <w:b/>
                <w:bCs/>
                <w:color w:val="000000"/>
                <w:szCs w:val="20"/>
              </w:rPr>
            </w:pPr>
            <w:r w:rsidRPr="00807C52">
              <w:rPr>
                <w:rFonts w:cs="Tahoma"/>
                <w:b/>
                <w:bCs/>
                <w:color w:val="000000"/>
                <w:szCs w:val="20"/>
              </w:rPr>
              <w:t>ENU-</w:t>
            </w:r>
            <w:r w:rsidR="00807C52" w:rsidRPr="00807C52">
              <w:rPr>
                <w:rFonts w:cs="Tahoma"/>
                <w:b/>
                <w:bCs/>
                <w:color w:val="000000"/>
                <w:szCs w:val="20"/>
              </w:rPr>
              <w:t>7</w:t>
            </w:r>
            <w:r w:rsidRPr="00807C52">
              <w:rPr>
                <w:rFonts w:cs="Tahoma"/>
                <w:b/>
                <w:bCs/>
                <w:color w:val="000000"/>
                <w:szCs w:val="20"/>
              </w:rPr>
              <w:t>: Sustavno</w:t>
            </w:r>
            <w:r w:rsidRPr="005B71EF">
              <w:rPr>
                <w:rFonts w:cs="Tahoma"/>
                <w:b/>
                <w:bCs/>
                <w:color w:val="000000"/>
                <w:szCs w:val="20"/>
              </w:rPr>
              <w:t xml:space="preserve"> gospodarenje energijom u javnom sektoru </w:t>
            </w:r>
          </w:p>
          <w:p w14:paraId="73CFE4A5" w14:textId="77777777" w:rsidR="005B71EF" w:rsidRPr="005B71EF" w:rsidRDefault="005B71EF" w:rsidP="005B71EF">
            <w:pPr>
              <w:pStyle w:val="StandardWeb"/>
              <w:spacing w:after="120" w:line="288" w:lineRule="auto"/>
              <w:rPr>
                <w:rFonts w:cs="Tahoma"/>
                <w:b/>
                <w:bCs/>
                <w:color w:val="000000"/>
                <w:szCs w:val="20"/>
              </w:rPr>
            </w:pPr>
            <w:r w:rsidRPr="005B71EF">
              <w:rPr>
                <w:rFonts w:cs="Tahoma"/>
                <w:b/>
                <w:bCs/>
                <w:color w:val="000000"/>
                <w:szCs w:val="20"/>
              </w:rPr>
              <w:t xml:space="preserve">Informacijska mjera; provedba 2014. -2030. </w:t>
            </w:r>
          </w:p>
          <w:p w14:paraId="0983823C" w14:textId="62AB64B0" w:rsidR="005B71EF" w:rsidRPr="005B71EF" w:rsidRDefault="005B71EF" w:rsidP="005B71EF">
            <w:pPr>
              <w:pStyle w:val="StandardWeb"/>
              <w:spacing w:after="120" w:line="288" w:lineRule="auto"/>
              <w:rPr>
                <w:rFonts w:cs="Tahoma"/>
                <w:szCs w:val="20"/>
              </w:rPr>
            </w:pPr>
            <w:r w:rsidRPr="005B71EF">
              <w:rPr>
                <w:rFonts w:cs="Tahoma"/>
                <w:b/>
                <w:bCs/>
                <w:color w:val="000000"/>
                <w:szCs w:val="20"/>
              </w:rPr>
              <w:t>Cilj i opis mjere</w:t>
            </w:r>
            <w:r w:rsidRPr="005B71EF">
              <w:rPr>
                <w:rFonts w:cs="Tahoma"/>
                <w:b/>
                <w:bCs/>
                <w:color w:val="000000"/>
                <w:szCs w:val="20"/>
                <w:lang w:eastAsia="en-GB"/>
              </w:rPr>
              <w:t>:</w:t>
            </w:r>
            <w:r w:rsidRPr="005B71EF">
              <w:rPr>
                <w:rFonts w:cs="Tahoma"/>
                <w:color w:val="000000"/>
                <w:szCs w:val="20"/>
                <w:lang w:eastAsia="en-GB"/>
              </w:rPr>
              <w:t xml:space="preserve"> </w:t>
            </w:r>
            <w:r w:rsidRPr="005B71EF">
              <w:rPr>
                <w:rFonts w:cs="Tahoma"/>
                <w:szCs w:val="20"/>
              </w:rPr>
              <w:t xml:space="preserve">Javni sektor u Hrvatskoj obvezan je sustavno gospodariti energijom, što je posebno propisano Zakonom o energetskoj učinkovitosti odnosno Pravilnikom o sustavnom gospodarenju energijom (NN 18/15, 06/16). Temelj mjere je informacijski sustav za gospodarenje energijom (ISGE). </w:t>
            </w:r>
            <w:r w:rsidR="002577A7">
              <w:rPr>
                <w:rFonts w:cs="Tahoma"/>
                <w:szCs w:val="20"/>
              </w:rPr>
              <w:t>Strateški c</w:t>
            </w:r>
            <w:r w:rsidRPr="005B71EF">
              <w:rPr>
                <w:rFonts w:cs="Tahoma"/>
                <w:szCs w:val="20"/>
              </w:rPr>
              <w:t>ilj je obuhvatiti i redovno pratiti ISGE-om sve zgrade javnog sektora i sustave javne rasvjete do kraja 2030. godine. Uštede temeljene na aktivnostima sustavnog gospodarenja energijom i uvođenja daljinskog mjerenja u prethodnom razdoblju su utvrđene na oko 335 TJ godišnje (prema 4.NAPEnU). S obzirom da se na ovoj mjeri radi sustavno od 2014. godine, pretpostavljeni potencijal za uštede je smanjen na 100 TJ godišnje radi konzervativnosti procjene.</w:t>
            </w:r>
          </w:p>
          <w:p w14:paraId="1527E7AE" w14:textId="77777777" w:rsidR="005B71EF" w:rsidRPr="005B71EF" w:rsidRDefault="005B71EF" w:rsidP="005B71EF">
            <w:pPr>
              <w:spacing w:after="0"/>
              <w:rPr>
                <w:rFonts w:cs="Tahoma"/>
                <w:color w:val="000000"/>
                <w:szCs w:val="20"/>
                <w:lang w:eastAsia="en-GB"/>
              </w:rPr>
            </w:pPr>
            <w:r w:rsidRPr="005B71EF">
              <w:rPr>
                <w:rFonts w:cs="Tahoma"/>
                <w:b/>
                <w:bCs/>
                <w:color w:val="000000"/>
                <w:szCs w:val="20"/>
                <w:lang w:eastAsia="en-GB"/>
              </w:rPr>
              <w:t>Aktivnosti:</w:t>
            </w:r>
            <w:r w:rsidRPr="005B71EF">
              <w:rPr>
                <w:rFonts w:cs="Tahoma"/>
                <w:color w:val="000000"/>
                <w:szCs w:val="20"/>
                <w:lang w:eastAsia="en-GB"/>
              </w:rPr>
              <w:t xml:space="preserve"> U okviru mjere provest će se sljedeće aktivnosti: </w:t>
            </w:r>
          </w:p>
          <w:p w14:paraId="36EFB44F" w14:textId="77777777" w:rsidR="005B71EF" w:rsidRPr="005B71EF" w:rsidRDefault="005B71EF" w:rsidP="00853D9C">
            <w:pPr>
              <w:numPr>
                <w:ilvl w:val="0"/>
                <w:numId w:val="45"/>
              </w:numPr>
              <w:tabs>
                <w:tab w:val="clear" w:pos="431"/>
              </w:tabs>
              <w:spacing w:after="0"/>
              <w:rPr>
                <w:rFonts w:cs="Tahoma"/>
                <w:color w:val="000000"/>
                <w:szCs w:val="20"/>
              </w:rPr>
            </w:pPr>
            <w:r w:rsidRPr="005B71EF">
              <w:rPr>
                <w:rFonts w:cs="Tahoma"/>
                <w:color w:val="000000"/>
                <w:szCs w:val="20"/>
              </w:rPr>
              <w:t xml:space="preserve">U razdoblju do 2021. godine provodit će se automatizacija prikupljanja podataka o potrošnji energenata i vode (daljinsko očitanje), povezivanje ISGE-a sa sustavima dobavljača energenata i vode, edukacija energetskih suradnika i savjetnika zaduženih za gospodarenje energijom u svojim zgradama te daljnji razvoj i unaprjeđenje ISGE-a. Naglasak će biti na razvoju modula za praćenje i verificiranje ostvarenih ušteda nastalih po energetskoj obnovi kao i ispunjenja zadanog režima korištenja zgrade u svrhu postizanja i održavanja razine ugode. Ciljevi su: daljinskim očitanje do 2020. godine obuhvatiti sve lokacije unutar javnog sektora čija je potrošnje energije i vode veća od 400.000,00 kn/god, spojiti baze podatka opskrbljivača s bazom ISGE-a u svrhu automatskog prikupljanja podataka te spojiti ISGE sa svim relevantnim bazama energetskih podataka. Dodatno se do 2021. godine planira provedba mjera koje uključuju: optimizaciju ugovaranja vršne snage, smanjenje prekomjerno preuzete jalove energije, optimizaciju ugovaranja toplinske snage, analizu potencijala za zamjenu i optimizaciju rada kotlova te analizu potencijala za akumulaciju rashladne energije u zgradama javnog sektora; </w:t>
            </w:r>
          </w:p>
          <w:p w14:paraId="24E51A16" w14:textId="77777777" w:rsidR="005B71EF" w:rsidRPr="005B71EF" w:rsidRDefault="005B71EF" w:rsidP="00853D9C">
            <w:pPr>
              <w:numPr>
                <w:ilvl w:val="0"/>
                <w:numId w:val="45"/>
              </w:numPr>
              <w:tabs>
                <w:tab w:val="clear" w:pos="431"/>
              </w:tabs>
              <w:spacing w:after="0"/>
              <w:rPr>
                <w:rFonts w:cs="Tahoma"/>
                <w:color w:val="000000"/>
                <w:szCs w:val="20"/>
              </w:rPr>
            </w:pPr>
            <w:r w:rsidRPr="005B71EF">
              <w:rPr>
                <w:rFonts w:cs="Tahoma"/>
                <w:color w:val="000000"/>
                <w:szCs w:val="20"/>
              </w:rPr>
              <w:t>U razdoblju od 2021. do 2030. godine planira se u svim objektima javnog sektora uvesti sustav gospodarenja energijom te primjena ISGE-a te unaprijediti i proširiti cijeli sustav kroz sljedeće aktivnosti:</w:t>
            </w:r>
          </w:p>
          <w:p w14:paraId="04267A3D" w14:textId="77777777" w:rsidR="005B71EF" w:rsidRPr="005B71EF" w:rsidRDefault="005B71EF" w:rsidP="00853D9C">
            <w:pPr>
              <w:numPr>
                <w:ilvl w:val="0"/>
                <w:numId w:val="47"/>
              </w:numPr>
              <w:tabs>
                <w:tab w:val="clear" w:pos="431"/>
              </w:tabs>
              <w:spacing w:after="0"/>
              <w:rPr>
                <w:rFonts w:cs="Tahoma"/>
                <w:color w:val="000000"/>
                <w:szCs w:val="20"/>
              </w:rPr>
            </w:pPr>
            <w:r w:rsidRPr="005B71EF">
              <w:rPr>
                <w:rFonts w:cs="Tahoma"/>
                <w:color w:val="000000"/>
                <w:szCs w:val="20"/>
              </w:rPr>
              <w:t>Objediniti sve instalirane sustave daljinskog očitanja u ISGE;</w:t>
            </w:r>
          </w:p>
          <w:p w14:paraId="532C2B22" w14:textId="77777777" w:rsidR="005B71EF" w:rsidRPr="005B71EF" w:rsidRDefault="005B71EF" w:rsidP="00853D9C">
            <w:pPr>
              <w:numPr>
                <w:ilvl w:val="0"/>
                <w:numId w:val="47"/>
              </w:numPr>
              <w:tabs>
                <w:tab w:val="clear" w:pos="431"/>
              </w:tabs>
              <w:spacing w:after="0"/>
              <w:rPr>
                <w:rFonts w:cs="Tahoma"/>
                <w:color w:val="000000"/>
                <w:szCs w:val="20"/>
              </w:rPr>
            </w:pPr>
            <w:r w:rsidRPr="005B71EF">
              <w:rPr>
                <w:rFonts w:cs="Tahoma"/>
                <w:color w:val="000000"/>
                <w:szCs w:val="20"/>
              </w:rPr>
              <w:t>Integrirati ISGE s ostalim bazama: DGU (Geoportal Državne geodetske uprave), katastar, registar zaštićenih objekata, IEC, SMIV i dr.);</w:t>
            </w:r>
          </w:p>
          <w:p w14:paraId="607FA14C" w14:textId="77777777" w:rsidR="005B71EF" w:rsidRPr="005B71EF" w:rsidRDefault="005B71EF" w:rsidP="00853D9C">
            <w:pPr>
              <w:numPr>
                <w:ilvl w:val="0"/>
                <w:numId w:val="47"/>
              </w:numPr>
              <w:tabs>
                <w:tab w:val="clear" w:pos="431"/>
              </w:tabs>
              <w:spacing w:after="0"/>
              <w:rPr>
                <w:rFonts w:cs="Tahoma"/>
                <w:color w:val="000000"/>
                <w:szCs w:val="20"/>
              </w:rPr>
            </w:pPr>
            <w:r w:rsidRPr="005B71EF">
              <w:rPr>
                <w:rFonts w:cs="Tahoma"/>
                <w:color w:val="000000"/>
                <w:szCs w:val="20"/>
              </w:rPr>
              <w:t>Propisati ISGE kao sustav za verifikaciju stvarnih ušteda nastalih nakon obnove zgrade (definirati koje podatke senzori u prostorijama šalju u sustav, ISGE je već spreman primati podatke);</w:t>
            </w:r>
          </w:p>
          <w:p w14:paraId="1B5BDAAC" w14:textId="77777777" w:rsidR="005B71EF" w:rsidRPr="005B71EF" w:rsidRDefault="005B71EF" w:rsidP="00853D9C">
            <w:pPr>
              <w:numPr>
                <w:ilvl w:val="0"/>
                <w:numId w:val="47"/>
              </w:numPr>
              <w:tabs>
                <w:tab w:val="clear" w:pos="431"/>
              </w:tabs>
              <w:spacing w:after="0"/>
              <w:rPr>
                <w:rFonts w:cs="Tahoma"/>
                <w:color w:val="000000"/>
                <w:szCs w:val="20"/>
              </w:rPr>
            </w:pPr>
            <w:r w:rsidRPr="005B71EF">
              <w:rPr>
                <w:rFonts w:cs="Tahoma"/>
                <w:color w:val="000000"/>
                <w:szCs w:val="20"/>
              </w:rPr>
              <w:t>Širenje upotrebe ISGE-a u sve sektore (privatni, industrijski...) na dobrovoljnoj bazi i/ili kao obveza vezana uz primitak financijske pomoći za obnovu odnosno provedbu mjera energetske učinkovitosti;</w:t>
            </w:r>
          </w:p>
          <w:p w14:paraId="2DE0A7D7" w14:textId="77777777" w:rsidR="005B71EF" w:rsidRPr="005B71EF" w:rsidRDefault="005B71EF" w:rsidP="00853D9C">
            <w:pPr>
              <w:numPr>
                <w:ilvl w:val="0"/>
                <w:numId w:val="47"/>
              </w:numPr>
              <w:tabs>
                <w:tab w:val="clear" w:pos="431"/>
              </w:tabs>
              <w:spacing w:after="0"/>
              <w:rPr>
                <w:rFonts w:cs="Tahoma"/>
                <w:color w:val="000000"/>
                <w:szCs w:val="20"/>
              </w:rPr>
            </w:pPr>
            <w:r w:rsidRPr="005B71EF">
              <w:rPr>
                <w:rFonts w:cs="Tahoma"/>
                <w:color w:val="000000"/>
                <w:szCs w:val="20"/>
              </w:rPr>
              <w:t>Unaprjeđenje ISGE-a tako da je njime moguće provesti financijske analize isplativosti obnove na temelju stvarnih podataka;</w:t>
            </w:r>
          </w:p>
          <w:p w14:paraId="1E93B528" w14:textId="77777777" w:rsidR="005B71EF" w:rsidRPr="005B71EF" w:rsidRDefault="005B71EF" w:rsidP="00853D9C">
            <w:pPr>
              <w:numPr>
                <w:ilvl w:val="0"/>
                <w:numId w:val="47"/>
              </w:numPr>
              <w:tabs>
                <w:tab w:val="clear" w:pos="431"/>
              </w:tabs>
              <w:spacing w:after="0"/>
              <w:rPr>
                <w:rFonts w:cs="Tahoma"/>
                <w:color w:val="000000"/>
                <w:szCs w:val="20"/>
              </w:rPr>
            </w:pPr>
            <w:r w:rsidRPr="005B71EF">
              <w:rPr>
                <w:rFonts w:cs="Tahoma"/>
                <w:color w:val="000000"/>
                <w:szCs w:val="20"/>
              </w:rPr>
              <w:t>Razvoj ISGE-a u smjeru tzv. umjetne inteligencije, pri čemu bi sustav prema unesenim parametrima sam predlagao mjere u svrhu povećanja energetske učinkovitosti;</w:t>
            </w:r>
          </w:p>
          <w:p w14:paraId="23996F0A" w14:textId="77777777" w:rsidR="005B71EF" w:rsidRPr="005B71EF" w:rsidRDefault="005B71EF" w:rsidP="00853D9C">
            <w:pPr>
              <w:pStyle w:val="Odlomakpopisa"/>
              <w:keepLines w:val="0"/>
              <w:numPr>
                <w:ilvl w:val="0"/>
                <w:numId w:val="47"/>
              </w:numPr>
              <w:spacing w:before="0" w:after="120"/>
              <w:rPr>
                <w:rFonts w:cs="Tahoma"/>
                <w:color w:val="000000"/>
                <w:szCs w:val="20"/>
              </w:rPr>
            </w:pPr>
            <w:r w:rsidRPr="005B71EF">
              <w:rPr>
                <w:rFonts w:cs="Tahoma"/>
                <w:color w:val="000000"/>
                <w:szCs w:val="20"/>
              </w:rPr>
              <w:t>Uvođenje mjernih uređaja/senzora za mjerenje unutrašnje temperature i kvalitete zraka u zgrade javne namjene i povezivanje s ISGE.</w:t>
            </w:r>
          </w:p>
          <w:p w14:paraId="50458C41" w14:textId="77777777" w:rsidR="005B71EF" w:rsidRPr="005B71EF" w:rsidRDefault="005B71EF" w:rsidP="00853D9C">
            <w:pPr>
              <w:numPr>
                <w:ilvl w:val="0"/>
                <w:numId w:val="45"/>
              </w:numPr>
              <w:tabs>
                <w:tab w:val="clear" w:pos="431"/>
              </w:tabs>
              <w:spacing w:after="0"/>
              <w:rPr>
                <w:rFonts w:cs="Tahoma"/>
                <w:color w:val="000000"/>
                <w:szCs w:val="20"/>
              </w:rPr>
            </w:pPr>
            <w:r w:rsidRPr="005B71EF">
              <w:rPr>
                <w:rFonts w:cs="Tahoma"/>
                <w:color w:val="000000"/>
                <w:szCs w:val="20"/>
              </w:rPr>
              <w:t>Osim unaprjeđenja ISGE, ova mjera predviđa nastavak i povećanje opsega edukacija za institucije javnog i ostalih sektora, stvaranje baze korisnika koji su dobro upoznati s energetskom učinkovitošću i kapacitirani po tom pitanju djelovati unutar svojih institucija te razradu prijedloga da 'energetski menadžer' postane radno mjesto u javnim institucijama.</w:t>
            </w:r>
          </w:p>
          <w:p w14:paraId="1722673E" w14:textId="77777777" w:rsidR="005B71EF" w:rsidRPr="005B71EF" w:rsidRDefault="005B71EF" w:rsidP="005B71EF">
            <w:pPr>
              <w:spacing w:after="0"/>
              <w:ind w:left="720"/>
              <w:rPr>
                <w:rFonts w:cs="Tahoma"/>
                <w:color w:val="000000"/>
                <w:szCs w:val="20"/>
              </w:rPr>
            </w:pPr>
          </w:p>
          <w:p w14:paraId="1DDF6FE5" w14:textId="77777777" w:rsidR="005B71EF" w:rsidRPr="005B71EF" w:rsidRDefault="005B71EF" w:rsidP="005B71EF">
            <w:pPr>
              <w:spacing w:after="0"/>
              <w:rPr>
                <w:rFonts w:cs="Tahoma"/>
                <w:color w:val="000000"/>
                <w:szCs w:val="20"/>
              </w:rPr>
            </w:pPr>
            <w:r w:rsidRPr="005B71EF">
              <w:rPr>
                <w:rFonts w:cs="Tahoma"/>
                <w:b/>
                <w:bCs/>
                <w:color w:val="000000"/>
                <w:szCs w:val="20"/>
                <w:lang w:eastAsia="en-GB"/>
              </w:rPr>
              <w:t xml:space="preserve">Izvori financiranja: </w:t>
            </w:r>
            <w:r w:rsidRPr="005B71EF">
              <w:rPr>
                <w:rFonts w:cs="Tahoma"/>
                <w:color w:val="000000"/>
                <w:szCs w:val="20"/>
                <w:lang w:eastAsia="en-GB"/>
              </w:rPr>
              <w:t>Državni proračun (APN)</w:t>
            </w:r>
          </w:p>
          <w:p w14:paraId="1FD46AC7" w14:textId="77777777" w:rsidR="005B71EF" w:rsidRPr="005B71EF" w:rsidRDefault="005B71EF" w:rsidP="005B71EF">
            <w:pPr>
              <w:spacing w:after="0"/>
              <w:rPr>
                <w:rFonts w:cs="Tahoma"/>
                <w:color w:val="000000"/>
                <w:szCs w:val="20"/>
                <w:lang w:eastAsia="en-GB"/>
              </w:rPr>
            </w:pPr>
            <w:r w:rsidRPr="005B71EF">
              <w:rPr>
                <w:rFonts w:cs="Tahoma"/>
                <w:b/>
                <w:bCs/>
                <w:color w:val="000000"/>
                <w:szCs w:val="20"/>
                <w:lang w:eastAsia="en-GB"/>
              </w:rPr>
              <w:t>Izvršno tijelo:</w:t>
            </w:r>
            <w:r w:rsidRPr="005B71EF">
              <w:rPr>
                <w:rFonts w:cs="Tahoma"/>
                <w:color w:val="000000"/>
                <w:szCs w:val="20"/>
                <w:lang w:eastAsia="en-GB"/>
              </w:rPr>
              <w:t xml:space="preserve"> APN</w:t>
            </w:r>
          </w:p>
          <w:p w14:paraId="33110BD1" w14:textId="77777777" w:rsidR="005B71EF" w:rsidRPr="005B71EF" w:rsidRDefault="005B71EF" w:rsidP="005B71EF">
            <w:pPr>
              <w:spacing w:after="0"/>
              <w:rPr>
                <w:rFonts w:cs="Tahoma"/>
                <w:color w:val="000000"/>
                <w:szCs w:val="20"/>
              </w:rPr>
            </w:pPr>
            <w:r w:rsidRPr="005B71EF">
              <w:rPr>
                <w:rFonts w:cs="Tahoma"/>
                <w:b/>
                <w:bCs/>
                <w:color w:val="000000"/>
                <w:szCs w:val="20"/>
                <w:lang w:eastAsia="en-GB"/>
              </w:rPr>
              <w:t>Tijela za praćenje (nadzor):</w:t>
            </w:r>
            <w:r w:rsidRPr="005B71EF">
              <w:rPr>
                <w:rFonts w:cs="Tahoma"/>
                <w:color w:val="000000"/>
                <w:szCs w:val="20"/>
                <w:lang w:eastAsia="en-GB"/>
              </w:rPr>
              <w:t xml:space="preserve"> MZOE-NKT</w:t>
            </w:r>
          </w:p>
          <w:p w14:paraId="2FFF1B42" w14:textId="77777777" w:rsidR="005B71EF" w:rsidRPr="005B71EF" w:rsidRDefault="005B71EF" w:rsidP="005B71EF">
            <w:pPr>
              <w:spacing w:after="0"/>
              <w:rPr>
                <w:rFonts w:cs="Tahoma"/>
                <w:color w:val="000000"/>
                <w:szCs w:val="20"/>
                <w:lang w:eastAsia="en-GB"/>
              </w:rPr>
            </w:pPr>
            <w:r w:rsidRPr="005B71EF">
              <w:rPr>
                <w:rFonts w:cs="Tahoma"/>
                <w:b/>
                <w:bCs/>
                <w:color w:val="000000"/>
                <w:szCs w:val="20"/>
                <w:lang w:eastAsia="en-GB"/>
              </w:rPr>
              <w:t xml:space="preserve">Učinak: </w:t>
            </w:r>
            <w:r w:rsidRPr="005B71EF">
              <w:rPr>
                <w:rFonts w:cs="Tahoma"/>
                <w:color w:val="000000"/>
                <w:szCs w:val="20"/>
                <w:lang w:eastAsia="en-GB"/>
              </w:rPr>
              <w:t>Smanjenje potrošnje energije u javnim zgradama; promjene navika i ponašanja korisnika zgrada javnog sektora; procijenjene uštede u 2030.</w:t>
            </w:r>
            <w:r w:rsidRPr="005B71EF">
              <w:rPr>
                <w:rFonts w:cs="Tahoma"/>
                <w:szCs w:val="20"/>
              </w:rPr>
              <w:t xml:space="preserve"> </w:t>
            </w:r>
            <w:r w:rsidRPr="005B71EF">
              <w:rPr>
                <w:rFonts w:cs="Tahoma"/>
                <w:color w:val="000000"/>
                <w:szCs w:val="20"/>
                <w:lang w:eastAsia="en-GB"/>
              </w:rPr>
              <w:t>0,20 PJ (4,78 ktoe); procijenjeno smanjenje emisija CO</w:t>
            </w:r>
            <w:r w:rsidRPr="005B71EF">
              <w:rPr>
                <w:rFonts w:cs="Tahoma"/>
                <w:color w:val="000000"/>
                <w:szCs w:val="20"/>
                <w:vertAlign w:val="subscript"/>
                <w:lang w:eastAsia="en-GB"/>
              </w:rPr>
              <w:t>2</w:t>
            </w:r>
            <w:r w:rsidRPr="005B71EF">
              <w:rPr>
                <w:rFonts w:cs="Tahoma"/>
                <w:color w:val="000000"/>
                <w:szCs w:val="20"/>
                <w:lang w:eastAsia="en-GB"/>
              </w:rPr>
              <w:t xml:space="preserve"> u 2030. 5,50 ktCO</w:t>
            </w:r>
            <w:r w:rsidRPr="005B71EF">
              <w:rPr>
                <w:rFonts w:cs="Tahoma"/>
                <w:color w:val="000000"/>
                <w:szCs w:val="20"/>
                <w:vertAlign w:val="subscript"/>
                <w:lang w:eastAsia="en-GB"/>
              </w:rPr>
              <w:t>2e</w:t>
            </w:r>
            <w:r w:rsidRPr="005B71EF">
              <w:rPr>
                <w:rFonts w:cs="Tahoma"/>
                <w:color w:val="000000"/>
                <w:szCs w:val="20"/>
                <w:lang w:eastAsia="en-GB"/>
              </w:rPr>
              <w:t>; kumulativne uštede energije u razdoblju 2021.-2030. 1,90 PJ (45,41 ktoe); kumulativno smanjenje emisija CO</w:t>
            </w:r>
            <w:r w:rsidRPr="005B71EF">
              <w:rPr>
                <w:rFonts w:cs="Tahoma"/>
                <w:color w:val="000000"/>
                <w:szCs w:val="20"/>
                <w:vertAlign w:val="subscript"/>
                <w:lang w:eastAsia="en-GB"/>
              </w:rPr>
              <w:t>2</w:t>
            </w:r>
            <w:r w:rsidRPr="005B71EF">
              <w:rPr>
                <w:rFonts w:cs="Tahoma"/>
                <w:color w:val="000000"/>
                <w:szCs w:val="20"/>
                <w:lang w:eastAsia="en-GB"/>
              </w:rPr>
              <w:t xml:space="preserve"> u razdoblju 2021.-2030. 54,13 ktCO</w:t>
            </w:r>
            <w:r w:rsidRPr="005B71EF">
              <w:rPr>
                <w:rFonts w:cs="Tahoma"/>
                <w:color w:val="000000"/>
                <w:szCs w:val="20"/>
                <w:vertAlign w:val="subscript"/>
                <w:lang w:eastAsia="en-GB"/>
              </w:rPr>
              <w:t>2e</w:t>
            </w:r>
          </w:p>
          <w:p w14:paraId="68C56DA5" w14:textId="77777777" w:rsidR="005B71EF" w:rsidRPr="005B71EF" w:rsidRDefault="005B71EF" w:rsidP="005B71EF">
            <w:pPr>
              <w:spacing w:after="0"/>
              <w:rPr>
                <w:rFonts w:cs="Tahoma"/>
                <w:color w:val="000000"/>
                <w:szCs w:val="20"/>
              </w:rPr>
            </w:pPr>
            <w:r w:rsidRPr="005B71EF">
              <w:rPr>
                <w:rFonts w:cs="Tahoma"/>
                <w:b/>
                <w:bCs/>
                <w:color w:val="000000"/>
                <w:szCs w:val="20"/>
                <w:lang w:eastAsia="en-GB"/>
              </w:rPr>
              <w:t>Metoda praćenja:</w:t>
            </w:r>
            <w:r w:rsidRPr="005B71EF">
              <w:rPr>
                <w:rFonts w:cs="Tahoma"/>
                <w:color w:val="000000"/>
                <w:szCs w:val="20"/>
                <w:lang w:eastAsia="en-GB"/>
              </w:rPr>
              <w:t xml:space="preserve"> Do sada je praćenje ostvarenih ušteda energije omogućeno ISGE sustavom osnovnim i naprednim analizama baze podataka. Ostvarene uštede temelje se na mjerenim podacima o potrošnji svih oblika energije. Sinkronizacijom baza dobivaju se provjereni podaci, a povezivanjem s mjernim sustavima dobivaju se „real-time“ podaci koji omogućuju strateško planiranje i provođenje mjera. Na temelju direktnog satnog praćenja potrošnje energije i vode putem ISGE sustava dobivaju se kvalitetni pokazatelji energetskih potreba te se prema njima može bolje planirati i raspolagati sredstvima.</w:t>
            </w:r>
          </w:p>
          <w:p w14:paraId="790C3565" w14:textId="77777777" w:rsidR="005B71EF" w:rsidRPr="005B71EF" w:rsidRDefault="005B71EF" w:rsidP="005B71EF">
            <w:pPr>
              <w:spacing w:after="0"/>
              <w:rPr>
                <w:rFonts w:cs="Tahoma"/>
                <w:szCs w:val="20"/>
                <w:lang w:eastAsia="hr-HR"/>
              </w:rPr>
            </w:pPr>
          </w:p>
        </w:tc>
      </w:tr>
    </w:tbl>
    <w:p w14:paraId="384CEF68" w14:textId="77777777" w:rsidR="00BC094A" w:rsidRDefault="003C1DBA" w:rsidP="00D35AE3">
      <w:pPr>
        <w:pStyle w:val="StandardWeb"/>
        <w:spacing w:after="120" w:line="288" w:lineRule="auto"/>
        <w:rPr>
          <w:lang w:eastAsia="hr-HR"/>
        </w:rPr>
      </w:pPr>
      <w:r>
        <w:rPr>
          <w:lang w:eastAsia="hr-HR"/>
        </w:rPr>
        <w:t xml:space="preserve"> </w:t>
      </w:r>
    </w:p>
    <w:tbl>
      <w:tblPr>
        <w:tblStyle w:val="Reetkatablice"/>
        <w:tblW w:w="0" w:type="auto"/>
        <w:tblInd w:w="3" w:type="dxa"/>
        <w:tblLook w:val="04A0" w:firstRow="1" w:lastRow="0" w:firstColumn="1" w:lastColumn="0" w:noHBand="0" w:noVBand="1"/>
      </w:tblPr>
      <w:tblGrid>
        <w:gridCol w:w="9341"/>
      </w:tblGrid>
      <w:tr w:rsidR="0059329E" w:rsidRPr="0059329E" w14:paraId="7E6E9483" w14:textId="77777777" w:rsidTr="0059329E">
        <w:tc>
          <w:tcPr>
            <w:tcW w:w="9344" w:type="dxa"/>
          </w:tcPr>
          <w:p w14:paraId="3E585020" w14:textId="77777777" w:rsidR="009C3EC0" w:rsidRPr="0059329E" w:rsidRDefault="009C3EC0" w:rsidP="009C3EC0">
            <w:pPr>
              <w:pStyle w:val="StandardWeb"/>
              <w:spacing w:after="120" w:line="288" w:lineRule="auto"/>
              <w:rPr>
                <w:rFonts w:cs="Tahoma"/>
                <w:b/>
                <w:bCs/>
                <w:color w:val="000000"/>
                <w:szCs w:val="20"/>
              </w:rPr>
            </w:pPr>
            <w:bookmarkStart w:id="164" w:name="_Hlk30407482"/>
            <w:r w:rsidRPr="0059329E">
              <w:rPr>
                <w:rFonts w:cs="Tahoma"/>
                <w:b/>
                <w:bCs/>
                <w:color w:val="000000"/>
                <w:szCs w:val="20"/>
              </w:rPr>
              <w:t>ENU-8: Zelena javna nabava</w:t>
            </w:r>
          </w:p>
          <w:p w14:paraId="5D06BFE1" w14:textId="77777777" w:rsidR="009C3EC0" w:rsidRPr="0059329E" w:rsidRDefault="009C3EC0" w:rsidP="009C3EC0">
            <w:pPr>
              <w:pStyle w:val="StandardWeb"/>
              <w:spacing w:after="120" w:line="288" w:lineRule="auto"/>
              <w:rPr>
                <w:rFonts w:cs="Tahoma"/>
                <w:b/>
                <w:bCs/>
                <w:color w:val="000000"/>
                <w:szCs w:val="20"/>
              </w:rPr>
            </w:pPr>
            <w:r w:rsidRPr="0059329E">
              <w:rPr>
                <w:rFonts w:cs="Tahoma"/>
                <w:b/>
                <w:bCs/>
                <w:color w:val="000000"/>
                <w:szCs w:val="20"/>
              </w:rPr>
              <w:t xml:space="preserve">Informacijska mjera; provedba 2014.-2030. </w:t>
            </w:r>
          </w:p>
          <w:p w14:paraId="66FBF5ED" w14:textId="64428F6C" w:rsidR="009C3EC0" w:rsidRPr="0059329E" w:rsidRDefault="009C3EC0" w:rsidP="009C3EC0">
            <w:pPr>
              <w:pStyle w:val="StandardWeb"/>
              <w:spacing w:after="120" w:line="288" w:lineRule="auto"/>
              <w:rPr>
                <w:rFonts w:cs="Tahoma"/>
                <w:color w:val="000000"/>
                <w:szCs w:val="20"/>
                <w:lang w:eastAsia="en-GB"/>
              </w:rPr>
            </w:pPr>
            <w:r w:rsidRPr="0059329E">
              <w:rPr>
                <w:rFonts w:cs="Tahoma"/>
                <w:b/>
                <w:bCs/>
                <w:color w:val="000000"/>
                <w:szCs w:val="20"/>
              </w:rPr>
              <w:t>Cilj i opis</w:t>
            </w:r>
            <w:r w:rsidRPr="0059329E">
              <w:rPr>
                <w:rFonts w:cs="Tahoma"/>
                <w:b/>
                <w:szCs w:val="20"/>
                <w:lang w:eastAsia="en-GB"/>
              </w:rPr>
              <w:t xml:space="preserve"> </w:t>
            </w:r>
            <w:r w:rsidRPr="0059329E">
              <w:rPr>
                <w:rFonts w:cs="Tahoma"/>
                <w:b/>
                <w:bCs/>
                <w:color w:val="000000"/>
                <w:szCs w:val="20"/>
              </w:rPr>
              <w:t>mjere:</w:t>
            </w:r>
            <w:r w:rsidRPr="0059329E">
              <w:rPr>
                <w:rFonts w:cs="Tahoma"/>
                <w:szCs w:val="20"/>
                <w:lang w:eastAsia="en-GB"/>
              </w:rPr>
              <w:t xml:space="preserve"> </w:t>
            </w:r>
            <w:r w:rsidRPr="0059329E">
              <w:rPr>
                <w:rFonts w:cs="Tahoma"/>
                <w:color w:val="000000"/>
                <w:szCs w:val="20"/>
                <w:lang w:eastAsia="en-GB"/>
              </w:rPr>
              <w:t xml:space="preserve">Vlada Republike Hrvatske usvojila je 2015. godine I. nacionalni akcijski plan za Zelenu javnu nabavu za razdoblje od 2015. do 2017. godine s pogledom do 2020. godine te je zelena javna nabava prihvaćena i kao mjera u 4. NAPEnU, koji postavlja cilj da do 2020. godine u 50% provedenih postupaka javne nabave budu primijenjena mjerila zelene javne nabave. Zelenom javnom nabavom favorizirat će se inovativni niskougljični proizvodi i usluge, čime će se dodatno potaknuti njihov ulazak na tržište, a javni sektor će služiti kao dobar primjer. </w:t>
            </w:r>
            <w:r w:rsidR="002577A7">
              <w:rPr>
                <w:rFonts w:cs="Tahoma"/>
                <w:color w:val="000000"/>
                <w:szCs w:val="20"/>
                <w:lang w:eastAsia="en-GB"/>
              </w:rPr>
              <w:t>Strateški c</w:t>
            </w:r>
            <w:r w:rsidRPr="0059329E">
              <w:rPr>
                <w:rFonts w:cs="Tahoma"/>
                <w:color w:val="000000"/>
                <w:szCs w:val="20"/>
                <w:lang w:eastAsia="en-GB"/>
              </w:rPr>
              <w:t>ilj je u 2030. godini imati 75% provedenih postupaka javne nabave s primijenjenim mjerilima zelene javne nabave.</w:t>
            </w:r>
          </w:p>
          <w:p w14:paraId="6B16611B" w14:textId="77777777" w:rsidR="009C3EC0" w:rsidRPr="0059329E" w:rsidRDefault="009C3EC0" w:rsidP="009C3EC0">
            <w:pPr>
              <w:spacing w:after="0"/>
              <w:rPr>
                <w:rFonts w:cs="Tahoma"/>
                <w:color w:val="000000"/>
                <w:szCs w:val="20"/>
                <w:lang w:eastAsia="en-GB"/>
              </w:rPr>
            </w:pPr>
            <w:r w:rsidRPr="0059329E">
              <w:rPr>
                <w:rFonts w:cs="Tahoma"/>
                <w:b/>
                <w:bCs/>
                <w:color w:val="000000"/>
                <w:szCs w:val="20"/>
                <w:lang w:eastAsia="en-GB"/>
              </w:rPr>
              <w:t>Aktivnosti:</w:t>
            </w:r>
            <w:r w:rsidRPr="0059329E">
              <w:rPr>
                <w:rFonts w:cs="Tahoma"/>
                <w:color w:val="000000"/>
                <w:szCs w:val="20"/>
                <w:lang w:eastAsia="en-GB"/>
              </w:rPr>
              <w:t xml:space="preserve"> U okviru mjere </w:t>
            </w:r>
            <w:r>
              <w:rPr>
                <w:rFonts w:cs="Tahoma"/>
                <w:color w:val="000000"/>
                <w:szCs w:val="20"/>
                <w:lang w:eastAsia="en-GB"/>
              </w:rPr>
              <w:t>provode se</w:t>
            </w:r>
            <w:r w:rsidRPr="0059329E">
              <w:rPr>
                <w:rFonts w:cs="Tahoma"/>
                <w:color w:val="000000"/>
                <w:szCs w:val="20"/>
                <w:lang w:eastAsia="en-GB"/>
              </w:rPr>
              <w:t xml:space="preserve"> sljedeće aktivnosti: </w:t>
            </w:r>
          </w:p>
          <w:p w14:paraId="54984B1C" w14:textId="77777777" w:rsidR="009C3EC0" w:rsidRPr="0059329E" w:rsidRDefault="009C3EC0" w:rsidP="009C3EC0">
            <w:pPr>
              <w:numPr>
                <w:ilvl w:val="0"/>
                <w:numId w:val="45"/>
              </w:numPr>
              <w:tabs>
                <w:tab w:val="clear" w:pos="431"/>
              </w:tabs>
              <w:spacing w:after="0"/>
              <w:rPr>
                <w:rFonts w:cs="Tahoma"/>
                <w:color w:val="000000"/>
                <w:szCs w:val="20"/>
              </w:rPr>
            </w:pPr>
            <w:r w:rsidRPr="0059329E">
              <w:rPr>
                <w:rFonts w:cs="Tahoma"/>
                <w:color w:val="000000"/>
                <w:szCs w:val="20"/>
              </w:rPr>
              <w:t xml:space="preserve">Izobrazba sudionika u javnoj nabavi i promidžbu mjerila zelene javne nabave; </w:t>
            </w:r>
          </w:p>
          <w:p w14:paraId="71864636" w14:textId="77777777" w:rsidR="009C3EC0" w:rsidRPr="0059329E" w:rsidRDefault="009C3EC0" w:rsidP="009C3EC0">
            <w:pPr>
              <w:numPr>
                <w:ilvl w:val="0"/>
                <w:numId w:val="45"/>
              </w:numPr>
              <w:tabs>
                <w:tab w:val="clear" w:pos="431"/>
              </w:tabs>
              <w:spacing w:after="0"/>
              <w:rPr>
                <w:rFonts w:cs="Tahoma"/>
                <w:color w:val="000000"/>
                <w:szCs w:val="20"/>
              </w:rPr>
            </w:pPr>
            <w:r w:rsidRPr="0059329E">
              <w:rPr>
                <w:rFonts w:cs="Tahoma"/>
                <w:color w:val="000000"/>
                <w:szCs w:val="20"/>
              </w:rPr>
              <w:t>Unaprjeđenje praćenja provedbe zelene javne nabave, s ciljem kvantifikacije učinaka - obveznici javne nabave dužni su objaviti početkom godine svoje planove javne nabave na web stranicama, međutim statističko izvješće o javnoj nabavi koje se generira iz EOJN, sadrži i informaciju jesu li korištena mjerila ZeJN</w:t>
            </w:r>
            <w:r>
              <w:rPr>
                <w:rFonts w:cs="Tahoma"/>
                <w:color w:val="000000"/>
                <w:szCs w:val="20"/>
              </w:rPr>
              <w:t xml:space="preserve">, </w:t>
            </w:r>
            <w:r w:rsidRPr="004764AA">
              <w:rPr>
                <w:rFonts w:cs="Tahoma"/>
                <w:color w:val="000000"/>
                <w:szCs w:val="20"/>
              </w:rPr>
              <w:t>te</w:t>
            </w:r>
            <w:r>
              <w:rPr>
                <w:rFonts w:cs="Tahoma"/>
                <w:color w:val="000000"/>
                <w:szCs w:val="20"/>
              </w:rPr>
              <w:t xml:space="preserve"> </w:t>
            </w:r>
            <w:r w:rsidRPr="004764AA">
              <w:rPr>
                <w:rFonts w:cs="Tahoma"/>
                <w:color w:val="000000"/>
                <w:szCs w:val="20"/>
              </w:rPr>
              <w:t>i</w:t>
            </w:r>
            <w:r w:rsidRPr="0059329E">
              <w:rPr>
                <w:rFonts w:cs="Tahoma"/>
                <w:color w:val="000000"/>
                <w:szCs w:val="20"/>
              </w:rPr>
              <w:t xml:space="preserve"> obvezno unaprijediti sustav praćenja;  </w:t>
            </w:r>
          </w:p>
          <w:p w14:paraId="47408C0A" w14:textId="77777777" w:rsidR="009C3EC0" w:rsidRPr="0059329E" w:rsidRDefault="009C3EC0" w:rsidP="009C3EC0">
            <w:pPr>
              <w:numPr>
                <w:ilvl w:val="0"/>
                <w:numId w:val="45"/>
              </w:numPr>
              <w:tabs>
                <w:tab w:val="clear" w:pos="431"/>
              </w:tabs>
              <w:spacing w:after="0"/>
              <w:rPr>
                <w:rFonts w:cs="Tahoma"/>
                <w:color w:val="000000"/>
                <w:szCs w:val="20"/>
              </w:rPr>
            </w:pPr>
            <w:r w:rsidRPr="0059329E">
              <w:rPr>
                <w:rFonts w:cs="Tahoma"/>
                <w:color w:val="000000"/>
                <w:szCs w:val="20"/>
              </w:rPr>
              <w:t xml:space="preserve">Kontinuirani razvoj novih kriterija i mjerila za zelenu javnu nabavu, uključujući energetsku učinkovitost. </w:t>
            </w:r>
          </w:p>
          <w:p w14:paraId="12493061" w14:textId="77777777" w:rsidR="009C3EC0" w:rsidRPr="0059329E" w:rsidRDefault="009C3EC0" w:rsidP="009C3EC0">
            <w:pPr>
              <w:spacing w:after="0"/>
              <w:rPr>
                <w:rFonts w:cs="Tahoma"/>
                <w:color w:val="000000"/>
                <w:szCs w:val="20"/>
              </w:rPr>
            </w:pPr>
          </w:p>
          <w:p w14:paraId="1CD1BD6D" w14:textId="44BA99F9" w:rsidR="009C3EC0" w:rsidRPr="0059329E" w:rsidRDefault="009C3EC0" w:rsidP="009C3EC0">
            <w:pPr>
              <w:spacing w:after="0"/>
              <w:rPr>
                <w:rFonts w:cs="Tahoma"/>
                <w:color w:val="000000"/>
                <w:szCs w:val="20"/>
              </w:rPr>
            </w:pPr>
            <w:r w:rsidRPr="0059329E">
              <w:rPr>
                <w:rFonts w:cs="Tahoma"/>
                <w:b/>
                <w:bCs/>
                <w:color w:val="000000"/>
                <w:szCs w:val="20"/>
                <w:lang w:eastAsia="en-GB"/>
              </w:rPr>
              <w:t xml:space="preserve">Izvori financiranja: </w:t>
            </w:r>
            <w:r w:rsidRPr="0059329E">
              <w:rPr>
                <w:rFonts w:cs="Tahoma"/>
                <w:color w:val="000000"/>
                <w:szCs w:val="20"/>
                <w:lang w:eastAsia="en-GB"/>
              </w:rPr>
              <w:t>Državni proračun (MZOE)</w:t>
            </w:r>
            <w:r>
              <w:rPr>
                <w:rFonts w:cs="Tahoma"/>
                <w:color w:val="000000"/>
                <w:szCs w:val="20"/>
                <w:lang w:eastAsia="en-GB"/>
              </w:rPr>
              <w:t xml:space="preserve"> </w:t>
            </w:r>
          </w:p>
          <w:p w14:paraId="355CBD50" w14:textId="51EE2D33" w:rsidR="009C3EC0" w:rsidRPr="0059329E" w:rsidRDefault="009C3EC0" w:rsidP="009C3EC0">
            <w:pPr>
              <w:spacing w:after="0"/>
              <w:rPr>
                <w:rFonts w:cs="Tahoma"/>
                <w:b/>
                <w:bCs/>
                <w:color w:val="000000"/>
                <w:szCs w:val="20"/>
                <w:lang w:eastAsia="en-GB"/>
              </w:rPr>
            </w:pPr>
            <w:r w:rsidRPr="0059329E">
              <w:rPr>
                <w:rFonts w:cs="Tahoma"/>
                <w:b/>
                <w:bCs/>
                <w:color w:val="000000"/>
                <w:szCs w:val="20"/>
                <w:lang w:eastAsia="en-GB"/>
              </w:rPr>
              <w:t>Izvršno tijelo:</w:t>
            </w:r>
            <w:r w:rsidRPr="0059329E">
              <w:rPr>
                <w:rFonts w:cs="Tahoma"/>
                <w:color w:val="000000"/>
                <w:szCs w:val="20"/>
                <w:lang w:eastAsia="en-GB"/>
              </w:rPr>
              <w:t xml:space="preserve"> MZOE; Državni ured za središnju javnu nabavu; Tijela državne uprave, JLP(R)S i drugi obveznici javne nabave</w:t>
            </w:r>
            <w:r w:rsidRPr="0059329E">
              <w:rPr>
                <w:rFonts w:cs="Tahoma"/>
                <w:b/>
                <w:bCs/>
                <w:color w:val="000000"/>
                <w:szCs w:val="20"/>
                <w:lang w:eastAsia="en-GB"/>
              </w:rPr>
              <w:t xml:space="preserve"> </w:t>
            </w:r>
          </w:p>
          <w:p w14:paraId="41D7812D" w14:textId="77777777" w:rsidR="009C3EC0" w:rsidRPr="0059329E" w:rsidRDefault="009C3EC0" w:rsidP="009C3EC0">
            <w:pPr>
              <w:spacing w:after="0"/>
              <w:rPr>
                <w:rFonts w:cs="Tahoma"/>
                <w:color w:val="000000"/>
                <w:szCs w:val="20"/>
              </w:rPr>
            </w:pPr>
            <w:r w:rsidRPr="0059329E">
              <w:rPr>
                <w:rFonts w:cs="Tahoma"/>
                <w:b/>
                <w:bCs/>
                <w:color w:val="000000"/>
                <w:szCs w:val="20"/>
                <w:lang w:eastAsia="en-GB"/>
              </w:rPr>
              <w:t>Tijela za praćenje (nadzor):</w:t>
            </w:r>
            <w:r w:rsidRPr="0059329E">
              <w:rPr>
                <w:rFonts w:cs="Tahoma"/>
                <w:color w:val="000000"/>
                <w:szCs w:val="20"/>
                <w:lang w:eastAsia="en-GB"/>
              </w:rPr>
              <w:t xml:space="preserve"> MZOE-NKT</w:t>
            </w:r>
          </w:p>
          <w:p w14:paraId="03837065" w14:textId="77777777" w:rsidR="009C3EC0" w:rsidRPr="0059329E" w:rsidRDefault="009C3EC0" w:rsidP="009C3EC0">
            <w:pPr>
              <w:spacing w:after="0"/>
              <w:rPr>
                <w:rFonts w:cs="Tahoma"/>
                <w:color w:val="000000"/>
                <w:szCs w:val="20"/>
                <w:lang w:eastAsia="en-GB"/>
              </w:rPr>
            </w:pPr>
            <w:r w:rsidRPr="0059329E">
              <w:rPr>
                <w:rFonts w:cs="Tahoma"/>
                <w:b/>
                <w:bCs/>
                <w:color w:val="000000"/>
                <w:szCs w:val="20"/>
                <w:lang w:eastAsia="en-GB"/>
              </w:rPr>
              <w:t xml:space="preserve">Učinak: </w:t>
            </w:r>
            <w:r w:rsidRPr="0059329E">
              <w:rPr>
                <w:rFonts w:cs="Tahoma"/>
                <w:color w:val="000000"/>
                <w:szCs w:val="20"/>
                <w:lang w:eastAsia="en-GB"/>
              </w:rPr>
              <w:t>Smanjenje potrošnje energije u javnim zgradama; promjene navika i ponašanja korisnika zgrada javnog sektora</w:t>
            </w:r>
          </w:p>
          <w:p w14:paraId="647B8C62" w14:textId="77777777" w:rsidR="009C3EC0" w:rsidRPr="0059329E" w:rsidRDefault="009C3EC0" w:rsidP="009C3EC0">
            <w:pPr>
              <w:spacing w:after="0"/>
              <w:rPr>
                <w:rFonts w:cs="Tahoma"/>
                <w:color w:val="000000"/>
                <w:szCs w:val="20"/>
              </w:rPr>
            </w:pPr>
            <w:r w:rsidRPr="0059329E">
              <w:rPr>
                <w:rFonts w:cs="Tahoma"/>
                <w:b/>
                <w:bCs/>
                <w:color w:val="000000"/>
                <w:szCs w:val="20"/>
                <w:lang w:eastAsia="en-GB"/>
              </w:rPr>
              <w:t>Metoda praćenja:</w:t>
            </w:r>
            <w:r w:rsidRPr="0059329E">
              <w:rPr>
                <w:rFonts w:cs="Tahoma"/>
                <w:color w:val="000000"/>
                <w:szCs w:val="20"/>
                <w:lang w:eastAsia="en-GB"/>
              </w:rPr>
              <w:t xml:space="preserve"> Praćenje ostvarenih ušteda energije u budućnosti će se provoditi primjenom BU metoda za svaku pojedinu skupinu uređaja koja se nabavljala uvažavajući kriterije energetske učinkovitosti. Pri tome se očekuje da će najveći broj nabava</w:t>
            </w:r>
            <w:r>
              <w:rPr>
                <w:rFonts w:cs="Tahoma"/>
                <w:color w:val="000000"/>
                <w:szCs w:val="20"/>
                <w:lang w:eastAsia="en-GB"/>
              </w:rPr>
              <w:t xml:space="preserve"> ( ne i prema vrijednosti),</w:t>
            </w:r>
            <w:r w:rsidRPr="0059329E">
              <w:rPr>
                <w:rFonts w:cs="Tahoma"/>
                <w:color w:val="000000"/>
                <w:szCs w:val="20"/>
                <w:lang w:eastAsia="en-GB"/>
              </w:rPr>
              <w:t xml:space="preserve"> biti vezan uz računalnu i uredsku opremu i motorna vozila. Državni ured za središnju javnu nabavu prati podatke o količinama i tipovima nabavljene opreme te podatke dostavlja NKT-u koji ih unosi u SMIV. Potrebno je pratiti količine svih nabava u kojima se primjenjuju 'zeleni' kriteriji. </w:t>
            </w:r>
          </w:p>
          <w:p w14:paraId="23D35B9E" w14:textId="77777777" w:rsidR="0059329E" w:rsidRPr="0059329E" w:rsidRDefault="0059329E" w:rsidP="000B380A">
            <w:pPr>
              <w:pStyle w:val="StandardWeb"/>
              <w:spacing w:after="120" w:line="288" w:lineRule="auto"/>
              <w:ind w:left="0"/>
              <w:rPr>
                <w:rFonts w:cs="Tahoma"/>
                <w:b/>
                <w:bCs/>
                <w:color w:val="000000"/>
                <w:szCs w:val="20"/>
                <w:u w:val="single"/>
              </w:rPr>
            </w:pPr>
          </w:p>
        </w:tc>
      </w:tr>
      <w:bookmarkEnd w:id="164"/>
    </w:tbl>
    <w:p w14:paraId="734456CE" w14:textId="77777777" w:rsidR="0059329E" w:rsidRPr="00D35AE3" w:rsidRDefault="0059329E" w:rsidP="00D35AE3">
      <w:pPr>
        <w:pStyle w:val="StandardWeb"/>
        <w:spacing w:after="120" w:line="288" w:lineRule="auto"/>
        <w:rPr>
          <w:rFonts w:cs="Tahoma"/>
          <w:b/>
          <w:bCs/>
          <w:color w:val="000000"/>
          <w:szCs w:val="20"/>
          <w:u w:val="single"/>
        </w:rPr>
      </w:pPr>
    </w:p>
    <w:p w14:paraId="1FC3085C" w14:textId="77777777" w:rsidR="00B8375C" w:rsidRDefault="00B8375C" w:rsidP="007649C2">
      <w:pPr>
        <w:pStyle w:val="Naslov20"/>
      </w:pPr>
      <w:bookmarkStart w:id="165" w:name="_Toc34052896"/>
      <w:bookmarkStart w:id="166" w:name="_Toc46163840"/>
      <w:r>
        <w:t xml:space="preserve">Politike i mjere za obnovu </w:t>
      </w:r>
      <w:r w:rsidRPr="00B8375C">
        <w:t>zgrada kulturne baštine te zgrada u vlasništvu i korištenju oružanih snaga RH</w:t>
      </w:r>
      <w:bookmarkEnd w:id="165"/>
      <w:bookmarkEnd w:id="166"/>
    </w:p>
    <w:tbl>
      <w:tblPr>
        <w:tblStyle w:val="Reetkatablice"/>
        <w:tblW w:w="0" w:type="auto"/>
        <w:tblInd w:w="3" w:type="dxa"/>
        <w:tblLook w:val="04A0" w:firstRow="1" w:lastRow="0" w:firstColumn="1" w:lastColumn="0" w:noHBand="0" w:noVBand="1"/>
      </w:tblPr>
      <w:tblGrid>
        <w:gridCol w:w="9341"/>
      </w:tblGrid>
      <w:tr w:rsidR="00566315" w14:paraId="1BB3F937" w14:textId="77777777" w:rsidTr="00566315">
        <w:tc>
          <w:tcPr>
            <w:tcW w:w="9570" w:type="dxa"/>
          </w:tcPr>
          <w:p w14:paraId="18247E14" w14:textId="77777777" w:rsidR="00566315" w:rsidRPr="004E2FFF" w:rsidRDefault="00566315" w:rsidP="00566315">
            <w:pPr>
              <w:ind w:left="0"/>
              <w:rPr>
                <w:b/>
              </w:rPr>
            </w:pPr>
            <w:r w:rsidRPr="004E2FFF">
              <w:rPr>
                <w:b/>
              </w:rPr>
              <w:t>ENU-6: Program energetske obnove zgrada koje imaju status kulturnog dobra</w:t>
            </w:r>
          </w:p>
          <w:p w14:paraId="4B0571C6" w14:textId="77777777" w:rsidR="00566315" w:rsidRPr="004E2FFF" w:rsidRDefault="00566315" w:rsidP="00566315">
            <w:pPr>
              <w:ind w:left="0"/>
              <w:rPr>
                <w:b/>
              </w:rPr>
            </w:pPr>
            <w:r w:rsidRPr="004E2FFF">
              <w:rPr>
                <w:b/>
              </w:rPr>
              <w:t>Financijska mjera; provedba 2021. -2030.</w:t>
            </w:r>
          </w:p>
          <w:p w14:paraId="2AEA8EB9" w14:textId="17E7A149" w:rsidR="00566315" w:rsidRDefault="00566315" w:rsidP="00566315">
            <w:pPr>
              <w:ind w:left="0"/>
            </w:pPr>
            <w:r w:rsidRPr="004E2FFF">
              <w:rPr>
                <w:b/>
              </w:rPr>
              <w:t>Cilj i opis mjere:</w:t>
            </w:r>
            <w:r>
              <w:t xml:space="preserve"> Zaštićene zgrade u smislu ovog Programa su one koje se mogu svrstati u dvije kategorije: Pojedinačno zaštićena kulturna dobra (pojedinačne građevine i graditeljski sklopovi) i Zgrade koje se nalaze unutar zaštićene kulturno-povijesne cjeline. Program ne obuhvaća zgrade zaštićene kao preventivno zaštićeno dobro, niti zgrade evidentiran</w:t>
            </w:r>
            <w:r w:rsidR="00EC4BA7">
              <w:t>e kao graditeljsta baština u prostorno planskoj dokumentaciji.</w:t>
            </w:r>
            <w:r>
              <w:t xml:space="preserve"> Kroz Program razvijena su dva osnovna pristupa energetskoj obnovi zgrada koje su predmet ovog Programa: cjeloviti (integralni) pristup te pristup s primjenom pojedinačnih mjera energetske obnove.</w:t>
            </w:r>
          </w:p>
          <w:p w14:paraId="0372283A" w14:textId="77777777" w:rsidR="00566315" w:rsidRPr="00A92C0C" w:rsidRDefault="00566315" w:rsidP="00566315">
            <w:pPr>
              <w:ind w:left="0"/>
            </w:pPr>
            <w:r w:rsidRPr="00A92C0C">
              <w:t>Sukladno nacrtu programa dane su potrebe kako slijedi:</w:t>
            </w:r>
          </w:p>
          <w:p w14:paraId="228B86DF" w14:textId="77777777" w:rsidR="00E25024" w:rsidRPr="00A92C0C" w:rsidRDefault="00E25024" w:rsidP="007D44EF">
            <w:pPr>
              <w:pStyle w:val="Odlomakpopisa"/>
              <w:keepLines w:val="0"/>
              <w:numPr>
                <w:ilvl w:val="0"/>
                <w:numId w:val="64"/>
              </w:numPr>
              <w:tabs>
                <w:tab w:val="clear" w:pos="431"/>
              </w:tabs>
              <w:suppressAutoHyphens w:val="0"/>
              <w:spacing w:before="0" w:after="0"/>
              <w:contextualSpacing/>
            </w:pPr>
            <w:r w:rsidRPr="00A92C0C">
              <w:t>Ukupna investicija (HRK):</w:t>
            </w:r>
            <w:r w:rsidRPr="00A92C0C">
              <w:tab/>
              <w:t>6,342 milijarde</w:t>
            </w:r>
          </w:p>
          <w:p w14:paraId="5DC1DE78" w14:textId="77777777" w:rsidR="00E25024" w:rsidRPr="00A92C0C" w:rsidRDefault="00E25024" w:rsidP="007D44EF">
            <w:pPr>
              <w:pStyle w:val="Odlomakpopisa"/>
              <w:keepLines w:val="0"/>
              <w:numPr>
                <w:ilvl w:val="0"/>
                <w:numId w:val="64"/>
              </w:numPr>
              <w:tabs>
                <w:tab w:val="clear" w:pos="431"/>
              </w:tabs>
              <w:suppressAutoHyphens w:val="0"/>
              <w:spacing w:before="0" w:after="0"/>
              <w:contextualSpacing/>
            </w:pPr>
            <w:r w:rsidRPr="00A92C0C">
              <w:t>Trošak održavanja (HRK):</w:t>
            </w:r>
            <w:r w:rsidRPr="00A92C0C">
              <w:tab/>
              <w:t>1,796 milijardi</w:t>
            </w:r>
          </w:p>
          <w:p w14:paraId="71808A0B" w14:textId="77777777" w:rsidR="00E25024" w:rsidRPr="00A92C0C" w:rsidRDefault="00E25024" w:rsidP="007D44EF">
            <w:pPr>
              <w:pStyle w:val="Odlomakpopisa"/>
              <w:keepLines w:val="0"/>
              <w:numPr>
                <w:ilvl w:val="0"/>
                <w:numId w:val="64"/>
              </w:numPr>
              <w:tabs>
                <w:tab w:val="clear" w:pos="431"/>
              </w:tabs>
              <w:suppressAutoHyphens w:val="0"/>
              <w:spacing w:before="0" w:after="0"/>
              <w:contextualSpacing/>
            </w:pPr>
            <w:r w:rsidRPr="00A92C0C">
              <w:t>Prosječna godišnja stopa obnove (%):</w:t>
            </w:r>
            <w:r w:rsidRPr="00A92C0C">
              <w:tab/>
              <w:t>1,6</w:t>
            </w:r>
          </w:p>
          <w:p w14:paraId="6B3CA9C6" w14:textId="77777777" w:rsidR="00E25024" w:rsidRPr="00A92C0C" w:rsidRDefault="00E25024" w:rsidP="007D44EF">
            <w:pPr>
              <w:pStyle w:val="Odlomakpopisa"/>
              <w:keepLines w:val="0"/>
              <w:numPr>
                <w:ilvl w:val="0"/>
                <w:numId w:val="64"/>
              </w:numPr>
              <w:tabs>
                <w:tab w:val="clear" w:pos="431"/>
              </w:tabs>
              <w:suppressAutoHyphens w:val="0"/>
              <w:spacing w:before="0" w:after="0"/>
              <w:contextualSpacing/>
            </w:pPr>
            <w:r w:rsidRPr="00A92C0C">
              <w:t>Ukupno obnovljena površina (m</w:t>
            </w:r>
            <w:r w:rsidRPr="00A92C0C">
              <w:rPr>
                <w:vertAlign w:val="superscript"/>
              </w:rPr>
              <w:t>2</w:t>
            </w:r>
            <w:r w:rsidRPr="00A92C0C">
              <w:t>):</w:t>
            </w:r>
            <w:r w:rsidRPr="00A92C0C">
              <w:tab/>
              <w:t>4.162.756</w:t>
            </w:r>
          </w:p>
          <w:p w14:paraId="114A12C9" w14:textId="77777777" w:rsidR="00E25024" w:rsidRPr="00A92C0C" w:rsidRDefault="00E25024" w:rsidP="007D44EF">
            <w:pPr>
              <w:pStyle w:val="Odlomakpopisa"/>
              <w:keepLines w:val="0"/>
              <w:numPr>
                <w:ilvl w:val="0"/>
                <w:numId w:val="64"/>
              </w:numPr>
              <w:tabs>
                <w:tab w:val="clear" w:pos="431"/>
              </w:tabs>
              <w:suppressAutoHyphens w:val="0"/>
              <w:spacing w:before="0" w:after="0"/>
              <w:contextualSpacing/>
            </w:pPr>
            <w:r w:rsidRPr="00A92C0C">
              <w:t>Energetska ušteda (MWh):</w:t>
            </w:r>
            <w:r w:rsidRPr="00A92C0C">
              <w:tab/>
              <w:t>1 440 058,72</w:t>
            </w:r>
          </w:p>
          <w:p w14:paraId="61BF5440" w14:textId="77777777" w:rsidR="00E25024" w:rsidRPr="00A92C0C" w:rsidRDefault="00E25024" w:rsidP="007D44EF">
            <w:pPr>
              <w:pStyle w:val="Odlomakpopisa"/>
              <w:keepLines w:val="0"/>
              <w:numPr>
                <w:ilvl w:val="0"/>
                <w:numId w:val="64"/>
              </w:numPr>
              <w:tabs>
                <w:tab w:val="clear" w:pos="431"/>
              </w:tabs>
              <w:suppressAutoHyphens w:val="0"/>
              <w:spacing w:before="0" w:after="0"/>
              <w:contextualSpacing/>
            </w:pPr>
            <w:r w:rsidRPr="00A92C0C">
              <w:t>Financijska ušteda (HRK):</w:t>
            </w:r>
            <w:r w:rsidRPr="00A92C0C">
              <w:tab/>
              <w:t>0,512 milijardi</w:t>
            </w:r>
          </w:p>
          <w:p w14:paraId="77DD6F9D" w14:textId="77777777" w:rsidR="00E25024" w:rsidRPr="00A92C0C" w:rsidRDefault="00E25024" w:rsidP="007D44EF">
            <w:pPr>
              <w:pStyle w:val="Odlomakpopisa"/>
              <w:numPr>
                <w:ilvl w:val="0"/>
                <w:numId w:val="64"/>
              </w:numPr>
            </w:pPr>
            <w:r w:rsidRPr="00A92C0C">
              <w:t>Smanjenje emisija CO</w:t>
            </w:r>
            <w:r w:rsidRPr="00A92C0C">
              <w:rPr>
                <w:vertAlign w:val="subscript"/>
              </w:rPr>
              <w:t>2</w:t>
            </w:r>
            <w:r w:rsidRPr="00A92C0C">
              <w:t xml:space="preserve"> (kt):</w:t>
            </w:r>
            <w:r w:rsidRPr="00A92C0C">
              <w:tab/>
              <w:t>201,26</w:t>
            </w:r>
          </w:p>
          <w:p w14:paraId="73B386EE" w14:textId="11F7D7AA" w:rsidR="00E25024" w:rsidRPr="00A92C0C" w:rsidRDefault="00566315" w:rsidP="00E25024">
            <w:pPr>
              <w:pStyle w:val="Tekstkomentara"/>
            </w:pPr>
            <w:r w:rsidRPr="00A92C0C">
              <w:t>Ukupne potrebe za realizaciju programa energetske obnove zgrada koje imaju status kulturnog dobra a sa svrhom dostizanja nacionalnih ciljeva iznose 18,74 milijardi kn u razdoblju od 2021. do 2030. godine. Navedeni iznos uključuje potrebne investicije u iznosu od 13,67 milijardi kn te troškove održavanja u iznosu od 5,07 milijardi kn. S obzirom na vrlo visoke perioda povrata investicija biti će potrebno maksimalno iskoristiti mogućnosti sufinanciranja programa bespovratnim sredstvima kako bi se smanjili jednostavni periodi povrata investicije te kako bi se potaknula energetska obnova ovakvih građevina. Kao izvore financiranja bespovratnih sredstava prepoznaju se Fondovi EU te sredstva prikupljena kroz spomeničku rentu</w:t>
            </w:r>
            <w:r w:rsidR="00E25024" w:rsidRPr="00A92C0C">
              <w:t>.</w:t>
            </w:r>
            <w:r w:rsidR="00E25024" w:rsidRPr="00A92C0C">
              <w:rPr>
                <w:szCs w:val="24"/>
              </w:rPr>
              <w:t xml:space="preserve"> S obzirom na ukupne investicijske potrebe</w:t>
            </w:r>
            <w:r w:rsidR="00E25024" w:rsidRPr="00A92C0C">
              <w:rPr>
                <w:b/>
                <w:szCs w:val="24"/>
              </w:rPr>
              <w:t xml:space="preserve">, </w:t>
            </w:r>
            <w:r w:rsidR="00E25024" w:rsidRPr="00A92C0C">
              <w:rPr>
                <w:szCs w:val="24"/>
              </w:rPr>
              <w:t>ukupne potrebne investicije iznose oko 0,63 milijarde HRK godišnje tijekom perioda od 2021. do 2030. godine, od čega bi potrebno sufinanciranje iznosilo 0,46 milijardi HRK. S obzirom da se na godišnjoj razini od spomeničke rente prikupi oko 100 milijuna HRK, preostali iznos od oko 360 milijuna HRK na godišnjoj razini potrebno je osigurati iz Fondova EU. Navedeni iznosi ne uključuju PDV.</w:t>
            </w:r>
          </w:p>
          <w:p w14:paraId="57214D77" w14:textId="1DCD9AAC" w:rsidR="008E4EA0" w:rsidRPr="00A92C0C" w:rsidRDefault="008E4EA0" w:rsidP="008E4EA0">
            <w:pPr>
              <w:spacing w:after="0"/>
              <w:rPr>
                <w:rFonts w:cs="Tahoma"/>
                <w:szCs w:val="20"/>
                <w:lang w:eastAsia="en-GB"/>
              </w:rPr>
            </w:pPr>
            <w:r w:rsidRPr="00A92C0C">
              <w:rPr>
                <w:rFonts w:cs="Tahoma"/>
                <w:b/>
                <w:bCs/>
                <w:szCs w:val="20"/>
                <w:lang w:eastAsia="en-GB"/>
              </w:rPr>
              <w:t>Aktivnosti:</w:t>
            </w:r>
            <w:r w:rsidRPr="00A92C0C">
              <w:rPr>
                <w:rFonts w:cs="Tahoma"/>
                <w:szCs w:val="20"/>
                <w:lang w:eastAsia="en-GB"/>
              </w:rPr>
              <w:t xml:space="preserve"> U okviru mjere provest će se sljedeće aktivnosti: </w:t>
            </w:r>
          </w:p>
          <w:p w14:paraId="26523CAF" w14:textId="3A99B072" w:rsidR="003B6DA7" w:rsidRPr="003B6DA7" w:rsidRDefault="003B6DA7" w:rsidP="003B6DA7">
            <w:pPr>
              <w:numPr>
                <w:ilvl w:val="0"/>
                <w:numId w:val="45"/>
              </w:numPr>
              <w:tabs>
                <w:tab w:val="clear" w:pos="431"/>
              </w:tabs>
              <w:spacing w:after="0"/>
              <w:rPr>
                <w:rFonts w:cs="Tahoma"/>
                <w:color w:val="000000"/>
                <w:szCs w:val="20"/>
              </w:rPr>
            </w:pPr>
            <w:r w:rsidRPr="003B6DA7">
              <w:rPr>
                <w:rFonts w:cs="Tahoma"/>
                <w:color w:val="000000"/>
                <w:szCs w:val="20"/>
              </w:rPr>
              <w:t>Tijekom 20</w:t>
            </w:r>
            <w:r w:rsidR="00F12502">
              <w:rPr>
                <w:rFonts w:cs="Tahoma"/>
                <w:color w:val="000000"/>
                <w:szCs w:val="20"/>
              </w:rPr>
              <w:t>19</w:t>
            </w:r>
            <w:r w:rsidRPr="003B6DA7">
              <w:rPr>
                <w:rFonts w:cs="Tahoma"/>
                <w:color w:val="000000"/>
                <w:szCs w:val="20"/>
              </w:rPr>
              <w:t xml:space="preserve">. godine MGIPU </w:t>
            </w:r>
            <w:r w:rsidR="00F12502">
              <w:rPr>
                <w:rFonts w:cs="Tahoma"/>
                <w:color w:val="000000"/>
                <w:szCs w:val="20"/>
              </w:rPr>
              <w:t>je izradilo</w:t>
            </w:r>
            <w:r w:rsidRPr="003B6DA7">
              <w:rPr>
                <w:rFonts w:cs="Tahoma"/>
                <w:color w:val="000000"/>
                <w:szCs w:val="20"/>
              </w:rPr>
              <w:t xml:space="preserve"> </w:t>
            </w:r>
            <w:r w:rsidR="00D405E9" w:rsidRPr="00D405E9">
              <w:rPr>
                <w:rFonts w:cs="Tahoma"/>
                <w:color w:val="000000"/>
                <w:szCs w:val="20"/>
              </w:rPr>
              <w:t>Program energetske obnove zgrada koje imaju status kulturnog dobra za razdoblje 2021. - 2030. godine</w:t>
            </w:r>
            <w:r w:rsidRPr="003B6DA7">
              <w:rPr>
                <w:rFonts w:cs="Tahoma"/>
                <w:color w:val="000000"/>
                <w:szCs w:val="20"/>
              </w:rPr>
              <w:t xml:space="preserve">, kojega usvaja Vlada, a koji je temelj za korištenje sredstava ESI fondova u programskom razdoblju od 2021. do 2027. godine kao i temelj za planiranje sredstva FZOEU-a </w:t>
            </w:r>
          </w:p>
          <w:p w14:paraId="3BEEC7F6" w14:textId="77777777" w:rsidR="003B6DA7" w:rsidRPr="003B6DA7" w:rsidRDefault="003B6DA7" w:rsidP="003B6DA7">
            <w:pPr>
              <w:numPr>
                <w:ilvl w:val="0"/>
                <w:numId w:val="45"/>
              </w:numPr>
              <w:tabs>
                <w:tab w:val="clear" w:pos="431"/>
              </w:tabs>
              <w:spacing w:after="0"/>
              <w:rPr>
                <w:rFonts w:cs="Tahoma"/>
                <w:color w:val="000000"/>
                <w:szCs w:val="20"/>
              </w:rPr>
            </w:pPr>
            <w:r w:rsidRPr="003B6DA7">
              <w:rPr>
                <w:rFonts w:cs="Tahoma"/>
                <w:color w:val="000000"/>
                <w:szCs w:val="20"/>
              </w:rPr>
              <w:t xml:space="preserve">Provedba na način utvrđen Programom </w:t>
            </w:r>
          </w:p>
          <w:p w14:paraId="5279FFA8" w14:textId="77777777" w:rsidR="003B6DA7" w:rsidRPr="003B6DA7" w:rsidRDefault="003B6DA7" w:rsidP="003B6DA7">
            <w:pPr>
              <w:numPr>
                <w:ilvl w:val="0"/>
                <w:numId w:val="45"/>
              </w:numPr>
              <w:tabs>
                <w:tab w:val="clear" w:pos="431"/>
              </w:tabs>
              <w:spacing w:after="0"/>
              <w:rPr>
                <w:rFonts w:cs="Tahoma"/>
                <w:color w:val="000000"/>
                <w:szCs w:val="20"/>
              </w:rPr>
            </w:pPr>
            <w:r w:rsidRPr="003B6DA7">
              <w:rPr>
                <w:rFonts w:cs="Tahoma"/>
                <w:color w:val="000000"/>
                <w:szCs w:val="20"/>
              </w:rPr>
              <w:t>Za energetsku obnovu zgrada središnje države kao i drugih zgrada javnog sektora , gdje je to izvedivo primjenjivat će se model energetske usluge (ESCO), za čiju je provedbu zadužen APN, a sufinanciranje se osigurava iz FZOEU i iz drugih izvora uključujući ESI fondove – ovaj segment Programa je nužan kako bi se mobilizirao privatni kapital, razvilo tržište energetskih usluga i ostvarili ciljevi bez dodatnog zaduživanja javnog sektora.</w:t>
            </w:r>
          </w:p>
          <w:p w14:paraId="741EA809" w14:textId="77777777" w:rsidR="008E4EA0" w:rsidRDefault="008E4EA0" w:rsidP="00566315">
            <w:pPr>
              <w:ind w:left="0"/>
            </w:pPr>
          </w:p>
          <w:p w14:paraId="4A7B5A96" w14:textId="67C0CD9E" w:rsidR="00FA770E" w:rsidRPr="001A57C5" w:rsidRDefault="00FA770E" w:rsidP="00FA770E">
            <w:pPr>
              <w:spacing w:after="0"/>
              <w:rPr>
                <w:rFonts w:cs="Tahoma"/>
                <w:color w:val="000000"/>
                <w:szCs w:val="20"/>
              </w:rPr>
            </w:pPr>
            <w:r w:rsidRPr="001A57C5">
              <w:rPr>
                <w:rFonts w:cs="Tahoma"/>
                <w:b/>
                <w:bCs/>
                <w:color w:val="000000"/>
                <w:szCs w:val="20"/>
                <w:lang w:eastAsia="en-GB"/>
              </w:rPr>
              <w:t xml:space="preserve">Izvori financiranja: </w:t>
            </w:r>
            <w:r w:rsidR="00FF6504">
              <w:rPr>
                <w:rFonts w:cs="Tahoma"/>
                <w:color w:val="000000"/>
                <w:szCs w:val="20"/>
                <w:lang w:eastAsia="en-GB"/>
              </w:rPr>
              <w:t>Sredstva spomeničke rente i Fondovi EU</w:t>
            </w:r>
          </w:p>
          <w:p w14:paraId="794EFDDC" w14:textId="77777777" w:rsidR="00FA770E" w:rsidRPr="001A57C5" w:rsidRDefault="00FA770E" w:rsidP="00FA770E">
            <w:pPr>
              <w:spacing w:after="0"/>
              <w:rPr>
                <w:rFonts w:cs="Tahoma"/>
                <w:color w:val="000000"/>
                <w:szCs w:val="20"/>
                <w:lang w:eastAsia="en-GB"/>
              </w:rPr>
            </w:pPr>
            <w:r w:rsidRPr="001A57C5">
              <w:rPr>
                <w:rFonts w:cs="Tahoma"/>
                <w:b/>
                <w:bCs/>
                <w:color w:val="000000"/>
                <w:szCs w:val="20"/>
                <w:lang w:eastAsia="en-GB"/>
              </w:rPr>
              <w:t>Izvršno tijelo:</w:t>
            </w:r>
            <w:r w:rsidRPr="001A57C5">
              <w:rPr>
                <w:rFonts w:cs="Tahoma"/>
                <w:color w:val="000000"/>
                <w:szCs w:val="20"/>
                <w:lang w:eastAsia="en-GB"/>
              </w:rPr>
              <w:t xml:space="preserve"> MGIPU – provedba svih aktivnosti Programa </w:t>
            </w:r>
          </w:p>
          <w:p w14:paraId="666DEB2A" w14:textId="06503042" w:rsidR="00FA770E" w:rsidRPr="001A57C5" w:rsidRDefault="00FA770E" w:rsidP="00FA770E">
            <w:pPr>
              <w:spacing w:after="0"/>
              <w:rPr>
                <w:rFonts w:cs="Tahoma"/>
                <w:color w:val="000000"/>
                <w:szCs w:val="20"/>
              </w:rPr>
            </w:pPr>
            <w:r w:rsidRPr="001A57C5">
              <w:rPr>
                <w:rFonts w:cs="Tahoma"/>
                <w:b/>
                <w:bCs/>
                <w:color w:val="000000"/>
                <w:szCs w:val="20"/>
                <w:lang w:eastAsia="en-GB"/>
              </w:rPr>
              <w:t>Tijela za praćenje (nadzor):</w:t>
            </w:r>
            <w:r w:rsidRPr="001A57C5">
              <w:rPr>
                <w:rFonts w:cs="Tahoma"/>
                <w:color w:val="000000"/>
                <w:szCs w:val="20"/>
                <w:lang w:eastAsia="en-GB"/>
              </w:rPr>
              <w:t xml:space="preserve"> </w:t>
            </w:r>
            <w:r w:rsidR="007972C0">
              <w:rPr>
                <w:rFonts w:cs="Tahoma"/>
                <w:color w:val="000000"/>
                <w:szCs w:val="20"/>
                <w:lang w:eastAsia="en-GB"/>
              </w:rPr>
              <w:t>MGIPU</w:t>
            </w:r>
          </w:p>
          <w:p w14:paraId="21E3890B" w14:textId="19B981C8" w:rsidR="00FA770E" w:rsidRPr="00A92C0C" w:rsidRDefault="00FA770E" w:rsidP="00FA770E">
            <w:pPr>
              <w:spacing w:after="0"/>
              <w:rPr>
                <w:rFonts w:cs="Tahoma"/>
                <w:szCs w:val="20"/>
              </w:rPr>
            </w:pPr>
            <w:r w:rsidRPr="001A57C5">
              <w:rPr>
                <w:rFonts w:cs="Tahoma"/>
                <w:b/>
                <w:bCs/>
                <w:color w:val="000000"/>
                <w:szCs w:val="20"/>
                <w:lang w:eastAsia="en-GB"/>
              </w:rPr>
              <w:t xml:space="preserve">Učinak: </w:t>
            </w:r>
            <w:r w:rsidR="00902109">
              <w:rPr>
                <w:rFonts w:cs="Tahoma"/>
                <w:color w:val="000000"/>
                <w:szCs w:val="20"/>
                <w:lang w:eastAsia="en-GB"/>
              </w:rPr>
              <w:t xml:space="preserve">Ukupna ušteda od </w:t>
            </w:r>
            <w:r w:rsidR="00F66CC6">
              <w:rPr>
                <w:rFonts w:cs="Tahoma"/>
                <w:color w:val="000000"/>
                <w:szCs w:val="20"/>
                <w:lang w:eastAsia="en-GB"/>
              </w:rPr>
              <w:t xml:space="preserve">5.073.234,38 </w:t>
            </w:r>
            <w:r w:rsidR="00C9526A">
              <w:rPr>
                <w:rFonts w:cs="Tahoma"/>
                <w:color w:val="000000"/>
                <w:szCs w:val="20"/>
                <w:lang w:eastAsia="en-GB"/>
              </w:rPr>
              <w:t xml:space="preserve">GWh energije, smanjenje emisija </w:t>
            </w:r>
            <w:r w:rsidR="00C9526A" w:rsidRPr="00A92C0C">
              <w:rPr>
                <w:rFonts w:cs="Tahoma"/>
                <w:szCs w:val="20"/>
                <w:lang w:eastAsia="en-GB"/>
              </w:rPr>
              <w:t xml:space="preserve">CO2 za </w:t>
            </w:r>
            <w:r w:rsidR="00012F54" w:rsidRPr="00A92C0C">
              <w:rPr>
                <w:rFonts w:cs="Tahoma"/>
                <w:szCs w:val="20"/>
                <w:lang w:eastAsia="en-GB"/>
              </w:rPr>
              <w:t>201</w:t>
            </w:r>
            <w:r w:rsidR="009F7192" w:rsidRPr="00A92C0C">
              <w:rPr>
                <w:rFonts w:cs="Tahoma"/>
                <w:szCs w:val="20"/>
                <w:lang w:eastAsia="en-GB"/>
              </w:rPr>
              <w:t>,2</w:t>
            </w:r>
            <w:r w:rsidR="00E20E88" w:rsidRPr="00A92C0C">
              <w:rPr>
                <w:rFonts w:cs="Tahoma"/>
                <w:szCs w:val="20"/>
                <w:lang w:eastAsia="en-GB"/>
              </w:rPr>
              <w:t>6</w:t>
            </w:r>
            <w:r w:rsidR="009F7192" w:rsidRPr="00A92C0C">
              <w:rPr>
                <w:rFonts w:cs="Tahoma"/>
                <w:szCs w:val="20"/>
                <w:lang w:eastAsia="en-GB"/>
              </w:rPr>
              <w:t xml:space="preserve"> kt</w:t>
            </w:r>
          </w:p>
          <w:p w14:paraId="310D3C38" w14:textId="5FC130DC" w:rsidR="00FA770E" w:rsidRDefault="00FA770E" w:rsidP="00FA770E">
            <w:pPr>
              <w:spacing w:after="0"/>
              <w:rPr>
                <w:rFonts w:cs="Tahoma"/>
                <w:color w:val="000000"/>
                <w:szCs w:val="20"/>
                <w:lang w:eastAsia="en-GB"/>
              </w:rPr>
            </w:pPr>
            <w:r w:rsidRPr="001A57C5">
              <w:rPr>
                <w:rFonts w:cs="Tahoma"/>
                <w:b/>
                <w:bCs/>
                <w:color w:val="000000"/>
                <w:szCs w:val="20"/>
                <w:lang w:eastAsia="en-GB"/>
              </w:rPr>
              <w:t>Metoda praćenja:</w:t>
            </w:r>
            <w:r w:rsidRPr="001A57C5">
              <w:rPr>
                <w:rFonts w:cs="Tahoma"/>
                <w:color w:val="000000"/>
                <w:szCs w:val="20"/>
                <w:lang w:eastAsia="en-GB"/>
              </w:rPr>
              <w:t xml:space="preserve"> </w:t>
            </w:r>
            <w:r w:rsidR="00C844B9">
              <w:rPr>
                <w:rFonts w:cs="Tahoma"/>
                <w:color w:val="000000"/>
                <w:szCs w:val="20"/>
                <w:lang w:eastAsia="en-GB"/>
              </w:rPr>
              <w:t xml:space="preserve">Unos provedenih mjera i </w:t>
            </w:r>
            <w:r w:rsidR="006A07C2">
              <w:rPr>
                <w:rFonts w:cs="Tahoma"/>
                <w:color w:val="000000"/>
                <w:szCs w:val="20"/>
                <w:lang w:eastAsia="en-GB"/>
              </w:rPr>
              <w:t>ostvarenih ušteda u SMIV</w:t>
            </w:r>
          </w:p>
          <w:p w14:paraId="117C5B3D" w14:textId="77777777" w:rsidR="00724601" w:rsidRDefault="00724601" w:rsidP="00FA770E">
            <w:pPr>
              <w:spacing w:after="0"/>
              <w:rPr>
                <w:rFonts w:cs="Tahoma"/>
                <w:color w:val="000000"/>
                <w:szCs w:val="20"/>
                <w:lang w:eastAsia="en-GB"/>
              </w:rPr>
            </w:pPr>
          </w:p>
          <w:p w14:paraId="1F47AC91" w14:textId="36AB2BEF" w:rsidR="00812485" w:rsidRDefault="00724601" w:rsidP="00566315">
            <w:pPr>
              <w:ind w:left="0"/>
            </w:pPr>
            <w:r w:rsidRPr="00724601">
              <w:rPr>
                <w:rFonts w:cs="Tahoma"/>
                <w:color w:val="000000"/>
                <w:szCs w:val="20"/>
                <w:lang w:eastAsia="en-GB"/>
              </w:rPr>
              <w:t>Prilikom obnove poticati će se   korištenje visokoučinkovitih alternativnih sustava, u mjeri u kojoj je to tehnički, funkcionalno i gospodarski izvedivo te  će se posebna pažnja obratiti osiguranju zdravih unutarnjih klimatskih uvjeta, zaštiti od požara i  rizika povezanih s pojačanom seizmičkom aktivnosti</w:t>
            </w:r>
          </w:p>
        </w:tc>
      </w:tr>
    </w:tbl>
    <w:p w14:paraId="626C71D8" w14:textId="77777777" w:rsidR="00BE72EE" w:rsidRDefault="00BE72EE" w:rsidP="00C177B6"/>
    <w:tbl>
      <w:tblPr>
        <w:tblStyle w:val="Reetkatablice"/>
        <w:tblW w:w="0" w:type="auto"/>
        <w:tblInd w:w="3" w:type="dxa"/>
        <w:tblLook w:val="04A0" w:firstRow="1" w:lastRow="0" w:firstColumn="1" w:lastColumn="0" w:noHBand="0" w:noVBand="1"/>
      </w:tblPr>
      <w:tblGrid>
        <w:gridCol w:w="9341"/>
      </w:tblGrid>
      <w:tr w:rsidR="00555B7C" w14:paraId="53E5A02F" w14:textId="77777777" w:rsidTr="00555B7C">
        <w:tc>
          <w:tcPr>
            <w:tcW w:w="9344" w:type="dxa"/>
          </w:tcPr>
          <w:p w14:paraId="75585484" w14:textId="77777777" w:rsidR="00555B7C" w:rsidRDefault="00555B7C" w:rsidP="00555B7C">
            <w:r>
              <w:t xml:space="preserve">Dugoročni plan razvoja oružanih snaga RH za razdoblje od 2015. do 2024. godine obuhvaća preseljenje postrojbi Oružanih snaga na predviđene lokacije i napuštanje neperspektivnih lokacija kroz dvije faze – prva faza do kraja 2019. godine, te druga faza 2020. do 2024. godine. </w:t>
            </w:r>
          </w:p>
          <w:p w14:paraId="58AF3F1E" w14:textId="77777777" w:rsidR="00555B7C" w:rsidRDefault="00555B7C" w:rsidP="00555B7C">
            <w:r>
              <w:t>Perspektivne nekretnine (nekretnine građene za vojnu namjenu koje koristi Ministarstvo obrane) se zadržavaju i okrupnjavaju se kapaciteti, uz podizanje standarda i usklađivanje objekata sa zahtjevima određenim propisima iz područja prostornog uređenja, građenja, zaštite od požara, zaštite na radu, zaštite okoliša i tehničke zaštite. Istražuje se koncept izgradnje smještajnih, logističkih i drugih objekata u obliku montažnih i modularnih građevina i sustava brze gradnje, uz primjenu postupaka za postizanje energetske učinkovitosti i gospodarenja otpadom.</w:t>
            </w:r>
          </w:p>
          <w:p w14:paraId="561542C8" w14:textId="023A8776" w:rsidR="00555B7C" w:rsidRDefault="00555B7C" w:rsidP="00555B7C">
            <w:r>
              <w:t xml:space="preserve">Privremeno perspektivne nekretnine (nekretnine građene za vojnu namjenu koje koristi Ministarstvo obrane, a u postupku su napuštanja) i neperspektivne nekretnine (nekretnine građene za vojnu namjenu koje ne koristi Ministarstvo obrane). se napuštaju, te prepuštaju na korištenje jedinicama lokalne samouprave ili </w:t>
            </w:r>
            <w:r w:rsidR="00DD1147">
              <w:t xml:space="preserve">Središnjem državnom uredu za </w:t>
            </w:r>
            <w:r w:rsidR="00B479A8">
              <w:t xml:space="preserve">obnovu i </w:t>
            </w:r>
            <w:r w:rsidR="00A74D90">
              <w:t>stambeno zbrinjavanje</w:t>
            </w:r>
            <w:r w:rsidR="00B479A8">
              <w:t xml:space="preserve">. </w:t>
            </w:r>
          </w:p>
          <w:p w14:paraId="5A78DEFD" w14:textId="77777777" w:rsidR="00555B7C" w:rsidRDefault="00555B7C" w:rsidP="00555B7C">
            <w:pPr>
              <w:ind w:left="0"/>
            </w:pPr>
            <w:r>
              <w:t xml:space="preserve">U prvom redu prioriteta nalazi se sedam lokacija, na kojima je predviđena rekonstrukcija i povećanje energetske učinkovitosti postojećih kapaciteta, te izgradnja nastavnih, administrativnih, smještajnih i tehničkih kapaciteta. U drugom redu prioriteta je još petnaest lokacija koje uz rekonstrukcije, dogradnje i novu gradnju uključuju i primjenu obnovljivih izvora energije. </w:t>
            </w:r>
          </w:p>
          <w:p w14:paraId="6A0F8159" w14:textId="77777777" w:rsidR="00941012" w:rsidRDefault="00941012" w:rsidP="00941012">
            <w:pPr>
              <w:ind w:left="0"/>
            </w:pPr>
            <w:r>
              <w:t xml:space="preserve">Polazeći od makroekonomske realnosti, koja trenutačno ne omogućava srednjoročne i dugoročne pouzdane prognoze o dinamici kretanja BDP-a, </w:t>
            </w:r>
            <w:r w:rsidRPr="00941012">
              <w:t xml:space="preserve">Dugoročni plan razvoja oružanih snaga RH za razdoblje od 2015. do 2024. </w:t>
            </w:r>
            <w:r>
              <w:t xml:space="preserve">temelji se na pretpostavci da će obrambeni proračun u iduće tri godine ostati na razini iz 2014. godine odnosno kretati se u okvirima oko 4,3 milijarde kuna u apsolutnom iznosu. </w:t>
            </w:r>
            <w:r w:rsidR="00357473">
              <w:t xml:space="preserve">Od navedenog iznosa, 12% </w:t>
            </w:r>
            <w:r w:rsidR="00334F77">
              <w:t>predstavljaju troškovi opremanja i izgradnje</w:t>
            </w:r>
            <w:r w:rsidR="008B1A72">
              <w:t xml:space="preserve"> - troškove glavnih projekata opremanja i modernizacije, pomoćnih projekata koji su u potpori vođenja glavnih projekata, te troškove izgradnje i modernizacije objekata i infrastrukture. </w:t>
            </w:r>
          </w:p>
          <w:p w14:paraId="6FE233AE" w14:textId="77777777" w:rsidR="00555B7C" w:rsidRDefault="00555B7C" w:rsidP="00941012">
            <w:pPr>
              <w:ind w:left="0"/>
            </w:pPr>
          </w:p>
        </w:tc>
      </w:tr>
    </w:tbl>
    <w:p w14:paraId="2B3EFC39" w14:textId="77777777" w:rsidR="00555B7C" w:rsidRDefault="00555B7C" w:rsidP="00C177B6"/>
    <w:p w14:paraId="7088CCA6" w14:textId="77777777" w:rsidR="00AC0BE6" w:rsidRPr="00EC457F" w:rsidRDefault="00D56A01" w:rsidP="008129E7">
      <w:pPr>
        <w:pStyle w:val="Naslov10"/>
      </w:pPr>
      <w:bookmarkStart w:id="167" w:name="_Toc34052897"/>
      <w:bookmarkStart w:id="168" w:name="_Toc46163841"/>
      <w:r>
        <w:t>N</w:t>
      </w:r>
      <w:r w:rsidRPr="00DA2BAC">
        <w:t>acionaln</w:t>
      </w:r>
      <w:r>
        <w:t>e</w:t>
      </w:r>
      <w:r w:rsidRPr="00DA2BAC">
        <w:t xml:space="preserve"> </w:t>
      </w:r>
      <w:r w:rsidR="00DA2BAC" w:rsidRPr="00DA2BAC">
        <w:t>inicijativ</w:t>
      </w:r>
      <w:r w:rsidR="00DA2BAC">
        <w:t>e</w:t>
      </w:r>
      <w:r w:rsidR="00DA2BAC" w:rsidRPr="00DA2BAC">
        <w:t xml:space="preserve"> za promicanje pametnih tehnologija i dobro povezanih zgrada i zajednica kao i vještina i obrazovanja u građevinskom sektoru i sektoru energetske učinkovitosti</w:t>
      </w:r>
      <w:bookmarkEnd w:id="167"/>
      <w:bookmarkEnd w:id="168"/>
    </w:p>
    <w:p w14:paraId="4B1FE0EF" w14:textId="38466E48" w:rsidR="0045291E" w:rsidRDefault="00F916A1" w:rsidP="007649C2">
      <w:pPr>
        <w:pStyle w:val="Naslov20"/>
      </w:pPr>
      <w:bookmarkStart w:id="169" w:name="_Toc34052898"/>
      <w:bookmarkStart w:id="170" w:name="_Toc46163842"/>
      <w:r>
        <w:t>P</w:t>
      </w:r>
      <w:r w:rsidR="0045291E">
        <w:t>olitik</w:t>
      </w:r>
      <w:r>
        <w:t>e</w:t>
      </w:r>
      <w:r w:rsidR="0045291E">
        <w:t xml:space="preserve"> i mjer</w:t>
      </w:r>
      <w:r>
        <w:t>e</w:t>
      </w:r>
      <w:r w:rsidR="0045291E">
        <w:t xml:space="preserve"> za promicanje </w:t>
      </w:r>
      <w:r>
        <w:t>pametnih tehnologija i dobro povezanih zgrada i zajednica</w:t>
      </w:r>
      <w:bookmarkEnd w:id="169"/>
      <w:bookmarkEnd w:id="170"/>
    </w:p>
    <w:p w14:paraId="759337C0" w14:textId="77777777" w:rsidR="007A3646" w:rsidRDefault="00362411" w:rsidP="007A3646">
      <w:pPr>
        <w:rPr>
          <w:lang w:eastAsia="hr-HR"/>
        </w:rPr>
      </w:pPr>
      <w:r>
        <w:rPr>
          <w:lang w:eastAsia="hr-HR"/>
        </w:rPr>
        <w:t xml:space="preserve">Politike i mjere za promicanje pametnih tehnologija i dobro povezanih zgrada i zajednica definiraju se dominantno na lokalnoj razini kroz strategije razvoja pametnih gradova. Nekoliko gradova u republici Hrvatskoj već je izradilo ovakve strategije su skladu s </w:t>
      </w:r>
      <w:r w:rsidRPr="00362411">
        <w:rPr>
          <w:lang w:eastAsia="hr-HR"/>
        </w:rPr>
        <w:t>inicijativ</w:t>
      </w:r>
      <w:r>
        <w:rPr>
          <w:lang w:eastAsia="hr-HR"/>
        </w:rPr>
        <w:t>om</w:t>
      </w:r>
      <w:r w:rsidRPr="00362411">
        <w:rPr>
          <w:lang w:eastAsia="hr-HR"/>
        </w:rPr>
        <w:t xml:space="preserve"> Europske unije pod nazivom Europsko inovativno partnerstvo za pametne gradove i zajednice (EIP-SCC - European Innovation Partnership on Smart cities and Communities)</w:t>
      </w:r>
      <w:r>
        <w:rPr>
          <w:lang w:eastAsia="hr-HR"/>
        </w:rPr>
        <w:t xml:space="preserve">. Pametni gradovi temelje se na digitalnoj infrastrukturi, a obuhvaćaju </w:t>
      </w:r>
      <w:r w:rsidR="007A3646">
        <w:rPr>
          <w:lang w:eastAsia="hr-HR"/>
        </w:rPr>
        <w:t xml:space="preserve">sljedeća </w:t>
      </w:r>
      <w:r>
        <w:rPr>
          <w:lang w:eastAsia="hr-HR"/>
        </w:rPr>
        <w:t>područja</w:t>
      </w:r>
      <w:r w:rsidR="007A3646">
        <w:rPr>
          <w:lang w:eastAsia="hr-HR"/>
        </w:rPr>
        <w:t>:</w:t>
      </w:r>
    </w:p>
    <w:p w14:paraId="4B5A892E" w14:textId="39D62A77" w:rsidR="007A3646" w:rsidRDefault="007A3646" w:rsidP="007A3646">
      <w:pPr>
        <w:pStyle w:val="Odlomakpopisa"/>
        <w:numPr>
          <w:ilvl w:val="0"/>
          <w:numId w:val="70"/>
        </w:numPr>
      </w:pPr>
      <w:r>
        <w:t>Učinkovita, transparentna i pametna gradska uprava</w:t>
      </w:r>
      <w:r w:rsidR="00362411">
        <w:t xml:space="preserve"> </w:t>
      </w:r>
    </w:p>
    <w:p w14:paraId="3C26D7D3" w14:textId="7A9381DC" w:rsidR="007A3646" w:rsidRDefault="007A3646" w:rsidP="007A3646">
      <w:pPr>
        <w:pStyle w:val="Odlomakpopisa"/>
        <w:numPr>
          <w:ilvl w:val="0"/>
          <w:numId w:val="70"/>
        </w:numPr>
      </w:pPr>
      <w:r>
        <w:t>Pametn</w:t>
      </w:r>
      <w:r w:rsidR="00AD5127">
        <w:t>o</w:t>
      </w:r>
      <w:r>
        <w:t xml:space="preserve"> upravljanje energijom, komunalnim uslugama</w:t>
      </w:r>
    </w:p>
    <w:p w14:paraId="7F58A369" w14:textId="5FBCACAF" w:rsidR="007A3646" w:rsidRDefault="007A3646" w:rsidP="007A3646">
      <w:pPr>
        <w:pStyle w:val="Odlomakpopisa"/>
        <w:numPr>
          <w:ilvl w:val="0"/>
          <w:numId w:val="70"/>
        </w:numPr>
      </w:pPr>
      <w:r>
        <w:t>Pametno upravljanje okolišem uključujući prostorno planiranje</w:t>
      </w:r>
    </w:p>
    <w:p w14:paraId="3E7BD48B" w14:textId="108FF80D" w:rsidR="007A3646" w:rsidRDefault="007A3646" w:rsidP="007A3646">
      <w:pPr>
        <w:pStyle w:val="Odlomakpopisa"/>
        <w:numPr>
          <w:ilvl w:val="0"/>
          <w:numId w:val="70"/>
        </w:numPr>
      </w:pPr>
      <w:r>
        <w:t>Osnaživanje uloge građana</w:t>
      </w:r>
    </w:p>
    <w:p w14:paraId="01019E1F" w14:textId="35C8787C" w:rsidR="00362411" w:rsidRDefault="007A3646" w:rsidP="007A3646">
      <w:pPr>
        <w:pStyle w:val="Odlomakpopisa"/>
        <w:numPr>
          <w:ilvl w:val="0"/>
          <w:numId w:val="70"/>
        </w:numPr>
      </w:pPr>
      <w:r>
        <w:t xml:space="preserve">Pametno (kružno) gospodarstvo </w:t>
      </w:r>
    </w:p>
    <w:p w14:paraId="354147A1" w14:textId="500DD8A9" w:rsidR="007A3646" w:rsidRDefault="007A3646" w:rsidP="007A3646">
      <w:pPr>
        <w:pStyle w:val="Odlomakpopisa"/>
        <w:numPr>
          <w:ilvl w:val="0"/>
          <w:numId w:val="70"/>
        </w:numPr>
      </w:pPr>
      <w:r>
        <w:t xml:space="preserve">Održiva urbana moblinost. </w:t>
      </w:r>
    </w:p>
    <w:p w14:paraId="37E336B9" w14:textId="77777777" w:rsidR="007A3646" w:rsidRDefault="007A3646" w:rsidP="007A3646"/>
    <w:p w14:paraId="3674DA69" w14:textId="13E610F2" w:rsidR="007A3646" w:rsidRPr="00362411" w:rsidRDefault="007A3646" w:rsidP="007A3646">
      <w:r>
        <w:t xml:space="preserve">Primjeri ovakvih strateških opredijeljenja i projekata hrvatskih gradova su sljedeći: </w:t>
      </w:r>
    </w:p>
    <w:p w14:paraId="21050891" w14:textId="66C30622" w:rsidR="000B51D7" w:rsidRDefault="00F91E0C" w:rsidP="007A3646">
      <w:pPr>
        <w:pStyle w:val="Odlomakpopisa"/>
        <w:numPr>
          <w:ilvl w:val="0"/>
          <w:numId w:val="70"/>
        </w:numPr>
      </w:pPr>
      <w:bookmarkStart w:id="171" w:name="_Toc34052899"/>
      <w:r w:rsidRPr="00CC7D50">
        <w:t>Zagreb Smart City</w:t>
      </w:r>
      <w:bookmarkEnd w:id="171"/>
      <w:r w:rsidR="007A3646">
        <w:t xml:space="preserve"> – Grad Zagreb he izradio svoju strategiju te se institucionalno kapacitirao za provedbu strategije razvoja pametnog grada</w:t>
      </w:r>
    </w:p>
    <w:p w14:paraId="17671BCD" w14:textId="62CF456E" w:rsidR="009C60B8" w:rsidRDefault="00D96F13" w:rsidP="007A3646">
      <w:pPr>
        <w:pStyle w:val="Odlomakpopisa"/>
        <w:numPr>
          <w:ilvl w:val="0"/>
          <w:numId w:val="70"/>
        </w:numPr>
      </w:pPr>
      <w:bookmarkStart w:id="172" w:name="_Toc34052900"/>
      <w:r w:rsidRPr="00D96F13">
        <w:t>Rijeka Pametan grad</w:t>
      </w:r>
      <w:bookmarkEnd w:id="172"/>
      <w:r w:rsidR="007A3646">
        <w:t xml:space="preserve"> – u </w:t>
      </w:r>
      <w:r w:rsidR="009C60B8" w:rsidRPr="009C60B8">
        <w:t xml:space="preserve">Strategiji razvoja Grada </w:t>
      </w:r>
      <w:r w:rsidR="007A3646">
        <w:t>R</w:t>
      </w:r>
      <w:r w:rsidR="009C60B8" w:rsidRPr="009C60B8">
        <w:t>ijeke za razdoblje 2014.-2020. godine</w:t>
      </w:r>
      <w:r w:rsidR="007A3646">
        <w:t>definiraju se sva područja razvoja Rijeke kao pametnog grada</w:t>
      </w:r>
    </w:p>
    <w:p w14:paraId="0BB747BD" w14:textId="44A76933" w:rsidR="002D3B4C" w:rsidRDefault="00ED1FE5" w:rsidP="00F85094">
      <w:pPr>
        <w:pStyle w:val="Odlomakpopisa"/>
        <w:numPr>
          <w:ilvl w:val="0"/>
          <w:numId w:val="51"/>
        </w:numPr>
      </w:pPr>
      <w:bookmarkStart w:id="173" w:name="_Toc34052901"/>
      <w:r w:rsidRPr="00ED1FE5">
        <w:t>Zadar Urban Mobility 4.0</w:t>
      </w:r>
      <w:bookmarkEnd w:id="173"/>
      <w:r w:rsidR="007A3646">
        <w:t xml:space="preserve"> – Zadar predviđa niz mjera za razvoj </w:t>
      </w:r>
      <w:r w:rsidR="002D3B4C">
        <w:t xml:space="preserve">inteligentnog prometnog sustava na području Grada </w:t>
      </w:r>
      <w:r w:rsidR="007A3646">
        <w:t>(w</w:t>
      </w:r>
      <w:r w:rsidR="002D3B4C">
        <w:t>eb portal i mobilna aplikacija za pristup objedinjenim uslugama</w:t>
      </w:r>
      <w:r w:rsidR="00F85094">
        <w:t>, s</w:t>
      </w:r>
      <w:r w:rsidR="002D3B4C">
        <w:t>ustav elektroničke naplate u javnom prijevozu</w:t>
      </w:r>
      <w:r w:rsidR="00F85094">
        <w:t>, s</w:t>
      </w:r>
      <w:r w:rsidR="002D3B4C">
        <w:t>ustav pametnog parkiranja</w:t>
      </w:r>
      <w:r w:rsidR="00F85094">
        <w:t>, s</w:t>
      </w:r>
      <w:r w:rsidR="002D3B4C">
        <w:t>ustav informiranja u prometu i javnom prijevozu</w:t>
      </w:r>
      <w:r w:rsidR="00F85094">
        <w:t xml:space="preserve"> i </w:t>
      </w:r>
      <w:r w:rsidR="002D3B4C">
        <w:t>Centralni Informacijski Sustav  (CIS) – središnji sustav za nadzor i upravljanje ostalim elementima projekta</w:t>
      </w:r>
      <w:r w:rsidR="00F85094">
        <w:t>)</w:t>
      </w:r>
    </w:p>
    <w:p w14:paraId="6B8B5B7E" w14:textId="50E9D955" w:rsidR="0068065A" w:rsidRDefault="00D316E6" w:rsidP="00AD5127">
      <w:pPr>
        <w:pStyle w:val="Odlomakpopisa"/>
        <w:numPr>
          <w:ilvl w:val="0"/>
          <w:numId w:val="70"/>
        </w:numPr>
      </w:pPr>
      <w:bookmarkStart w:id="174" w:name="_Toc34052902"/>
      <w:r w:rsidRPr="00D316E6">
        <w:t>Pamet</w:t>
      </w:r>
      <w:r>
        <w:t>ni</w:t>
      </w:r>
      <w:r w:rsidRPr="00D316E6">
        <w:t xml:space="preserve"> grad Dubrovnik</w:t>
      </w:r>
      <w:bookmarkEnd w:id="174"/>
      <w:r w:rsidR="00F85094">
        <w:t xml:space="preserve"> - </w:t>
      </w:r>
      <w:r w:rsidR="0082636D" w:rsidRPr="0082636D">
        <w:t>sustav pametnog parkinga</w:t>
      </w:r>
      <w:r w:rsidR="00F85094">
        <w:t>; D</w:t>
      </w:r>
      <w:r w:rsidR="0068065A" w:rsidRPr="0068065A">
        <w:t>ubrovnik Visitor Grad Dubrovnik prati podatke o kretanju ljudi u povijesnoj jezgri</w:t>
      </w:r>
      <w:r w:rsidR="00F85094">
        <w:t xml:space="preserve">; </w:t>
      </w:r>
      <w:r w:rsidR="003708F5" w:rsidRPr="003708F5">
        <w:t>rješenje za 3D urbano planiranje za pametni i održivi grad</w:t>
      </w:r>
      <w:r w:rsidR="00F85094">
        <w:t>)</w:t>
      </w:r>
    </w:p>
    <w:p w14:paraId="76347C8A" w14:textId="603E1C39" w:rsidR="00F85094" w:rsidRDefault="001034CA" w:rsidP="00C634EA">
      <w:pPr>
        <w:pStyle w:val="Odlomakpopisa"/>
        <w:numPr>
          <w:ilvl w:val="0"/>
          <w:numId w:val="70"/>
        </w:numPr>
      </w:pPr>
      <w:bookmarkStart w:id="175" w:name="_Toc34052903"/>
      <w:r w:rsidRPr="001034CA">
        <w:t>Grad Bjelovar – Smart City</w:t>
      </w:r>
      <w:bookmarkEnd w:id="175"/>
      <w:r w:rsidR="00F85094">
        <w:t xml:space="preserve"> - i</w:t>
      </w:r>
      <w:r w:rsidR="0013098C" w:rsidRPr="0013098C">
        <w:t>nformatizacij</w:t>
      </w:r>
      <w:r w:rsidR="0013098C">
        <w:t>a</w:t>
      </w:r>
      <w:r w:rsidR="0013098C" w:rsidRPr="0013098C">
        <w:t xml:space="preserve"> Gradske uprave kako bi Bjelovar postao grad gdje su nove tehnologije prihvatljive i olakšavaju život građanima</w:t>
      </w:r>
      <w:r w:rsidR="00F85094">
        <w:t xml:space="preserve">, </w:t>
      </w:r>
      <w:r w:rsidR="0013098C" w:rsidRPr="0013098C">
        <w:t>e-Račun putem servisa e-Pošta koji smanjuje troškove te povećava učinkovitost službenika i komunikaciju s građanima</w:t>
      </w:r>
      <w:r w:rsidR="00F85094">
        <w:t xml:space="preserve">, </w:t>
      </w:r>
      <w:r w:rsidR="0013098C" w:rsidRPr="0013098C">
        <w:t>pametne klupe u središtu grada</w:t>
      </w:r>
      <w:r w:rsidR="00F85094">
        <w:t xml:space="preserve">; </w:t>
      </w:r>
      <w:r w:rsidR="0013098C" w:rsidRPr="0013098C">
        <w:t>punionica za električne bicikle</w:t>
      </w:r>
      <w:r w:rsidR="00F85094">
        <w:t>.</w:t>
      </w:r>
    </w:p>
    <w:p w14:paraId="61751962" w14:textId="49CD951E" w:rsidR="0013098C" w:rsidRDefault="00F85094" w:rsidP="00F85094">
      <w:r>
        <w:t xml:space="preserve">Svi ovi projekti razvoja pametnih gradova pretpostavljaju snažno korištenje digitalnih tehnologija kako u zgradama tako i u uslugama koje se pružaju u tim zgradama, a sve s ciljem razvoja gradova na okolišno, ekonomski i društveno održiv način.  </w:t>
      </w:r>
      <w:r w:rsidR="0013098C" w:rsidRPr="0013098C">
        <w:t xml:space="preserve"> </w:t>
      </w:r>
    </w:p>
    <w:p w14:paraId="645BC1CE" w14:textId="77777777" w:rsidR="0013098C" w:rsidRDefault="00284F05" w:rsidP="007649C2">
      <w:pPr>
        <w:pStyle w:val="Naslov20"/>
      </w:pPr>
      <w:bookmarkStart w:id="176" w:name="_Toc34052904"/>
      <w:bookmarkStart w:id="177" w:name="_Toc46163843"/>
      <w:r w:rsidRPr="00284F05">
        <w:t>P</w:t>
      </w:r>
      <w:r>
        <w:t>olitike</w:t>
      </w:r>
      <w:r w:rsidRPr="00284F05">
        <w:t xml:space="preserve"> </w:t>
      </w:r>
      <w:r>
        <w:t xml:space="preserve">i mjere za promicanje vještina i </w:t>
      </w:r>
      <w:r w:rsidRPr="00284F05">
        <w:t>obrazovanje u građevinskom sektoru i sektoru energetske učinkovitosti</w:t>
      </w:r>
      <w:bookmarkEnd w:id="176"/>
      <w:bookmarkEnd w:id="177"/>
      <w:r w:rsidRPr="00284F05">
        <w:t xml:space="preserve"> </w:t>
      </w:r>
    </w:p>
    <w:p w14:paraId="2F26E9AF" w14:textId="77777777" w:rsidR="008B34A6" w:rsidRDefault="00192A74" w:rsidP="00597241">
      <w:pPr>
        <w:pStyle w:val="Naslov3-"/>
      </w:pPr>
      <w:bookmarkStart w:id="178" w:name="_Toc34052905"/>
      <w:bookmarkStart w:id="179" w:name="_Toc46163844"/>
      <w:r>
        <w:t>Croskills</w:t>
      </w:r>
      <w:bookmarkEnd w:id="178"/>
      <w:bookmarkEnd w:id="179"/>
      <w:r>
        <w:t xml:space="preserve"> </w:t>
      </w:r>
    </w:p>
    <w:p w14:paraId="02DF9CFE" w14:textId="77777777" w:rsidR="00192A74" w:rsidRDefault="00192A74" w:rsidP="00192A74">
      <w:pPr>
        <w:rPr>
          <w:lang w:eastAsia="hr-HR"/>
        </w:rPr>
      </w:pPr>
      <w:r>
        <w:rPr>
          <w:lang w:eastAsia="hr-HR"/>
        </w:rPr>
        <w:t>Projekt CROSKILLS, kao dio inicijative Build Up Skills, usmjeren je na cjeloživotnu edukaciju i usavršavanje hrvatskih radnika u području energetske učinkovitosti u zgradarstvu - jačanje kvalifikacija obrtnika, zaposlenih i nezaposlenih građevinskih radnika - nakon početnog, osnovnog obrazovanja ili nakon što su već započeli s radom. Također se odnosi na obuku i kvalificiranje trenutno nezaposlenih radnika.</w:t>
      </w:r>
    </w:p>
    <w:p w14:paraId="57967B83" w14:textId="77777777" w:rsidR="00192A74" w:rsidRDefault="00192A74" w:rsidP="00192A74">
      <w:pPr>
        <w:rPr>
          <w:lang w:eastAsia="hr-HR"/>
        </w:rPr>
      </w:pPr>
      <w:r>
        <w:rPr>
          <w:lang w:eastAsia="hr-HR"/>
        </w:rPr>
        <w:t>Prvi dio projekta (2012-2013.g.) okupio je relevantne hrvatske institucije i strukovne organizacije u sektorima građevinarstva, energetike i obrazovanja kroz Nacionalnu kvalifikacijsku platformu, te rezultirao formulacijom potreba, mjera i prioriteta u obliku Nacionalnih smjernica s akcijskim planom, koje su formalno prihvatile čak 23 sektorske organizacije.</w:t>
      </w:r>
    </w:p>
    <w:p w14:paraId="430D361F" w14:textId="3334CE16" w:rsidR="00A701FB" w:rsidRPr="00991312" w:rsidRDefault="00A701FB" w:rsidP="00192A74">
      <w:pPr>
        <w:rPr>
          <w:lang w:eastAsia="hr-HR"/>
        </w:rPr>
      </w:pPr>
      <w:r>
        <w:rPr>
          <w:lang w:eastAsia="hr-HR"/>
        </w:rPr>
        <w:t>U drugoj fazi, Croskills II se razvija</w:t>
      </w:r>
      <w:r w:rsidR="007924FA">
        <w:rPr>
          <w:lang w:eastAsia="hr-HR"/>
        </w:rPr>
        <w:t xml:space="preserve"> 24 kurikularna modula na razini EQF 4, za </w:t>
      </w:r>
      <w:r w:rsidR="008C54A5">
        <w:rPr>
          <w:lang w:eastAsia="hr-HR"/>
        </w:rPr>
        <w:t xml:space="preserve">deficitarna </w:t>
      </w:r>
      <w:r w:rsidR="007924FA">
        <w:rPr>
          <w:lang w:eastAsia="hr-HR"/>
        </w:rPr>
        <w:t xml:space="preserve">zanimanja </w:t>
      </w:r>
      <w:r w:rsidR="008C54A5">
        <w:rPr>
          <w:lang w:eastAsia="hr-HR"/>
        </w:rPr>
        <w:t xml:space="preserve">vezana uz izvedbu vanjske ovojnice na zgradama – zidar, fasader, soboslikar, </w:t>
      </w:r>
      <w:r w:rsidR="00E25024" w:rsidRPr="00991312">
        <w:rPr>
          <w:lang w:eastAsia="hr-HR"/>
        </w:rPr>
        <w:t>tesar</w:t>
      </w:r>
      <w:r w:rsidR="008C54A5" w:rsidRPr="00991312">
        <w:rPr>
          <w:lang w:eastAsia="hr-HR"/>
        </w:rPr>
        <w:t xml:space="preserve">, krovopokrivač i </w:t>
      </w:r>
      <w:r w:rsidR="003C53C2" w:rsidRPr="00991312">
        <w:rPr>
          <w:lang w:eastAsia="hr-HR"/>
        </w:rPr>
        <w:t>monter</w:t>
      </w:r>
      <w:r w:rsidR="008C54A5" w:rsidRPr="00991312">
        <w:rPr>
          <w:lang w:eastAsia="hr-HR"/>
        </w:rPr>
        <w:t xml:space="preserve"> </w:t>
      </w:r>
      <w:r w:rsidR="00E25024" w:rsidRPr="00991312">
        <w:rPr>
          <w:lang w:eastAsia="hr-HR"/>
        </w:rPr>
        <w:t>suhe gradnje</w:t>
      </w:r>
      <w:r w:rsidR="00B3206A" w:rsidRPr="00991312">
        <w:rPr>
          <w:lang w:eastAsia="hr-HR"/>
        </w:rPr>
        <w:t>.</w:t>
      </w:r>
    </w:p>
    <w:p w14:paraId="3AFBE457" w14:textId="77777777" w:rsidR="00B86E7C" w:rsidRPr="00991312" w:rsidRDefault="00B86E7C" w:rsidP="00B86E7C">
      <w:pPr>
        <w:rPr>
          <w:lang w:eastAsia="hr-HR"/>
        </w:rPr>
      </w:pPr>
      <w:r w:rsidRPr="00991312">
        <w:rPr>
          <w:lang w:eastAsia="hr-HR"/>
        </w:rPr>
        <w:t>U cilju jačanja vještina građevinskih radnika u području energetske učinkovitosti i što kvalitetnije izobrazbe napravljeni su Trening-materijali za radnike zanimanja - zidar, fasader, tesar, soboslikar/ličioc, krovopokrivač, monter suhe gradnje). Također su napravljeni priručnici za trenere za izobrazbu svih navedenih zanimanja. Ovi priručnici namijenjeni su svima onima koji imaju znanja iz predmetnih zanimanja s ciljem da ih dodatno usavrše u području energetske učinkovitosti. Obučavanje trenera za prenošenje potrebnih vještina i znanja drugima predstavlja osnovu za uspješnu realizaciju projekta CROSKILLS.</w:t>
      </w:r>
    </w:p>
    <w:p w14:paraId="2D518D99" w14:textId="77777777" w:rsidR="00B86E7C" w:rsidRPr="00991312" w:rsidRDefault="00B86E7C" w:rsidP="00B86E7C">
      <w:pPr>
        <w:rPr>
          <w:lang w:eastAsia="hr-HR"/>
        </w:rPr>
      </w:pPr>
      <w:r w:rsidRPr="00991312">
        <w:rPr>
          <w:lang w:eastAsia="hr-HR"/>
        </w:rPr>
        <w:t>Zatim su uspostavljene baze s podacima za certificirane građevinske radnike koji ugrađuju dijelove zgrade koji utječu na EnU kao i za Nositelje Programa izobrazbe za certificiranje tih građevinskih radnika:</w:t>
      </w:r>
    </w:p>
    <w:p w14:paraId="2CB1EF30" w14:textId="77777777" w:rsidR="00B86E7C" w:rsidRPr="00991312" w:rsidRDefault="00B86E7C" w:rsidP="00B86E7C">
      <w:pPr>
        <w:rPr>
          <w:lang w:eastAsia="hr-HR"/>
        </w:rPr>
      </w:pPr>
      <w:r w:rsidRPr="00991312">
        <w:rPr>
          <w:lang w:eastAsia="hr-HR"/>
        </w:rPr>
        <w:t>-</w:t>
      </w:r>
      <w:r w:rsidRPr="00991312">
        <w:rPr>
          <w:lang w:eastAsia="hr-HR"/>
        </w:rPr>
        <w:tab/>
        <w:t>Certificirani radnici (zidar, fasader, tesar, soboslikar/ličioc, krovopokrivač, monter suhe gradnje)</w:t>
      </w:r>
    </w:p>
    <w:p w14:paraId="4131DEA7" w14:textId="77777777" w:rsidR="00B86E7C" w:rsidRPr="00991312" w:rsidRDefault="00B86E7C" w:rsidP="00B86E7C">
      <w:pPr>
        <w:rPr>
          <w:lang w:eastAsia="hr-HR"/>
        </w:rPr>
      </w:pPr>
      <w:r w:rsidRPr="00991312">
        <w:rPr>
          <w:lang w:eastAsia="hr-HR"/>
        </w:rPr>
        <w:t>-</w:t>
      </w:r>
      <w:r w:rsidRPr="00991312">
        <w:rPr>
          <w:lang w:eastAsia="hr-HR"/>
        </w:rPr>
        <w:tab/>
        <w:t>Certificirani treneri (zidar, fasader, tesar, soboslikar/ličioc, krovopokrivač, monter suhe gradnje)</w:t>
      </w:r>
    </w:p>
    <w:p w14:paraId="31377AD2" w14:textId="77777777" w:rsidR="00B86E7C" w:rsidRPr="00991312" w:rsidRDefault="00B86E7C" w:rsidP="00B86E7C">
      <w:pPr>
        <w:rPr>
          <w:lang w:eastAsia="hr-HR"/>
        </w:rPr>
      </w:pPr>
      <w:r w:rsidRPr="00991312">
        <w:rPr>
          <w:lang w:eastAsia="hr-HR"/>
        </w:rPr>
        <w:t>-</w:t>
      </w:r>
      <w:r w:rsidRPr="00991312">
        <w:rPr>
          <w:lang w:eastAsia="hr-HR"/>
        </w:rPr>
        <w:tab/>
        <w:t xml:space="preserve">Ovlašteni trening-centri te termini edukacije za radnike </w:t>
      </w:r>
    </w:p>
    <w:p w14:paraId="386F8F13" w14:textId="77777777" w:rsidR="00B86E7C" w:rsidRPr="00991312" w:rsidRDefault="00B86E7C" w:rsidP="00B86E7C">
      <w:pPr>
        <w:rPr>
          <w:lang w:eastAsia="hr-HR"/>
        </w:rPr>
      </w:pPr>
      <w:r w:rsidRPr="00991312">
        <w:rPr>
          <w:lang w:eastAsia="hr-HR"/>
        </w:rPr>
        <w:t>Pravilnikom o sustavu izobrazbe i certificiranja građevinskih radnika koji ugrađuju dijelove zgrade koji utječu na energetsku učinkovitost u zgradarstvu (NN 67/2017.) propisuje se sustav izobrazbe i certificiranja građevinskih radnika koji ugrađuju dijelove zgrade koji utječu na energetsku učinkovitost u zgradarstvu.  Ovim Pravilnikom propisuju se, između ostalog, uvjeti i mjerila za certificiranje građevinskih radnika koji ugrađuju dijelove zgrade koji utječu na EnU, stručna sprema i radno iskustvo potrebno za pristupanje Programu izobrazbe, sadržaj i način provođenja Programa izobrazbe i provjere znanja te stručno usavršavanje, Registar certificiranih građevinskih radnika koji ugrađuju dijelove zgrade koji utječu na EnU, Registar Nositelja Programa izobrazbe za certificiranje građevinskih radnika koji ugrađuju dijelove zgrade koji utječu na EnU, uvjeti za izdavanje suglasnosti za provođenje Programa izobrazbe, obveze Nositelja Programa izobrazbe itd.</w:t>
      </w:r>
    </w:p>
    <w:p w14:paraId="659C5F2B" w14:textId="77777777" w:rsidR="00B86E7C" w:rsidRPr="00B3206A" w:rsidRDefault="00B86E7C" w:rsidP="00192A74">
      <w:pPr>
        <w:rPr>
          <w:color w:val="FF0000"/>
          <w:lang w:eastAsia="hr-HR"/>
        </w:rPr>
      </w:pPr>
    </w:p>
    <w:p w14:paraId="6CE21275" w14:textId="77777777" w:rsidR="0045291E" w:rsidRPr="00EC457F" w:rsidRDefault="00F93607" w:rsidP="00597241">
      <w:pPr>
        <w:pStyle w:val="Naslov3-"/>
      </w:pPr>
      <w:bookmarkStart w:id="180" w:name="_Toc34052906"/>
      <w:bookmarkStart w:id="181" w:name="_Toc46163845"/>
      <w:r>
        <w:t>Green Building Pro</w:t>
      </w:r>
      <w:bookmarkEnd w:id="180"/>
      <w:bookmarkEnd w:id="181"/>
    </w:p>
    <w:p w14:paraId="53F7D2C9" w14:textId="225C0DD8" w:rsidR="00713FAF" w:rsidRDefault="00814CD5" w:rsidP="00991312">
      <w:pPr>
        <w:rPr>
          <w:lang w:eastAsia="hr-HR"/>
        </w:rPr>
      </w:pPr>
      <w:r>
        <w:rPr>
          <w:lang w:eastAsia="hr-HR"/>
        </w:rPr>
        <w:t>Cilj Green Building Professional edukacijskog programa je podizanje naraštaja multi-disciplinarnih stručnjaka u području zelene i održive gradnje, energetske učinkovitosti, obnovljivih izvora energije te održivog prometa i e-mobilnosti.</w:t>
      </w:r>
    </w:p>
    <w:p w14:paraId="5030DBD0" w14:textId="77777777" w:rsidR="00F601D7" w:rsidRDefault="00814CD5" w:rsidP="00814CD5">
      <w:pPr>
        <w:rPr>
          <w:lang w:eastAsia="hr-HR"/>
        </w:rPr>
      </w:pPr>
      <w:r>
        <w:rPr>
          <w:lang w:eastAsia="hr-HR"/>
        </w:rPr>
        <w:t xml:space="preserve">Kroz teme: projektiranje i financiranje zelenih zgrada; korištenje ekoloških i održivih materijala za gradnju, opremanje i rekonstrukciju zgrada (s najmanjim ugljičnim otiskom i štetnim djelovanjem na okoliš i korisnike objekta); procjene vrijednosti i životnog ciklusa zgrada s obzirom na zelene elemente i izgrađeni okoliš; oblikovanje krajobraza, energetski učinkovit dizajn i rasvjetne tehnologije, korištenje dnevnog svijetla, ostvarivanja ušteda kroz reciklažu i uštedu energije, efikasno korištenje vodnih resursa; odabir održive lokacije i upravljanje istom, stvaranje zelenih ureda;i rješenja: suvremene gradnje, </w:t>
      </w:r>
      <w:r w:rsidR="00647DC3">
        <w:rPr>
          <w:lang w:eastAsia="hr-HR"/>
        </w:rPr>
        <w:t>ocjena utjecaja u životnom ciklusu</w:t>
      </w:r>
      <w:r>
        <w:rPr>
          <w:lang w:eastAsia="hr-HR"/>
        </w:rPr>
        <w:t xml:space="preserve">, </w:t>
      </w:r>
      <w:r w:rsidR="00647DC3">
        <w:rPr>
          <w:lang w:eastAsia="hr-HR"/>
        </w:rPr>
        <w:t>ocjena cjeloživotnog troška</w:t>
      </w:r>
      <w:r>
        <w:rPr>
          <w:lang w:eastAsia="hr-HR"/>
        </w:rPr>
        <w:t>, gospodarenje energijom i pametnim zgradama, pravnog okvira i regulative, energetske obnove, energetske učinkovitosti, održivog prometa, e-mobilnosti, nZEB, termotehničkih sustava u zgradarstvu, kako kombinirati i projektirati energetski efikasne zgrade, međunarodnim certifikatima za zelenu gradnju LEED, BREEAM ili DGNB kreirati: okoliš koji će biti zdraviji, ugodniji, energetski učinkovitiji i ekonomski isplativiji - a sve temeljem principa održivosti.</w:t>
      </w:r>
    </w:p>
    <w:p w14:paraId="7D6DA050" w14:textId="77777777" w:rsidR="00814CD5" w:rsidRDefault="00312BC4" w:rsidP="00597241">
      <w:pPr>
        <w:pStyle w:val="Naslov3-"/>
      </w:pPr>
      <w:bookmarkStart w:id="182" w:name="_Toc34052907"/>
      <w:bookmarkStart w:id="183" w:name="_Toc46163846"/>
      <w:r>
        <w:t>BuildUp</w:t>
      </w:r>
      <w:bookmarkEnd w:id="182"/>
      <w:bookmarkEnd w:id="183"/>
      <w:r w:rsidR="002B3CA8">
        <w:t xml:space="preserve"> </w:t>
      </w:r>
    </w:p>
    <w:p w14:paraId="71AC1086" w14:textId="77777777" w:rsidR="002B3CA8" w:rsidRDefault="002F6261" w:rsidP="002B3CA8">
      <w:pPr>
        <w:rPr>
          <w:lang w:eastAsia="hr-HR"/>
        </w:rPr>
      </w:pPr>
      <w:r>
        <w:rPr>
          <w:lang w:eastAsia="hr-HR"/>
        </w:rPr>
        <w:t xml:space="preserve">Sa zajedničkim nazivnikom aktivno je nekoliko projekata usmjerenih na digitalizaciju gradnje i korištenje suvremenih informatičkih tehnologija: </w:t>
      </w:r>
    </w:p>
    <w:p w14:paraId="7102E16F" w14:textId="77777777" w:rsidR="00477641" w:rsidRDefault="00477641" w:rsidP="002F6261">
      <w:pPr>
        <w:pStyle w:val="Naslov4-"/>
      </w:pPr>
      <w:bookmarkStart w:id="184" w:name="_Toc34052908"/>
      <w:r>
        <w:t>NetUBIep</w:t>
      </w:r>
      <w:bookmarkEnd w:id="184"/>
    </w:p>
    <w:p w14:paraId="168F49CD" w14:textId="77777777" w:rsidR="00EE20C9" w:rsidRPr="00EE20C9" w:rsidRDefault="00EE20C9" w:rsidP="00EE20C9">
      <w:pPr>
        <w:rPr>
          <w:lang w:eastAsia="hr-HR"/>
        </w:rPr>
      </w:pPr>
      <w:r>
        <w:rPr>
          <w:lang w:eastAsia="hr-HR"/>
        </w:rPr>
        <w:t>P</w:t>
      </w:r>
      <w:r w:rsidRPr="00EE20C9">
        <w:rPr>
          <w:lang w:eastAsia="hr-HR"/>
        </w:rPr>
        <w:t>ovećanje energetske učinkovitosti zgrada na način da se potakne i poveća korištenje BIM-a tijekom životnog vijeka zgrade. Korištenje BIM-a omogućit će povećanje energetskih svojstava zgrada koristeći različite materijale i u procesu glavnog projekta i u procesu projekata (energetske) obnove zgrade.</w:t>
      </w:r>
    </w:p>
    <w:p w14:paraId="120EF54C" w14:textId="77777777" w:rsidR="002F6261" w:rsidRDefault="002F6261" w:rsidP="002F6261">
      <w:pPr>
        <w:pStyle w:val="Naslov4-"/>
      </w:pPr>
      <w:bookmarkStart w:id="185" w:name="_Toc34052909"/>
      <w:r>
        <w:t>BIMcert</w:t>
      </w:r>
      <w:bookmarkEnd w:id="185"/>
    </w:p>
    <w:p w14:paraId="62E52472" w14:textId="77777777" w:rsidR="00EE20C9" w:rsidRPr="00EE20C9" w:rsidRDefault="008E0424" w:rsidP="00EE20C9">
      <w:pPr>
        <w:rPr>
          <w:lang w:eastAsia="hr-HR"/>
        </w:rPr>
      </w:pPr>
      <w:r w:rsidRPr="008E0424">
        <w:rPr>
          <w:lang w:eastAsia="hr-HR"/>
        </w:rPr>
        <w:t>BIMcert će razviti mješovit, potpuno podržan skup alata za učenje Building Information Modelling-a (BIM) koji omogućava geografski razdvojenim timovima na građevinskim projektima korištenje tehnologije za poboljšanje razmjene informacija i suradnje. Osobita pažnja projekta usmjerena je na zelenu i pasivnu gradnju kako bi se doprinijelo povećanju energetske učinkovitosti.</w:t>
      </w:r>
      <w:r w:rsidR="003C53C2">
        <w:rPr>
          <w:lang w:eastAsia="hr-HR"/>
        </w:rPr>
        <w:t xml:space="preserve"> U okviru projekta razvijen je kurikul i </w:t>
      </w:r>
      <w:r w:rsidR="00101D4B">
        <w:rPr>
          <w:lang w:eastAsia="hr-HR"/>
        </w:rPr>
        <w:t>pokazni moduli edukacije za BIM u energetskoj učinkovitosti do razine EQF4</w:t>
      </w:r>
      <w:r w:rsidR="00335D9C">
        <w:rPr>
          <w:lang w:eastAsia="hr-HR"/>
        </w:rPr>
        <w:t xml:space="preserve">, te digitalna platforma za </w:t>
      </w:r>
      <w:r w:rsidR="00366F6C">
        <w:rPr>
          <w:lang w:eastAsia="hr-HR"/>
        </w:rPr>
        <w:t xml:space="preserve">mješoviti model prenošenja znanja. </w:t>
      </w:r>
    </w:p>
    <w:p w14:paraId="0BB42054" w14:textId="77777777" w:rsidR="00572FAB" w:rsidRDefault="00572FAB" w:rsidP="00572FAB">
      <w:pPr>
        <w:pStyle w:val="Naslov4-"/>
      </w:pPr>
      <w:bookmarkStart w:id="186" w:name="_Toc34052910"/>
      <w:r>
        <w:t>BIMZEED</w:t>
      </w:r>
      <w:bookmarkEnd w:id="186"/>
    </w:p>
    <w:p w14:paraId="1848F41C" w14:textId="77777777" w:rsidR="001C2FA8" w:rsidRDefault="001C2FA8" w:rsidP="00572FAB">
      <w:pPr>
        <w:rPr>
          <w:lang w:eastAsia="hr-HR"/>
        </w:rPr>
      </w:pPr>
      <w:r>
        <w:rPr>
          <w:lang w:eastAsia="hr-HR"/>
        </w:rPr>
        <w:t>P</w:t>
      </w:r>
      <w:r w:rsidRPr="001C2FA8">
        <w:rPr>
          <w:lang w:eastAsia="hr-HR"/>
        </w:rPr>
        <w:t xml:space="preserve">rojekt BIMzeED usmjeren </w:t>
      </w:r>
      <w:r>
        <w:rPr>
          <w:lang w:eastAsia="hr-HR"/>
        </w:rPr>
        <w:t xml:space="preserve">je </w:t>
      </w:r>
      <w:r w:rsidRPr="001C2FA8">
        <w:rPr>
          <w:lang w:eastAsia="hr-HR"/>
        </w:rPr>
        <w:t xml:space="preserve">na definiranje izobrazbe koju građevinska industrija trenutno treba, kao i ona koja će biti potrebna u budućnosti s ciljem poticanja: </w:t>
      </w:r>
    </w:p>
    <w:p w14:paraId="41C9957D" w14:textId="77777777" w:rsidR="001C2FA8" w:rsidRDefault="001C2FA8" w:rsidP="00572FAB">
      <w:pPr>
        <w:rPr>
          <w:lang w:eastAsia="hr-HR"/>
        </w:rPr>
      </w:pPr>
      <w:r>
        <w:rPr>
          <w:lang w:eastAsia="hr-HR"/>
        </w:rPr>
        <w:tab/>
      </w:r>
      <w:r w:rsidRPr="001C2FA8">
        <w:rPr>
          <w:lang w:eastAsia="hr-HR"/>
        </w:rPr>
        <w:t xml:space="preserve">1) bolje mogućnosti zaposlenja </w:t>
      </w:r>
    </w:p>
    <w:p w14:paraId="6D78A28A" w14:textId="77777777" w:rsidR="001C2FA8" w:rsidRDefault="001C2FA8" w:rsidP="00572FAB">
      <w:pPr>
        <w:rPr>
          <w:lang w:eastAsia="hr-HR"/>
        </w:rPr>
      </w:pPr>
      <w:r>
        <w:rPr>
          <w:lang w:eastAsia="hr-HR"/>
        </w:rPr>
        <w:tab/>
      </w:r>
      <w:r w:rsidRPr="001C2FA8">
        <w:rPr>
          <w:lang w:eastAsia="hr-HR"/>
        </w:rPr>
        <w:t xml:space="preserve">2) nisko-ugljičnog razvoja, </w:t>
      </w:r>
    </w:p>
    <w:p w14:paraId="480088EF" w14:textId="77777777" w:rsidR="001C2FA8" w:rsidRDefault="001C2FA8" w:rsidP="00572FAB">
      <w:pPr>
        <w:rPr>
          <w:lang w:eastAsia="hr-HR"/>
        </w:rPr>
      </w:pPr>
      <w:r>
        <w:rPr>
          <w:lang w:eastAsia="hr-HR"/>
        </w:rPr>
        <w:tab/>
      </w:r>
      <w:r w:rsidRPr="001C2FA8">
        <w:rPr>
          <w:lang w:eastAsia="hr-HR"/>
        </w:rPr>
        <w:t xml:space="preserve">3) zelenih vještina i vještina za građenje zgrada gotovo nulte energije (nZEB) </w:t>
      </w:r>
    </w:p>
    <w:p w14:paraId="57921BF4" w14:textId="77777777" w:rsidR="001C2FA8" w:rsidRDefault="001C2FA8" w:rsidP="00572FAB">
      <w:pPr>
        <w:rPr>
          <w:lang w:eastAsia="hr-HR"/>
        </w:rPr>
      </w:pPr>
      <w:r>
        <w:rPr>
          <w:lang w:eastAsia="hr-HR"/>
        </w:rPr>
        <w:tab/>
      </w:r>
      <w:r w:rsidRPr="001C2FA8">
        <w:rPr>
          <w:lang w:eastAsia="hr-HR"/>
        </w:rPr>
        <w:t xml:space="preserve">4) povećanja zaposlenosti mladih. </w:t>
      </w:r>
    </w:p>
    <w:p w14:paraId="1B474565" w14:textId="57F711EB" w:rsidR="00572FAB" w:rsidRDefault="001C2FA8" w:rsidP="00572FAB">
      <w:pPr>
        <w:rPr>
          <w:lang w:eastAsia="hr-HR"/>
        </w:rPr>
      </w:pPr>
      <w:r w:rsidRPr="001C2FA8">
        <w:rPr>
          <w:lang w:eastAsia="hr-HR"/>
        </w:rPr>
        <w:t>Izazov projekta BIMzeED je prevladavanje neusklađenosti vještina i poboljšanje mogućnosti zaposlenja na trenutnom europskom građevinskom tržištu na način da se poboljšaju postojeće vještina trenera, malih i srednjih poduzeća, voditelja gradilišta, obrtnika i drugih djelatnika građevinskog sektora.</w:t>
      </w:r>
    </w:p>
    <w:p w14:paraId="3C774182" w14:textId="0D1AD706" w:rsidR="00827B0A" w:rsidRDefault="00827B0A" w:rsidP="00572FAB">
      <w:pPr>
        <w:rPr>
          <w:lang w:eastAsia="hr-HR"/>
        </w:rPr>
      </w:pPr>
      <w:r>
        <w:rPr>
          <w:lang w:eastAsia="hr-HR"/>
        </w:rPr>
        <w:br w:type="page"/>
      </w:r>
    </w:p>
    <w:p w14:paraId="1DB14211" w14:textId="77777777" w:rsidR="00D85B6D" w:rsidRPr="008129E7" w:rsidRDefault="00D85B6D" w:rsidP="008129E7">
      <w:pPr>
        <w:pStyle w:val="Naslov10"/>
      </w:pPr>
      <w:bookmarkStart w:id="187" w:name="_Toc34052911"/>
      <w:bookmarkStart w:id="188" w:name="_Toc46163847"/>
      <w:r w:rsidRPr="008129E7">
        <w:t>Plan s mjerama, mjerljivim pokazateljima napretka i pokazateljima za ključne točke 2030, 2040 i 2050</w:t>
      </w:r>
      <w:bookmarkEnd w:id="187"/>
      <w:bookmarkEnd w:id="188"/>
    </w:p>
    <w:p w14:paraId="3440433E" w14:textId="77777777" w:rsidR="004E2FFF" w:rsidRDefault="004E2FFF" w:rsidP="007649C2">
      <w:pPr>
        <w:pStyle w:val="Naslov20"/>
      </w:pPr>
      <w:bookmarkStart w:id="189" w:name="_Toc34052912"/>
      <w:bookmarkStart w:id="190" w:name="_Toc46163848"/>
      <w:r w:rsidRPr="00214E70">
        <w:t>Dugoročni plan s mjerama za dekarbonizaciju nacionalnog fonda zgrada do 2050.</w:t>
      </w:r>
      <w:bookmarkEnd w:id="189"/>
      <w:bookmarkEnd w:id="190"/>
    </w:p>
    <w:p w14:paraId="20607CCA" w14:textId="529EA45E" w:rsidR="00FA2B5B" w:rsidRDefault="00FA2B5B" w:rsidP="00FA2B5B">
      <w:pPr>
        <w:rPr>
          <w:lang w:eastAsia="hr-HR"/>
        </w:rPr>
      </w:pPr>
      <w:r>
        <w:t xml:space="preserve">Identifikacija djelotvornih mjera za poticanje troškovno učinkovite integralne obnove nacionalnog fonda zgrada Republike Hrvatske će se bazirati na planu mogućih </w:t>
      </w:r>
      <w:r w:rsidR="002577A7">
        <w:t xml:space="preserve">strateških </w:t>
      </w:r>
      <w:r>
        <w:t>ciljeva i pokazatelja</w:t>
      </w:r>
      <w:r w:rsidR="007B71A6">
        <w:t xml:space="preserve"> napretka</w:t>
      </w:r>
      <w:r>
        <w:t xml:space="preserve"> za razdoblje do 2050. godine prema Energetskom putokazu do 2050. godine (</w:t>
      </w:r>
      <w:r>
        <w:rPr>
          <w:i/>
        </w:rPr>
        <w:t>engl. Energy Roadmap 2050</w:t>
      </w:r>
      <w:r>
        <w:t>) Europskog parlamenta donesenom u siječnju 2013. godine (</w:t>
      </w:r>
      <w:r>
        <w:fldChar w:fldCharType="begin"/>
      </w:r>
      <w:r>
        <w:instrText xml:space="preserve"> REF _Ref483405712 \h  \* MERGEFORMAT </w:instrText>
      </w:r>
      <w:r>
        <w:fldChar w:fldCharType="separate"/>
      </w:r>
      <w:r w:rsidR="00CE61F3">
        <w:t xml:space="preserve">Tablica </w:t>
      </w:r>
      <w:r w:rsidR="00CE61F3">
        <w:rPr>
          <w:noProof/>
        </w:rPr>
        <w:t>8.1</w:t>
      </w:r>
      <w:r w:rsidR="00CE61F3">
        <w:t xml:space="preserve"> </w:t>
      </w:r>
      <w:r>
        <w:fldChar w:fldCharType="end"/>
      </w:r>
      <w:r>
        <w:t>).</w:t>
      </w:r>
    </w:p>
    <w:p w14:paraId="30A00E00" w14:textId="0EF88403" w:rsidR="00FA2B5B" w:rsidRDefault="00FA2B5B" w:rsidP="00FA2B5B">
      <w:pPr>
        <w:pStyle w:val="Opisslike"/>
      </w:pPr>
      <w:bookmarkStart w:id="191" w:name="_Ref483405712"/>
      <w:bookmarkStart w:id="192" w:name="_Toc40089043"/>
      <w:r>
        <w:t xml:space="preserve">Tablica </w:t>
      </w:r>
      <w:fldSimple w:instr=" STYLEREF 1 \s ">
        <w:r w:rsidR="00CE61F3">
          <w:rPr>
            <w:noProof/>
          </w:rPr>
          <w:t>8</w:t>
        </w:r>
      </w:fldSimple>
      <w:r>
        <w:t>.</w:t>
      </w:r>
      <w:fldSimple w:instr=" SEQ Tablica \* ARABIC \s 1 ">
        <w:r w:rsidR="00CE61F3">
          <w:rPr>
            <w:noProof/>
          </w:rPr>
          <w:t>1</w:t>
        </w:r>
      </w:fldSimple>
      <w:r>
        <w:t xml:space="preserve"> </w:t>
      </w:r>
      <w:bookmarkEnd w:id="191"/>
      <w:r w:rsidRPr="000F1198">
        <w:t>Dugoročni plan integralne obnove nacionalnog fonda zgrada do 2050. godine</w:t>
      </w:r>
      <w:r w:rsidRPr="00621DB2">
        <w:rPr>
          <w:vertAlign w:val="superscript"/>
        </w:rPr>
        <w:footnoteReference w:id="33"/>
      </w:r>
      <w:r w:rsidRPr="000F1198">
        <w:t xml:space="preserve"> (Energy Roadmap 2050)</w:t>
      </w:r>
      <w:bookmarkEnd w:id="192"/>
    </w:p>
    <w:tbl>
      <w:tblPr>
        <w:tblStyle w:val="Svijetlatablicareetke11"/>
        <w:tblW w:w="5000" w:type="pct"/>
        <w:tblLook w:val="04A0" w:firstRow="1" w:lastRow="0" w:firstColumn="1" w:lastColumn="0" w:noHBand="0" w:noVBand="1"/>
      </w:tblPr>
      <w:tblGrid>
        <w:gridCol w:w="1555"/>
        <w:gridCol w:w="7789"/>
      </w:tblGrid>
      <w:tr w:rsidR="00FA2B5B" w14:paraId="07136D54" w14:textId="77777777" w:rsidTr="002E6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20C14045" w14:textId="77777777" w:rsidR="00FA2B5B" w:rsidRDefault="00FA2B5B" w:rsidP="002E69C6">
            <w:pPr>
              <w:ind w:left="0"/>
            </w:pPr>
            <w:r w:rsidRPr="007A04AC">
              <w:rPr>
                <w:rFonts w:cs="Tahoma"/>
                <w:sz w:val="18"/>
                <w:szCs w:val="18"/>
              </w:rPr>
              <w:t>Ciljna godina</w:t>
            </w:r>
          </w:p>
        </w:tc>
        <w:tc>
          <w:tcPr>
            <w:tcW w:w="4168" w:type="pct"/>
          </w:tcPr>
          <w:p w14:paraId="30CB6CA3" w14:textId="6EDE74A4" w:rsidR="00FA2B5B" w:rsidRDefault="002577A7" w:rsidP="002E69C6">
            <w:pPr>
              <w:ind w:left="0"/>
              <w:cnfStyle w:val="100000000000" w:firstRow="1" w:lastRow="0" w:firstColumn="0" w:lastColumn="0" w:oddVBand="0" w:evenVBand="0" w:oddHBand="0" w:evenHBand="0" w:firstRowFirstColumn="0" w:firstRowLastColumn="0" w:lastRowFirstColumn="0" w:lastRowLastColumn="0"/>
            </w:pPr>
            <w:r>
              <w:rPr>
                <w:rFonts w:cs="Tahoma"/>
                <w:sz w:val="18"/>
                <w:szCs w:val="18"/>
              </w:rPr>
              <w:t>Strateški c</w:t>
            </w:r>
            <w:r w:rsidR="00FA2B5B" w:rsidRPr="007A04AC">
              <w:rPr>
                <w:rFonts w:cs="Tahoma"/>
                <w:sz w:val="18"/>
                <w:szCs w:val="18"/>
              </w:rPr>
              <w:t>ilj</w:t>
            </w:r>
          </w:p>
        </w:tc>
      </w:tr>
      <w:tr w:rsidR="00FA2B5B" w14:paraId="5C5C85D6"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0F55E744" w14:textId="77777777" w:rsidR="00FA2B5B" w:rsidRDefault="00FA2B5B" w:rsidP="002E69C6">
            <w:pPr>
              <w:ind w:left="0"/>
            </w:pPr>
            <w:r w:rsidRPr="007A04AC">
              <w:rPr>
                <w:rFonts w:cs="Tahoma"/>
                <w:sz w:val="18"/>
                <w:szCs w:val="18"/>
              </w:rPr>
              <w:t>2050.</w:t>
            </w:r>
          </w:p>
        </w:tc>
        <w:tc>
          <w:tcPr>
            <w:tcW w:w="4168" w:type="pct"/>
          </w:tcPr>
          <w:p w14:paraId="6D95D492"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Smanjenje emisije stakleničkih plinova  u zgradama za 80%</w:t>
            </w:r>
          </w:p>
          <w:p w14:paraId="2808E013" w14:textId="77777777" w:rsidR="00FA2B5B" w:rsidRDefault="00FA2B5B" w:rsidP="002E69C6">
            <w:pPr>
              <w:ind w:left="0"/>
              <w:cnfStyle w:val="000000000000" w:firstRow="0" w:lastRow="0" w:firstColumn="0" w:lastColumn="0" w:oddVBand="0" w:evenVBand="0" w:oddHBand="0" w:evenHBand="0" w:firstRowFirstColumn="0" w:firstRowLastColumn="0" w:lastRowFirstColumn="0" w:lastRowLastColumn="0"/>
            </w:pPr>
            <w:r w:rsidRPr="007A04AC">
              <w:rPr>
                <w:rFonts w:cs="Tahoma"/>
                <w:sz w:val="18"/>
                <w:szCs w:val="18"/>
              </w:rPr>
              <w:t>Sve zgrade gotovo nula energetske ili s visokom razinom energetske učinkovitosti</w:t>
            </w:r>
          </w:p>
        </w:tc>
      </w:tr>
      <w:tr w:rsidR="00FA2B5B" w14:paraId="677F3006"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64875BC0" w14:textId="77777777" w:rsidR="00FA2B5B" w:rsidRDefault="00FA2B5B" w:rsidP="002E69C6">
            <w:pPr>
              <w:ind w:left="0"/>
            </w:pPr>
            <w:r w:rsidRPr="007A04AC">
              <w:rPr>
                <w:rFonts w:cs="Tahoma"/>
                <w:sz w:val="18"/>
                <w:szCs w:val="18"/>
              </w:rPr>
              <w:t>2040.</w:t>
            </w:r>
          </w:p>
        </w:tc>
        <w:tc>
          <w:tcPr>
            <w:tcW w:w="4168" w:type="pct"/>
          </w:tcPr>
          <w:p w14:paraId="37D7BC01"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65% zgrada gotovo nula energetske ili s visokom razinom energetske učinkovitosti</w:t>
            </w:r>
          </w:p>
          <w:p w14:paraId="6A543160"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Oko 3% zgrada godišnje se cjelovito obnavlja</w:t>
            </w:r>
          </w:p>
          <w:p w14:paraId="3AF726DD"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 xml:space="preserve">Godišnje se obnavlja 4% povijesnih zgrada ili zgrada od kulturološkog značaja </w:t>
            </w:r>
          </w:p>
          <w:p w14:paraId="369AB0D8" w14:textId="77777777" w:rsidR="00FA2B5B" w:rsidRDefault="00FA2B5B" w:rsidP="002E69C6">
            <w:pPr>
              <w:ind w:left="0"/>
              <w:cnfStyle w:val="000000000000" w:firstRow="0" w:lastRow="0" w:firstColumn="0" w:lastColumn="0" w:oddVBand="0" w:evenVBand="0" w:oddHBand="0" w:evenHBand="0" w:firstRowFirstColumn="0" w:firstRowLastColumn="0" w:lastRowFirstColumn="0" w:lastRowLastColumn="0"/>
            </w:pPr>
            <w:r w:rsidRPr="007A04AC">
              <w:rPr>
                <w:rFonts w:cs="Tahoma"/>
                <w:sz w:val="18"/>
                <w:szCs w:val="18"/>
              </w:rPr>
              <w:t>95% korisnika je svjesno pozitivnih učinaka integralne obnove zgrada</w:t>
            </w:r>
          </w:p>
        </w:tc>
      </w:tr>
      <w:tr w:rsidR="00FA2B5B" w14:paraId="01422A5E"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1562430E" w14:textId="77777777" w:rsidR="00FA2B5B" w:rsidRDefault="00FA2B5B" w:rsidP="002E69C6">
            <w:pPr>
              <w:ind w:left="0"/>
            </w:pPr>
            <w:r w:rsidRPr="007A04AC">
              <w:rPr>
                <w:rFonts w:cs="Tahoma"/>
                <w:sz w:val="18"/>
                <w:szCs w:val="18"/>
              </w:rPr>
              <w:t>2030.</w:t>
            </w:r>
          </w:p>
        </w:tc>
        <w:tc>
          <w:tcPr>
            <w:tcW w:w="4168" w:type="pct"/>
          </w:tcPr>
          <w:p w14:paraId="75B320A3"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30% zgrada je obnovljeno na razinu gotovo nula-energetsku i visokih svojstava energetske učinkovitosti</w:t>
            </w:r>
          </w:p>
          <w:p w14:paraId="73F80206"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Oko 3% zgrada godišnje se cjelovito obnavlja</w:t>
            </w:r>
          </w:p>
          <w:p w14:paraId="0C72A747"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Pripremljena regulativa za zahtjeve da sva svojstva zgrade budu na visokoj energetski učinkovitoj razini kao uvjet za prodaju ili najam.</w:t>
            </w:r>
          </w:p>
          <w:p w14:paraId="25881574"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Potpuna obnova potpuno razvijena s optimiziranim troškovima</w:t>
            </w:r>
          </w:p>
          <w:p w14:paraId="70ABC1A1"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 xml:space="preserve">Izvođačke </w:t>
            </w:r>
            <w:r>
              <w:rPr>
                <w:rFonts w:cs="Tahoma"/>
                <w:sz w:val="18"/>
                <w:szCs w:val="18"/>
              </w:rPr>
              <w:t>tvrtke</w:t>
            </w:r>
            <w:r w:rsidRPr="007A04AC">
              <w:rPr>
                <w:rFonts w:cs="Tahoma"/>
                <w:sz w:val="18"/>
                <w:szCs w:val="18"/>
              </w:rPr>
              <w:t xml:space="preserve"> s certifikatom za obnovu i s radnicima koji su obrazovani za izvođenje radova u energetskoj obnovi zgrada.</w:t>
            </w:r>
          </w:p>
          <w:p w14:paraId="08302A10"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50% korisnika je svjesno prednosti obnove</w:t>
            </w:r>
          </w:p>
          <w:p w14:paraId="3ACA62EE" w14:textId="77777777" w:rsidR="00FA2B5B" w:rsidRDefault="00FA2B5B" w:rsidP="002E69C6">
            <w:pPr>
              <w:ind w:left="0"/>
              <w:cnfStyle w:val="000000000000" w:firstRow="0" w:lastRow="0" w:firstColumn="0" w:lastColumn="0" w:oddVBand="0" w:evenVBand="0" w:oddHBand="0" w:evenHBand="0" w:firstRowFirstColumn="0" w:firstRowLastColumn="0" w:lastRowFirstColumn="0" w:lastRowLastColumn="0"/>
            </w:pPr>
            <w:r w:rsidRPr="007A04AC">
              <w:rPr>
                <w:rFonts w:cs="Tahoma"/>
                <w:sz w:val="18"/>
                <w:szCs w:val="18"/>
              </w:rPr>
              <w:t>Razvijene tehnike za obnovu povijesnih i zgrada od kulturološkog značaja. U svrhu savladavanja postojećih prepreka izrađen je i Nacrt preporuka za primjenu mjera energetske učinkovitosti na kulturnu baštinu usklađen s regulativom MGIPU.</w:t>
            </w:r>
          </w:p>
        </w:tc>
      </w:tr>
      <w:tr w:rsidR="00FA2B5B" w14:paraId="0C730D81"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62600CD2" w14:textId="77777777" w:rsidR="00FA2B5B" w:rsidRDefault="00FA2B5B" w:rsidP="002E69C6">
            <w:pPr>
              <w:ind w:left="0"/>
            </w:pPr>
            <w:r w:rsidRPr="007A04AC">
              <w:rPr>
                <w:rFonts w:cs="Tahoma"/>
                <w:sz w:val="18"/>
                <w:szCs w:val="18"/>
              </w:rPr>
              <w:t>2025.</w:t>
            </w:r>
          </w:p>
        </w:tc>
        <w:tc>
          <w:tcPr>
            <w:tcW w:w="4168" w:type="pct"/>
          </w:tcPr>
          <w:p w14:paraId="19D8C8BB"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15% zgrada je obnovljeno na razinu gotovo nula-energetsku i visokih svojstava energetske učinkovitosti.</w:t>
            </w:r>
          </w:p>
          <w:p w14:paraId="2C997737"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Oko 3% zgrada godišnje se cjelovito obnavlja</w:t>
            </w:r>
          </w:p>
          <w:p w14:paraId="167F452F"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Razvijene tehnike obnove za sve tipove zgrada</w:t>
            </w:r>
          </w:p>
          <w:p w14:paraId="2B8DEB80"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20% korisnika je svjesno prednosti obnove</w:t>
            </w:r>
          </w:p>
          <w:p w14:paraId="7E9055A7"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Razvijaju se tehnike za obnovu povijesnih i zgrada od kulturološkog značaja</w:t>
            </w:r>
          </w:p>
          <w:p w14:paraId="0232E4CD"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 xml:space="preserve">50% izvođačkih </w:t>
            </w:r>
            <w:r>
              <w:rPr>
                <w:rFonts w:cs="Tahoma"/>
                <w:sz w:val="18"/>
                <w:szCs w:val="18"/>
              </w:rPr>
              <w:t>tvrtki</w:t>
            </w:r>
            <w:r w:rsidRPr="007A04AC">
              <w:rPr>
                <w:rFonts w:cs="Tahoma"/>
                <w:sz w:val="18"/>
                <w:szCs w:val="18"/>
              </w:rPr>
              <w:t xml:space="preserve"> je sa certifikatom za energetsku obnovu nula energetskih zgrada i 50% radnika koji su obrazovani za izvođenje takvih radova </w:t>
            </w:r>
          </w:p>
          <w:p w14:paraId="75804D22"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 xml:space="preserve">Vlada daje podršku bankama u kreditiranju cjelovite obnove za socijalno osjetljive grupacije  </w:t>
            </w:r>
          </w:p>
          <w:p w14:paraId="561C0830" w14:textId="77777777" w:rsidR="00FA2B5B" w:rsidRDefault="00FA2B5B" w:rsidP="002E69C6">
            <w:pPr>
              <w:ind w:left="0"/>
              <w:cnfStyle w:val="000000000000" w:firstRow="0" w:lastRow="0" w:firstColumn="0" w:lastColumn="0" w:oddVBand="0" w:evenVBand="0" w:oddHBand="0" w:evenHBand="0" w:firstRowFirstColumn="0" w:firstRowLastColumn="0" w:lastRowFirstColumn="0" w:lastRowLastColumn="0"/>
            </w:pPr>
            <w:r w:rsidRPr="007A04AC">
              <w:rPr>
                <w:rFonts w:cs="Tahoma"/>
                <w:sz w:val="18"/>
                <w:szCs w:val="18"/>
              </w:rPr>
              <w:t>Provodi se obrazovanje korisnika o prednostima obnove</w:t>
            </w:r>
          </w:p>
        </w:tc>
      </w:tr>
      <w:tr w:rsidR="00FA2B5B" w14:paraId="417FD4D0"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34D9CF34" w14:textId="77777777" w:rsidR="00FA2B5B" w:rsidRDefault="00FA2B5B" w:rsidP="002E69C6">
            <w:pPr>
              <w:ind w:left="0"/>
            </w:pPr>
            <w:r w:rsidRPr="007A04AC">
              <w:rPr>
                <w:rFonts w:cs="Tahoma"/>
                <w:sz w:val="18"/>
                <w:szCs w:val="18"/>
              </w:rPr>
              <w:t>2020.</w:t>
            </w:r>
          </w:p>
        </w:tc>
        <w:tc>
          <w:tcPr>
            <w:tcW w:w="4168" w:type="pct"/>
          </w:tcPr>
          <w:p w14:paraId="22EEC05B"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5% zgrada je obnovljeno na razinu gotovo nula-energetsku i visokih svojstava energetske učinkovitosti</w:t>
            </w:r>
          </w:p>
          <w:p w14:paraId="3C561AF5"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Oko 1% zgrada godišnje se cjelovito obnavlja na razinu nula-energetske zgrade</w:t>
            </w:r>
          </w:p>
          <w:p w14:paraId="4E54EFD0"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Razvijene tehnike obnove za većinu tipova zgrada</w:t>
            </w:r>
          </w:p>
          <w:p w14:paraId="2B80CAFE" w14:textId="77777777" w:rsidR="00FA2B5B" w:rsidRPr="007A04AC" w:rsidRDefault="00CB2262"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 xml:space="preserve">Definirana </w:t>
            </w:r>
            <w:r w:rsidR="00445682">
              <w:rPr>
                <w:rFonts w:cs="Tahoma"/>
                <w:sz w:val="18"/>
                <w:szCs w:val="18"/>
              </w:rPr>
              <w:t>cjelovita/dubinska</w:t>
            </w:r>
            <w:r w:rsidR="00FA2B5B" w:rsidRPr="007A04AC">
              <w:rPr>
                <w:rFonts w:cs="Tahoma"/>
                <w:sz w:val="18"/>
                <w:szCs w:val="18"/>
              </w:rPr>
              <w:t xml:space="preserve"> obnove</w:t>
            </w:r>
          </w:p>
          <w:p w14:paraId="06F8303E"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 xml:space="preserve">Vlada osigurava proračun za obnovu javnih zgrada i daje poticaje za obnovu zgrada </w:t>
            </w:r>
            <w:r w:rsidR="00C74354">
              <w:rPr>
                <w:rFonts w:cs="Tahoma"/>
                <w:sz w:val="18"/>
                <w:szCs w:val="18"/>
              </w:rPr>
              <w:t>građana u riziku od energetskog siromaštva</w:t>
            </w:r>
          </w:p>
          <w:p w14:paraId="7A5F7650" w14:textId="77777777" w:rsidR="00FA2B5B" w:rsidRPr="007A04AC"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7A04AC">
              <w:rPr>
                <w:rFonts w:cs="Tahoma"/>
                <w:sz w:val="18"/>
                <w:szCs w:val="18"/>
              </w:rPr>
              <w:t>Obrazovanje korisnika se provodi od strane energetskih agencija i sl.</w:t>
            </w:r>
          </w:p>
          <w:p w14:paraId="3B4AD951" w14:textId="77777777" w:rsidR="00FA2B5B" w:rsidRDefault="00FA2B5B" w:rsidP="002E69C6">
            <w:pPr>
              <w:ind w:left="0"/>
              <w:cnfStyle w:val="000000000000" w:firstRow="0" w:lastRow="0" w:firstColumn="0" w:lastColumn="0" w:oddVBand="0" w:evenVBand="0" w:oddHBand="0" w:evenHBand="0" w:firstRowFirstColumn="0" w:firstRowLastColumn="0" w:lastRowFirstColumn="0" w:lastRowLastColumn="0"/>
            </w:pPr>
            <w:r w:rsidRPr="007A04AC">
              <w:rPr>
                <w:rFonts w:cs="Tahoma"/>
                <w:sz w:val="18"/>
                <w:szCs w:val="18"/>
              </w:rPr>
              <w:t>Pripremljeni edukacijski materijali za provođenje obrazovanja u školama i na fakultetima</w:t>
            </w:r>
          </w:p>
        </w:tc>
      </w:tr>
    </w:tbl>
    <w:p w14:paraId="601407FA" w14:textId="77777777" w:rsidR="00FA2B5B" w:rsidRPr="00FA2B5B" w:rsidRDefault="00FA2B5B" w:rsidP="00FA2B5B">
      <w:pPr>
        <w:rPr>
          <w:lang w:eastAsia="hr-HR"/>
        </w:rPr>
      </w:pPr>
    </w:p>
    <w:p w14:paraId="7B82E88B" w14:textId="77777777" w:rsidR="004E2FFF" w:rsidRDefault="004E2FFF" w:rsidP="004E2FFF">
      <w:pPr>
        <w:rPr>
          <w:lang w:eastAsia="hr-HR"/>
        </w:rPr>
      </w:pPr>
      <w:r>
        <w:rPr>
          <w:lang w:eastAsia="hr-HR"/>
        </w:rPr>
        <w:t xml:space="preserve">Mjere za dekarbonizaciju zgrada trebaju rezultirati smanjenjem ukupne emisije stakleničkih plinova za </w:t>
      </w:r>
      <w:r w:rsidR="00470C3E">
        <w:rPr>
          <w:lang w:eastAsia="hr-HR"/>
        </w:rPr>
        <w:t>80</w:t>
      </w:r>
      <w:r>
        <w:rPr>
          <w:lang w:eastAsia="hr-HR"/>
        </w:rPr>
        <w:t xml:space="preserve">% do 2050. godine. Ograničenje u postizanju tog cilja je životni vijek zgrada povezan s visokim troškovima provedbe mjera, što usmjerava odluku o provedbi u smjeru mjera s kraćim periodima povrata investicija. Prosječni periodi povrata investicija u povećanje energetske učinkovitosti građevinskog fonda na razini duboke obnove (deep retrofit) iznose 15 godina ili više, što je usporedivo s životnim vijekom nekih od ključnih komponenti zgrade. </w:t>
      </w:r>
    </w:p>
    <w:p w14:paraId="68201DD2" w14:textId="77777777" w:rsidR="004E2FFF" w:rsidRDefault="004E2FFF" w:rsidP="004E2FFF">
      <w:pPr>
        <w:rPr>
          <w:lang w:eastAsia="hr-HR"/>
        </w:rPr>
      </w:pPr>
      <w:r>
        <w:rPr>
          <w:lang w:eastAsia="hr-HR"/>
        </w:rPr>
        <w:t xml:space="preserve">Za uspjeh dekarbonizacije zgrada potrebno je prevladati otpore koji postoje na samom tržištu. </w:t>
      </w:r>
    </w:p>
    <w:p w14:paraId="3324EEE9" w14:textId="77777777" w:rsidR="004E2FFF" w:rsidRPr="00065483" w:rsidRDefault="004E2FFF" w:rsidP="004E2FFF">
      <w:pPr>
        <w:rPr>
          <w:b/>
          <w:bCs/>
          <w:lang w:eastAsia="hr-HR"/>
        </w:rPr>
      </w:pPr>
      <w:r w:rsidRPr="00065483">
        <w:rPr>
          <w:b/>
          <w:bCs/>
          <w:lang w:eastAsia="hr-HR"/>
        </w:rPr>
        <w:t>Spremnost tržišta</w:t>
      </w:r>
    </w:p>
    <w:p w14:paraId="2AEE3085" w14:textId="2CF247BD" w:rsidR="004E2FFF" w:rsidRDefault="004E2FFF" w:rsidP="004E2FFF">
      <w:pPr>
        <w:rPr>
          <w:lang w:eastAsia="hr-HR"/>
        </w:rPr>
      </w:pPr>
      <w:r>
        <w:rPr>
          <w:lang w:eastAsia="hr-HR"/>
        </w:rPr>
        <w:t>Unatoč snažnom institucionalnom pritisku kroz regulatorne okvire, te financijsko podupiranje mjera povećanja energetske učinkovitosti, na tržištu ne dolazi do očekivanih rezultata. Kao primjer može se navesti spora implementacija nZEB zahtjeva za javne zgrade unatoč zakonskoj obavezi</w:t>
      </w:r>
      <w:r w:rsidR="00991312">
        <w:rPr>
          <w:lang w:eastAsia="hr-HR"/>
        </w:rPr>
        <w:t xml:space="preserve">. </w:t>
      </w:r>
      <w:r>
        <w:rPr>
          <w:lang w:eastAsia="hr-HR"/>
        </w:rPr>
        <w:t xml:space="preserve">Tehnologije dostupne na tržištu su u pravilu skuplje od usporedivih tehnologija manje energetske učinkovitosti iz čega je vidljivo da tržište nije dovoljno spremno za ostvarivanje ciljeva dekarbonizacije. Poruka kroz regulativu, koordinirano informiranje i signale prema dobavljačima mora biti kontinuirana i jasno usmjerena prema dekarbonizaciji građevinskog fonda do 2050. godine. </w:t>
      </w:r>
    </w:p>
    <w:p w14:paraId="0EC829EC" w14:textId="77777777" w:rsidR="004E2FFF" w:rsidRDefault="004E2FFF" w:rsidP="004E2FFF">
      <w:pPr>
        <w:ind w:left="0"/>
        <w:rPr>
          <w:b/>
          <w:bCs/>
          <w:lang w:eastAsia="hr-HR"/>
        </w:rPr>
      </w:pPr>
      <w:r w:rsidRPr="0014595B">
        <w:rPr>
          <w:b/>
          <w:bCs/>
          <w:lang w:eastAsia="hr-HR"/>
        </w:rPr>
        <w:t>Razvoj tržišta</w:t>
      </w:r>
    </w:p>
    <w:p w14:paraId="2FFD00C7" w14:textId="77777777" w:rsidR="004E2FFF" w:rsidRDefault="004E2FFF" w:rsidP="004E2FFF">
      <w:pPr>
        <w:ind w:left="0"/>
        <w:rPr>
          <w:lang w:eastAsia="hr-HR"/>
        </w:rPr>
      </w:pPr>
      <w:r>
        <w:rPr>
          <w:lang w:eastAsia="hr-HR"/>
        </w:rPr>
        <w:t xml:space="preserve">Razvijene tehnologije i osmišljene politike koje se podržavaju potporama potrebno je prenijeti na tržište s jasnim rokovima i ciljevima, te očekivanim rezultatima. </w:t>
      </w:r>
    </w:p>
    <w:p w14:paraId="1813950F" w14:textId="77777777" w:rsidR="004E2FFF" w:rsidRDefault="004E2FFF" w:rsidP="004E2FFF">
      <w:pPr>
        <w:ind w:left="0"/>
        <w:rPr>
          <w:b/>
          <w:bCs/>
          <w:lang w:eastAsia="hr-HR"/>
        </w:rPr>
      </w:pPr>
      <w:r w:rsidRPr="0010736A">
        <w:rPr>
          <w:b/>
          <w:bCs/>
          <w:lang w:eastAsia="hr-HR"/>
        </w:rPr>
        <w:t>Širenje tržišta</w:t>
      </w:r>
    </w:p>
    <w:p w14:paraId="424A0DDB" w14:textId="77777777" w:rsidR="004E2FFF" w:rsidRDefault="004E2FFF" w:rsidP="004E2FFF">
      <w:pPr>
        <w:ind w:left="0"/>
        <w:rPr>
          <w:lang w:eastAsia="hr-HR"/>
        </w:rPr>
      </w:pPr>
      <w:r w:rsidRPr="00A0431E">
        <w:rPr>
          <w:lang w:eastAsia="hr-HR"/>
        </w:rPr>
        <w:t xml:space="preserve">Uspješne </w:t>
      </w:r>
      <w:r>
        <w:rPr>
          <w:lang w:eastAsia="hr-HR"/>
        </w:rPr>
        <w:t xml:space="preserve">mjere iz prethodnog koraka nužno je nastaviti i uvećati njihove efekte na tržištu. Ključni faktor je kontinuitet politike i mjera, neovisno o intenzitetu kojim se provode, jer je to osnovna poruka tržištu o nepromijenjenim, ili još ambicioznijim ciljevima dekarbonizacije. </w:t>
      </w:r>
    </w:p>
    <w:p w14:paraId="2E02673F" w14:textId="77777777" w:rsidR="004E2FFF" w:rsidRDefault="004E2FFF" w:rsidP="007649C2">
      <w:pPr>
        <w:pStyle w:val="Naslov20"/>
      </w:pPr>
      <w:bookmarkStart w:id="193" w:name="_Toc34052913"/>
      <w:bookmarkStart w:id="194" w:name="_Toc46163849"/>
      <w:r>
        <w:t>Mjerljivi pokazatelji napretka</w:t>
      </w:r>
      <w:bookmarkEnd w:id="193"/>
      <w:bookmarkEnd w:id="194"/>
    </w:p>
    <w:p w14:paraId="2D3FA9D0" w14:textId="320C9FCE" w:rsidR="004E2FFF" w:rsidRDefault="004E2FFF" w:rsidP="004E2FFF">
      <w:pPr>
        <w:ind w:left="0"/>
        <w:rPr>
          <w:lang w:eastAsia="hr-HR"/>
        </w:rPr>
      </w:pPr>
      <w:r>
        <w:rPr>
          <w:lang w:eastAsia="hr-HR"/>
        </w:rPr>
        <w:t xml:space="preserve">Napredak u ostvarivanju ciljeva je moguće neposredno pratiti kroz </w:t>
      </w:r>
      <w:r w:rsidR="006A7B80">
        <w:rPr>
          <w:lang w:eastAsia="hr-HR"/>
        </w:rPr>
        <w:t xml:space="preserve">pokazatelje </w:t>
      </w:r>
      <w:r>
        <w:rPr>
          <w:lang w:eastAsia="hr-HR"/>
        </w:rPr>
        <w:t xml:space="preserve">kojima se opisuje stanje u građevinskom fondu, kao i indirektno kroz smanjenje potrošnje energije u zgradarstvu. Osnovni </w:t>
      </w:r>
      <w:r w:rsidR="006A7B80">
        <w:rPr>
          <w:lang w:eastAsia="hr-HR"/>
        </w:rPr>
        <w:t xml:space="preserve">pokazatelj </w:t>
      </w:r>
      <w:r>
        <w:rPr>
          <w:lang w:eastAsia="hr-HR"/>
        </w:rPr>
        <w:t xml:space="preserve">koji se definira Dugoročnom strategijom je broj, odnosno površina obnovljenih zgrada. </w:t>
      </w:r>
    </w:p>
    <w:p w14:paraId="200EC94D" w14:textId="77777777" w:rsidR="004E2FFF" w:rsidRDefault="004E2FFF" w:rsidP="00597241">
      <w:pPr>
        <w:pStyle w:val="Naslov3-"/>
      </w:pPr>
      <w:bookmarkStart w:id="195" w:name="_Toc34052914"/>
      <w:bookmarkStart w:id="196" w:name="_Toc46163850"/>
      <w:r>
        <w:t>Broj i površina obnovljenih zgrada</w:t>
      </w:r>
      <w:bookmarkEnd w:id="195"/>
      <w:bookmarkEnd w:id="196"/>
      <w:r>
        <w:t xml:space="preserve"> </w:t>
      </w:r>
    </w:p>
    <w:p w14:paraId="724D4824" w14:textId="5E38F260" w:rsidR="004E2FFF" w:rsidRDefault="006A7B80" w:rsidP="004E2FFF">
      <w:pPr>
        <w:ind w:left="0"/>
        <w:rPr>
          <w:lang w:eastAsia="hr-HR"/>
        </w:rPr>
      </w:pPr>
      <w:r>
        <w:rPr>
          <w:lang w:eastAsia="hr-HR"/>
        </w:rPr>
        <w:t>Strateški c</w:t>
      </w:r>
      <w:r w:rsidR="004E2FFF">
        <w:rPr>
          <w:lang w:eastAsia="hr-HR"/>
        </w:rPr>
        <w:t xml:space="preserve">ilj </w:t>
      </w:r>
      <w:r>
        <w:rPr>
          <w:lang w:eastAsia="hr-HR"/>
        </w:rPr>
        <w:t>D</w:t>
      </w:r>
      <w:r w:rsidR="004E2FFF">
        <w:rPr>
          <w:lang w:eastAsia="hr-HR"/>
        </w:rPr>
        <w:t xml:space="preserve">ugoročne strategije je podići stopu obnove zgrada s trenutačnih 0,7% godišnje (1.350.000 m²) na 3% </w:t>
      </w:r>
      <w:r w:rsidR="002F1F90">
        <w:rPr>
          <w:lang w:eastAsia="hr-HR"/>
        </w:rPr>
        <w:t>do 2030. godine</w:t>
      </w:r>
      <w:r w:rsidR="004E2FFF">
        <w:rPr>
          <w:lang w:eastAsia="hr-HR"/>
        </w:rPr>
        <w:t xml:space="preserve">. </w:t>
      </w:r>
    </w:p>
    <w:p w14:paraId="19D57DA0" w14:textId="7517EC74" w:rsidR="004E2FFF" w:rsidRDefault="004E2FFF" w:rsidP="004E2FFF">
      <w:pPr>
        <w:pStyle w:val="Opisslike"/>
        <w:keepNext/>
      </w:pPr>
      <w:bookmarkStart w:id="197" w:name="_Toc40089044"/>
      <w:r>
        <w:t xml:space="preserve">Tablica </w:t>
      </w:r>
      <w:fldSimple w:instr=" SEQ Tablica \* ARABIC ">
        <w:r w:rsidR="00CE61F3">
          <w:rPr>
            <w:noProof/>
          </w:rPr>
          <w:t>2</w:t>
        </w:r>
      </w:fldSimple>
      <w:r>
        <w:t xml:space="preserve"> Ciljane površine i stopa obnove 2021. do </w:t>
      </w:r>
      <w:r w:rsidR="007354EA">
        <w:t>2030</w:t>
      </w:r>
      <w:r>
        <w:t>. godine</w:t>
      </w:r>
      <w:r w:rsidR="00ED374E">
        <w:t xml:space="preserve"> u m²</w:t>
      </w:r>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24"/>
        <w:gridCol w:w="796"/>
        <w:gridCol w:w="795"/>
        <w:gridCol w:w="794"/>
        <w:gridCol w:w="794"/>
        <w:gridCol w:w="794"/>
        <w:gridCol w:w="794"/>
        <w:gridCol w:w="794"/>
        <w:gridCol w:w="794"/>
        <w:gridCol w:w="794"/>
      </w:tblGrid>
      <w:tr w:rsidR="00470C3E" w:rsidRPr="005B60A7" w14:paraId="3A14D444" w14:textId="77777777" w:rsidTr="00334A49">
        <w:trPr>
          <w:trHeight w:val="300"/>
        </w:trPr>
        <w:tc>
          <w:tcPr>
            <w:tcW w:w="1271" w:type="dxa"/>
            <w:noWrap/>
            <w:vAlign w:val="bottom"/>
            <w:hideMark/>
          </w:tcPr>
          <w:p w14:paraId="110FEF00" w14:textId="77777777" w:rsidR="00470C3E" w:rsidRPr="005B60A7" w:rsidRDefault="00470C3E" w:rsidP="00E655D4">
            <w:pPr>
              <w:tabs>
                <w:tab w:val="clear" w:pos="431"/>
              </w:tabs>
              <w:spacing w:after="0" w:line="240" w:lineRule="auto"/>
              <w:ind w:left="0"/>
              <w:jc w:val="left"/>
              <w:rPr>
                <w:rFonts w:asciiTheme="minorHAnsi" w:hAnsiTheme="minorHAnsi" w:cs="Calibri"/>
                <w:sz w:val="16"/>
                <w:szCs w:val="16"/>
                <w:lang w:eastAsia="hr-HR"/>
              </w:rPr>
            </w:pPr>
          </w:p>
        </w:tc>
        <w:tc>
          <w:tcPr>
            <w:tcW w:w="924" w:type="dxa"/>
            <w:noWrap/>
            <w:vAlign w:val="bottom"/>
            <w:hideMark/>
          </w:tcPr>
          <w:p w14:paraId="2B509769"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2021</w:t>
            </w:r>
          </w:p>
        </w:tc>
        <w:tc>
          <w:tcPr>
            <w:tcW w:w="796" w:type="dxa"/>
            <w:noWrap/>
            <w:vAlign w:val="bottom"/>
            <w:hideMark/>
          </w:tcPr>
          <w:p w14:paraId="4DCD6AC4"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2022</w:t>
            </w:r>
          </w:p>
        </w:tc>
        <w:tc>
          <w:tcPr>
            <w:tcW w:w="795" w:type="dxa"/>
            <w:noWrap/>
            <w:vAlign w:val="bottom"/>
            <w:hideMark/>
          </w:tcPr>
          <w:p w14:paraId="5C85AFF4"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2023</w:t>
            </w:r>
          </w:p>
        </w:tc>
        <w:tc>
          <w:tcPr>
            <w:tcW w:w="794" w:type="dxa"/>
            <w:noWrap/>
            <w:vAlign w:val="bottom"/>
            <w:hideMark/>
          </w:tcPr>
          <w:p w14:paraId="0FBBF9D0"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2024</w:t>
            </w:r>
          </w:p>
        </w:tc>
        <w:tc>
          <w:tcPr>
            <w:tcW w:w="794" w:type="dxa"/>
            <w:noWrap/>
            <w:vAlign w:val="bottom"/>
            <w:hideMark/>
          </w:tcPr>
          <w:p w14:paraId="396B4FB1"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2025</w:t>
            </w:r>
          </w:p>
        </w:tc>
        <w:tc>
          <w:tcPr>
            <w:tcW w:w="794" w:type="dxa"/>
            <w:noWrap/>
            <w:vAlign w:val="bottom"/>
            <w:hideMark/>
          </w:tcPr>
          <w:p w14:paraId="64DD1CCE"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2026</w:t>
            </w:r>
          </w:p>
        </w:tc>
        <w:tc>
          <w:tcPr>
            <w:tcW w:w="794" w:type="dxa"/>
            <w:noWrap/>
            <w:vAlign w:val="bottom"/>
            <w:hideMark/>
          </w:tcPr>
          <w:p w14:paraId="11A6ED12"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2027</w:t>
            </w:r>
          </w:p>
        </w:tc>
        <w:tc>
          <w:tcPr>
            <w:tcW w:w="794" w:type="dxa"/>
            <w:noWrap/>
            <w:vAlign w:val="bottom"/>
            <w:hideMark/>
          </w:tcPr>
          <w:p w14:paraId="4BE18409"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2028</w:t>
            </w:r>
          </w:p>
        </w:tc>
        <w:tc>
          <w:tcPr>
            <w:tcW w:w="794" w:type="dxa"/>
            <w:noWrap/>
            <w:vAlign w:val="bottom"/>
            <w:hideMark/>
          </w:tcPr>
          <w:p w14:paraId="25932576"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2029</w:t>
            </w:r>
          </w:p>
        </w:tc>
        <w:tc>
          <w:tcPr>
            <w:tcW w:w="794" w:type="dxa"/>
            <w:noWrap/>
            <w:vAlign w:val="bottom"/>
            <w:hideMark/>
          </w:tcPr>
          <w:p w14:paraId="1910F1B1" w14:textId="77777777" w:rsidR="00470C3E" w:rsidRPr="005B60A7" w:rsidRDefault="00470C3E"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2030</w:t>
            </w:r>
          </w:p>
        </w:tc>
      </w:tr>
      <w:tr w:rsidR="00470C3E" w:rsidRPr="005B60A7" w14:paraId="04DA83D2" w14:textId="77777777" w:rsidTr="00334A49">
        <w:trPr>
          <w:trHeight w:val="300"/>
        </w:trPr>
        <w:tc>
          <w:tcPr>
            <w:tcW w:w="1271" w:type="dxa"/>
            <w:noWrap/>
            <w:vAlign w:val="bottom"/>
            <w:hideMark/>
          </w:tcPr>
          <w:p w14:paraId="4C1FFAB0" w14:textId="77777777" w:rsidR="00470C3E" w:rsidRPr="005B60A7" w:rsidRDefault="00470C3E" w:rsidP="00E655D4">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 xml:space="preserve">ukupno obnovljene zgrade </w:t>
            </w:r>
          </w:p>
        </w:tc>
        <w:tc>
          <w:tcPr>
            <w:tcW w:w="924" w:type="dxa"/>
            <w:noWrap/>
            <w:vAlign w:val="bottom"/>
            <w:hideMark/>
          </w:tcPr>
          <w:p w14:paraId="01E0FE72"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 xml:space="preserve">1.391.545 </w:t>
            </w:r>
          </w:p>
        </w:tc>
        <w:tc>
          <w:tcPr>
            <w:tcW w:w="796" w:type="dxa"/>
            <w:noWrap/>
            <w:vAlign w:val="bottom"/>
            <w:hideMark/>
          </w:tcPr>
          <w:p w14:paraId="2F8DF9FC"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 xml:space="preserve">1.397.546 </w:t>
            </w:r>
          </w:p>
        </w:tc>
        <w:tc>
          <w:tcPr>
            <w:tcW w:w="795" w:type="dxa"/>
            <w:noWrap/>
            <w:vAlign w:val="bottom"/>
            <w:hideMark/>
          </w:tcPr>
          <w:p w14:paraId="74BC1695" w14:textId="77777777" w:rsidR="00470C3E" w:rsidRPr="0050204C"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50204C">
              <w:rPr>
                <w:rFonts w:asciiTheme="minorHAnsi" w:hAnsiTheme="minorHAnsi" w:cs="Calibri"/>
                <w:color w:val="000000"/>
                <w:sz w:val="14"/>
                <w:szCs w:val="14"/>
                <w:lang w:eastAsia="hr-HR"/>
              </w:rPr>
              <w:t xml:space="preserve">2.105.275 </w:t>
            </w:r>
          </w:p>
        </w:tc>
        <w:tc>
          <w:tcPr>
            <w:tcW w:w="794" w:type="dxa"/>
            <w:noWrap/>
            <w:vAlign w:val="bottom"/>
            <w:hideMark/>
          </w:tcPr>
          <w:p w14:paraId="6EBB4165" w14:textId="77777777" w:rsidR="00470C3E" w:rsidRPr="00D56A01"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E209D5">
              <w:rPr>
                <w:rFonts w:asciiTheme="minorHAnsi" w:hAnsiTheme="minorHAnsi" w:cs="Calibri"/>
                <w:color w:val="000000"/>
                <w:sz w:val="14"/>
                <w:szCs w:val="14"/>
                <w:lang w:eastAsia="hr-HR"/>
              </w:rPr>
              <w:t xml:space="preserve">2.114.188 </w:t>
            </w:r>
          </w:p>
        </w:tc>
        <w:tc>
          <w:tcPr>
            <w:tcW w:w="794" w:type="dxa"/>
            <w:noWrap/>
            <w:vAlign w:val="bottom"/>
            <w:hideMark/>
          </w:tcPr>
          <w:p w14:paraId="20C8B5DB"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2.830.746 </w:t>
            </w:r>
          </w:p>
        </w:tc>
        <w:tc>
          <w:tcPr>
            <w:tcW w:w="794" w:type="dxa"/>
            <w:noWrap/>
            <w:vAlign w:val="bottom"/>
            <w:hideMark/>
          </w:tcPr>
          <w:p w14:paraId="4EF55744"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2.842.520 </w:t>
            </w:r>
          </w:p>
        </w:tc>
        <w:tc>
          <w:tcPr>
            <w:tcW w:w="794" w:type="dxa"/>
            <w:noWrap/>
            <w:vAlign w:val="bottom"/>
            <w:hideMark/>
          </w:tcPr>
          <w:p w14:paraId="3521BB33"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3.567.767 </w:t>
            </w:r>
          </w:p>
        </w:tc>
        <w:tc>
          <w:tcPr>
            <w:tcW w:w="794" w:type="dxa"/>
            <w:noWrap/>
            <w:vAlign w:val="bottom"/>
            <w:hideMark/>
          </w:tcPr>
          <w:p w14:paraId="6A1751CA"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3.582.313 </w:t>
            </w:r>
          </w:p>
        </w:tc>
        <w:tc>
          <w:tcPr>
            <w:tcW w:w="794" w:type="dxa"/>
            <w:noWrap/>
            <w:vAlign w:val="bottom"/>
            <w:hideMark/>
          </w:tcPr>
          <w:p w14:paraId="1BA9B06A"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4.316.149 </w:t>
            </w:r>
          </w:p>
        </w:tc>
        <w:tc>
          <w:tcPr>
            <w:tcW w:w="794" w:type="dxa"/>
            <w:noWrap/>
            <w:vAlign w:val="bottom"/>
            <w:hideMark/>
          </w:tcPr>
          <w:p w14:paraId="57E199EA"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4.333.441 </w:t>
            </w:r>
          </w:p>
        </w:tc>
      </w:tr>
      <w:tr w:rsidR="00470C3E" w:rsidRPr="005B60A7" w14:paraId="08BFA1D9" w14:textId="77777777" w:rsidTr="00334A49">
        <w:trPr>
          <w:trHeight w:val="300"/>
        </w:trPr>
        <w:tc>
          <w:tcPr>
            <w:tcW w:w="1271" w:type="dxa"/>
            <w:noWrap/>
            <w:vAlign w:val="bottom"/>
            <w:hideMark/>
          </w:tcPr>
          <w:p w14:paraId="4DFFD2A6" w14:textId="77777777" w:rsidR="00470C3E" w:rsidRPr="005B60A7" w:rsidRDefault="00470C3E" w:rsidP="00E655D4">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obnovljene stambene zgrade</w:t>
            </w:r>
          </w:p>
        </w:tc>
        <w:tc>
          <w:tcPr>
            <w:tcW w:w="924" w:type="dxa"/>
            <w:noWrap/>
            <w:vAlign w:val="bottom"/>
            <w:hideMark/>
          </w:tcPr>
          <w:p w14:paraId="6A410F75"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 xml:space="preserve">342.264 </w:t>
            </w:r>
          </w:p>
        </w:tc>
        <w:tc>
          <w:tcPr>
            <w:tcW w:w="796" w:type="dxa"/>
            <w:noWrap/>
            <w:vAlign w:val="bottom"/>
            <w:hideMark/>
          </w:tcPr>
          <w:p w14:paraId="5CFADD95"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 xml:space="preserve">340.983 </w:t>
            </w:r>
          </w:p>
        </w:tc>
        <w:tc>
          <w:tcPr>
            <w:tcW w:w="795" w:type="dxa"/>
            <w:noWrap/>
            <w:vAlign w:val="bottom"/>
            <w:hideMark/>
          </w:tcPr>
          <w:p w14:paraId="1F13946B"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 xml:space="preserve">1.041.430 </w:t>
            </w:r>
          </w:p>
        </w:tc>
        <w:tc>
          <w:tcPr>
            <w:tcW w:w="794" w:type="dxa"/>
            <w:noWrap/>
            <w:vAlign w:val="bottom"/>
            <w:hideMark/>
          </w:tcPr>
          <w:p w14:paraId="4D3186F1" w14:textId="77777777" w:rsidR="00470C3E" w:rsidRPr="0050204C"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50204C">
              <w:rPr>
                <w:rFonts w:asciiTheme="minorHAnsi" w:hAnsiTheme="minorHAnsi" w:cs="Calibri"/>
                <w:color w:val="000000"/>
                <w:sz w:val="14"/>
                <w:szCs w:val="14"/>
                <w:lang w:eastAsia="hr-HR"/>
              </w:rPr>
              <w:t xml:space="preserve">1.043.060 </w:t>
            </w:r>
          </w:p>
        </w:tc>
        <w:tc>
          <w:tcPr>
            <w:tcW w:w="794" w:type="dxa"/>
            <w:noWrap/>
            <w:vAlign w:val="bottom"/>
            <w:hideMark/>
          </w:tcPr>
          <w:p w14:paraId="00129CA1" w14:textId="77777777" w:rsidR="00470C3E" w:rsidRPr="00D56A01"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E209D5">
              <w:rPr>
                <w:rFonts w:asciiTheme="minorHAnsi" w:hAnsiTheme="minorHAnsi" w:cs="Calibri"/>
                <w:color w:val="000000"/>
                <w:sz w:val="14"/>
                <w:szCs w:val="14"/>
                <w:lang w:eastAsia="hr-HR"/>
              </w:rPr>
              <w:t xml:space="preserve">1.752.336 </w:t>
            </w:r>
          </w:p>
        </w:tc>
        <w:tc>
          <w:tcPr>
            <w:tcW w:w="794" w:type="dxa"/>
            <w:noWrap/>
            <w:vAlign w:val="bottom"/>
            <w:hideMark/>
          </w:tcPr>
          <w:p w14:paraId="650F6E21"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1.811.667 </w:t>
            </w:r>
          </w:p>
        </w:tc>
        <w:tc>
          <w:tcPr>
            <w:tcW w:w="794" w:type="dxa"/>
            <w:noWrap/>
            <w:vAlign w:val="bottom"/>
            <w:hideMark/>
          </w:tcPr>
          <w:p w14:paraId="1C00D730"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2.531.057 </w:t>
            </w:r>
          </w:p>
        </w:tc>
        <w:tc>
          <w:tcPr>
            <w:tcW w:w="794" w:type="dxa"/>
            <w:noWrap/>
            <w:vAlign w:val="bottom"/>
            <w:hideMark/>
          </w:tcPr>
          <w:p w14:paraId="674BFC77"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2.539.745 </w:t>
            </w:r>
          </w:p>
        </w:tc>
        <w:tc>
          <w:tcPr>
            <w:tcW w:w="794" w:type="dxa"/>
            <w:noWrap/>
            <w:vAlign w:val="bottom"/>
            <w:hideMark/>
          </w:tcPr>
          <w:p w14:paraId="69214BA0"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3.267.723 </w:t>
            </w:r>
          </w:p>
        </w:tc>
        <w:tc>
          <w:tcPr>
            <w:tcW w:w="794" w:type="dxa"/>
            <w:noWrap/>
            <w:vAlign w:val="bottom"/>
            <w:hideMark/>
          </w:tcPr>
          <w:p w14:paraId="3D5F36A1"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3.279.157 </w:t>
            </w:r>
          </w:p>
        </w:tc>
      </w:tr>
      <w:tr w:rsidR="00470C3E" w:rsidRPr="005B60A7" w14:paraId="4006F34B" w14:textId="77777777" w:rsidTr="00334A49">
        <w:trPr>
          <w:trHeight w:val="300"/>
        </w:trPr>
        <w:tc>
          <w:tcPr>
            <w:tcW w:w="1271" w:type="dxa"/>
            <w:noWrap/>
            <w:vAlign w:val="bottom"/>
            <w:hideMark/>
          </w:tcPr>
          <w:p w14:paraId="3AB0AFC4" w14:textId="77777777" w:rsidR="00470C3E" w:rsidRPr="005B60A7" w:rsidRDefault="00470C3E" w:rsidP="00E655D4">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obnovljene nestambene zgrade</w:t>
            </w:r>
          </w:p>
        </w:tc>
        <w:tc>
          <w:tcPr>
            <w:tcW w:w="924" w:type="dxa"/>
            <w:noWrap/>
            <w:vAlign w:val="bottom"/>
            <w:hideMark/>
          </w:tcPr>
          <w:p w14:paraId="2753B2F1"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 xml:space="preserve">1.049.281 </w:t>
            </w:r>
          </w:p>
        </w:tc>
        <w:tc>
          <w:tcPr>
            <w:tcW w:w="796" w:type="dxa"/>
            <w:noWrap/>
            <w:vAlign w:val="bottom"/>
            <w:hideMark/>
          </w:tcPr>
          <w:p w14:paraId="51049EFE"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 xml:space="preserve">1.056.563 </w:t>
            </w:r>
          </w:p>
        </w:tc>
        <w:tc>
          <w:tcPr>
            <w:tcW w:w="795" w:type="dxa"/>
            <w:noWrap/>
            <w:vAlign w:val="bottom"/>
            <w:hideMark/>
          </w:tcPr>
          <w:p w14:paraId="39544F24" w14:textId="77777777" w:rsidR="00470C3E" w:rsidRPr="0050204C"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50204C">
              <w:rPr>
                <w:rFonts w:asciiTheme="minorHAnsi" w:hAnsiTheme="minorHAnsi" w:cs="Calibri"/>
                <w:color w:val="000000"/>
                <w:sz w:val="14"/>
                <w:szCs w:val="14"/>
                <w:lang w:eastAsia="hr-HR"/>
              </w:rPr>
              <w:t xml:space="preserve">1.063.846 </w:t>
            </w:r>
          </w:p>
        </w:tc>
        <w:tc>
          <w:tcPr>
            <w:tcW w:w="794" w:type="dxa"/>
            <w:noWrap/>
            <w:vAlign w:val="bottom"/>
            <w:hideMark/>
          </w:tcPr>
          <w:p w14:paraId="726CDBE3" w14:textId="77777777" w:rsidR="00470C3E" w:rsidRPr="00D56A01"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E209D5">
              <w:rPr>
                <w:rFonts w:asciiTheme="minorHAnsi" w:hAnsiTheme="minorHAnsi" w:cs="Calibri"/>
                <w:color w:val="000000"/>
                <w:sz w:val="14"/>
                <w:szCs w:val="14"/>
                <w:lang w:eastAsia="hr-HR"/>
              </w:rPr>
              <w:t xml:space="preserve">1.071.128 </w:t>
            </w:r>
          </w:p>
        </w:tc>
        <w:tc>
          <w:tcPr>
            <w:tcW w:w="794" w:type="dxa"/>
            <w:noWrap/>
            <w:vAlign w:val="bottom"/>
            <w:hideMark/>
          </w:tcPr>
          <w:p w14:paraId="553C7C10"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1.078.410 </w:t>
            </w:r>
          </w:p>
        </w:tc>
        <w:tc>
          <w:tcPr>
            <w:tcW w:w="794" w:type="dxa"/>
            <w:noWrap/>
            <w:vAlign w:val="bottom"/>
            <w:hideMark/>
          </w:tcPr>
          <w:p w14:paraId="0C706189"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1.030.852 </w:t>
            </w:r>
          </w:p>
        </w:tc>
        <w:tc>
          <w:tcPr>
            <w:tcW w:w="794" w:type="dxa"/>
            <w:noWrap/>
            <w:vAlign w:val="bottom"/>
            <w:hideMark/>
          </w:tcPr>
          <w:p w14:paraId="4E5A7193"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1.036.710 </w:t>
            </w:r>
          </w:p>
        </w:tc>
        <w:tc>
          <w:tcPr>
            <w:tcW w:w="794" w:type="dxa"/>
            <w:noWrap/>
            <w:vAlign w:val="bottom"/>
            <w:hideMark/>
          </w:tcPr>
          <w:p w14:paraId="7EC40611"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1.042.568 </w:t>
            </w:r>
          </w:p>
        </w:tc>
        <w:tc>
          <w:tcPr>
            <w:tcW w:w="794" w:type="dxa"/>
            <w:noWrap/>
            <w:vAlign w:val="bottom"/>
            <w:hideMark/>
          </w:tcPr>
          <w:p w14:paraId="4129A912"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1.048.426 </w:t>
            </w:r>
          </w:p>
        </w:tc>
        <w:tc>
          <w:tcPr>
            <w:tcW w:w="794" w:type="dxa"/>
            <w:noWrap/>
            <w:vAlign w:val="bottom"/>
            <w:hideMark/>
          </w:tcPr>
          <w:p w14:paraId="7647EAC8"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 xml:space="preserve">1.054.284 </w:t>
            </w:r>
          </w:p>
        </w:tc>
      </w:tr>
      <w:tr w:rsidR="00470C3E" w:rsidRPr="005B60A7" w14:paraId="6C91786C" w14:textId="77777777" w:rsidTr="00334A49">
        <w:trPr>
          <w:trHeight w:val="300"/>
        </w:trPr>
        <w:tc>
          <w:tcPr>
            <w:tcW w:w="1271" w:type="dxa"/>
            <w:noWrap/>
            <w:vAlign w:val="bottom"/>
            <w:hideMark/>
          </w:tcPr>
          <w:p w14:paraId="65B048CE" w14:textId="77777777" w:rsidR="00470C3E" w:rsidRPr="005B60A7" w:rsidRDefault="00470C3E" w:rsidP="00E655D4">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ciljana stopa energetske obnove</w:t>
            </w:r>
          </w:p>
        </w:tc>
        <w:tc>
          <w:tcPr>
            <w:tcW w:w="924" w:type="dxa"/>
            <w:noWrap/>
            <w:vAlign w:val="bottom"/>
            <w:hideMark/>
          </w:tcPr>
          <w:p w14:paraId="36E5E865"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1,0%</w:t>
            </w:r>
          </w:p>
        </w:tc>
        <w:tc>
          <w:tcPr>
            <w:tcW w:w="796" w:type="dxa"/>
            <w:noWrap/>
            <w:vAlign w:val="bottom"/>
            <w:hideMark/>
          </w:tcPr>
          <w:p w14:paraId="2D113133"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1,0%</w:t>
            </w:r>
          </w:p>
        </w:tc>
        <w:tc>
          <w:tcPr>
            <w:tcW w:w="795" w:type="dxa"/>
            <w:noWrap/>
            <w:vAlign w:val="bottom"/>
            <w:hideMark/>
          </w:tcPr>
          <w:p w14:paraId="07994873" w14:textId="77777777" w:rsidR="00470C3E" w:rsidRPr="00470C3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1,5%</w:t>
            </w:r>
          </w:p>
        </w:tc>
        <w:tc>
          <w:tcPr>
            <w:tcW w:w="794" w:type="dxa"/>
            <w:noWrap/>
            <w:vAlign w:val="bottom"/>
            <w:hideMark/>
          </w:tcPr>
          <w:p w14:paraId="1E7D0BDE" w14:textId="77777777" w:rsidR="00470C3E" w:rsidRPr="0050204C"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50204C">
              <w:rPr>
                <w:rFonts w:asciiTheme="minorHAnsi" w:hAnsiTheme="minorHAnsi" w:cs="Calibri"/>
                <w:color w:val="000000"/>
                <w:sz w:val="14"/>
                <w:szCs w:val="14"/>
                <w:lang w:eastAsia="hr-HR"/>
              </w:rPr>
              <w:t>1,5%</w:t>
            </w:r>
          </w:p>
        </w:tc>
        <w:tc>
          <w:tcPr>
            <w:tcW w:w="794" w:type="dxa"/>
            <w:noWrap/>
            <w:vAlign w:val="bottom"/>
            <w:hideMark/>
          </w:tcPr>
          <w:p w14:paraId="3E3CFDF1" w14:textId="77777777" w:rsidR="00470C3E" w:rsidRPr="00D56A01"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E209D5">
              <w:rPr>
                <w:rFonts w:asciiTheme="minorHAnsi" w:hAnsiTheme="minorHAnsi" w:cs="Calibri"/>
                <w:color w:val="000000"/>
                <w:sz w:val="14"/>
                <w:szCs w:val="14"/>
                <w:lang w:eastAsia="hr-HR"/>
              </w:rPr>
              <w:t>2,0%</w:t>
            </w:r>
          </w:p>
        </w:tc>
        <w:tc>
          <w:tcPr>
            <w:tcW w:w="794" w:type="dxa"/>
            <w:noWrap/>
            <w:vAlign w:val="bottom"/>
            <w:hideMark/>
          </w:tcPr>
          <w:p w14:paraId="44E6EC87"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2,0%</w:t>
            </w:r>
          </w:p>
        </w:tc>
        <w:tc>
          <w:tcPr>
            <w:tcW w:w="794" w:type="dxa"/>
            <w:noWrap/>
            <w:vAlign w:val="bottom"/>
            <w:hideMark/>
          </w:tcPr>
          <w:p w14:paraId="6A0CD90C"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2,5%</w:t>
            </w:r>
          </w:p>
        </w:tc>
        <w:tc>
          <w:tcPr>
            <w:tcW w:w="794" w:type="dxa"/>
            <w:noWrap/>
            <w:vAlign w:val="bottom"/>
            <w:hideMark/>
          </w:tcPr>
          <w:p w14:paraId="09EF91AE"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2,5%</w:t>
            </w:r>
          </w:p>
        </w:tc>
        <w:tc>
          <w:tcPr>
            <w:tcW w:w="794" w:type="dxa"/>
            <w:noWrap/>
            <w:vAlign w:val="bottom"/>
            <w:hideMark/>
          </w:tcPr>
          <w:p w14:paraId="46B47E67"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3,0%</w:t>
            </w:r>
          </w:p>
        </w:tc>
        <w:tc>
          <w:tcPr>
            <w:tcW w:w="794" w:type="dxa"/>
            <w:noWrap/>
            <w:vAlign w:val="bottom"/>
            <w:hideMark/>
          </w:tcPr>
          <w:p w14:paraId="1562061E" w14:textId="77777777" w:rsidR="00470C3E" w:rsidRPr="00005D1E" w:rsidRDefault="00470C3E" w:rsidP="00E655D4">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3,0%</w:t>
            </w:r>
          </w:p>
        </w:tc>
      </w:tr>
    </w:tbl>
    <w:p w14:paraId="23C5CB09" w14:textId="77777777" w:rsidR="004E2FFF" w:rsidRDefault="004E2FFF" w:rsidP="00483F4C">
      <w:pPr>
        <w:pStyle w:val="Opisslike"/>
        <w:keepNext/>
      </w:pPr>
    </w:p>
    <w:p w14:paraId="760ADF39" w14:textId="5B822714" w:rsidR="00483F4C" w:rsidRDefault="00483F4C" w:rsidP="00483F4C">
      <w:pPr>
        <w:pStyle w:val="Opisslike"/>
        <w:keepNext/>
      </w:pPr>
      <w:bookmarkStart w:id="198" w:name="_Toc40089045"/>
      <w:r>
        <w:t xml:space="preserve">Tablica </w:t>
      </w:r>
      <w:fldSimple w:instr=" SEQ Tablica \* ARABIC ">
        <w:r w:rsidR="00CE61F3">
          <w:rPr>
            <w:noProof/>
          </w:rPr>
          <w:t>3</w:t>
        </w:r>
      </w:fldSimple>
      <w:r>
        <w:t xml:space="preserve"> </w:t>
      </w:r>
      <w:r w:rsidRPr="00D524E9">
        <w:t xml:space="preserve">Ciljane površine i stopa obnove </w:t>
      </w:r>
      <w:r>
        <w:t>do 2040. i 2050.  godine</w:t>
      </w:r>
      <w:r w:rsidR="00ED374E">
        <w:t xml:space="preserve"> u m²</w:t>
      </w:r>
      <w:bookmarkEnd w:id="198"/>
    </w:p>
    <w:tbl>
      <w:tblPr>
        <w:tblW w:w="16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24"/>
        <w:gridCol w:w="855"/>
      </w:tblGrid>
      <w:tr w:rsidR="00470C3E" w:rsidRPr="005B60A7" w14:paraId="2E660E5A" w14:textId="77777777" w:rsidTr="00483F4C">
        <w:trPr>
          <w:trHeight w:val="300"/>
        </w:trPr>
        <w:tc>
          <w:tcPr>
            <w:tcW w:w="1271" w:type="dxa"/>
            <w:noWrap/>
            <w:vAlign w:val="bottom"/>
            <w:hideMark/>
          </w:tcPr>
          <w:p w14:paraId="1A228E70" w14:textId="77777777" w:rsidR="00470C3E" w:rsidRPr="005B60A7" w:rsidRDefault="00470C3E" w:rsidP="009E12C4">
            <w:pPr>
              <w:tabs>
                <w:tab w:val="clear" w:pos="431"/>
              </w:tabs>
              <w:spacing w:after="0" w:line="240" w:lineRule="auto"/>
              <w:ind w:left="0"/>
              <w:jc w:val="left"/>
              <w:rPr>
                <w:rFonts w:asciiTheme="minorHAnsi" w:hAnsiTheme="minorHAnsi" w:cs="Calibri"/>
                <w:sz w:val="16"/>
                <w:szCs w:val="16"/>
                <w:lang w:eastAsia="hr-HR"/>
              </w:rPr>
            </w:pPr>
          </w:p>
        </w:tc>
        <w:tc>
          <w:tcPr>
            <w:tcW w:w="924" w:type="dxa"/>
            <w:noWrap/>
            <w:vAlign w:val="bottom"/>
            <w:hideMark/>
          </w:tcPr>
          <w:p w14:paraId="3ABF1490" w14:textId="77777777" w:rsidR="00470C3E" w:rsidRPr="005B60A7" w:rsidRDefault="00470C3E" w:rsidP="009E12C4">
            <w:pPr>
              <w:tabs>
                <w:tab w:val="clear" w:pos="431"/>
              </w:tabs>
              <w:spacing w:after="0" w:line="240" w:lineRule="auto"/>
              <w:ind w:left="0"/>
              <w:jc w:val="right"/>
              <w:rPr>
                <w:rFonts w:asciiTheme="minorHAnsi" w:hAnsiTheme="minorHAnsi" w:cs="Calibri"/>
                <w:color w:val="000000"/>
                <w:sz w:val="16"/>
                <w:szCs w:val="16"/>
                <w:lang w:eastAsia="hr-HR"/>
              </w:rPr>
            </w:pPr>
            <w:r>
              <w:rPr>
                <w:rFonts w:asciiTheme="minorHAnsi" w:hAnsiTheme="minorHAnsi" w:cs="Calibri"/>
                <w:color w:val="000000"/>
                <w:sz w:val="16"/>
                <w:szCs w:val="16"/>
                <w:lang w:eastAsia="hr-HR"/>
              </w:rPr>
              <w:t>2040</w:t>
            </w:r>
          </w:p>
        </w:tc>
        <w:tc>
          <w:tcPr>
            <w:tcW w:w="855" w:type="dxa"/>
            <w:noWrap/>
            <w:vAlign w:val="bottom"/>
            <w:hideMark/>
          </w:tcPr>
          <w:p w14:paraId="4F84A2CA" w14:textId="77777777" w:rsidR="00470C3E" w:rsidRPr="005B60A7" w:rsidRDefault="00470C3E" w:rsidP="009E12C4">
            <w:pPr>
              <w:tabs>
                <w:tab w:val="clear" w:pos="431"/>
              </w:tabs>
              <w:spacing w:after="0" w:line="240" w:lineRule="auto"/>
              <w:ind w:left="0"/>
              <w:jc w:val="right"/>
              <w:rPr>
                <w:rFonts w:asciiTheme="minorHAnsi" w:hAnsiTheme="minorHAnsi" w:cs="Calibri"/>
                <w:color w:val="000000"/>
                <w:sz w:val="16"/>
                <w:szCs w:val="16"/>
                <w:lang w:eastAsia="hr-HR"/>
              </w:rPr>
            </w:pPr>
            <w:r>
              <w:rPr>
                <w:rFonts w:asciiTheme="minorHAnsi" w:hAnsiTheme="minorHAnsi" w:cs="Calibri"/>
                <w:color w:val="000000"/>
                <w:sz w:val="16"/>
                <w:szCs w:val="16"/>
                <w:lang w:eastAsia="hr-HR"/>
              </w:rPr>
              <w:t>2050</w:t>
            </w:r>
          </w:p>
        </w:tc>
      </w:tr>
      <w:tr w:rsidR="00470C3E" w:rsidRPr="005B60A7" w14:paraId="71A7F349" w14:textId="77777777" w:rsidTr="00483F4C">
        <w:trPr>
          <w:trHeight w:val="300"/>
        </w:trPr>
        <w:tc>
          <w:tcPr>
            <w:tcW w:w="1271" w:type="dxa"/>
            <w:noWrap/>
            <w:vAlign w:val="bottom"/>
            <w:hideMark/>
          </w:tcPr>
          <w:p w14:paraId="1C416CE9" w14:textId="77777777" w:rsidR="00470C3E" w:rsidRPr="005B60A7" w:rsidRDefault="00470C3E" w:rsidP="009E12C4">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 xml:space="preserve">ukupno obnovljene zgrade </w:t>
            </w:r>
          </w:p>
        </w:tc>
        <w:tc>
          <w:tcPr>
            <w:tcW w:w="924" w:type="dxa"/>
            <w:noWrap/>
            <w:vAlign w:val="bottom"/>
            <w:hideMark/>
          </w:tcPr>
          <w:p w14:paraId="14FBF4CC" w14:textId="77777777" w:rsidR="00470C3E" w:rsidRPr="00470C3E" w:rsidRDefault="007211F0" w:rsidP="009E12C4">
            <w:pPr>
              <w:tabs>
                <w:tab w:val="clear" w:pos="431"/>
              </w:tabs>
              <w:spacing w:after="0" w:line="240" w:lineRule="auto"/>
              <w:ind w:left="0"/>
              <w:jc w:val="right"/>
              <w:rPr>
                <w:rFonts w:asciiTheme="minorHAnsi" w:hAnsiTheme="minorHAnsi" w:cs="Calibri"/>
                <w:color w:val="000000"/>
                <w:sz w:val="14"/>
                <w:szCs w:val="14"/>
                <w:lang w:eastAsia="hr-HR"/>
              </w:rPr>
            </w:pPr>
            <w:r>
              <w:rPr>
                <w:rFonts w:asciiTheme="minorHAnsi" w:hAnsiTheme="minorHAnsi" w:cs="Calibri"/>
                <w:color w:val="000000"/>
                <w:sz w:val="14"/>
                <w:szCs w:val="14"/>
                <w:lang w:eastAsia="hr-HR"/>
              </w:rPr>
              <w:t>44.271.564</w:t>
            </w:r>
          </w:p>
        </w:tc>
        <w:tc>
          <w:tcPr>
            <w:tcW w:w="855" w:type="dxa"/>
            <w:noWrap/>
            <w:vAlign w:val="bottom"/>
            <w:hideMark/>
          </w:tcPr>
          <w:p w14:paraId="20EAFAE5" w14:textId="77777777" w:rsidR="00470C3E" w:rsidRPr="00470C3E" w:rsidRDefault="007354EA" w:rsidP="009E12C4">
            <w:pPr>
              <w:tabs>
                <w:tab w:val="clear" w:pos="431"/>
              </w:tabs>
              <w:spacing w:after="0" w:line="240" w:lineRule="auto"/>
              <w:ind w:left="0"/>
              <w:jc w:val="right"/>
              <w:rPr>
                <w:rFonts w:asciiTheme="minorHAnsi" w:hAnsiTheme="minorHAnsi" w:cs="Calibri"/>
                <w:color w:val="000000"/>
                <w:sz w:val="14"/>
                <w:szCs w:val="14"/>
                <w:lang w:eastAsia="hr-HR"/>
              </w:rPr>
            </w:pPr>
            <w:r>
              <w:rPr>
                <w:rFonts w:asciiTheme="minorHAnsi" w:hAnsiTheme="minorHAnsi" w:cs="Calibri"/>
                <w:color w:val="000000"/>
                <w:sz w:val="14"/>
                <w:szCs w:val="14"/>
                <w:lang w:eastAsia="hr-HR"/>
              </w:rPr>
              <w:t>45.944.429</w:t>
            </w:r>
          </w:p>
        </w:tc>
      </w:tr>
      <w:tr w:rsidR="00470C3E" w:rsidRPr="005B60A7" w14:paraId="089ABC43" w14:textId="77777777" w:rsidTr="00483F4C">
        <w:trPr>
          <w:trHeight w:val="300"/>
        </w:trPr>
        <w:tc>
          <w:tcPr>
            <w:tcW w:w="1271" w:type="dxa"/>
            <w:noWrap/>
            <w:vAlign w:val="bottom"/>
            <w:hideMark/>
          </w:tcPr>
          <w:p w14:paraId="532D3E64" w14:textId="77777777" w:rsidR="00470C3E" w:rsidRPr="005B60A7" w:rsidRDefault="00470C3E" w:rsidP="009E12C4">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obnovljene stambene zgrade</w:t>
            </w:r>
          </w:p>
        </w:tc>
        <w:tc>
          <w:tcPr>
            <w:tcW w:w="924" w:type="dxa"/>
            <w:noWrap/>
            <w:vAlign w:val="bottom"/>
            <w:hideMark/>
          </w:tcPr>
          <w:p w14:paraId="09BF5A5F" w14:textId="77777777" w:rsidR="00470C3E" w:rsidRPr="00470C3E" w:rsidRDefault="004A7159" w:rsidP="009E12C4">
            <w:pPr>
              <w:tabs>
                <w:tab w:val="clear" w:pos="431"/>
              </w:tabs>
              <w:spacing w:after="0" w:line="240" w:lineRule="auto"/>
              <w:ind w:left="0"/>
              <w:jc w:val="right"/>
              <w:rPr>
                <w:rFonts w:asciiTheme="minorHAnsi" w:hAnsiTheme="minorHAnsi" w:cs="Calibri"/>
                <w:color w:val="000000"/>
                <w:sz w:val="14"/>
                <w:szCs w:val="14"/>
                <w:lang w:eastAsia="hr-HR"/>
              </w:rPr>
            </w:pPr>
            <w:r>
              <w:rPr>
                <w:rFonts w:asciiTheme="minorHAnsi" w:hAnsiTheme="minorHAnsi" w:cs="Calibri"/>
                <w:color w:val="000000"/>
                <w:sz w:val="14"/>
                <w:szCs w:val="14"/>
                <w:lang w:eastAsia="hr-HR"/>
              </w:rPr>
              <w:t>32.961.</w:t>
            </w:r>
            <w:r w:rsidR="00271F25">
              <w:rPr>
                <w:rFonts w:asciiTheme="minorHAnsi" w:hAnsiTheme="minorHAnsi" w:cs="Calibri"/>
                <w:color w:val="000000"/>
                <w:sz w:val="14"/>
                <w:szCs w:val="14"/>
                <w:lang w:eastAsia="hr-HR"/>
              </w:rPr>
              <w:t>188</w:t>
            </w:r>
            <w:r w:rsidR="00470C3E" w:rsidRPr="00470C3E">
              <w:rPr>
                <w:rFonts w:asciiTheme="minorHAnsi" w:hAnsiTheme="minorHAnsi" w:cs="Calibri"/>
                <w:color w:val="000000"/>
                <w:sz w:val="14"/>
                <w:szCs w:val="14"/>
                <w:lang w:eastAsia="hr-HR"/>
              </w:rPr>
              <w:t xml:space="preserve"> </w:t>
            </w:r>
          </w:p>
        </w:tc>
        <w:tc>
          <w:tcPr>
            <w:tcW w:w="855" w:type="dxa"/>
            <w:noWrap/>
            <w:vAlign w:val="bottom"/>
            <w:hideMark/>
          </w:tcPr>
          <w:p w14:paraId="0CFAB266" w14:textId="77777777" w:rsidR="00470C3E" w:rsidRPr="00470C3E" w:rsidRDefault="00F34D98" w:rsidP="009E12C4">
            <w:pPr>
              <w:tabs>
                <w:tab w:val="clear" w:pos="431"/>
              </w:tabs>
              <w:spacing w:after="0" w:line="240" w:lineRule="auto"/>
              <w:ind w:left="0"/>
              <w:jc w:val="right"/>
              <w:rPr>
                <w:rFonts w:asciiTheme="minorHAnsi" w:hAnsiTheme="minorHAnsi" w:cs="Calibri"/>
                <w:color w:val="000000"/>
                <w:sz w:val="14"/>
                <w:szCs w:val="14"/>
                <w:lang w:eastAsia="hr-HR"/>
              </w:rPr>
            </w:pPr>
            <w:r>
              <w:rPr>
                <w:rFonts w:asciiTheme="minorHAnsi" w:hAnsiTheme="minorHAnsi" w:cs="Calibri"/>
                <w:color w:val="000000"/>
                <w:sz w:val="14"/>
                <w:szCs w:val="14"/>
                <w:lang w:eastAsia="hr-HR"/>
              </w:rPr>
              <w:t>33.835.</w:t>
            </w:r>
            <w:r w:rsidR="00A53C97">
              <w:rPr>
                <w:rFonts w:asciiTheme="minorHAnsi" w:hAnsiTheme="minorHAnsi" w:cs="Calibri"/>
                <w:color w:val="000000"/>
                <w:sz w:val="14"/>
                <w:szCs w:val="14"/>
                <w:lang w:eastAsia="hr-HR"/>
              </w:rPr>
              <w:t>882</w:t>
            </w:r>
            <w:r w:rsidR="00470C3E" w:rsidRPr="00470C3E">
              <w:rPr>
                <w:rFonts w:asciiTheme="minorHAnsi" w:hAnsiTheme="minorHAnsi" w:cs="Calibri"/>
                <w:color w:val="000000"/>
                <w:sz w:val="14"/>
                <w:szCs w:val="14"/>
                <w:lang w:eastAsia="hr-HR"/>
              </w:rPr>
              <w:t xml:space="preserve"> </w:t>
            </w:r>
          </w:p>
        </w:tc>
      </w:tr>
      <w:tr w:rsidR="00470C3E" w:rsidRPr="005B60A7" w14:paraId="36CAF4BD" w14:textId="77777777" w:rsidTr="00483F4C">
        <w:trPr>
          <w:trHeight w:val="300"/>
        </w:trPr>
        <w:tc>
          <w:tcPr>
            <w:tcW w:w="1271" w:type="dxa"/>
            <w:noWrap/>
            <w:vAlign w:val="bottom"/>
            <w:hideMark/>
          </w:tcPr>
          <w:p w14:paraId="33351B93" w14:textId="77777777" w:rsidR="00470C3E" w:rsidRPr="005B60A7" w:rsidRDefault="00470C3E" w:rsidP="009E12C4">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obnovljene nestambene zgrade</w:t>
            </w:r>
          </w:p>
        </w:tc>
        <w:tc>
          <w:tcPr>
            <w:tcW w:w="924" w:type="dxa"/>
            <w:noWrap/>
            <w:vAlign w:val="bottom"/>
            <w:hideMark/>
          </w:tcPr>
          <w:p w14:paraId="176FA9F3" w14:textId="77777777" w:rsidR="00470C3E" w:rsidRPr="00470C3E" w:rsidRDefault="00E81AA2" w:rsidP="009E12C4">
            <w:pPr>
              <w:tabs>
                <w:tab w:val="clear" w:pos="431"/>
              </w:tabs>
              <w:spacing w:after="0" w:line="240" w:lineRule="auto"/>
              <w:ind w:left="0"/>
              <w:jc w:val="right"/>
              <w:rPr>
                <w:rFonts w:asciiTheme="minorHAnsi" w:hAnsiTheme="minorHAnsi" w:cs="Calibri"/>
                <w:color w:val="000000"/>
                <w:sz w:val="14"/>
                <w:szCs w:val="14"/>
                <w:lang w:eastAsia="hr-HR"/>
              </w:rPr>
            </w:pPr>
            <w:r>
              <w:rPr>
                <w:rFonts w:asciiTheme="minorHAnsi" w:hAnsiTheme="minorHAnsi" w:cs="Calibri"/>
                <w:color w:val="000000"/>
                <w:sz w:val="14"/>
                <w:szCs w:val="14"/>
                <w:lang w:eastAsia="hr-HR"/>
              </w:rPr>
              <w:t>11.310.377</w:t>
            </w:r>
          </w:p>
        </w:tc>
        <w:tc>
          <w:tcPr>
            <w:tcW w:w="855" w:type="dxa"/>
            <w:noWrap/>
            <w:vAlign w:val="bottom"/>
            <w:hideMark/>
          </w:tcPr>
          <w:p w14:paraId="31D7970F" w14:textId="77777777" w:rsidR="00470C3E" w:rsidRPr="00470C3E" w:rsidRDefault="007879CB" w:rsidP="009E12C4">
            <w:pPr>
              <w:tabs>
                <w:tab w:val="clear" w:pos="431"/>
              </w:tabs>
              <w:spacing w:after="0" w:line="240" w:lineRule="auto"/>
              <w:ind w:left="0"/>
              <w:jc w:val="right"/>
              <w:rPr>
                <w:rFonts w:asciiTheme="minorHAnsi" w:hAnsiTheme="minorHAnsi" w:cs="Calibri"/>
                <w:color w:val="000000"/>
                <w:sz w:val="14"/>
                <w:szCs w:val="14"/>
                <w:lang w:eastAsia="hr-HR"/>
              </w:rPr>
            </w:pPr>
            <w:r>
              <w:rPr>
                <w:rFonts w:asciiTheme="minorHAnsi" w:hAnsiTheme="minorHAnsi" w:cs="Calibri"/>
                <w:color w:val="000000"/>
                <w:sz w:val="14"/>
                <w:szCs w:val="14"/>
                <w:lang w:eastAsia="hr-HR"/>
              </w:rPr>
              <w:t>12.1</w:t>
            </w:r>
            <w:r w:rsidR="00AA4632">
              <w:rPr>
                <w:rFonts w:asciiTheme="minorHAnsi" w:hAnsiTheme="minorHAnsi" w:cs="Calibri"/>
                <w:color w:val="000000"/>
                <w:sz w:val="14"/>
                <w:szCs w:val="14"/>
                <w:lang w:eastAsia="hr-HR"/>
              </w:rPr>
              <w:t>08.547</w:t>
            </w:r>
          </w:p>
        </w:tc>
      </w:tr>
      <w:tr w:rsidR="00470C3E" w:rsidRPr="005B60A7" w14:paraId="4A54917A" w14:textId="77777777" w:rsidTr="00483F4C">
        <w:trPr>
          <w:trHeight w:val="300"/>
        </w:trPr>
        <w:tc>
          <w:tcPr>
            <w:tcW w:w="1271" w:type="dxa"/>
            <w:noWrap/>
            <w:vAlign w:val="bottom"/>
            <w:hideMark/>
          </w:tcPr>
          <w:p w14:paraId="231BCBC8" w14:textId="77777777" w:rsidR="00470C3E" w:rsidRPr="005B60A7" w:rsidRDefault="00470C3E" w:rsidP="009E12C4">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ciljana stopa energetske obnove</w:t>
            </w:r>
          </w:p>
        </w:tc>
        <w:tc>
          <w:tcPr>
            <w:tcW w:w="924" w:type="dxa"/>
            <w:noWrap/>
            <w:vAlign w:val="bottom"/>
            <w:hideMark/>
          </w:tcPr>
          <w:p w14:paraId="7C657851" w14:textId="77777777" w:rsidR="00470C3E" w:rsidRPr="00470C3E" w:rsidRDefault="0050204C" w:rsidP="009E12C4">
            <w:pPr>
              <w:tabs>
                <w:tab w:val="clear" w:pos="431"/>
              </w:tabs>
              <w:spacing w:after="0" w:line="240" w:lineRule="auto"/>
              <w:ind w:left="0"/>
              <w:jc w:val="right"/>
              <w:rPr>
                <w:rFonts w:asciiTheme="minorHAnsi" w:hAnsiTheme="minorHAnsi" w:cs="Calibri"/>
                <w:color w:val="000000"/>
                <w:sz w:val="14"/>
                <w:szCs w:val="14"/>
                <w:lang w:eastAsia="hr-HR"/>
              </w:rPr>
            </w:pPr>
            <w:r>
              <w:rPr>
                <w:rFonts w:asciiTheme="minorHAnsi" w:hAnsiTheme="minorHAnsi" w:cs="Calibri"/>
                <w:color w:val="000000"/>
                <w:sz w:val="14"/>
                <w:szCs w:val="14"/>
                <w:lang w:eastAsia="hr-HR"/>
              </w:rPr>
              <w:t>3% godišnje</w:t>
            </w:r>
          </w:p>
        </w:tc>
        <w:tc>
          <w:tcPr>
            <w:tcW w:w="855" w:type="dxa"/>
            <w:noWrap/>
            <w:vAlign w:val="bottom"/>
            <w:hideMark/>
          </w:tcPr>
          <w:p w14:paraId="5BC5B243" w14:textId="77777777" w:rsidR="00470C3E" w:rsidRPr="00470C3E" w:rsidRDefault="0050204C" w:rsidP="009E12C4">
            <w:pPr>
              <w:tabs>
                <w:tab w:val="clear" w:pos="431"/>
              </w:tabs>
              <w:spacing w:after="0" w:line="240" w:lineRule="auto"/>
              <w:ind w:left="0"/>
              <w:jc w:val="right"/>
              <w:rPr>
                <w:rFonts w:asciiTheme="minorHAnsi" w:hAnsiTheme="minorHAnsi" w:cs="Calibri"/>
                <w:color w:val="000000"/>
                <w:sz w:val="14"/>
                <w:szCs w:val="14"/>
                <w:lang w:eastAsia="hr-HR"/>
              </w:rPr>
            </w:pPr>
            <w:r>
              <w:rPr>
                <w:rFonts w:asciiTheme="minorHAnsi" w:hAnsiTheme="minorHAnsi" w:cs="Calibri"/>
                <w:color w:val="000000"/>
                <w:sz w:val="14"/>
                <w:szCs w:val="14"/>
                <w:lang w:eastAsia="hr-HR"/>
              </w:rPr>
              <w:t>3% godišnje</w:t>
            </w:r>
          </w:p>
        </w:tc>
      </w:tr>
    </w:tbl>
    <w:p w14:paraId="295DC6B2" w14:textId="77777777" w:rsidR="00470C3E" w:rsidRDefault="00470C3E" w:rsidP="004E2FFF">
      <w:pPr>
        <w:ind w:left="0"/>
        <w:rPr>
          <w:lang w:eastAsia="hr-HR"/>
        </w:rPr>
      </w:pPr>
    </w:p>
    <w:p w14:paraId="4635D903" w14:textId="66F06D44" w:rsidR="000E0656" w:rsidRDefault="002955AA" w:rsidP="008C7749">
      <w:pPr>
        <w:ind w:left="0"/>
        <w:rPr>
          <w:lang w:eastAsia="hr-HR"/>
        </w:rPr>
      </w:pPr>
      <w:r>
        <w:rPr>
          <w:lang w:eastAsia="hr-HR"/>
        </w:rPr>
        <w:t xml:space="preserve">Obnova zgrada </w:t>
      </w:r>
      <w:r w:rsidR="00E314B0">
        <w:rPr>
          <w:lang w:eastAsia="hr-HR"/>
        </w:rPr>
        <w:t xml:space="preserve">– izmjerena površina obnove – omogućava ocjenu okolišnih, </w:t>
      </w:r>
      <w:r w:rsidR="002863BD">
        <w:rPr>
          <w:lang w:eastAsia="hr-HR"/>
        </w:rPr>
        <w:t xml:space="preserve">socijalnih i ekonomskih pokazatelja napretka – emisije stakleničkih plinova, smanjenje godišnje potrošnje energije, smanjenje dijela građana ugroženih energetskim siromaštvom, </w:t>
      </w:r>
      <w:r w:rsidR="00800C2A">
        <w:rPr>
          <w:lang w:eastAsia="hr-HR"/>
        </w:rPr>
        <w:t>smanjenju zdravstvenih problema i povećanju investicija u obnovu</w:t>
      </w:r>
      <w:r w:rsidR="008C7749">
        <w:rPr>
          <w:lang w:eastAsia="hr-HR"/>
        </w:rPr>
        <w:t>.</w:t>
      </w:r>
    </w:p>
    <w:p w14:paraId="41EFBB6C" w14:textId="77777777" w:rsidR="004E2FFF" w:rsidRDefault="004E2FFF" w:rsidP="00597241">
      <w:pPr>
        <w:pStyle w:val="Naslov3-"/>
      </w:pPr>
      <w:bookmarkStart w:id="199" w:name="_Toc34052915"/>
      <w:bookmarkStart w:id="200" w:name="_Toc46163851"/>
      <w:r>
        <w:t>Povećanje kvalitete vanjske ovojnice</w:t>
      </w:r>
      <w:bookmarkEnd w:id="199"/>
      <w:bookmarkEnd w:id="200"/>
    </w:p>
    <w:p w14:paraId="24F5E87E" w14:textId="77777777" w:rsidR="004E2FFF" w:rsidRDefault="004E2FFF" w:rsidP="004E2FFF">
      <w:pPr>
        <w:rPr>
          <w:lang w:eastAsia="hr-HR"/>
        </w:rPr>
      </w:pPr>
      <w:r>
        <w:rPr>
          <w:lang w:eastAsia="hr-HR"/>
        </w:rPr>
        <w:t xml:space="preserve">Kvaliteta vanjske ovojnice je direktno mjerljiva kroz koeficijent prolaska topline vanjske ovojnice. Baza podataka energetskih certifikata omogućava praćenje ključnih svojstava vanjske ovojnice i njihovu usporedbu po vrstama i starosti zgrada, kao i klimatskim podacima. </w:t>
      </w:r>
    </w:p>
    <w:p w14:paraId="08E4DD7A" w14:textId="77777777" w:rsidR="004E2FFF" w:rsidRDefault="004E2FFF" w:rsidP="004E2FFF">
      <w:pPr>
        <w:rPr>
          <w:lang w:eastAsia="hr-HR"/>
        </w:rPr>
      </w:pPr>
      <w:r>
        <w:rPr>
          <w:lang w:eastAsia="hr-HR"/>
        </w:rPr>
        <w:t xml:space="preserve">Zahtjevi za vanjsku ovojnicu se utvrđuju troškovno optimalnom metodom, i nisu u linearnom odnosu s energetskim potrebama zgrada. </w:t>
      </w:r>
    </w:p>
    <w:p w14:paraId="4F115189" w14:textId="77777777" w:rsidR="004E2FFF" w:rsidRDefault="004E2FFF" w:rsidP="00597241">
      <w:pPr>
        <w:pStyle w:val="Naslov3-"/>
      </w:pPr>
      <w:bookmarkStart w:id="201" w:name="_Toc34052916"/>
      <w:bookmarkStart w:id="202" w:name="_Toc46163852"/>
      <w:r>
        <w:t>Broj nZEB zgrada</w:t>
      </w:r>
      <w:bookmarkEnd w:id="201"/>
      <w:bookmarkEnd w:id="202"/>
    </w:p>
    <w:p w14:paraId="6671C1CB" w14:textId="77777777" w:rsidR="004E2FFF" w:rsidRDefault="004E2FFF" w:rsidP="004E2FFF">
      <w:pPr>
        <w:ind w:left="0"/>
      </w:pPr>
      <w:r w:rsidRPr="002553A3">
        <w:t xml:space="preserve">Broj nZEB zgrada je direktni pokazatelj napretka u provođenju mjera povećanja energetske učinkovitosti fonda zgrada. Podatak o ispunjavanju zahtjeva za nZEB će biti dostupan kroz IEC bazu energetskih certifikata za sve nove i rekonstruirane zgrade.  </w:t>
      </w:r>
    </w:p>
    <w:p w14:paraId="35247E76" w14:textId="49B74463" w:rsidR="004E2FFF" w:rsidRPr="002553A3" w:rsidRDefault="004E2FFF" w:rsidP="004E2FFF">
      <w:r w:rsidRPr="002553A3">
        <w:t xml:space="preserve">S obzirom na definirane zahtjeve za zgrade gotovo nulte energije, pri čemu obaveza za nove </w:t>
      </w:r>
      <w:r w:rsidRPr="002553A3">
        <w:rPr>
          <w:color w:val="000000"/>
        </w:rPr>
        <w:t xml:space="preserve">zgrade javnog sektora </w:t>
      </w:r>
      <w:r w:rsidRPr="002553A3">
        <w:t xml:space="preserve">nastupa sa 31.12.2018. godine, moguće je očekivati i uvođenje dodatnih zahtjeva za obnovu zgrada na razinu gotovo nulte energije. Zbog toga, potrebno je uvesti novi </w:t>
      </w:r>
      <w:r w:rsidR="006A7B80">
        <w:t>pokazatelj</w:t>
      </w:r>
      <w:r w:rsidR="006A7B80" w:rsidRPr="002553A3">
        <w:t xml:space="preserve"> </w:t>
      </w:r>
      <w:r w:rsidRPr="002553A3">
        <w:t xml:space="preserve">koji će pokazati broj novih i rekonstruiranih zgrada koje zadovoljavaju i taj dodatni zahtjev: </w:t>
      </w:r>
    </w:p>
    <w:p w14:paraId="5414360E" w14:textId="77777777" w:rsidR="004E2FFF" w:rsidRPr="002553A3" w:rsidRDefault="004E2FFF" w:rsidP="00853D9C">
      <w:pPr>
        <w:pStyle w:val="Odlomakpopisa"/>
        <w:keepLines w:val="0"/>
        <w:numPr>
          <w:ilvl w:val="0"/>
          <w:numId w:val="49"/>
        </w:numPr>
        <w:tabs>
          <w:tab w:val="clear" w:pos="431"/>
        </w:tabs>
        <w:suppressAutoHyphens w:val="0"/>
        <w:spacing w:before="120" w:after="120" w:line="360" w:lineRule="auto"/>
      </w:pPr>
      <w:r w:rsidRPr="002553A3">
        <w:t>Ispunjavanje zahtjeva za nZEB – broj rekonstruiranih zgrada na razinu nZEB prema namjeni; ukupna površina rekonstruiranih zgrada na razinu nZEB prema namjeni.</w:t>
      </w:r>
    </w:p>
    <w:p w14:paraId="266A91FA" w14:textId="02D5D503" w:rsidR="004E2FFF" w:rsidRDefault="00597241" w:rsidP="00597241">
      <w:pPr>
        <w:pStyle w:val="Naslov3-"/>
      </w:pPr>
      <w:bookmarkStart w:id="203" w:name="_Toc46163853"/>
      <w:r>
        <w:t>Ostali specifični pokazatelji</w:t>
      </w:r>
      <w:bookmarkEnd w:id="203"/>
    </w:p>
    <w:p w14:paraId="2464CC87" w14:textId="0660A25A" w:rsidR="00597241" w:rsidRPr="00597241" w:rsidRDefault="00597241" w:rsidP="00744031">
      <w:pPr>
        <w:ind w:left="0"/>
      </w:pPr>
      <w:r>
        <w:t xml:space="preserve">Ostali specifični pokazatelji koje treba pratiti u sklopu pojedinačnih programa energetske obnove su sljedeći: </w:t>
      </w:r>
    </w:p>
    <w:p w14:paraId="542594D8" w14:textId="24D18898" w:rsidR="004E2FFF" w:rsidRPr="002553A3" w:rsidRDefault="004E2FFF" w:rsidP="00853D9C">
      <w:pPr>
        <w:pStyle w:val="Odlomakpopisa"/>
        <w:keepLines w:val="0"/>
        <w:numPr>
          <w:ilvl w:val="0"/>
          <w:numId w:val="49"/>
        </w:numPr>
        <w:tabs>
          <w:tab w:val="clear" w:pos="431"/>
        </w:tabs>
        <w:suppressAutoHyphens w:val="0"/>
        <w:spacing w:before="120" w:after="120" w:line="360" w:lineRule="auto"/>
      </w:pPr>
      <w:r w:rsidRPr="002553A3">
        <w:t xml:space="preserve">prosječna godišnja potrebna toplinska energija za grijanje/hlađenje u obnovljenoj zgradi </w:t>
      </w:r>
      <w:r w:rsidR="00597241">
        <w:t>prije i poslije obnove (</w:t>
      </w:r>
      <w:r w:rsidRPr="002553A3">
        <w:t>kWh/m</w:t>
      </w:r>
      <w:r w:rsidRPr="002553A3">
        <w:rPr>
          <w:vertAlign w:val="superscript"/>
        </w:rPr>
        <w:t>2</w:t>
      </w:r>
      <w:r w:rsidR="00597241">
        <w:t>)</w:t>
      </w:r>
      <w:r w:rsidRPr="002553A3">
        <w:t>,</w:t>
      </w:r>
    </w:p>
    <w:p w14:paraId="40CC1556" w14:textId="1571EEE9" w:rsidR="004E2FFF" w:rsidRPr="002553A3" w:rsidRDefault="004E2FFF" w:rsidP="00853D9C">
      <w:pPr>
        <w:pStyle w:val="Odlomakpopisa"/>
        <w:keepLines w:val="0"/>
        <w:numPr>
          <w:ilvl w:val="0"/>
          <w:numId w:val="49"/>
        </w:numPr>
        <w:tabs>
          <w:tab w:val="clear" w:pos="431"/>
        </w:tabs>
        <w:suppressAutoHyphens w:val="0"/>
        <w:spacing w:before="120" w:after="120" w:line="360" w:lineRule="auto"/>
      </w:pPr>
      <w:r w:rsidRPr="002553A3">
        <w:t xml:space="preserve">doprinos smanjenju potrošnje energije - razlika između energetske potrebe zgrade prije i poslije energetske obnove mjereno </w:t>
      </w:r>
      <w:r w:rsidR="00597241">
        <w:t>(</w:t>
      </w:r>
      <w:r w:rsidRPr="002553A3">
        <w:t>kWh/god</w:t>
      </w:r>
      <w:r w:rsidR="00597241">
        <w:t>)</w:t>
      </w:r>
      <w:r w:rsidRPr="002553A3">
        <w:t>,</w:t>
      </w:r>
    </w:p>
    <w:p w14:paraId="705B492C" w14:textId="144060D0" w:rsidR="004E2FFF" w:rsidRPr="002553A3" w:rsidRDefault="004E2FFF" w:rsidP="00853D9C">
      <w:pPr>
        <w:pStyle w:val="Odlomakpopisa"/>
        <w:keepLines w:val="0"/>
        <w:numPr>
          <w:ilvl w:val="0"/>
          <w:numId w:val="49"/>
        </w:numPr>
        <w:tabs>
          <w:tab w:val="clear" w:pos="431"/>
        </w:tabs>
        <w:suppressAutoHyphens w:val="0"/>
        <w:spacing w:before="120" w:after="120" w:line="360" w:lineRule="auto"/>
      </w:pPr>
      <w:r w:rsidRPr="002553A3">
        <w:t xml:space="preserve">doprinos povećanju korištenja obnovljivih izvora energije </w:t>
      </w:r>
      <w:r w:rsidR="00597241">
        <w:t>–</w:t>
      </w:r>
      <w:r w:rsidRPr="002553A3">
        <w:t xml:space="preserve"> </w:t>
      </w:r>
      <w:r w:rsidR="00597241">
        <w:t>proizvodnja energije iz</w:t>
      </w:r>
      <w:r w:rsidRPr="002553A3">
        <w:t xml:space="preserve"> obnovljivih izvora energije poslije i prije energetske obnove</w:t>
      </w:r>
      <w:r w:rsidR="00597241">
        <w:t xml:space="preserve"> (kWh/god)</w:t>
      </w:r>
      <w:r w:rsidRPr="002553A3">
        <w:t>,</w:t>
      </w:r>
    </w:p>
    <w:p w14:paraId="79132161" w14:textId="6404C930" w:rsidR="004E2FFF" w:rsidRPr="002553A3" w:rsidRDefault="004E2FFF" w:rsidP="00853D9C">
      <w:pPr>
        <w:pStyle w:val="Odlomakpopisa"/>
        <w:keepLines w:val="0"/>
        <w:numPr>
          <w:ilvl w:val="0"/>
          <w:numId w:val="49"/>
        </w:numPr>
        <w:tabs>
          <w:tab w:val="clear" w:pos="431"/>
        </w:tabs>
        <w:suppressAutoHyphens w:val="0"/>
        <w:spacing w:before="120" w:after="120" w:line="360" w:lineRule="auto"/>
      </w:pPr>
      <w:r w:rsidRPr="002553A3">
        <w:t xml:space="preserve">doprinos razvoju gospodarstava - broj </w:t>
      </w:r>
      <w:r w:rsidR="00597241">
        <w:t xml:space="preserve">izravno </w:t>
      </w:r>
      <w:r w:rsidRPr="002553A3">
        <w:t xml:space="preserve">zaposlenih tijekom </w:t>
      </w:r>
      <w:r w:rsidR="00597241">
        <w:t xml:space="preserve">pripreme i </w:t>
      </w:r>
      <w:r w:rsidRPr="002553A3">
        <w:t>provedbe energetske obnove zgrade.</w:t>
      </w:r>
    </w:p>
    <w:p w14:paraId="589CF162" w14:textId="77777777" w:rsidR="004E2FFF" w:rsidRPr="008C7825" w:rsidRDefault="004E2FFF" w:rsidP="004E2FFF">
      <w:pPr>
        <w:ind w:left="0"/>
      </w:pPr>
    </w:p>
    <w:p w14:paraId="17E522BB" w14:textId="77777777" w:rsidR="004E2FFF" w:rsidRDefault="004E2FFF" w:rsidP="007649C2">
      <w:pPr>
        <w:pStyle w:val="Naslov20"/>
      </w:pPr>
      <w:bookmarkStart w:id="204" w:name="_Toc34052918"/>
      <w:bookmarkStart w:id="205" w:name="_Toc46163854"/>
      <w:r w:rsidRPr="00214E70">
        <w:t xml:space="preserve">Okvirne relevantne ključne točke za 2030., </w:t>
      </w:r>
      <w:r>
        <w:t>2040</w:t>
      </w:r>
      <w:r w:rsidRPr="00214E70">
        <w:t>. i 2050. godinu</w:t>
      </w:r>
      <w:bookmarkEnd w:id="204"/>
      <w:bookmarkEnd w:id="205"/>
    </w:p>
    <w:p w14:paraId="52AF6EAA" w14:textId="6737CE79" w:rsidR="00E679A6" w:rsidRDefault="006A7B80" w:rsidP="004E2FFF">
      <w:pPr>
        <w:rPr>
          <w:lang w:eastAsia="hr-HR"/>
        </w:rPr>
      </w:pPr>
      <w:r>
        <w:rPr>
          <w:lang w:eastAsia="hr-HR"/>
        </w:rPr>
        <w:t xml:space="preserve">Strateški </w:t>
      </w:r>
      <w:r w:rsidR="004E2FFF">
        <w:rPr>
          <w:lang w:eastAsia="hr-HR"/>
        </w:rPr>
        <w:t xml:space="preserve">ciljevi energetske obnove za 2030., 2040. i 2050. godinu </w:t>
      </w:r>
      <w:r w:rsidR="00B26A30">
        <w:rPr>
          <w:lang w:eastAsia="hr-HR"/>
        </w:rPr>
        <w:t xml:space="preserve">podudarni s ciljevima NECP 2021 – 2030 prema scenariju </w:t>
      </w:r>
      <w:r w:rsidR="00386308">
        <w:rPr>
          <w:lang w:eastAsia="hr-HR"/>
        </w:rPr>
        <w:t>umjerene energetske tranzicije</w:t>
      </w:r>
      <w:r>
        <w:rPr>
          <w:lang w:eastAsia="hr-HR"/>
        </w:rPr>
        <w:t xml:space="preserve"> te su</w:t>
      </w:r>
      <w:r w:rsidR="00B26A30">
        <w:rPr>
          <w:lang w:eastAsia="hr-HR"/>
        </w:rPr>
        <w:t xml:space="preserve"> </w:t>
      </w:r>
      <w:r w:rsidR="004E2FFF">
        <w:rPr>
          <w:lang w:eastAsia="hr-HR"/>
        </w:rPr>
        <w:t xml:space="preserve">iskazani </w:t>
      </w:r>
      <w:r>
        <w:rPr>
          <w:lang w:eastAsia="hr-HR"/>
        </w:rPr>
        <w:t>kao</w:t>
      </w:r>
      <w:r w:rsidR="004E2FFF">
        <w:rPr>
          <w:lang w:eastAsia="hr-HR"/>
        </w:rPr>
        <w:t xml:space="preserve"> </w:t>
      </w:r>
      <w:r>
        <w:rPr>
          <w:lang w:eastAsia="hr-HR"/>
        </w:rPr>
        <w:t xml:space="preserve">suma </w:t>
      </w:r>
      <w:r w:rsidR="004E2FFF">
        <w:rPr>
          <w:lang w:eastAsia="hr-HR"/>
        </w:rPr>
        <w:t>obnovljenog i zamjenskog fonda zgrada (koji odgovara ciljanoj stopi demolacije)</w:t>
      </w:r>
      <w:r w:rsidR="00B60FFD">
        <w:rPr>
          <w:lang w:eastAsia="hr-HR"/>
        </w:rPr>
        <w:t>. Površina obnove iskazuje koliko zgrada mora biti neposredno obuhvaćeno energetskom obnovom u razdoblju do 203</w:t>
      </w:r>
      <w:r w:rsidR="005B2424">
        <w:rPr>
          <w:lang w:eastAsia="hr-HR"/>
        </w:rPr>
        <w:t xml:space="preserve">0., </w:t>
      </w:r>
      <w:r w:rsidR="001627DF">
        <w:rPr>
          <w:lang w:eastAsia="hr-HR"/>
        </w:rPr>
        <w:t>2040</w:t>
      </w:r>
      <w:r w:rsidR="005B2424">
        <w:rPr>
          <w:lang w:eastAsia="hr-HR"/>
        </w:rPr>
        <w:t>.</w:t>
      </w:r>
      <w:r w:rsidR="001627DF">
        <w:rPr>
          <w:lang w:eastAsia="hr-HR"/>
        </w:rPr>
        <w:t xml:space="preserve"> i 2050. godine, dok zamjena demoliranog predstavlja dio fonda zgrada koji će biti izgrađen </w:t>
      </w:r>
      <w:r w:rsidR="00812D9C">
        <w:rPr>
          <w:lang w:eastAsia="hr-HR"/>
        </w:rPr>
        <w:t xml:space="preserve">te </w:t>
      </w:r>
      <w:r>
        <w:rPr>
          <w:lang w:eastAsia="hr-HR"/>
        </w:rPr>
        <w:t xml:space="preserve">će </w:t>
      </w:r>
      <w:r w:rsidR="00812D9C">
        <w:rPr>
          <w:lang w:eastAsia="hr-HR"/>
        </w:rPr>
        <w:t>zamijeniti</w:t>
      </w:r>
      <w:r w:rsidR="001627DF">
        <w:rPr>
          <w:lang w:eastAsia="hr-HR"/>
        </w:rPr>
        <w:t xml:space="preserve"> </w:t>
      </w:r>
      <w:r w:rsidR="002525D3">
        <w:rPr>
          <w:lang w:eastAsia="hr-HR"/>
        </w:rPr>
        <w:t xml:space="preserve">zgrade koje zbog smanjenja broja stanovnika </w:t>
      </w:r>
      <w:r w:rsidR="00812D9C">
        <w:rPr>
          <w:lang w:eastAsia="hr-HR"/>
        </w:rPr>
        <w:t>ostaju napuštene, te zbog toga postupno ispadaju iz fonda zgrada prema popisima stanovništva i kućanstava</w:t>
      </w:r>
      <w:r w:rsidR="006430E4">
        <w:rPr>
          <w:lang w:eastAsia="hr-HR"/>
        </w:rPr>
        <w:t xml:space="preserve">. S </w:t>
      </w:r>
      <w:r w:rsidR="00561CEF">
        <w:rPr>
          <w:lang w:eastAsia="hr-HR"/>
        </w:rPr>
        <w:t>površinom obnovljenih i zamijenjenih zgrada</w:t>
      </w:r>
      <w:r w:rsidR="00C406F9">
        <w:rPr>
          <w:lang w:eastAsia="hr-HR"/>
        </w:rPr>
        <w:t xml:space="preserve"> ostvaruju se ciljevi NECP 2021 – 2030</w:t>
      </w:r>
      <w:r w:rsidR="00386308">
        <w:rPr>
          <w:lang w:eastAsia="hr-HR"/>
        </w:rPr>
        <w:t xml:space="preserve"> </w:t>
      </w:r>
      <w:r w:rsidR="00FF195C">
        <w:rPr>
          <w:lang w:eastAsia="hr-HR"/>
        </w:rPr>
        <w:t xml:space="preserve">za razdoblje do 2030. godine. </w:t>
      </w:r>
      <w:r w:rsidR="00386308">
        <w:rPr>
          <w:lang w:eastAsia="hr-H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2171"/>
        <w:gridCol w:w="1909"/>
        <w:gridCol w:w="1909"/>
      </w:tblGrid>
      <w:tr w:rsidR="004E2FFF" w:rsidRPr="005C6566" w14:paraId="6932AB10" w14:textId="77777777" w:rsidTr="00F4082E">
        <w:trPr>
          <w:trHeight w:val="270"/>
        </w:trPr>
        <w:tc>
          <w:tcPr>
            <w:tcW w:w="3351" w:type="dxa"/>
            <w:vAlign w:val="center"/>
            <w:hideMark/>
          </w:tcPr>
          <w:p w14:paraId="2F355510" w14:textId="77777777" w:rsidR="004E2FFF" w:rsidRPr="005C6566" w:rsidRDefault="004E2FFF" w:rsidP="00E655D4">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Razdoblje</w:t>
            </w:r>
          </w:p>
        </w:tc>
        <w:tc>
          <w:tcPr>
            <w:tcW w:w="2169" w:type="dxa"/>
            <w:vAlign w:val="center"/>
            <w:hideMark/>
          </w:tcPr>
          <w:p w14:paraId="2C0D1078" w14:textId="77777777" w:rsidR="004E2FFF" w:rsidRPr="005C6566" w:rsidRDefault="004E2FFF" w:rsidP="00E655D4">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2021. – 2030.</w:t>
            </w:r>
          </w:p>
        </w:tc>
        <w:tc>
          <w:tcPr>
            <w:tcW w:w="1907" w:type="dxa"/>
            <w:vAlign w:val="center"/>
            <w:hideMark/>
          </w:tcPr>
          <w:p w14:paraId="0C3D9447" w14:textId="77777777" w:rsidR="004E2FFF" w:rsidRPr="005C6566" w:rsidRDefault="004E2FFF" w:rsidP="00E655D4">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2031. – 2040.</w:t>
            </w:r>
          </w:p>
        </w:tc>
        <w:tc>
          <w:tcPr>
            <w:tcW w:w="1907" w:type="dxa"/>
            <w:vAlign w:val="center"/>
            <w:hideMark/>
          </w:tcPr>
          <w:p w14:paraId="316E229D" w14:textId="77777777" w:rsidR="004E2FFF" w:rsidRPr="005C6566" w:rsidRDefault="004E2FFF" w:rsidP="00E655D4">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2041. – 2050.</w:t>
            </w:r>
          </w:p>
        </w:tc>
      </w:tr>
      <w:tr w:rsidR="004E2FFF" w:rsidRPr="005C6566" w14:paraId="3A86511F" w14:textId="77777777" w:rsidTr="00F4082E">
        <w:trPr>
          <w:trHeight w:val="270"/>
        </w:trPr>
        <w:tc>
          <w:tcPr>
            <w:tcW w:w="3351" w:type="dxa"/>
            <w:hideMark/>
          </w:tcPr>
          <w:p w14:paraId="57D97055" w14:textId="77777777" w:rsidR="004E2FFF" w:rsidRPr="005C6566" w:rsidRDefault="004E2FFF" w:rsidP="00E655D4">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Obuhvat obnove – stambene</w:t>
            </w:r>
          </w:p>
        </w:tc>
        <w:tc>
          <w:tcPr>
            <w:tcW w:w="2169" w:type="dxa"/>
            <w:vMerge w:val="restart"/>
            <w:vAlign w:val="center"/>
            <w:hideMark/>
          </w:tcPr>
          <w:p w14:paraId="4BB75FD2"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8,71</w:t>
            </w:r>
          </w:p>
        </w:tc>
        <w:tc>
          <w:tcPr>
            <w:tcW w:w="1907" w:type="dxa"/>
            <w:vMerge w:val="restart"/>
            <w:vAlign w:val="center"/>
            <w:hideMark/>
          </w:tcPr>
          <w:p w14:paraId="54E3C731"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9,11</w:t>
            </w:r>
          </w:p>
        </w:tc>
        <w:tc>
          <w:tcPr>
            <w:tcW w:w="1907" w:type="dxa"/>
            <w:vMerge w:val="restart"/>
            <w:vAlign w:val="center"/>
            <w:hideMark/>
          </w:tcPr>
          <w:p w14:paraId="415D7CB7"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9,5</w:t>
            </w:r>
          </w:p>
        </w:tc>
      </w:tr>
      <w:tr w:rsidR="004E2FFF" w:rsidRPr="005C6566" w14:paraId="6F82346A" w14:textId="77777777" w:rsidTr="00F4082E">
        <w:trPr>
          <w:trHeight w:val="315"/>
        </w:trPr>
        <w:tc>
          <w:tcPr>
            <w:tcW w:w="3351" w:type="dxa"/>
            <w:hideMark/>
          </w:tcPr>
          <w:p w14:paraId="4DE2E788" w14:textId="77777777" w:rsidR="004E2FFF" w:rsidRPr="005C6566" w:rsidRDefault="004E2FFF" w:rsidP="00E655D4">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169" w:type="dxa"/>
            <w:vMerge/>
            <w:vAlign w:val="center"/>
            <w:hideMark/>
          </w:tcPr>
          <w:p w14:paraId="14D91B02"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c>
          <w:tcPr>
            <w:tcW w:w="1907" w:type="dxa"/>
            <w:vMerge/>
            <w:vAlign w:val="center"/>
            <w:hideMark/>
          </w:tcPr>
          <w:p w14:paraId="67EDE3F5"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c>
          <w:tcPr>
            <w:tcW w:w="1907" w:type="dxa"/>
            <w:vMerge/>
            <w:vAlign w:val="center"/>
            <w:hideMark/>
          </w:tcPr>
          <w:p w14:paraId="2C4F0BBE"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r>
      <w:tr w:rsidR="004E2FFF" w:rsidRPr="005C6566" w14:paraId="2CF3C1B3" w14:textId="77777777" w:rsidTr="00F4082E">
        <w:trPr>
          <w:trHeight w:val="255"/>
        </w:trPr>
        <w:tc>
          <w:tcPr>
            <w:tcW w:w="3351" w:type="dxa"/>
            <w:hideMark/>
          </w:tcPr>
          <w:p w14:paraId="7121AFC8" w14:textId="77777777" w:rsidR="004E2FFF" w:rsidRPr="005C6566" w:rsidRDefault="004E2FFF" w:rsidP="00E655D4">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Obuhvat obnove – nestambene</w:t>
            </w:r>
          </w:p>
        </w:tc>
        <w:tc>
          <w:tcPr>
            <w:tcW w:w="2169" w:type="dxa"/>
            <w:vMerge w:val="restart"/>
            <w:vAlign w:val="center"/>
            <w:hideMark/>
          </w:tcPr>
          <w:p w14:paraId="34616D70"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4,88</w:t>
            </w:r>
          </w:p>
        </w:tc>
        <w:tc>
          <w:tcPr>
            <w:tcW w:w="1907" w:type="dxa"/>
            <w:vMerge w:val="restart"/>
            <w:vAlign w:val="center"/>
            <w:hideMark/>
          </w:tcPr>
          <w:p w14:paraId="18B03D2D"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4,88</w:t>
            </w:r>
          </w:p>
        </w:tc>
        <w:tc>
          <w:tcPr>
            <w:tcW w:w="1907" w:type="dxa"/>
            <w:vMerge w:val="restart"/>
            <w:vAlign w:val="center"/>
            <w:hideMark/>
          </w:tcPr>
          <w:p w14:paraId="3C27B8DF"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4,88</w:t>
            </w:r>
          </w:p>
        </w:tc>
      </w:tr>
      <w:tr w:rsidR="004E2FFF" w:rsidRPr="005C6566" w14:paraId="4A04DBE1" w14:textId="77777777" w:rsidTr="00F4082E">
        <w:trPr>
          <w:trHeight w:val="315"/>
        </w:trPr>
        <w:tc>
          <w:tcPr>
            <w:tcW w:w="3351" w:type="dxa"/>
            <w:hideMark/>
          </w:tcPr>
          <w:p w14:paraId="1E5ABB08" w14:textId="77777777" w:rsidR="004E2FFF" w:rsidRPr="005C6566" w:rsidRDefault="004E2FFF" w:rsidP="00E655D4">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169" w:type="dxa"/>
            <w:vMerge/>
            <w:vAlign w:val="center"/>
            <w:hideMark/>
          </w:tcPr>
          <w:p w14:paraId="19C5F4EE"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c>
          <w:tcPr>
            <w:tcW w:w="1907" w:type="dxa"/>
            <w:vMerge/>
            <w:vAlign w:val="center"/>
            <w:hideMark/>
          </w:tcPr>
          <w:p w14:paraId="5A520BD3"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c>
          <w:tcPr>
            <w:tcW w:w="1907" w:type="dxa"/>
            <w:vMerge/>
            <w:vAlign w:val="center"/>
            <w:hideMark/>
          </w:tcPr>
          <w:p w14:paraId="189C94CB"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r>
      <w:tr w:rsidR="004E2FFF" w:rsidRPr="005C6566" w14:paraId="2D5E4FB0" w14:textId="77777777" w:rsidTr="00F4082E">
        <w:trPr>
          <w:trHeight w:val="270"/>
        </w:trPr>
        <w:tc>
          <w:tcPr>
            <w:tcW w:w="3351" w:type="dxa"/>
            <w:noWrap/>
            <w:hideMark/>
          </w:tcPr>
          <w:p w14:paraId="3774200E" w14:textId="77777777" w:rsidR="004E2FFF" w:rsidRPr="005C6566" w:rsidRDefault="004E2FFF" w:rsidP="00E655D4">
            <w:pPr>
              <w:tabs>
                <w:tab w:val="clear" w:pos="431"/>
              </w:tabs>
              <w:spacing w:after="0" w:line="240" w:lineRule="auto"/>
              <w:ind w:left="0"/>
              <w:jc w:val="center"/>
              <w:rPr>
                <w:rFonts w:ascii="Calibri" w:hAnsi="Calibri" w:cs="Calibri"/>
                <w:b/>
                <w:bCs/>
                <w:color w:val="000000"/>
                <w:szCs w:val="20"/>
                <w:lang w:eastAsia="hr-HR"/>
              </w:rPr>
            </w:pPr>
          </w:p>
        </w:tc>
        <w:tc>
          <w:tcPr>
            <w:tcW w:w="2169" w:type="dxa"/>
            <w:noWrap/>
            <w:vAlign w:val="bottom"/>
            <w:hideMark/>
          </w:tcPr>
          <w:p w14:paraId="7CFE8057" w14:textId="77777777" w:rsidR="004E2FFF" w:rsidRPr="005C6566" w:rsidRDefault="004E2FFF" w:rsidP="00E655D4">
            <w:pPr>
              <w:tabs>
                <w:tab w:val="clear" w:pos="431"/>
              </w:tabs>
              <w:spacing w:after="0" w:line="240" w:lineRule="auto"/>
              <w:ind w:left="0"/>
              <w:jc w:val="left"/>
              <w:rPr>
                <w:rFonts w:ascii="Times New Roman" w:hAnsi="Times New Roman" w:cs="Times New Roman"/>
                <w:szCs w:val="20"/>
                <w:lang w:eastAsia="hr-HR"/>
              </w:rPr>
            </w:pPr>
          </w:p>
        </w:tc>
        <w:tc>
          <w:tcPr>
            <w:tcW w:w="1907" w:type="dxa"/>
            <w:noWrap/>
            <w:vAlign w:val="bottom"/>
            <w:hideMark/>
          </w:tcPr>
          <w:p w14:paraId="4A8E7FD8" w14:textId="77777777" w:rsidR="004E2FFF" w:rsidRPr="005C6566" w:rsidRDefault="004E2FFF" w:rsidP="00E655D4">
            <w:pPr>
              <w:tabs>
                <w:tab w:val="clear" w:pos="431"/>
              </w:tabs>
              <w:spacing w:after="0" w:line="240" w:lineRule="auto"/>
              <w:ind w:left="0"/>
              <w:jc w:val="left"/>
              <w:rPr>
                <w:rFonts w:ascii="Times New Roman" w:hAnsi="Times New Roman" w:cs="Times New Roman"/>
                <w:szCs w:val="20"/>
                <w:lang w:eastAsia="hr-HR"/>
              </w:rPr>
            </w:pPr>
          </w:p>
        </w:tc>
        <w:tc>
          <w:tcPr>
            <w:tcW w:w="1907" w:type="dxa"/>
            <w:noWrap/>
            <w:vAlign w:val="bottom"/>
            <w:hideMark/>
          </w:tcPr>
          <w:p w14:paraId="57CB4D38" w14:textId="77777777" w:rsidR="004E2FFF" w:rsidRPr="005C6566" w:rsidRDefault="004E2FFF" w:rsidP="00E655D4">
            <w:pPr>
              <w:tabs>
                <w:tab w:val="clear" w:pos="431"/>
              </w:tabs>
              <w:spacing w:after="0" w:line="240" w:lineRule="auto"/>
              <w:ind w:left="0"/>
              <w:jc w:val="left"/>
              <w:rPr>
                <w:rFonts w:ascii="Times New Roman" w:hAnsi="Times New Roman" w:cs="Times New Roman"/>
                <w:szCs w:val="20"/>
                <w:lang w:eastAsia="hr-HR"/>
              </w:rPr>
            </w:pPr>
          </w:p>
        </w:tc>
      </w:tr>
      <w:tr w:rsidR="004E2FFF" w:rsidRPr="005C6566" w14:paraId="79AFE5CA" w14:textId="77777777" w:rsidTr="00F4082E">
        <w:trPr>
          <w:trHeight w:val="270"/>
        </w:trPr>
        <w:tc>
          <w:tcPr>
            <w:tcW w:w="3351" w:type="dxa"/>
            <w:hideMark/>
          </w:tcPr>
          <w:p w14:paraId="1623CD76" w14:textId="77777777" w:rsidR="004E2FFF" w:rsidRPr="005C6566" w:rsidRDefault="004E2FFF" w:rsidP="00E655D4">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Razdoblje</w:t>
            </w:r>
          </w:p>
        </w:tc>
        <w:tc>
          <w:tcPr>
            <w:tcW w:w="2169" w:type="dxa"/>
            <w:vAlign w:val="center"/>
            <w:hideMark/>
          </w:tcPr>
          <w:p w14:paraId="768DD605" w14:textId="77777777" w:rsidR="004E2FFF" w:rsidRPr="005C6566" w:rsidRDefault="004E2FFF" w:rsidP="00E655D4">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2021. – 2030.</w:t>
            </w:r>
          </w:p>
        </w:tc>
        <w:tc>
          <w:tcPr>
            <w:tcW w:w="1907" w:type="dxa"/>
            <w:vAlign w:val="center"/>
            <w:hideMark/>
          </w:tcPr>
          <w:p w14:paraId="3A5879D3" w14:textId="77777777" w:rsidR="004E2FFF" w:rsidRPr="005C6566" w:rsidRDefault="004E2FFF" w:rsidP="00E655D4">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2031. – 2040.</w:t>
            </w:r>
          </w:p>
        </w:tc>
        <w:tc>
          <w:tcPr>
            <w:tcW w:w="1907" w:type="dxa"/>
            <w:vAlign w:val="center"/>
            <w:hideMark/>
          </w:tcPr>
          <w:p w14:paraId="6F465ECE" w14:textId="77777777" w:rsidR="004E2FFF" w:rsidRPr="005C6566" w:rsidRDefault="004E2FFF" w:rsidP="00E655D4">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2041. – 2050.</w:t>
            </w:r>
          </w:p>
        </w:tc>
      </w:tr>
      <w:tr w:rsidR="004E2FFF" w:rsidRPr="005C6566" w14:paraId="5011641C" w14:textId="77777777" w:rsidTr="00F4082E">
        <w:trPr>
          <w:trHeight w:val="270"/>
        </w:trPr>
        <w:tc>
          <w:tcPr>
            <w:tcW w:w="3351" w:type="dxa"/>
            <w:hideMark/>
          </w:tcPr>
          <w:p w14:paraId="6C0F7862" w14:textId="77777777" w:rsidR="004E2FFF" w:rsidRPr="005C6566" w:rsidRDefault="004E2FFF" w:rsidP="00E655D4">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 xml:space="preserve">Zamjena demoliranog </w:t>
            </w:r>
            <w:r w:rsidR="002C315B">
              <w:rPr>
                <w:rFonts w:ascii="Calibri" w:hAnsi="Calibri" w:cs="Tahoma"/>
                <w:b/>
                <w:bCs/>
                <w:color w:val="000000"/>
                <w:szCs w:val="20"/>
                <w:lang w:eastAsia="hr-HR"/>
              </w:rPr>
              <w:t>–</w:t>
            </w:r>
            <w:r w:rsidRPr="005C6566">
              <w:rPr>
                <w:rFonts w:ascii="Calibri" w:hAnsi="Calibri" w:cs="Tahoma"/>
                <w:b/>
                <w:bCs/>
                <w:color w:val="000000"/>
                <w:szCs w:val="20"/>
                <w:lang w:eastAsia="hr-HR"/>
              </w:rPr>
              <w:t xml:space="preserve"> stambena</w:t>
            </w:r>
          </w:p>
        </w:tc>
        <w:tc>
          <w:tcPr>
            <w:tcW w:w="2169" w:type="dxa"/>
            <w:vMerge w:val="restart"/>
            <w:vAlign w:val="center"/>
            <w:hideMark/>
          </w:tcPr>
          <w:p w14:paraId="288A2723"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5,8</w:t>
            </w:r>
          </w:p>
        </w:tc>
        <w:tc>
          <w:tcPr>
            <w:tcW w:w="1907" w:type="dxa"/>
            <w:vMerge w:val="restart"/>
            <w:vAlign w:val="center"/>
            <w:hideMark/>
          </w:tcPr>
          <w:p w14:paraId="570C33F8"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7,26</w:t>
            </w:r>
          </w:p>
        </w:tc>
        <w:tc>
          <w:tcPr>
            <w:tcW w:w="1907" w:type="dxa"/>
            <w:vMerge w:val="restart"/>
            <w:vAlign w:val="center"/>
            <w:hideMark/>
          </w:tcPr>
          <w:p w14:paraId="0A328B29"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7,11</w:t>
            </w:r>
          </w:p>
        </w:tc>
      </w:tr>
      <w:tr w:rsidR="004E2FFF" w:rsidRPr="005C6566" w14:paraId="4F0E0A0C" w14:textId="77777777" w:rsidTr="00F4082E">
        <w:trPr>
          <w:trHeight w:val="315"/>
        </w:trPr>
        <w:tc>
          <w:tcPr>
            <w:tcW w:w="3351" w:type="dxa"/>
            <w:hideMark/>
          </w:tcPr>
          <w:p w14:paraId="463A5333" w14:textId="77777777" w:rsidR="004E2FFF" w:rsidRPr="005C6566" w:rsidRDefault="004E2FFF" w:rsidP="00E655D4">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169" w:type="dxa"/>
            <w:vMerge/>
            <w:vAlign w:val="center"/>
            <w:hideMark/>
          </w:tcPr>
          <w:p w14:paraId="46969AE0"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c>
          <w:tcPr>
            <w:tcW w:w="1907" w:type="dxa"/>
            <w:vMerge/>
            <w:vAlign w:val="center"/>
            <w:hideMark/>
          </w:tcPr>
          <w:p w14:paraId="1AC06AEE"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c>
          <w:tcPr>
            <w:tcW w:w="1907" w:type="dxa"/>
            <w:vMerge/>
            <w:vAlign w:val="center"/>
            <w:hideMark/>
          </w:tcPr>
          <w:p w14:paraId="62D2E0FC"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r>
      <w:tr w:rsidR="004E2FFF" w:rsidRPr="005C6566" w14:paraId="7B3068D8" w14:textId="77777777" w:rsidTr="00F4082E">
        <w:trPr>
          <w:trHeight w:val="255"/>
        </w:trPr>
        <w:tc>
          <w:tcPr>
            <w:tcW w:w="3351" w:type="dxa"/>
            <w:hideMark/>
          </w:tcPr>
          <w:p w14:paraId="68A45AC7" w14:textId="77777777" w:rsidR="004E2FFF" w:rsidRPr="005C6566" w:rsidRDefault="004E2FFF" w:rsidP="00E655D4">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Zamjena demoliranog  - nestambena</w:t>
            </w:r>
          </w:p>
        </w:tc>
        <w:tc>
          <w:tcPr>
            <w:tcW w:w="2169" w:type="dxa"/>
            <w:vMerge w:val="restart"/>
            <w:vAlign w:val="center"/>
            <w:hideMark/>
          </w:tcPr>
          <w:p w14:paraId="043B7E21"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3,27</w:t>
            </w:r>
          </w:p>
        </w:tc>
        <w:tc>
          <w:tcPr>
            <w:tcW w:w="1907" w:type="dxa"/>
            <w:vMerge w:val="restart"/>
            <w:vAlign w:val="center"/>
            <w:hideMark/>
          </w:tcPr>
          <w:p w14:paraId="796278CC"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2,49</w:t>
            </w:r>
          </w:p>
        </w:tc>
        <w:tc>
          <w:tcPr>
            <w:tcW w:w="1907" w:type="dxa"/>
            <w:vMerge w:val="restart"/>
            <w:vAlign w:val="center"/>
            <w:hideMark/>
          </w:tcPr>
          <w:p w14:paraId="51C12EE2" w14:textId="77777777" w:rsidR="004E2FFF" w:rsidRPr="005C6566" w:rsidRDefault="004E2FFF" w:rsidP="00E655D4">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1,694</w:t>
            </w:r>
          </w:p>
        </w:tc>
      </w:tr>
      <w:tr w:rsidR="004E2FFF" w:rsidRPr="005C6566" w14:paraId="302B93E3" w14:textId="77777777" w:rsidTr="00F4082E">
        <w:trPr>
          <w:trHeight w:val="315"/>
        </w:trPr>
        <w:tc>
          <w:tcPr>
            <w:tcW w:w="3351" w:type="dxa"/>
            <w:hideMark/>
          </w:tcPr>
          <w:p w14:paraId="0B331105" w14:textId="77777777" w:rsidR="004E2FFF" w:rsidRPr="005C6566" w:rsidRDefault="004E2FFF" w:rsidP="00E655D4">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169" w:type="dxa"/>
            <w:vMerge/>
            <w:vAlign w:val="center"/>
            <w:hideMark/>
          </w:tcPr>
          <w:p w14:paraId="4120ABAE"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c>
          <w:tcPr>
            <w:tcW w:w="1907" w:type="dxa"/>
            <w:vMerge/>
            <w:vAlign w:val="center"/>
            <w:hideMark/>
          </w:tcPr>
          <w:p w14:paraId="1D671B43"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c>
          <w:tcPr>
            <w:tcW w:w="1907" w:type="dxa"/>
            <w:vMerge/>
            <w:vAlign w:val="center"/>
            <w:hideMark/>
          </w:tcPr>
          <w:p w14:paraId="178DA625" w14:textId="77777777" w:rsidR="004E2FFF" w:rsidRPr="005C6566" w:rsidRDefault="004E2FFF" w:rsidP="00E655D4">
            <w:pPr>
              <w:tabs>
                <w:tab w:val="clear" w:pos="431"/>
              </w:tabs>
              <w:spacing w:after="0" w:line="240" w:lineRule="auto"/>
              <w:ind w:left="0"/>
              <w:jc w:val="left"/>
              <w:rPr>
                <w:rFonts w:ascii="Calibri" w:hAnsi="Calibri" w:cs="Calibri"/>
                <w:color w:val="000000"/>
                <w:szCs w:val="20"/>
                <w:lang w:eastAsia="hr-HR"/>
              </w:rPr>
            </w:pPr>
          </w:p>
        </w:tc>
      </w:tr>
    </w:tbl>
    <w:p w14:paraId="12D53905" w14:textId="77777777" w:rsidR="004E2FFF" w:rsidRDefault="004E2FFF" w:rsidP="004E2FFF">
      <w:pPr>
        <w:rPr>
          <w:lang w:eastAsia="hr-HR"/>
        </w:rPr>
      </w:pPr>
    </w:p>
    <w:p w14:paraId="18F92838" w14:textId="62F8D76A" w:rsidR="004E2FFF" w:rsidRDefault="006A7B80" w:rsidP="004E2FFF">
      <w:pPr>
        <w:rPr>
          <w:lang w:eastAsia="hr-HR"/>
        </w:rPr>
      </w:pPr>
      <w:r>
        <w:rPr>
          <w:lang w:eastAsia="hr-HR"/>
        </w:rPr>
        <w:t>Strateški c</w:t>
      </w:r>
      <w:r w:rsidR="002C315B">
        <w:rPr>
          <w:lang w:eastAsia="hr-HR"/>
        </w:rPr>
        <w:t>ilj energetske obnove</w:t>
      </w:r>
      <w:r w:rsidR="00574CA1">
        <w:rPr>
          <w:lang w:eastAsia="hr-HR"/>
        </w:rPr>
        <w:t xml:space="preserve"> po stopi od 3% godišnje traži obno</w:t>
      </w:r>
      <w:r w:rsidR="00C91952">
        <w:rPr>
          <w:lang w:eastAsia="hr-HR"/>
        </w:rPr>
        <w:t xml:space="preserve">vu </w:t>
      </w:r>
      <w:r w:rsidR="00F4082E">
        <w:rPr>
          <w:lang w:eastAsia="hr-HR"/>
        </w:rPr>
        <w:t>zgrada prema donjoj tablici</w:t>
      </w:r>
      <w:r w:rsidR="00C91952">
        <w:rPr>
          <w:lang w:eastAsia="hr-HR"/>
        </w:rPr>
        <w:t xml:space="preserve"> </w:t>
      </w:r>
      <w:r w:rsidR="00BB0038">
        <w:rPr>
          <w:lang w:eastAsia="hr-HR"/>
        </w:rPr>
        <w:t xml:space="preserve">prema </w:t>
      </w:r>
      <w:r w:rsidR="00507CED">
        <w:rPr>
          <w:lang w:eastAsia="hr-HR"/>
        </w:rPr>
        <w:t xml:space="preserve">trenutačnim </w:t>
      </w:r>
      <w:r w:rsidR="00BB0038">
        <w:rPr>
          <w:lang w:eastAsia="hr-HR"/>
        </w:rPr>
        <w:t>zahtjevima</w:t>
      </w:r>
      <w:r w:rsidR="0038784A">
        <w:rPr>
          <w:lang w:eastAsia="hr-HR"/>
        </w:rPr>
        <w:t xml:space="preserve"> za zgrade</w:t>
      </w:r>
      <w:r w:rsidR="00507CED">
        <w:rPr>
          <w:lang w:eastAsia="hr-HR"/>
        </w:rPr>
        <w:t xml:space="preserve">, ne uzimajući u obzir </w:t>
      </w:r>
      <w:r w:rsidR="001B027F">
        <w:rPr>
          <w:lang w:eastAsia="hr-HR"/>
        </w:rPr>
        <w:t>izvjesnu promjenu zahtjeva na nove i postojeće zgrade</w:t>
      </w:r>
      <w:r w:rsidR="0043401B">
        <w:rPr>
          <w:lang w:eastAsia="hr-HR"/>
        </w:rPr>
        <w:t>.</w:t>
      </w:r>
      <w:r w:rsidR="00F4082E">
        <w:rPr>
          <w:lang w:eastAsia="hr-H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2063"/>
        <w:gridCol w:w="2063"/>
        <w:gridCol w:w="2063"/>
      </w:tblGrid>
      <w:tr w:rsidR="00BB0038" w:rsidRPr="00221B34" w14:paraId="1B33F368" w14:textId="77777777" w:rsidTr="00BB0038">
        <w:trPr>
          <w:trHeight w:val="300"/>
        </w:trPr>
        <w:tc>
          <w:tcPr>
            <w:tcW w:w="2844" w:type="dxa"/>
            <w:shd w:val="clear" w:color="auto" w:fill="auto"/>
            <w:noWrap/>
            <w:vAlign w:val="center"/>
            <w:hideMark/>
          </w:tcPr>
          <w:p w14:paraId="2988B70D" w14:textId="77777777" w:rsidR="00BB0038" w:rsidRPr="00221B34" w:rsidRDefault="00BB0038" w:rsidP="00BB0038">
            <w:pPr>
              <w:tabs>
                <w:tab w:val="clear" w:pos="431"/>
              </w:tabs>
              <w:spacing w:after="0" w:line="240" w:lineRule="auto"/>
              <w:ind w:left="0"/>
              <w:jc w:val="left"/>
              <w:rPr>
                <w:rFonts w:ascii="Times New Roman" w:hAnsi="Times New Roman" w:cs="Times New Roman"/>
                <w:sz w:val="24"/>
                <w:szCs w:val="20"/>
                <w:lang w:eastAsia="hr-HR"/>
              </w:rPr>
            </w:pPr>
            <w:r w:rsidRPr="005C6566">
              <w:rPr>
                <w:rFonts w:ascii="Calibri" w:hAnsi="Calibri" w:cs="Tahoma"/>
                <w:b/>
                <w:bCs/>
                <w:color w:val="000000"/>
                <w:szCs w:val="20"/>
                <w:lang w:eastAsia="hr-HR"/>
              </w:rPr>
              <w:t>Razdoblje</w:t>
            </w:r>
          </w:p>
        </w:tc>
        <w:tc>
          <w:tcPr>
            <w:tcW w:w="1860" w:type="dxa"/>
            <w:shd w:val="clear" w:color="auto" w:fill="auto"/>
            <w:noWrap/>
            <w:vAlign w:val="center"/>
            <w:hideMark/>
          </w:tcPr>
          <w:p w14:paraId="7CE324DE" w14:textId="77777777" w:rsidR="00BB0038" w:rsidRPr="00221B34" w:rsidRDefault="00BB0038" w:rsidP="00BB0038">
            <w:pPr>
              <w:tabs>
                <w:tab w:val="clear" w:pos="431"/>
              </w:tabs>
              <w:spacing w:after="0" w:line="240" w:lineRule="auto"/>
              <w:ind w:left="0"/>
              <w:jc w:val="right"/>
              <w:rPr>
                <w:rFonts w:ascii="Calibri" w:hAnsi="Calibri" w:cs="Calibri"/>
                <w:color w:val="000000"/>
                <w:sz w:val="22"/>
                <w:szCs w:val="22"/>
                <w:lang w:eastAsia="hr-HR"/>
              </w:rPr>
            </w:pPr>
            <w:r w:rsidRPr="005C6566">
              <w:rPr>
                <w:rFonts w:ascii="Calibri" w:hAnsi="Calibri" w:cs="Tahoma"/>
                <w:b/>
                <w:bCs/>
                <w:color w:val="000000"/>
                <w:szCs w:val="20"/>
                <w:lang w:eastAsia="hr-HR"/>
              </w:rPr>
              <w:t>2021. – 2030.</w:t>
            </w:r>
          </w:p>
        </w:tc>
        <w:tc>
          <w:tcPr>
            <w:tcW w:w="1860" w:type="dxa"/>
            <w:shd w:val="clear" w:color="auto" w:fill="auto"/>
            <w:noWrap/>
            <w:vAlign w:val="center"/>
            <w:hideMark/>
          </w:tcPr>
          <w:p w14:paraId="310A4CDD" w14:textId="77777777" w:rsidR="00BB0038" w:rsidRPr="00221B34" w:rsidRDefault="00BB0038" w:rsidP="00BB0038">
            <w:pPr>
              <w:tabs>
                <w:tab w:val="clear" w:pos="431"/>
              </w:tabs>
              <w:spacing w:after="0" w:line="240" w:lineRule="auto"/>
              <w:ind w:left="0"/>
              <w:jc w:val="right"/>
              <w:rPr>
                <w:rFonts w:ascii="Calibri" w:hAnsi="Calibri" w:cs="Calibri"/>
                <w:color w:val="000000"/>
                <w:sz w:val="22"/>
                <w:szCs w:val="22"/>
                <w:lang w:eastAsia="hr-HR"/>
              </w:rPr>
            </w:pPr>
            <w:r w:rsidRPr="005C6566">
              <w:rPr>
                <w:rFonts w:ascii="Calibri" w:hAnsi="Calibri" w:cs="Tahoma"/>
                <w:b/>
                <w:bCs/>
                <w:color w:val="000000"/>
                <w:szCs w:val="20"/>
                <w:lang w:eastAsia="hr-HR"/>
              </w:rPr>
              <w:t>2031. – 2040.</w:t>
            </w:r>
          </w:p>
        </w:tc>
        <w:tc>
          <w:tcPr>
            <w:tcW w:w="1860" w:type="dxa"/>
            <w:shd w:val="clear" w:color="auto" w:fill="auto"/>
            <w:noWrap/>
            <w:vAlign w:val="center"/>
            <w:hideMark/>
          </w:tcPr>
          <w:p w14:paraId="733389A2" w14:textId="77777777" w:rsidR="00BB0038" w:rsidRPr="00221B34" w:rsidRDefault="00BB0038" w:rsidP="00BB0038">
            <w:pPr>
              <w:tabs>
                <w:tab w:val="clear" w:pos="431"/>
              </w:tabs>
              <w:spacing w:after="0" w:line="240" w:lineRule="auto"/>
              <w:ind w:left="0"/>
              <w:jc w:val="right"/>
              <w:rPr>
                <w:rFonts w:ascii="Calibri" w:hAnsi="Calibri" w:cs="Calibri"/>
                <w:color w:val="000000"/>
                <w:sz w:val="22"/>
                <w:szCs w:val="22"/>
                <w:lang w:eastAsia="hr-HR"/>
              </w:rPr>
            </w:pPr>
            <w:r w:rsidRPr="005C6566">
              <w:rPr>
                <w:rFonts w:ascii="Calibri" w:hAnsi="Calibri" w:cs="Tahoma"/>
                <w:b/>
                <w:bCs/>
                <w:color w:val="000000"/>
                <w:szCs w:val="20"/>
                <w:lang w:eastAsia="hr-HR"/>
              </w:rPr>
              <w:t>2041. – 2050.</w:t>
            </w:r>
          </w:p>
        </w:tc>
      </w:tr>
      <w:tr w:rsidR="00221B34" w:rsidRPr="00221B34" w14:paraId="68F1C129" w14:textId="77777777" w:rsidTr="00BB0038">
        <w:trPr>
          <w:trHeight w:val="300"/>
        </w:trPr>
        <w:tc>
          <w:tcPr>
            <w:tcW w:w="2844" w:type="dxa"/>
            <w:shd w:val="clear" w:color="auto" w:fill="auto"/>
            <w:noWrap/>
            <w:vAlign w:val="bottom"/>
            <w:hideMark/>
          </w:tcPr>
          <w:p w14:paraId="330D9175" w14:textId="77777777" w:rsidR="00221B34" w:rsidRDefault="00221B34" w:rsidP="00221B34">
            <w:pPr>
              <w:tabs>
                <w:tab w:val="clear" w:pos="431"/>
              </w:tabs>
              <w:spacing w:after="0" w:line="240" w:lineRule="auto"/>
              <w:ind w:left="0"/>
              <w:jc w:val="left"/>
              <w:rPr>
                <w:rFonts w:ascii="Calibri" w:hAnsi="Calibri" w:cs="Calibri"/>
                <w:color w:val="000000"/>
                <w:sz w:val="22"/>
                <w:szCs w:val="22"/>
                <w:lang w:eastAsia="hr-HR"/>
              </w:rPr>
            </w:pPr>
            <w:r w:rsidRPr="00221B34">
              <w:rPr>
                <w:rFonts w:ascii="Calibri" w:hAnsi="Calibri" w:cs="Tahoma"/>
                <w:b/>
                <w:bCs/>
                <w:color w:val="000000"/>
                <w:szCs w:val="20"/>
                <w:lang w:eastAsia="hr-HR"/>
              </w:rPr>
              <w:t xml:space="preserve">ukupno </w:t>
            </w:r>
            <w:r w:rsidR="00BB0038" w:rsidRPr="00BB0038">
              <w:rPr>
                <w:rFonts w:ascii="Calibri" w:hAnsi="Calibri" w:cs="Tahoma"/>
                <w:b/>
                <w:bCs/>
                <w:color w:val="000000"/>
                <w:szCs w:val="20"/>
                <w:lang w:eastAsia="hr-HR"/>
              </w:rPr>
              <w:t>obuhvat obnove</w:t>
            </w:r>
            <w:r w:rsidRPr="00221B34">
              <w:rPr>
                <w:rFonts w:ascii="Calibri" w:hAnsi="Calibri" w:cs="Calibri"/>
                <w:color w:val="000000"/>
                <w:sz w:val="22"/>
                <w:szCs w:val="22"/>
                <w:lang w:eastAsia="hr-HR"/>
              </w:rPr>
              <w:t xml:space="preserve"> </w:t>
            </w:r>
          </w:p>
          <w:p w14:paraId="2A920395" w14:textId="77777777" w:rsidR="00BB0038" w:rsidRPr="00221B34" w:rsidRDefault="00BB0038" w:rsidP="00221B34">
            <w:pPr>
              <w:tabs>
                <w:tab w:val="clear" w:pos="431"/>
              </w:tabs>
              <w:spacing w:after="0" w:line="240" w:lineRule="auto"/>
              <w:ind w:left="0"/>
              <w:jc w:val="left"/>
              <w:rPr>
                <w:rFonts w:ascii="Calibri" w:hAnsi="Calibri" w:cs="Calibri"/>
                <w:color w:val="000000"/>
                <w:sz w:val="22"/>
                <w:szCs w:val="22"/>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1860" w:type="dxa"/>
            <w:shd w:val="clear" w:color="auto" w:fill="auto"/>
            <w:noWrap/>
            <w:vAlign w:val="bottom"/>
            <w:hideMark/>
          </w:tcPr>
          <w:p w14:paraId="3EA028F2" w14:textId="77777777" w:rsidR="00221B34" w:rsidRPr="00221B34" w:rsidRDefault="00221B34" w:rsidP="00BB0038">
            <w:pPr>
              <w:tabs>
                <w:tab w:val="clear" w:pos="431"/>
              </w:tabs>
              <w:spacing w:after="0" w:line="240" w:lineRule="auto"/>
              <w:ind w:left="0"/>
              <w:jc w:val="center"/>
              <w:rPr>
                <w:rFonts w:ascii="Calibri" w:hAnsi="Calibri" w:cs="Tahoma"/>
                <w:color w:val="000000"/>
                <w:szCs w:val="20"/>
                <w:lang w:eastAsia="hr-HR"/>
              </w:rPr>
            </w:pPr>
            <w:r w:rsidRPr="00BB0038">
              <w:rPr>
                <w:rFonts w:ascii="Calibri" w:hAnsi="Calibri" w:cs="Tahoma"/>
                <w:color w:val="000000"/>
                <w:szCs w:val="20"/>
                <w:lang w:eastAsia="hr-HR"/>
              </w:rPr>
              <w:t>17,95</w:t>
            </w:r>
          </w:p>
        </w:tc>
        <w:tc>
          <w:tcPr>
            <w:tcW w:w="1860" w:type="dxa"/>
            <w:shd w:val="clear" w:color="auto" w:fill="auto"/>
            <w:noWrap/>
            <w:vAlign w:val="bottom"/>
            <w:hideMark/>
          </w:tcPr>
          <w:p w14:paraId="06BF187D" w14:textId="77777777" w:rsidR="00221B34" w:rsidRPr="00221B34" w:rsidRDefault="00A13083" w:rsidP="00BB0038">
            <w:pPr>
              <w:tabs>
                <w:tab w:val="clear" w:pos="431"/>
              </w:tabs>
              <w:spacing w:after="0" w:line="240" w:lineRule="auto"/>
              <w:ind w:left="0"/>
              <w:jc w:val="center"/>
              <w:rPr>
                <w:rFonts w:ascii="Calibri" w:hAnsi="Calibri" w:cs="Tahoma"/>
                <w:color w:val="000000"/>
                <w:szCs w:val="20"/>
                <w:lang w:eastAsia="hr-HR"/>
              </w:rPr>
            </w:pPr>
            <w:r w:rsidRPr="00BB0038">
              <w:rPr>
                <w:rFonts w:ascii="Calibri" w:hAnsi="Calibri" w:cs="Tahoma"/>
                <w:color w:val="000000"/>
                <w:szCs w:val="20"/>
                <w:lang w:eastAsia="hr-HR"/>
              </w:rPr>
              <w:t>32,96</w:t>
            </w:r>
          </w:p>
        </w:tc>
        <w:tc>
          <w:tcPr>
            <w:tcW w:w="1860" w:type="dxa"/>
            <w:shd w:val="clear" w:color="auto" w:fill="auto"/>
            <w:noWrap/>
            <w:vAlign w:val="bottom"/>
            <w:hideMark/>
          </w:tcPr>
          <w:p w14:paraId="6C1B289B" w14:textId="77777777" w:rsidR="00221B34" w:rsidRPr="00221B34" w:rsidRDefault="00A13083" w:rsidP="00BB0038">
            <w:pPr>
              <w:tabs>
                <w:tab w:val="clear" w:pos="431"/>
              </w:tabs>
              <w:spacing w:after="0" w:line="240" w:lineRule="auto"/>
              <w:ind w:left="0"/>
              <w:jc w:val="center"/>
              <w:rPr>
                <w:rFonts w:ascii="Calibri" w:hAnsi="Calibri" w:cs="Tahoma"/>
                <w:color w:val="000000"/>
                <w:szCs w:val="20"/>
                <w:lang w:eastAsia="hr-HR"/>
              </w:rPr>
            </w:pPr>
            <w:r w:rsidRPr="00BB0038">
              <w:rPr>
                <w:rFonts w:ascii="Calibri" w:hAnsi="Calibri" w:cs="Tahoma"/>
                <w:color w:val="000000"/>
                <w:szCs w:val="20"/>
                <w:lang w:eastAsia="hr-HR"/>
              </w:rPr>
              <w:t>33,84</w:t>
            </w:r>
          </w:p>
        </w:tc>
      </w:tr>
      <w:tr w:rsidR="00221B34" w:rsidRPr="00221B34" w14:paraId="6C7EF6FB" w14:textId="77777777" w:rsidTr="00BB0038">
        <w:trPr>
          <w:trHeight w:val="300"/>
        </w:trPr>
        <w:tc>
          <w:tcPr>
            <w:tcW w:w="2844" w:type="dxa"/>
            <w:shd w:val="clear" w:color="auto" w:fill="auto"/>
            <w:noWrap/>
            <w:vAlign w:val="bottom"/>
            <w:hideMark/>
          </w:tcPr>
          <w:p w14:paraId="1D8C2FAB" w14:textId="77777777" w:rsidR="00221B34" w:rsidRDefault="00221B34" w:rsidP="00221B34">
            <w:pPr>
              <w:tabs>
                <w:tab w:val="clear" w:pos="431"/>
              </w:tabs>
              <w:spacing w:after="0" w:line="240" w:lineRule="auto"/>
              <w:ind w:left="0"/>
              <w:jc w:val="left"/>
              <w:rPr>
                <w:rFonts w:ascii="Calibri" w:hAnsi="Calibri" w:cs="Tahoma"/>
                <w:b/>
                <w:bCs/>
                <w:color w:val="000000"/>
                <w:szCs w:val="20"/>
                <w:lang w:eastAsia="hr-HR"/>
              </w:rPr>
            </w:pPr>
            <w:r w:rsidRPr="00221B34">
              <w:rPr>
                <w:rFonts w:ascii="Calibri" w:hAnsi="Calibri" w:cs="Tahoma"/>
                <w:b/>
                <w:bCs/>
                <w:color w:val="000000"/>
                <w:szCs w:val="20"/>
                <w:lang w:eastAsia="hr-HR"/>
              </w:rPr>
              <w:t>obnovljene stambene zgrade</w:t>
            </w:r>
          </w:p>
          <w:p w14:paraId="260D6A92" w14:textId="77777777" w:rsidR="00BB0038" w:rsidRPr="00221B34" w:rsidRDefault="00BB0038" w:rsidP="00221B34">
            <w:pPr>
              <w:tabs>
                <w:tab w:val="clear" w:pos="431"/>
              </w:tabs>
              <w:spacing w:after="0" w:line="240" w:lineRule="auto"/>
              <w:ind w:left="0"/>
              <w:jc w:val="left"/>
              <w:rPr>
                <w:rFonts w:ascii="Calibri" w:hAnsi="Calibri" w:cs="Tahoma"/>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1860" w:type="dxa"/>
            <w:shd w:val="clear" w:color="auto" w:fill="auto"/>
            <w:noWrap/>
            <w:vAlign w:val="bottom"/>
            <w:hideMark/>
          </w:tcPr>
          <w:p w14:paraId="6BBE2666" w14:textId="77777777" w:rsidR="00221B34" w:rsidRPr="00221B34" w:rsidRDefault="00A13083" w:rsidP="00BB0038">
            <w:pPr>
              <w:tabs>
                <w:tab w:val="clear" w:pos="431"/>
              </w:tabs>
              <w:spacing w:after="0" w:line="240" w:lineRule="auto"/>
              <w:ind w:left="0"/>
              <w:jc w:val="center"/>
              <w:rPr>
                <w:rFonts w:ascii="Calibri" w:hAnsi="Calibri" w:cs="Tahoma"/>
                <w:color w:val="000000"/>
                <w:szCs w:val="20"/>
                <w:lang w:eastAsia="hr-HR"/>
              </w:rPr>
            </w:pPr>
            <w:r w:rsidRPr="00BB0038">
              <w:rPr>
                <w:rFonts w:ascii="Calibri" w:hAnsi="Calibri" w:cs="Tahoma"/>
                <w:color w:val="000000"/>
                <w:szCs w:val="20"/>
                <w:lang w:eastAsia="hr-HR"/>
              </w:rPr>
              <w:t>5,60</w:t>
            </w:r>
            <w:r w:rsidR="00221B34" w:rsidRPr="00221B34">
              <w:rPr>
                <w:rFonts w:ascii="Calibri" w:hAnsi="Calibri" w:cs="Tahoma"/>
                <w:color w:val="000000"/>
                <w:szCs w:val="20"/>
                <w:lang w:eastAsia="hr-HR"/>
              </w:rPr>
              <w:t xml:space="preserve"> </w:t>
            </w:r>
          </w:p>
        </w:tc>
        <w:tc>
          <w:tcPr>
            <w:tcW w:w="1860" w:type="dxa"/>
            <w:shd w:val="clear" w:color="auto" w:fill="auto"/>
            <w:noWrap/>
            <w:vAlign w:val="bottom"/>
            <w:hideMark/>
          </w:tcPr>
          <w:p w14:paraId="78D3FC34" w14:textId="77777777" w:rsidR="00221B34" w:rsidRPr="00221B34" w:rsidRDefault="00A13083" w:rsidP="00BB0038">
            <w:pPr>
              <w:tabs>
                <w:tab w:val="clear" w:pos="431"/>
              </w:tabs>
              <w:spacing w:after="0" w:line="240" w:lineRule="auto"/>
              <w:ind w:left="0"/>
              <w:jc w:val="center"/>
              <w:rPr>
                <w:rFonts w:ascii="Calibri" w:hAnsi="Calibri" w:cs="Tahoma"/>
                <w:color w:val="000000"/>
                <w:szCs w:val="20"/>
                <w:lang w:eastAsia="hr-HR"/>
              </w:rPr>
            </w:pPr>
            <w:r w:rsidRPr="00BB0038">
              <w:rPr>
                <w:rFonts w:ascii="Calibri" w:hAnsi="Calibri" w:cs="Tahoma"/>
                <w:color w:val="000000"/>
                <w:szCs w:val="20"/>
                <w:lang w:eastAsia="hr-HR"/>
              </w:rPr>
              <w:t>9,60</w:t>
            </w:r>
          </w:p>
        </w:tc>
        <w:tc>
          <w:tcPr>
            <w:tcW w:w="1860" w:type="dxa"/>
            <w:shd w:val="clear" w:color="auto" w:fill="auto"/>
            <w:noWrap/>
            <w:vAlign w:val="bottom"/>
            <w:hideMark/>
          </w:tcPr>
          <w:p w14:paraId="777F5F7B" w14:textId="77777777" w:rsidR="00221B34" w:rsidRPr="00221B34" w:rsidRDefault="00A13083" w:rsidP="00BB0038">
            <w:pPr>
              <w:tabs>
                <w:tab w:val="clear" w:pos="431"/>
              </w:tabs>
              <w:spacing w:after="0" w:line="240" w:lineRule="auto"/>
              <w:ind w:left="0"/>
              <w:jc w:val="center"/>
              <w:rPr>
                <w:rFonts w:ascii="Calibri" w:hAnsi="Calibri" w:cs="Tahoma"/>
                <w:color w:val="000000"/>
                <w:szCs w:val="20"/>
                <w:lang w:eastAsia="hr-HR"/>
              </w:rPr>
            </w:pPr>
            <w:r w:rsidRPr="00BB0038">
              <w:rPr>
                <w:rFonts w:ascii="Calibri" w:hAnsi="Calibri" w:cs="Tahoma"/>
                <w:color w:val="000000"/>
                <w:szCs w:val="20"/>
                <w:lang w:eastAsia="hr-HR"/>
              </w:rPr>
              <w:t>9,60</w:t>
            </w:r>
          </w:p>
        </w:tc>
      </w:tr>
      <w:tr w:rsidR="00221B34" w:rsidRPr="00221B34" w14:paraId="54C9EFEB" w14:textId="77777777" w:rsidTr="00BB0038">
        <w:trPr>
          <w:trHeight w:val="300"/>
        </w:trPr>
        <w:tc>
          <w:tcPr>
            <w:tcW w:w="2844" w:type="dxa"/>
            <w:shd w:val="clear" w:color="auto" w:fill="auto"/>
            <w:noWrap/>
            <w:vAlign w:val="bottom"/>
            <w:hideMark/>
          </w:tcPr>
          <w:p w14:paraId="5DD5DA6A" w14:textId="77777777" w:rsidR="00221B34" w:rsidRDefault="00221B34" w:rsidP="00221B34">
            <w:pPr>
              <w:tabs>
                <w:tab w:val="clear" w:pos="431"/>
              </w:tabs>
              <w:spacing w:after="0" w:line="240" w:lineRule="auto"/>
              <w:ind w:left="0"/>
              <w:jc w:val="left"/>
              <w:rPr>
                <w:rFonts w:ascii="Calibri" w:hAnsi="Calibri" w:cs="Tahoma"/>
                <w:b/>
                <w:bCs/>
                <w:color w:val="000000"/>
                <w:szCs w:val="20"/>
                <w:lang w:eastAsia="hr-HR"/>
              </w:rPr>
            </w:pPr>
            <w:r w:rsidRPr="00221B34">
              <w:rPr>
                <w:rFonts w:ascii="Calibri" w:hAnsi="Calibri" w:cs="Tahoma"/>
                <w:b/>
                <w:bCs/>
                <w:color w:val="000000"/>
                <w:szCs w:val="20"/>
                <w:lang w:eastAsia="hr-HR"/>
              </w:rPr>
              <w:t>obnovljene nestambene zgrade</w:t>
            </w:r>
          </w:p>
          <w:p w14:paraId="70290F9D" w14:textId="77777777" w:rsidR="00BB0038" w:rsidRPr="00221B34" w:rsidRDefault="00BB0038" w:rsidP="00221B34">
            <w:pPr>
              <w:tabs>
                <w:tab w:val="clear" w:pos="431"/>
              </w:tabs>
              <w:spacing w:after="0" w:line="240" w:lineRule="auto"/>
              <w:ind w:left="0"/>
              <w:jc w:val="left"/>
              <w:rPr>
                <w:rFonts w:ascii="Calibri" w:hAnsi="Calibri" w:cs="Tahoma"/>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1860" w:type="dxa"/>
            <w:shd w:val="clear" w:color="auto" w:fill="auto"/>
            <w:noWrap/>
            <w:vAlign w:val="bottom"/>
            <w:hideMark/>
          </w:tcPr>
          <w:p w14:paraId="7248E495" w14:textId="77777777" w:rsidR="00221B34" w:rsidRPr="00221B34" w:rsidRDefault="00A13083" w:rsidP="00BB0038">
            <w:pPr>
              <w:tabs>
                <w:tab w:val="clear" w:pos="431"/>
              </w:tabs>
              <w:spacing w:after="0" w:line="240" w:lineRule="auto"/>
              <w:ind w:left="0"/>
              <w:jc w:val="center"/>
              <w:rPr>
                <w:rFonts w:ascii="Calibri" w:hAnsi="Calibri" w:cs="Tahoma"/>
                <w:color w:val="000000"/>
                <w:szCs w:val="20"/>
                <w:lang w:eastAsia="hr-HR"/>
              </w:rPr>
            </w:pPr>
            <w:r w:rsidRPr="00BB0038">
              <w:rPr>
                <w:rFonts w:ascii="Calibri" w:hAnsi="Calibri" w:cs="Tahoma"/>
                <w:color w:val="000000"/>
                <w:szCs w:val="20"/>
                <w:lang w:eastAsia="hr-HR"/>
              </w:rPr>
              <w:t>8,35</w:t>
            </w:r>
            <w:r w:rsidR="00221B34" w:rsidRPr="00221B34">
              <w:rPr>
                <w:rFonts w:ascii="Calibri" w:hAnsi="Calibri" w:cs="Tahoma"/>
                <w:color w:val="000000"/>
                <w:szCs w:val="20"/>
                <w:lang w:eastAsia="hr-HR"/>
              </w:rPr>
              <w:t xml:space="preserve"> </w:t>
            </w:r>
          </w:p>
        </w:tc>
        <w:tc>
          <w:tcPr>
            <w:tcW w:w="1860" w:type="dxa"/>
            <w:shd w:val="clear" w:color="auto" w:fill="auto"/>
            <w:noWrap/>
            <w:vAlign w:val="bottom"/>
            <w:hideMark/>
          </w:tcPr>
          <w:p w14:paraId="71760D5B" w14:textId="77777777" w:rsidR="00221B34" w:rsidRPr="00221B34" w:rsidRDefault="00147F82" w:rsidP="00BB0038">
            <w:pPr>
              <w:tabs>
                <w:tab w:val="clear" w:pos="431"/>
              </w:tabs>
              <w:spacing w:after="0" w:line="240" w:lineRule="auto"/>
              <w:ind w:left="0"/>
              <w:jc w:val="center"/>
              <w:rPr>
                <w:rFonts w:ascii="Calibri" w:hAnsi="Calibri" w:cs="Tahoma"/>
                <w:color w:val="000000"/>
                <w:szCs w:val="20"/>
                <w:lang w:eastAsia="hr-HR"/>
              </w:rPr>
            </w:pPr>
            <w:r w:rsidRPr="00BB0038">
              <w:rPr>
                <w:rFonts w:ascii="Calibri" w:hAnsi="Calibri" w:cs="Tahoma"/>
                <w:color w:val="000000"/>
                <w:szCs w:val="20"/>
                <w:lang w:eastAsia="hr-HR"/>
              </w:rPr>
              <w:t>23,36</w:t>
            </w:r>
          </w:p>
        </w:tc>
        <w:tc>
          <w:tcPr>
            <w:tcW w:w="1860" w:type="dxa"/>
            <w:shd w:val="clear" w:color="auto" w:fill="auto"/>
            <w:noWrap/>
            <w:vAlign w:val="bottom"/>
            <w:hideMark/>
          </w:tcPr>
          <w:p w14:paraId="58EB452F" w14:textId="77777777" w:rsidR="00221B34" w:rsidRPr="00221B34" w:rsidRDefault="00BB0038" w:rsidP="00BB0038">
            <w:pPr>
              <w:tabs>
                <w:tab w:val="clear" w:pos="431"/>
              </w:tabs>
              <w:spacing w:after="0" w:line="240" w:lineRule="auto"/>
              <w:ind w:left="0"/>
              <w:jc w:val="center"/>
              <w:rPr>
                <w:rFonts w:ascii="Calibri" w:hAnsi="Calibri" w:cs="Tahoma"/>
                <w:color w:val="000000"/>
                <w:szCs w:val="20"/>
                <w:lang w:eastAsia="hr-HR"/>
              </w:rPr>
            </w:pPr>
            <w:r w:rsidRPr="00BB0038">
              <w:rPr>
                <w:rFonts w:ascii="Calibri" w:hAnsi="Calibri" w:cs="Tahoma"/>
                <w:color w:val="000000"/>
                <w:szCs w:val="20"/>
                <w:lang w:eastAsia="hr-HR"/>
              </w:rPr>
              <w:t>24,24</w:t>
            </w:r>
          </w:p>
        </w:tc>
      </w:tr>
    </w:tbl>
    <w:p w14:paraId="6205EE06" w14:textId="77777777" w:rsidR="002C315B" w:rsidRPr="005E2DFF" w:rsidRDefault="002C315B" w:rsidP="004E2FFF">
      <w:pPr>
        <w:rPr>
          <w:lang w:eastAsia="hr-HR"/>
        </w:rPr>
      </w:pPr>
    </w:p>
    <w:p w14:paraId="18894C5A" w14:textId="77777777" w:rsidR="004E2FFF" w:rsidRDefault="004E2FFF" w:rsidP="007649C2">
      <w:pPr>
        <w:pStyle w:val="Naslov20"/>
      </w:pPr>
      <w:bookmarkStart w:id="206" w:name="_Toc34052919"/>
      <w:bookmarkStart w:id="207" w:name="_Toc46163855"/>
      <w:r w:rsidRPr="00214E70">
        <w:t>Doprinos okvirnom nacionalnom cilju poboljšanja energetske učinkovitosti</w:t>
      </w:r>
      <w:bookmarkEnd w:id="206"/>
      <w:bookmarkEnd w:id="207"/>
    </w:p>
    <w:p w14:paraId="6642C8F2" w14:textId="77777777" w:rsidR="004E2FFF" w:rsidRDefault="004E2FFF" w:rsidP="004E2FFF">
      <w:pPr>
        <w:rPr>
          <w:lang w:eastAsia="hr-HR"/>
        </w:rPr>
      </w:pPr>
      <w:r>
        <w:rPr>
          <w:lang w:eastAsia="hr-HR"/>
        </w:rPr>
        <w:t>Okvirni nacionalni cilj energetske učinkovitosti, izražen kao apsolutni iznos potrošnje primarne energije i neposredne potrošnje energije, do 2030. godine utvrđen je u Integriranom nacionalnom energetskom i klimatskom planu, dok su projekcije potrošnje za 2040. i 2050. godinu definirane u Strategiji energetskog razvoja RH</w:t>
      </w:r>
      <w:r w:rsidR="00800C2A">
        <w:rPr>
          <w:lang w:eastAsia="hr-HR"/>
        </w:rPr>
        <w:t>.</w:t>
      </w:r>
    </w:p>
    <w:p w14:paraId="2B23EB38" w14:textId="6AF73929" w:rsidR="004E2FFF" w:rsidRDefault="004E2FFF" w:rsidP="004E2FFF">
      <w:pPr>
        <w:pStyle w:val="Opisslike"/>
      </w:pPr>
      <w:bookmarkStart w:id="208" w:name="_Ref32315492"/>
      <w:bookmarkStart w:id="209" w:name="_Toc40089046"/>
      <w:r>
        <w:t xml:space="preserve">Tablica </w:t>
      </w:r>
      <w:r w:rsidR="00A50909">
        <w:fldChar w:fldCharType="begin"/>
      </w:r>
      <w:r w:rsidR="00A50909">
        <w:instrText xml:space="preserve"> STYLEREF 1 \s </w:instrText>
      </w:r>
      <w:r w:rsidR="00A50909">
        <w:fldChar w:fldCharType="separate"/>
      </w:r>
      <w:r w:rsidR="00CE61F3">
        <w:rPr>
          <w:noProof/>
        </w:rPr>
        <w:t>8</w:t>
      </w:r>
      <w:r w:rsidR="00A50909">
        <w:rPr>
          <w:noProof/>
        </w:rPr>
        <w:fldChar w:fldCharType="end"/>
      </w:r>
      <w:r>
        <w:t>.</w:t>
      </w:r>
      <w:r w:rsidR="00A50909">
        <w:fldChar w:fldCharType="begin"/>
      </w:r>
      <w:r w:rsidR="00A50909">
        <w:instrText xml:space="preserve"> SEQ Tablica \* ARABIC \s 1 </w:instrText>
      </w:r>
      <w:r w:rsidR="00A50909">
        <w:fldChar w:fldCharType="separate"/>
      </w:r>
      <w:r w:rsidR="00CE61F3">
        <w:rPr>
          <w:noProof/>
        </w:rPr>
        <w:t>4</w:t>
      </w:r>
      <w:r w:rsidR="00A50909">
        <w:rPr>
          <w:noProof/>
        </w:rPr>
        <w:fldChar w:fldCharType="end"/>
      </w:r>
      <w:bookmarkEnd w:id="208"/>
      <w:r>
        <w:t xml:space="preserve"> </w:t>
      </w:r>
      <w:r w:rsidR="00B43D07">
        <w:t>Okvirni n</w:t>
      </w:r>
      <w:r>
        <w:t>acionalni ciljevi energetske učinkovitosti  - ciljana potrošnja energije 2030., 2040. i 2050. godine</w:t>
      </w:r>
      <w:bookmarkEnd w:id="209"/>
    </w:p>
    <w:tbl>
      <w:tblPr>
        <w:tblStyle w:val="Svijetlatablicareetke11"/>
        <w:tblW w:w="5000" w:type="pct"/>
        <w:tblLook w:val="04A0" w:firstRow="1" w:lastRow="0" w:firstColumn="1" w:lastColumn="0" w:noHBand="0" w:noVBand="1"/>
      </w:tblPr>
      <w:tblGrid>
        <w:gridCol w:w="3116"/>
        <w:gridCol w:w="1245"/>
        <w:gridCol w:w="1246"/>
        <w:gridCol w:w="1245"/>
        <w:gridCol w:w="1246"/>
        <w:gridCol w:w="1246"/>
      </w:tblGrid>
      <w:tr w:rsidR="004E2FFF" w:rsidRPr="00310AB0" w14:paraId="5203B2CA" w14:textId="77777777" w:rsidTr="00E65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C038E20" w14:textId="77777777" w:rsidR="004E2FFF" w:rsidRPr="00310AB0" w:rsidRDefault="004E2FFF" w:rsidP="00E655D4">
            <w:pPr>
              <w:ind w:left="0"/>
              <w:rPr>
                <w:sz w:val="18"/>
                <w:szCs w:val="18"/>
              </w:rPr>
            </w:pPr>
            <w:r w:rsidRPr="00EA65E4">
              <w:rPr>
                <w:lang w:eastAsia="hr-HR"/>
              </w:rPr>
              <w:t> </w:t>
            </w:r>
            <w:r w:rsidRPr="00EA65E4">
              <w:rPr>
                <w:lang w:val="en-GB" w:eastAsia="hr-HR"/>
              </w:rPr>
              <w:t>ENSTRAT</w:t>
            </w:r>
            <w:r>
              <w:rPr>
                <w:lang w:val="en-GB" w:eastAsia="hr-HR"/>
              </w:rPr>
              <w:t xml:space="preserve"> – NECP [PJ]</w:t>
            </w:r>
          </w:p>
        </w:tc>
        <w:tc>
          <w:tcPr>
            <w:tcW w:w="666" w:type="pct"/>
          </w:tcPr>
          <w:p w14:paraId="4F701FBD"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2017.</w:t>
            </w:r>
          </w:p>
        </w:tc>
        <w:tc>
          <w:tcPr>
            <w:tcW w:w="667" w:type="pct"/>
          </w:tcPr>
          <w:p w14:paraId="1B7E85C1"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2020.</w:t>
            </w:r>
          </w:p>
        </w:tc>
        <w:tc>
          <w:tcPr>
            <w:tcW w:w="666" w:type="pct"/>
          </w:tcPr>
          <w:p w14:paraId="5FDE0CC3"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2030.</w:t>
            </w:r>
          </w:p>
        </w:tc>
        <w:tc>
          <w:tcPr>
            <w:tcW w:w="667" w:type="pct"/>
          </w:tcPr>
          <w:p w14:paraId="649C71E6"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2040.</w:t>
            </w:r>
          </w:p>
        </w:tc>
        <w:tc>
          <w:tcPr>
            <w:tcW w:w="667" w:type="pct"/>
          </w:tcPr>
          <w:p w14:paraId="60CA7552"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2050.</w:t>
            </w:r>
          </w:p>
        </w:tc>
      </w:tr>
      <w:tr w:rsidR="004E2FFF" w:rsidRPr="00310AB0" w14:paraId="21EE6A79" w14:textId="77777777" w:rsidTr="00E655D4">
        <w:tc>
          <w:tcPr>
            <w:cnfStyle w:val="001000000000" w:firstRow="0" w:lastRow="0" w:firstColumn="1" w:lastColumn="0" w:oddVBand="0" w:evenVBand="0" w:oddHBand="0" w:evenHBand="0" w:firstRowFirstColumn="0" w:firstRowLastColumn="0" w:lastRowFirstColumn="0" w:lastRowLastColumn="0"/>
            <w:tcW w:w="1667" w:type="pct"/>
            <w:vAlign w:val="center"/>
          </w:tcPr>
          <w:p w14:paraId="72EECDB7" w14:textId="77777777" w:rsidR="004E2FFF" w:rsidRPr="00310AB0" w:rsidRDefault="004E2FFF" w:rsidP="00E655D4">
            <w:pPr>
              <w:ind w:left="0"/>
              <w:rPr>
                <w:sz w:val="18"/>
                <w:szCs w:val="18"/>
              </w:rPr>
            </w:pPr>
            <w:r w:rsidRPr="00EA65E4">
              <w:rPr>
                <w:sz w:val="18"/>
                <w:szCs w:val="18"/>
                <w:lang w:eastAsia="hr-HR"/>
              </w:rPr>
              <w:t>Potrošnja primarne energije</w:t>
            </w:r>
          </w:p>
        </w:tc>
        <w:tc>
          <w:tcPr>
            <w:tcW w:w="666" w:type="pct"/>
            <w:vAlign w:val="center"/>
          </w:tcPr>
          <w:p w14:paraId="4E56D99E"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349,4</w:t>
            </w:r>
          </w:p>
        </w:tc>
        <w:tc>
          <w:tcPr>
            <w:tcW w:w="667" w:type="pct"/>
            <w:vAlign w:val="center"/>
          </w:tcPr>
          <w:p w14:paraId="74E77137"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333,0</w:t>
            </w:r>
          </w:p>
        </w:tc>
        <w:tc>
          <w:tcPr>
            <w:tcW w:w="666" w:type="pct"/>
            <w:vAlign w:val="center"/>
          </w:tcPr>
          <w:p w14:paraId="6DEF3D9E"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344,4</w:t>
            </w:r>
          </w:p>
        </w:tc>
        <w:tc>
          <w:tcPr>
            <w:tcW w:w="667" w:type="pct"/>
            <w:vAlign w:val="center"/>
          </w:tcPr>
          <w:p w14:paraId="0E1BD34F"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325,7</w:t>
            </w:r>
          </w:p>
        </w:tc>
        <w:tc>
          <w:tcPr>
            <w:tcW w:w="667" w:type="pct"/>
            <w:vAlign w:val="center"/>
          </w:tcPr>
          <w:p w14:paraId="5C862962"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287,4</w:t>
            </w:r>
          </w:p>
        </w:tc>
      </w:tr>
      <w:tr w:rsidR="004E2FFF" w:rsidRPr="00310AB0" w14:paraId="7DD565C0" w14:textId="77777777" w:rsidTr="00E655D4">
        <w:tc>
          <w:tcPr>
            <w:cnfStyle w:val="001000000000" w:firstRow="0" w:lastRow="0" w:firstColumn="1" w:lastColumn="0" w:oddVBand="0" w:evenVBand="0" w:oddHBand="0" w:evenHBand="0" w:firstRowFirstColumn="0" w:firstRowLastColumn="0" w:lastRowFirstColumn="0" w:lastRowLastColumn="0"/>
            <w:tcW w:w="1667" w:type="pct"/>
            <w:vAlign w:val="center"/>
          </w:tcPr>
          <w:p w14:paraId="52775D93" w14:textId="77777777" w:rsidR="004E2FFF" w:rsidRPr="00310AB0" w:rsidRDefault="004E2FFF" w:rsidP="00E655D4">
            <w:pPr>
              <w:ind w:left="0"/>
              <w:rPr>
                <w:sz w:val="18"/>
                <w:szCs w:val="18"/>
              </w:rPr>
            </w:pPr>
            <w:r w:rsidRPr="00EA65E4">
              <w:rPr>
                <w:sz w:val="18"/>
                <w:szCs w:val="18"/>
                <w:lang w:eastAsia="hr-HR"/>
              </w:rPr>
              <w:t>Neposredna potrošnja energije</w:t>
            </w:r>
          </w:p>
        </w:tc>
        <w:tc>
          <w:tcPr>
            <w:tcW w:w="666" w:type="pct"/>
            <w:vAlign w:val="center"/>
          </w:tcPr>
          <w:p w14:paraId="484DC464"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289,9</w:t>
            </w:r>
          </w:p>
        </w:tc>
        <w:tc>
          <w:tcPr>
            <w:tcW w:w="667" w:type="pct"/>
            <w:vAlign w:val="center"/>
          </w:tcPr>
          <w:p w14:paraId="6A74110F"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281,7</w:t>
            </w:r>
          </w:p>
        </w:tc>
        <w:tc>
          <w:tcPr>
            <w:tcW w:w="666" w:type="pct"/>
            <w:vAlign w:val="center"/>
          </w:tcPr>
          <w:p w14:paraId="01BF5966"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286,9</w:t>
            </w:r>
          </w:p>
        </w:tc>
        <w:tc>
          <w:tcPr>
            <w:tcW w:w="667" w:type="pct"/>
            <w:vAlign w:val="center"/>
          </w:tcPr>
          <w:p w14:paraId="24D55594"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265,2</w:t>
            </w:r>
          </w:p>
        </w:tc>
        <w:tc>
          <w:tcPr>
            <w:tcW w:w="667" w:type="pct"/>
            <w:vAlign w:val="center"/>
          </w:tcPr>
          <w:p w14:paraId="2740D919"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225,6</w:t>
            </w:r>
          </w:p>
        </w:tc>
      </w:tr>
    </w:tbl>
    <w:p w14:paraId="7EAD7680" w14:textId="77777777" w:rsidR="004E2FFF" w:rsidRDefault="004E2FFF" w:rsidP="004E2FFF">
      <w:pPr>
        <w:ind w:left="0"/>
      </w:pPr>
      <w:r>
        <w:t>Izvor: Integrirani nacionalni energetski i klimatski plan</w:t>
      </w:r>
    </w:p>
    <w:p w14:paraId="5FA80129" w14:textId="77777777" w:rsidR="004E2FFF" w:rsidRDefault="004E2FFF" w:rsidP="004E2FFF">
      <w:r>
        <w:t xml:space="preserve">Energetska obnova zgrada doprinosi uvelike ovim ciljevima, a događa se u sektoru kućanstava i u sektoru usluga. Projekcije potrošnje energije u ta dva sektora prikazuje </w:t>
      </w:r>
    </w:p>
    <w:p w14:paraId="4B417B0E" w14:textId="2F8A9840" w:rsidR="004E2FFF" w:rsidRDefault="004E2FFF" w:rsidP="004E2FFF">
      <w:pPr>
        <w:pStyle w:val="Opisslike"/>
      </w:pPr>
      <w:bookmarkStart w:id="210" w:name="_Toc40089047"/>
      <w:r>
        <w:t xml:space="preserve">Tablica </w:t>
      </w:r>
      <w:fldSimple w:instr=" STYLEREF 1 \s ">
        <w:r w:rsidR="00CE61F3">
          <w:rPr>
            <w:noProof/>
          </w:rPr>
          <w:t>8</w:t>
        </w:r>
      </w:fldSimple>
      <w:r>
        <w:t>.</w:t>
      </w:r>
      <w:fldSimple w:instr=" SEQ Tablica \* ARABIC \s 1 ">
        <w:r w:rsidR="00CE61F3">
          <w:rPr>
            <w:noProof/>
          </w:rPr>
          <w:t>5</w:t>
        </w:r>
      </w:fldSimple>
      <w:r>
        <w:t xml:space="preserve"> Potrošnja energije u sektoru usluga i sektoru kućanstava 2030., 2040. i 2050. godine</w:t>
      </w:r>
      <w:bookmarkEnd w:id="210"/>
    </w:p>
    <w:tbl>
      <w:tblPr>
        <w:tblStyle w:val="Svijetlatablicareetke11"/>
        <w:tblW w:w="5000" w:type="pct"/>
        <w:tblLook w:val="04A0" w:firstRow="1" w:lastRow="0" w:firstColumn="1" w:lastColumn="0" w:noHBand="0" w:noVBand="1"/>
      </w:tblPr>
      <w:tblGrid>
        <w:gridCol w:w="3116"/>
        <w:gridCol w:w="1245"/>
        <w:gridCol w:w="1246"/>
        <w:gridCol w:w="1245"/>
        <w:gridCol w:w="1246"/>
        <w:gridCol w:w="1246"/>
      </w:tblGrid>
      <w:tr w:rsidR="004E2FFF" w:rsidRPr="00310AB0" w14:paraId="3B3411AF" w14:textId="77777777" w:rsidTr="00E65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A1A96EA" w14:textId="77777777" w:rsidR="004E2FFF" w:rsidRPr="0050058B" w:rsidRDefault="004E2FFF" w:rsidP="00E655D4">
            <w:pPr>
              <w:ind w:left="0"/>
              <w:rPr>
                <w:sz w:val="18"/>
                <w:szCs w:val="18"/>
              </w:rPr>
            </w:pPr>
            <w:r w:rsidRPr="0050058B">
              <w:rPr>
                <w:lang w:eastAsia="hr-HR"/>
              </w:rPr>
              <w:t>Potrošnja energije [PJ]</w:t>
            </w:r>
          </w:p>
        </w:tc>
        <w:tc>
          <w:tcPr>
            <w:tcW w:w="666" w:type="pct"/>
          </w:tcPr>
          <w:p w14:paraId="591C45C7"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2017.</w:t>
            </w:r>
          </w:p>
        </w:tc>
        <w:tc>
          <w:tcPr>
            <w:tcW w:w="667" w:type="pct"/>
          </w:tcPr>
          <w:p w14:paraId="2CADDB08"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2020.</w:t>
            </w:r>
          </w:p>
        </w:tc>
        <w:tc>
          <w:tcPr>
            <w:tcW w:w="666" w:type="pct"/>
          </w:tcPr>
          <w:p w14:paraId="24B87F6D"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2030.</w:t>
            </w:r>
          </w:p>
        </w:tc>
        <w:tc>
          <w:tcPr>
            <w:tcW w:w="667" w:type="pct"/>
          </w:tcPr>
          <w:p w14:paraId="54FD30F1"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2040.</w:t>
            </w:r>
          </w:p>
        </w:tc>
        <w:tc>
          <w:tcPr>
            <w:tcW w:w="667" w:type="pct"/>
          </w:tcPr>
          <w:p w14:paraId="104B7E2C"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2050.</w:t>
            </w:r>
          </w:p>
        </w:tc>
      </w:tr>
      <w:tr w:rsidR="004E2FFF" w:rsidRPr="00310AB0" w14:paraId="48CAECBA" w14:textId="77777777" w:rsidTr="00E655D4">
        <w:tc>
          <w:tcPr>
            <w:cnfStyle w:val="001000000000" w:firstRow="0" w:lastRow="0" w:firstColumn="1" w:lastColumn="0" w:oddVBand="0" w:evenVBand="0" w:oddHBand="0" w:evenHBand="0" w:firstRowFirstColumn="0" w:firstRowLastColumn="0" w:lastRowFirstColumn="0" w:lastRowLastColumn="0"/>
            <w:tcW w:w="1667" w:type="pct"/>
            <w:vAlign w:val="center"/>
          </w:tcPr>
          <w:p w14:paraId="57974D26" w14:textId="77777777" w:rsidR="004E2FFF" w:rsidRPr="0050058B" w:rsidRDefault="004E2FFF" w:rsidP="00E655D4">
            <w:pPr>
              <w:ind w:left="0"/>
              <w:rPr>
                <w:sz w:val="18"/>
                <w:szCs w:val="18"/>
              </w:rPr>
            </w:pPr>
            <w:r w:rsidRPr="0050058B">
              <w:rPr>
                <w:sz w:val="18"/>
                <w:szCs w:val="18"/>
                <w:lang w:eastAsia="hr-HR"/>
              </w:rPr>
              <w:t>Usluge</w:t>
            </w:r>
          </w:p>
        </w:tc>
        <w:tc>
          <w:tcPr>
            <w:tcW w:w="666" w:type="pct"/>
            <w:vAlign w:val="center"/>
          </w:tcPr>
          <w:p w14:paraId="62779E31"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sz w:val="18"/>
                <w:szCs w:val="18"/>
              </w:rPr>
              <w:t>33,5</w:t>
            </w:r>
          </w:p>
        </w:tc>
        <w:tc>
          <w:tcPr>
            <w:tcW w:w="667" w:type="pct"/>
            <w:vAlign w:val="center"/>
          </w:tcPr>
          <w:p w14:paraId="21FCB384"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sz w:val="18"/>
                <w:szCs w:val="18"/>
              </w:rPr>
              <w:t>34,6</w:t>
            </w:r>
          </w:p>
        </w:tc>
        <w:tc>
          <w:tcPr>
            <w:tcW w:w="666" w:type="pct"/>
          </w:tcPr>
          <w:p w14:paraId="767F9023"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39,2</w:t>
            </w:r>
          </w:p>
        </w:tc>
        <w:tc>
          <w:tcPr>
            <w:tcW w:w="667" w:type="pct"/>
          </w:tcPr>
          <w:p w14:paraId="16C98FF8"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39,5</w:t>
            </w:r>
          </w:p>
        </w:tc>
        <w:tc>
          <w:tcPr>
            <w:tcW w:w="667" w:type="pct"/>
          </w:tcPr>
          <w:p w14:paraId="4DA4DD4F"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36,8</w:t>
            </w:r>
          </w:p>
        </w:tc>
      </w:tr>
      <w:tr w:rsidR="004E2FFF" w:rsidRPr="00310AB0" w14:paraId="311FB9E0" w14:textId="77777777" w:rsidTr="00E655D4">
        <w:tc>
          <w:tcPr>
            <w:cnfStyle w:val="001000000000" w:firstRow="0" w:lastRow="0" w:firstColumn="1" w:lastColumn="0" w:oddVBand="0" w:evenVBand="0" w:oddHBand="0" w:evenHBand="0" w:firstRowFirstColumn="0" w:firstRowLastColumn="0" w:lastRowFirstColumn="0" w:lastRowLastColumn="0"/>
            <w:tcW w:w="1667" w:type="pct"/>
            <w:vAlign w:val="center"/>
          </w:tcPr>
          <w:p w14:paraId="2BE86AEC" w14:textId="77777777" w:rsidR="004E2FFF" w:rsidRPr="0050058B" w:rsidRDefault="004E2FFF" w:rsidP="00E655D4">
            <w:pPr>
              <w:ind w:left="0"/>
              <w:rPr>
                <w:sz w:val="18"/>
                <w:szCs w:val="18"/>
              </w:rPr>
            </w:pPr>
            <w:r w:rsidRPr="0050058B">
              <w:rPr>
                <w:sz w:val="18"/>
                <w:szCs w:val="18"/>
                <w:lang w:eastAsia="hr-HR"/>
              </w:rPr>
              <w:t>Kućanstva</w:t>
            </w:r>
          </w:p>
        </w:tc>
        <w:tc>
          <w:tcPr>
            <w:tcW w:w="666" w:type="pct"/>
            <w:vAlign w:val="center"/>
          </w:tcPr>
          <w:p w14:paraId="0E5AA0ED"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sz w:val="18"/>
                <w:szCs w:val="18"/>
              </w:rPr>
              <w:t>99,5</w:t>
            </w:r>
          </w:p>
        </w:tc>
        <w:tc>
          <w:tcPr>
            <w:tcW w:w="667" w:type="pct"/>
            <w:vAlign w:val="center"/>
          </w:tcPr>
          <w:p w14:paraId="45DC589F"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lang w:eastAsia="hr-HR"/>
              </w:rPr>
              <w:t>98,5</w:t>
            </w:r>
          </w:p>
        </w:tc>
        <w:tc>
          <w:tcPr>
            <w:tcW w:w="666" w:type="pct"/>
          </w:tcPr>
          <w:p w14:paraId="3140B244"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96,9</w:t>
            </w:r>
          </w:p>
        </w:tc>
        <w:tc>
          <w:tcPr>
            <w:tcW w:w="667" w:type="pct"/>
          </w:tcPr>
          <w:p w14:paraId="1A03A0C4"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83,6</w:t>
            </w:r>
          </w:p>
        </w:tc>
        <w:tc>
          <w:tcPr>
            <w:tcW w:w="667" w:type="pct"/>
          </w:tcPr>
          <w:p w14:paraId="183B2C50"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68,4</w:t>
            </w:r>
          </w:p>
        </w:tc>
      </w:tr>
    </w:tbl>
    <w:p w14:paraId="292AA4C9" w14:textId="77777777" w:rsidR="004E2FFF" w:rsidRDefault="004E2FFF" w:rsidP="004E2FFF">
      <w:r>
        <w:t xml:space="preserve">Izvor: Analize i podloge za izradu Strategije energetskog razvoja Republike Hrvatske – Zelena knjiga i Integrirani nacionalni energetski i klimatski plan </w:t>
      </w:r>
    </w:p>
    <w:p w14:paraId="640087C3" w14:textId="77777777" w:rsidR="004E2FFF" w:rsidRDefault="004E2FFF" w:rsidP="004E2FFF">
      <w:r>
        <w:t>P</w:t>
      </w:r>
      <w:r w:rsidRPr="00462AD9">
        <w:t xml:space="preserve">otrošnja energenata u kućanstvima će se do 2050. godine smanjiti za </w:t>
      </w:r>
      <w:r>
        <w:t>oko 31</w:t>
      </w:r>
      <w:r w:rsidRPr="00462AD9">
        <w:t xml:space="preserve"> </w:t>
      </w:r>
      <w:r>
        <w:t>%</w:t>
      </w:r>
      <w:r w:rsidRPr="00462AD9">
        <w:t xml:space="preserve"> u odnosu na </w:t>
      </w:r>
      <w:r>
        <w:t>2017</w:t>
      </w:r>
      <w:r w:rsidRPr="00462AD9">
        <w:t>. godinu. Tako snažno smanjenje potrošnje rezultat je dvaju trendova</w:t>
      </w:r>
      <w:r>
        <w:t>:</w:t>
      </w:r>
      <w:r w:rsidRPr="00462AD9">
        <w:t xml:space="preserve"> povećanje razine energetske učinkovitosti u zgradarstvu čime se smanjuje potrebna energija za grijanje prostora te veća penetracija učinkovitijih tehnologija za grijanje, poput dizalica topline. Do kraja promatranog razdoblja očekuje se smanjenje potrošnje ogrjevnog drva za 81 </w:t>
      </w:r>
      <w:r>
        <w:t>%</w:t>
      </w:r>
      <w:r w:rsidRPr="00462AD9">
        <w:t xml:space="preserve"> te prestanak upotrebe loživog ulja. Potrošnja prirodnog plina smanjit će se za 27</w:t>
      </w:r>
      <w:r>
        <w:t> %</w:t>
      </w:r>
      <w:r w:rsidRPr="00462AD9">
        <w:t xml:space="preserve"> i zauzimat će 21 </w:t>
      </w:r>
      <w:r>
        <w:t>%</w:t>
      </w:r>
      <w:r w:rsidRPr="00462AD9">
        <w:t xml:space="preserve"> u strukturi ukupne potrošnje energenata dok će električna energija zauzimati 38 %, u usporedbi s današnjih 22 %</w:t>
      </w:r>
      <w:r>
        <w:rPr>
          <w:rStyle w:val="Referencafusnote"/>
          <w:rFonts w:cs="Myriad Pro"/>
        </w:rPr>
        <w:footnoteReference w:id="34"/>
      </w:r>
      <w:r w:rsidRPr="00462AD9">
        <w:t>.</w:t>
      </w:r>
      <w:r>
        <w:t xml:space="preserve"> </w:t>
      </w:r>
    </w:p>
    <w:p w14:paraId="5BB1710B" w14:textId="77777777" w:rsidR="004E2FFF" w:rsidRDefault="004E2FFF" w:rsidP="004E2FFF">
      <w:r w:rsidRPr="00462AD9">
        <w:t xml:space="preserve">Glavni pokretač porasta </w:t>
      </w:r>
      <w:r>
        <w:t>potrošnje</w:t>
      </w:r>
      <w:r w:rsidRPr="00462AD9">
        <w:t xml:space="preserve"> energije </w:t>
      </w:r>
      <w:r>
        <w:t xml:space="preserve">u sektoru usluga </w:t>
      </w:r>
      <w:r w:rsidRPr="00462AD9">
        <w:t>je povećana aktivnost uslužnog sektora i povećanje ukupne površine u tom sektoru, dok je trend smanjenja potrošnje uglavnom određen povećanjem razine energetske učinkovitosti u zgradarstvu, slično kao i u sektoru kućanstava. Rast potrošnje energije u uslužnom sektoru bit će zaustavljen oko 2035. godine. Dominantan energent je električna energija s udjelom od 70 % u 2050. godini, dok će prirodni plin zauzimati 17 % u strukturi potrošnje energenata</w:t>
      </w:r>
      <w:r>
        <w:rPr>
          <w:rStyle w:val="Referencafusnote"/>
          <w:rFonts w:cs="Myriad Pro"/>
        </w:rPr>
        <w:footnoteReference w:id="35"/>
      </w:r>
      <w:r w:rsidRPr="00462AD9">
        <w:t>.</w:t>
      </w:r>
    </w:p>
    <w:p w14:paraId="5C02F1D6" w14:textId="29ECC12A" w:rsidR="006A7B80" w:rsidRDefault="00934925" w:rsidP="004E2FFF">
      <w:pPr>
        <w:rPr>
          <w:lang w:eastAsia="hr-HR"/>
        </w:rPr>
      </w:pPr>
      <w:r>
        <w:t>Iz gornje je</w:t>
      </w:r>
      <w:r w:rsidR="00981037">
        <w:t xml:space="preserve"> tablice razvodno da </w:t>
      </w:r>
      <w:r w:rsidR="00A85E89">
        <w:t>sektor usluga u</w:t>
      </w:r>
      <w:r w:rsidR="0058405B">
        <w:t xml:space="preserve"> 2030. godini sudjeluje</w:t>
      </w:r>
      <w:r w:rsidR="006F2A41">
        <w:t xml:space="preserve"> oko 14%, dok kućanstva sudjeluju s</w:t>
      </w:r>
      <w:r w:rsidR="000C6107">
        <w:t xml:space="preserve"> </w:t>
      </w:r>
      <w:r w:rsidR="00402EF3">
        <w:t xml:space="preserve">oko 34%. Ti udjeli u 2050. godini iznose </w:t>
      </w:r>
      <w:r w:rsidR="00C81618">
        <w:t>16</w:t>
      </w:r>
      <w:r w:rsidR="007F3DD1">
        <w:t xml:space="preserve">% za sektor usluga odnosno </w:t>
      </w:r>
      <w:r w:rsidR="00B55EED">
        <w:t>oko 30%</w:t>
      </w:r>
      <w:r w:rsidR="00436A7C">
        <w:t xml:space="preserve"> za kućanstva</w:t>
      </w:r>
      <w:r w:rsidR="00D14B3B">
        <w:t xml:space="preserve">. </w:t>
      </w:r>
      <w:r w:rsidR="00CD5967">
        <w:t>S obzirom da ova dva sektora zajedno čine sektor zgradarstva, vidljivo je da</w:t>
      </w:r>
      <w:r w:rsidR="0079331A">
        <w:t xml:space="preserve"> je doprinos </w:t>
      </w:r>
      <w:r w:rsidR="00262A9D">
        <w:t xml:space="preserve">zgradarstva u </w:t>
      </w:r>
      <w:r w:rsidR="00C7321D">
        <w:t xml:space="preserve">neposrednoj </w:t>
      </w:r>
      <w:r w:rsidR="00262A9D">
        <w:t xml:space="preserve">potrošnji energije </w:t>
      </w:r>
      <w:r w:rsidR="005A7945">
        <w:t xml:space="preserve">visokih </w:t>
      </w:r>
      <w:r w:rsidR="00D6096B">
        <w:t xml:space="preserve">48 % u 2030. odnosno 46% u 2050. godini. </w:t>
      </w:r>
      <w:r w:rsidR="00F92CE6">
        <w:t xml:space="preserve">Pri tome treba istaknuti da </w:t>
      </w:r>
      <w:r w:rsidR="00210670">
        <w:t xml:space="preserve">se ove projekcije temelje upravo na ciljevima i mjerama </w:t>
      </w:r>
      <w:r w:rsidR="00B428FC">
        <w:t xml:space="preserve">predviđenima u </w:t>
      </w:r>
      <w:r w:rsidR="00B428FC">
        <w:rPr>
          <w:lang w:eastAsia="hr-HR"/>
        </w:rPr>
        <w:t>Integriranom nacionalnom energetskom i klimatskom planu i ovoj Dugoročnoj strategiji</w:t>
      </w:r>
      <w:r w:rsidR="00CD4E69">
        <w:rPr>
          <w:lang w:eastAsia="hr-HR"/>
        </w:rPr>
        <w:t xml:space="preserve"> odnosno na pretpostavci i </w:t>
      </w:r>
      <w:r w:rsidR="001431F4">
        <w:rPr>
          <w:lang w:eastAsia="hr-HR"/>
        </w:rPr>
        <w:t xml:space="preserve">kontinuiranom </w:t>
      </w:r>
      <w:r w:rsidR="001A387B">
        <w:rPr>
          <w:lang w:eastAsia="hr-HR"/>
        </w:rPr>
        <w:t>povećanju</w:t>
      </w:r>
      <w:r w:rsidR="001431F4">
        <w:rPr>
          <w:lang w:eastAsia="hr-HR"/>
        </w:rPr>
        <w:t xml:space="preserve"> stope energetske obnove zgrada </w:t>
      </w:r>
      <w:r w:rsidR="00CE50E1">
        <w:rPr>
          <w:lang w:eastAsia="hr-HR"/>
        </w:rPr>
        <w:t xml:space="preserve">s 1% u 2021. godini do 3% u 2030. godini te potom </w:t>
      </w:r>
      <w:r w:rsidR="00EE1236">
        <w:rPr>
          <w:lang w:eastAsia="hr-HR"/>
        </w:rPr>
        <w:t xml:space="preserve">nastavku obnove fonda zgrada po stopi od 3% do 2050. godine. </w:t>
      </w:r>
      <w:r w:rsidR="00F2409B">
        <w:rPr>
          <w:lang w:eastAsia="hr-HR"/>
        </w:rPr>
        <w:t xml:space="preserve">Izostanak ovih mjera za posljedicu bi imao </w:t>
      </w:r>
      <w:r w:rsidR="00F2166A">
        <w:rPr>
          <w:lang w:eastAsia="hr-HR"/>
        </w:rPr>
        <w:t xml:space="preserve">značajno veću potrošnju energije u zgradama u budućem razdoblju i neispunjavanje </w:t>
      </w:r>
      <w:r w:rsidR="00B43D07">
        <w:rPr>
          <w:lang w:eastAsia="hr-HR"/>
        </w:rPr>
        <w:t xml:space="preserve">okvirnih </w:t>
      </w:r>
      <w:r w:rsidR="004C7B6E">
        <w:rPr>
          <w:lang w:eastAsia="hr-HR"/>
        </w:rPr>
        <w:t xml:space="preserve">nacionalnih </w:t>
      </w:r>
      <w:r w:rsidR="00F2166A">
        <w:rPr>
          <w:lang w:eastAsia="hr-HR"/>
        </w:rPr>
        <w:t xml:space="preserve">ciljeva koje prikazuje </w:t>
      </w:r>
      <w:r w:rsidR="00750F05">
        <w:rPr>
          <w:lang w:eastAsia="hr-HR"/>
        </w:rPr>
        <w:fldChar w:fldCharType="begin"/>
      </w:r>
      <w:r w:rsidR="00750F05">
        <w:rPr>
          <w:lang w:eastAsia="hr-HR"/>
        </w:rPr>
        <w:instrText xml:space="preserve"> REF _Ref32315492 \h </w:instrText>
      </w:r>
      <w:r w:rsidR="00750F05">
        <w:rPr>
          <w:lang w:eastAsia="hr-HR"/>
        </w:rPr>
      </w:r>
      <w:r w:rsidR="00750F05">
        <w:rPr>
          <w:lang w:eastAsia="hr-HR"/>
        </w:rPr>
        <w:fldChar w:fldCharType="separate"/>
      </w:r>
      <w:r w:rsidR="00CE61F3">
        <w:t xml:space="preserve">Tablica </w:t>
      </w:r>
      <w:r w:rsidR="00CE61F3">
        <w:rPr>
          <w:noProof/>
        </w:rPr>
        <w:t>8</w:t>
      </w:r>
      <w:r w:rsidR="00CE61F3">
        <w:t>.</w:t>
      </w:r>
      <w:r w:rsidR="00CE61F3">
        <w:rPr>
          <w:noProof/>
        </w:rPr>
        <w:t>4</w:t>
      </w:r>
      <w:r w:rsidR="00750F05">
        <w:rPr>
          <w:lang w:eastAsia="hr-HR"/>
        </w:rPr>
        <w:fldChar w:fldCharType="end"/>
      </w:r>
      <w:r w:rsidR="00750F05">
        <w:rPr>
          <w:lang w:eastAsia="hr-HR"/>
        </w:rPr>
        <w:t xml:space="preserve">. </w:t>
      </w:r>
    </w:p>
    <w:p w14:paraId="511873E1" w14:textId="0C7ABF20" w:rsidR="00827B0A" w:rsidRDefault="00216EE9" w:rsidP="004E2FFF">
      <w:pPr>
        <w:rPr>
          <w:lang w:eastAsia="hr-HR"/>
        </w:rPr>
      </w:pPr>
      <w:r>
        <w:rPr>
          <w:lang w:eastAsia="hr-HR"/>
        </w:rPr>
        <w:br/>
      </w:r>
      <w:r w:rsidR="00827B0A">
        <w:rPr>
          <w:lang w:eastAsia="hr-HR"/>
        </w:rPr>
        <w:br w:type="page"/>
      </w:r>
    </w:p>
    <w:p w14:paraId="7349B0AE" w14:textId="62DCA3C1" w:rsidR="00E856E0" w:rsidRDefault="00EC1735" w:rsidP="008129E7">
      <w:pPr>
        <w:pStyle w:val="Naslov10"/>
      </w:pPr>
      <w:bookmarkStart w:id="211" w:name="_Toc34052920"/>
      <w:bookmarkStart w:id="212" w:name="_Toc46163856"/>
      <w:r>
        <w:t>P</w:t>
      </w:r>
      <w:r w:rsidR="00E856E0">
        <w:t xml:space="preserve">rocjena </w:t>
      </w:r>
      <w:r w:rsidR="00B735ED">
        <w:t>o</w:t>
      </w:r>
      <w:r w:rsidR="00E856E0">
        <w:t>čekivanih ušteda energije i širih koristi</w:t>
      </w:r>
      <w:bookmarkEnd w:id="211"/>
      <w:bookmarkEnd w:id="212"/>
    </w:p>
    <w:p w14:paraId="6D0BF087" w14:textId="77777777" w:rsidR="003C0CC5" w:rsidRPr="00C74265" w:rsidRDefault="003C0CC5" w:rsidP="007649C2">
      <w:pPr>
        <w:pStyle w:val="Naslov20"/>
      </w:pPr>
      <w:bookmarkStart w:id="213" w:name="_Toc34052921"/>
      <w:bookmarkStart w:id="214" w:name="_Toc46163857"/>
      <w:r>
        <w:t xml:space="preserve">Procjena </w:t>
      </w:r>
      <w:r w:rsidR="00106FB1">
        <w:t xml:space="preserve">očekivanih </w:t>
      </w:r>
      <w:r>
        <w:t>ušteda energije</w:t>
      </w:r>
      <w:r w:rsidR="00174394">
        <w:t xml:space="preserve"> i smanjenja emisija CO</w:t>
      </w:r>
      <w:r w:rsidR="00174394" w:rsidRPr="00C74265">
        <w:t>2</w:t>
      </w:r>
      <w:bookmarkEnd w:id="213"/>
      <w:bookmarkEnd w:id="214"/>
    </w:p>
    <w:p w14:paraId="7E176BD7" w14:textId="60F0AEB9" w:rsidR="00657641" w:rsidRDefault="00657641" w:rsidP="00B34111">
      <w:pPr>
        <w:rPr>
          <w:lang w:eastAsia="hr-HR"/>
        </w:rPr>
      </w:pPr>
      <w:r>
        <w:rPr>
          <w:lang w:eastAsia="hr-HR"/>
        </w:rPr>
        <w:t>Procjena ušteda energije izrađena je korištenjem metoda odozdo-prema-gore za svaku predloženu mjeru energetske obnove zgrada</w:t>
      </w:r>
      <w:r w:rsidR="00123B72">
        <w:rPr>
          <w:lang w:eastAsia="hr-HR"/>
        </w:rPr>
        <w:t xml:space="preserve"> (pogledati mjere u poglavlju 5 i 6)</w:t>
      </w:r>
      <w:r>
        <w:rPr>
          <w:lang w:eastAsia="hr-HR"/>
        </w:rPr>
        <w:t xml:space="preserve">. No, osim toga, a kako bi se uhvatili i </w:t>
      </w:r>
      <w:r w:rsidR="00123B72">
        <w:rPr>
          <w:lang w:eastAsia="hr-HR"/>
        </w:rPr>
        <w:t>ostali</w:t>
      </w:r>
      <w:r>
        <w:rPr>
          <w:lang w:eastAsia="hr-HR"/>
        </w:rPr>
        <w:t xml:space="preserve"> </w:t>
      </w:r>
      <w:r w:rsidR="00123B72">
        <w:rPr>
          <w:lang w:eastAsia="hr-HR"/>
        </w:rPr>
        <w:t>faktori koji utječu na potrošnju energije u nekom sektoru</w:t>
      </w:r>
      <w:r w:rsidR="008F5425">
        <w:rPr>
          <w:lang w:eastAsia="hr-HR"/>
        </w:rPr>
        <w:t xml:space="preserve">, izrađene su projekcije potrošnje energije u dva scenarija. Scenarij S0 predstavlja </w:t>
      </w:r>
      <w:r w:rsidR="00186B5D">
        <w:rPr>
          <w:lang w:eastAsia="hr-HR"/>
        </w:rPr>
        <w:t xml:space="preserve">referentnu (tzv. </w:t>
      </w:r>
      <w:r w:rsidR="00186B5D" w:rsidRPr="00186B5D">
        <w:rPr>
          <w:i/>
          <w:lang w:eastAsia="hr-HR"/>
        </w:rPr>
        <w:t>busines-as-usual</w:t>
      </w:r>
      <w:r w:rsidR="00186B5D">
        <w:rPr>
          <w:lang w:eastAsia="hr-HR"/>
        </w:rPr>
        <w:t xml:space="preserve">) potrošnju energije, tj. potrošnju energije koja bi se ostvarila </w:t>
      </w:r>
      <w:r w:rsidR="00EA060F">
        <w:rPr>
          <w:lang w:eastAsia="hr-HR"/>
        </w:rPr>
        <w:t>samo s postojećim mjerama</w:t>
      </w:r>
      <w:r w:rsidR="0060290A">
        <w:rPr>
          <w:lang w:eastAsia="hr-HR"/>
        </w:rPr>
        <w:t>. Taj scenarij ne predviđa provedbu novih mjera koje su predviđene kako ovom Dugoročnom strategijom</w:t>
      </w:r>
      <w:r w:rsidR="006C0C17">
        <w:rPr>
          <w:lang w:eastAsia="hr-HR"/>
        </w:rPr>
        <w:t>. Scenarij</w:t>
      </w:r>
      <w:r w:rsidR="009E0CF4">
        <w:rPr>
          <w:lang w:eastAsia="hr-HR"/>
        </w:rPr>
        <w:t xml:space="preserve"> S2 predstavlja </w:t>
      </w:r>
      <w:r w:rsidR="0031010D">
        <w:rPr>
          <w:lang w:eastAsia="hr-HR"/>
        </w:rPr>
        <w:t xml:space="preserve">projekciju potrošnje </w:t>
      </w:r>
      <w:r w:rsidR="009E0CF4">
        <w:rPr>
          <w:lang w:eastAsia="hr-HR"/>
        </w:rPr>
        <w:t xml:space="preserve">energije koja će se ostvariti uz provedbu mjera predviđenih </w:t>
      </w:r>
      <w:r w:rsidR="004E3267">
        <w:rPr>
          <w:lang w:eastAsia="hr-HR"/>
        </w:rPr>
        <w:t xml:space="preserve">ovom Dugoročnom strategijom. </w:t>
      </w:r>
      <w:r w:rsidR="00FA1BCE">
        <w:rPr>
          <w:lang w:eastAsia="hr-HR"/>
        </w:rPr>
        <w:t xml:space="preserve">Razlika ta dva scenarija </w:t>
      </w:r>
      <w:r w:rsidR="002B1CB6">
        <w:rPr>
          <w:lang w:eastAsia="hr-HR"/>
        </w:rPr>
        <w:t>(</w:t>
      </w:r>
      <w:r w:rsidR="002B1CB6">
        <w:rPr>
          <w:lang w:eastAsia="hr-HR"/>
        </w:rPr>
        <w:fldChar w:fldCharType="begin"/>
      </w:r>
      <w:r w:rsidR="002B1CB6">
        <w:rPr>
          <w:lang w:eastAsia="hr-HR"/>
        </w:rPr>
        <w:instrText xml:space="preserve"> REF _Ref24369511 \h </w:instrText>
      </w:r>
      <w:r w:rsidR="002B1CB6">
        <w:rPr>
          <w:lang w:eastAsia="hr-HR"/>
        </w:rPr>
      </w:r>
      <w:r w:rsidR="002B1CB6">
        <w:rPr>
          <w:lang w:eastAsia="hr-HR"/>
        </w:rPr>
        <w:fldChar w:fldCharType="separate"/>
      </w:r>
      <w:r w:rsidR="00CE61F3">
        <w:t xml:space="preserve">Tablica </w:t>
      </w:r>
      <w:r w:rsidR="00CE61F3">
        <w:rPr>
          <w:noProof/>
        </w:rPr>
        <w:t>9</w:t>
      </w:r>
      <w:r w:rsidR="00CE61F3">
        <w:t>.</w:t>
      </w:r>
      <w:r w:rsidR="00CE61F3">
        <w:rPr>
          <w:noProof/>
        </w:rPr>
        <w:t>1</w:t>
      </w:r>
      <w:r w:rsidR="002B1CB6">
        <w:rPr>
          <w:lang w:eastAsia="hr-HR"/>
        </w:rPr>
        <w:fldChar w:fldCharType="end"/>
      </w:r>
      <w:r w:rsidR="002B1CB6">
        <w:rPr>
          <w:lang w:eastAsia="hr-HR"/>
        </w:rPr>
        <w:t xml:space="preserve">) </w:t>
      </w:r>
      <w:r w:rsidR="00FA1BCE">
        <w:rPr>
          <w:lang w:eastAsia="hr-HR"/>
        </w:rPr>
        <w:t xml:space="preserve">predstavlja uštede energije, koje će se dominantno ostvariti </w:t>
      </w:r>
      <w:r w:rsidR="002B1CB6">
        <w:rPr>
          <w:lang w:eastAsia="hr-HR"/>
        </w:rPr>
        <w:t>zbog aktivnosti energetske obnove zgrada, ali i zbog daljnjeg napretka tehnologija.</w:t>
      </w:r>
      <w:r w:rsidR="00764477">
        <w:rPr>
          <w:lang w:eastAsia="hr-HR"/>
        </w:rPr>
        <w:t xml:space="preserve"> Potrebno je istaknuti da </w:t>
      </w:r>
      <w:r w:rsidR="00B34111">
        <w:rPr>
          <w:lang w:eastAsia="hr-HR"/>
        </w:rPr>
        <w:t>su navedeni scenariji izrađeni za potrebe Integriranog nacionalnog energetskog i klimatskog plana</w:t>
      </w:r>
      <w:r w:rsidR="00AD5D7F">
        <w:rPr>
          <w:lang w:eastAsia="hr-HR"/>
        </w:rPr>
        <w:t xml:space="preserve"> te su svi podatci preuzeti iz tog Plana. </w:t>
      </w:r>
    </w:p>
    <w:p w14:paraId="519C7369" w14:textId="09710E93" w:rsidR="002B1CB6" w:rsidRDefault="002B1CB6" w:rsidP="002B1CB6">
      <w:pPr>
        <w:pStyle w:val="Opisslike"/>
        <w:rPr>
          <w:lang w:eastAsia="hr-HR"/>
        </w:rPr>
      </w:pPr>
      <w:bookmarkStart w:id="215" w:name="_Ref24369511"/>
      <w:bookmarkStart w:id="216" w:name="_Toc40089048"/>
      <w:r>
        <w:t xml:space="preserve">Tablica </w:t>
      </w:r>
      <w:fldSimple w:instr=" STYLEREF 1 \s ">
        <w:r w:rsidR="00CE61F3">
          <w:rPr>
            <w:noProof/>
          </w:rPr>
          <w:t>9</w:t>
        </w:r>
      </w:fldSimple>
      <w:r w:rsidR="0046545B">
        <w:t>.</w:t>
      </w:r>
      <w:fldSimple w:instr=" SEQ Tablica \* ARABIC \s 1 ">
        <w:r w:rsidR="00CE61F3">
          <w:rPr>
            <w:noProof/>
          </w:rPr>
          <w:t>1</w:t>
        </w:r>
      </w:fldSimple>
      <w:bookmarkEnd w:id="215"/>
      <w:r>
        <w:t xml:space="preserve"> Smanjenje potrošnje energije u sektoru kućanstava i usluga</w:t>
      </w:r>
      <w:bookmarkEnd w:id="216"/>
    </w:p>
    <w:tbl>
      <w:tblPr>
        <w:tblStyle w:val="TableGrid1"/>
        <w:tblW w:w="5000" w:type="pct"/>
        <w:tblLayout w:type="fixed"/>
        <w:tblLook w:val="04A0" w:firstRow="1" w:lastRow="0" w:firstColumn="1" w:lastColumn="0" w:noHBand="0" w:noVBand="1"/>
      </w:tblPr>
      <w:tblGrid>
        <w:gridCol w:w="5845"/>
        <w:gridCol w:w="873"/>
        <w:gridCol w:w="875"/>
        <w:gridCol w:w="875"/>
        <w:gridCol w:w="876"/>
      </w:tblGrid>
      <w:tr w:rsidR="00C30F65" w:rsidRPr="0059549E" w14:paraId="43ACD1FB" w14:textId="77777777" w:rsidTr="00026618">
        <w:trPr>
          <w:trHeight w:val="300"/>
        </w:trPr>
        <w:tc>
          <w:tcPr>
            <w:tcW w:w="3128" w:type="pct"/>
            <w:shd w:val="clear" w:color="auto" w:fill="D0CECE" w:themeFill="background2" w:themeFillShade="E6"/>
            <w:noWrap/>
            <w:hideMark/>
          </w:tcPr>
          <w:p w14:paraId="7CBDC139" w14:textId="77777777" w:rsidR="002B1CB6" w:rsidRPr="0036784A" w:rsidRDefault="002B1CB6" w:rsidP="008B5A42">
            <w:pPr>
              <w:rPr>
                <w:rFonts w:cs="Tahoma"/>
                <w:b/>
                <w:bCs/>
                <w:color w:val="000000"/>
                <w:sz w:val="18"/>
                <w:szCs w:val="18"/>
                <w:lang w:val="hr-HR" w:eastAsia="hr-HR"/>
              </w:rPr>
            </w:pPr>
            <w:r w:rsidRPr="0036784A">
              <w:rPr>
                <w:rFonts w:cs="Tahoma"/>
                <w:b/>
                <w:bCs/>
                <w:color w:val="000000"/>
                <w:sz w:val="18"/>
                <w:szCs w:val="18"/>
                <w:lang w:val="hr-HR" w:eastAsia="hr-HR"/>
              </w:rPr>
              <w:t xml:space="preserve">Scenarij S0 – </w:t>
            </w:r>
            <w:r w:rsidR="00C30F65" w:rsidRPr="0036784A">
              <w:rPr>
                <w:rFonts w:cs="Tahoma"/>
                <w:b/>
                <w:bCs/>
                <w:color w:val="000000"/>
                <w:sz w:val="18"/>
                <w:szCs w:val="18"/>
                <w:lang w:val="hr-HR" w:eastAsia="hr-HR"/>
              </w:rPr>
              <w:t>neposredna potrošnja energije</w:t>
            </w:r>
            <w:r w:rsidRPr="0036784A">
              <w:rPr>
                <w:rFonts w:cs="Tahoma"/>
                <w:b/>
                <w:bCs/>
                <w:color w:val="000000"/>
                <w:sz w:val="18"/>
                <w:szCs w:val="18"/>
                <w:lang w:val="hr-HR" w:eastAsia="hr-HR"/>
              </w:rPr>
              <w:t xml:space="preserve"> </w:t>
            </w:r>
            <w:r w:rsidRPr="0036784A">
              <w:rPr>
                <w:rFonts w:cs="Tahoma"/>
                <w:b/>
                <w:color w:val="000000"/>
                <w:sz w:val="18"/>
                <w:szCs w:val="18"/>
                <w:lang w:val="hr-HR" w:eastAsia="hr-HR"/>
              </w:rPr>
              <w:t>(</w:t>
            </w:r>
            <w:r w:rsidR="00C30F65" w:rsidRPr="0036784A">
              <w:rPr>
                <w:rFonts w:cs="Tahoma"/>
                <w:b/>
                <w:color w:val="000000"/>
                <w:sz w:val="18"/>
                <w:szCs w:val="18"/>
                <w:lang w:val="hr-HR" w:eastAsia="hr-HR"/>
              </w:rPr>
              <w:t>PJ</w:t>
            </w:r>
            <w:r w:rsidRPr="0036784A">
              <w:rPr>
                <w:rFonts w:cs="Tahoma"/>
                <w:b/>
                <w:color w:val="000000"/>
                <w:sz w:val="18"/>
                <w:szCs w:val="18"/>
                <w:lang w:val="hr-HR" w:eastAsia="hr-HR"/>
              </w:rPr>
              <w:t>)</w:t>
            </w:r>
          </w:p>
        </w:tc>
        <w:tc>
          <w:tcPr>
            <w:tcW w:w="467" w:type="pct"/>
            <w:shd w:val="clear" w:color="auto" w:fill="D0CECE" w:themeFill="background2" w:themeFillShade="E6"/>
            <w:noWrap/>
            <w:hideMark/>
          </w:tcPr>
          <w:p w14:paraId="16AAACC8" w14:textId="77777777" w:rsidR="002B1CB6" w:rsidRPr="0036784A" w:rsidRDefault="002B1CB6" w:rsidP="008B5A42">
            <w:pPr>
              <w:jc w:val="right"/>
              <w:rPr>
                <w:rFonts w:cs="Tahoma"/>
                <w:b/>
                <w:bCs/>
                <w:color w:val="000000"/>
                <w:sz w:val="18"/>
                <w:szCs w:val="18"/>
                <w:lang w:val="hr-HR" w:eastAsia="hr-HR"/>
              </w:rPr>
            </w:pPr>
            <w:r w:rsidRPr="0036784A">
              <w:rPr>
                <w:rFonts w:cs="Tahoma"/>
                <w:b/>
                <w:color w:val="000000"/>
                <w:sz w:val="18"/>
                <w:szCs w:val="18"/>
                <w:lang w:val="hr-HR" w:eastAsia="hr-HR"/>
              </w:rPr>
              <w:t>2020</w:t>
            </w:r>
          </w:p>
        </w:tc>
        <w:tc>
          <w:tcPr>
            <w:tcW w:w="468" w:type="pct"/>
            <w:shd w:val="clear" w:color="auto" w:fill="D0CECE" w:themeFill="background2" w:themeFillShade="E6"/>
            <w:noWrap/>
            <w:hideMark/>
          </w:tcPr>
          <w:p w14:paraId="2CB33EE9" w14:textId="77777777" w:rsidR="002B1CB6" w:rsidRPr="0036784A" w:rsidRDefault="002B1CB6" w:rsidP="008B5A42">
            <w:pPr>
              <w:jc w:val="right"/>
              <w:rPr>
                <w:rFonts w:cs="Tahoma"/>
                <w:b/>
                <w:sz w:val="18"/>
                <w:szCs w:val="18"/>
                <w:lang w:val="hr-HR" w:eastAsia="hr-HR"/>
              </w:rPr>
            </w:pPr>
            <w:r w:rsidRPr="0036784A">
              <w:rPr>
                <w:rFonts w:cs="Tahoma"/>
                <w:b/>
                <w:color w:val="000000"/>
                <w:sz w:val="18"/>
                <w:szCs w:val="18"/>
                <w:lang w:val="hr-HR" w:eastAsia="hr-HR"/>
              </w:rPr>
              <w:t>2030</w:t>
            </w:r>
          </w:p>
        </w:tc>
        <w:tc>
          <w:tcPr>
            <w:tcW w:w="468" w:type="pct"/>
            <w:shd w:val="clear" w:color="auto" w:fill="D0CECE" w:themeFill="background2" w:themeFillShade="E6"/>
            <w:noWrap/>
            <w:hideMark/>
          </w:tcPr>
          <w:p w14:paraId="73814AB5" w14:textId="77777777" w:rsidR="002B1CB6" w:rsidRPr="0036784A" w:rsidRDefault="002B1CB6" w:rsidP="008B5A42">
            <w:pPr>
              <w:jc w:val="right"/>
              <w:rPr>
                <w:rFonts w:cs="Tahoma"/>
                <w:b/>
                <w:sz w:val="18"/>
                <w:szCs w:val="18"/>
                <w:lang w:val="hr-HR" w:eastAsia="hr-HR"/>
              </w:rPr>
            </w:pPr>
            <w:r w:rsidRPr="0036784A">
              <w:rPr>
                <w:rFonts w:cs="Tahoma"/>
                <w:b/>
                <w:color w:val="000000"/>
                <w:sz w:val="18"/>
                <w:szCs w:val="18"/>
                <w:lang w:val="hr-HR" w:eastAsia="hr-HR"/>
              </w:rPr>
              <w:t>2040</w:t>
            </w:r>
          </w:p>
        </w:tc>
        <w:tc>
          <w:tcPr>
            <w:tcW w:w="469" w:type="pct"/>
            <w:shd w:val="clear" w:color="auto" w:fill="D0CECE" w:themeFill="background2" w:themeFillShade="E6"/>
            <w:noWrap/>
            <w:hideMark/>
          </w:tcPr>
          <w:p w14:paraId="421BE855" w14:textId="77777777" w:rsidR="002B1CB6" w:rsidRPr="0036784A" w:rsidRDefault="002B1CB6" w:rsidP="008B5A42">
            <w:pPr>
              <w:jc w:val="right"/>
              <w:rPr>
                <w:rFonts w:cs="Tahoma"/>
                <w:b/>
                <w:sz w:val="18"/>
                <w:szCs w:val="18"/>
                <w:lang w:val="hr-HR" w:eastAsia="hr-HR"/>
              </w:rPr>
            </w:pPr>
            <w:r w:rsidRPr="0036784A">
              <w:rPr>
                <w:rFonts w:cs="Tahoma"/>
                <w:b/>
                <w:color w:val="000000"/>
                <w:sz w:val="18"/>
                <w:szCs w:val="18"/>
                <w:lang w:val="hr-HR" w:eastAsia="hr-HR"/>
              </w:rPr>
              <w:t>2050</w:t>
            </w:r>
          </w:p>
        </w:tc>
      </w:tr>
      <w:tr w:rsidR="00026618" w:rsidRPr="009E4243" w14:paraId="567AADF5" w14:textId="77777777" w:rsidTr="00026618">
        <w:trPr>
          <w:trHeight w:val="300"/>
        </w:trPr>
        <w:tc>
          <w:tcPr>
            <w:tcW w:w="3128" w:type="pct"/>
            <w:noWrap/>
            <w:hideMark/>
          </w:tcPr>
          <w:p w14:paraId="58006080" w14:textId="77777777" w:rsidR="00026618" w:rsidRPr="0036784A" w:rsidRDefault="00026618" w:rsidP="00026618">
            <w:pPr>
              <w:rPr>
                <w:rFonts w:cs="Tahoma"/>
                <w:color w:val="000000"/>
                <w:sz w:val="18"/>
                <w:szCs w:val="18"/>
                <w:lang w:val="hr-HR" w:eastAsia="hr-HR"/>
              </w:rPr>
            </w:pPr>
            <w:r w:rsidRPr="0036784A">
              <w:rPr>
                <w:rFonts w:cs="Tahoma"/>
                <w:color w:val="000000"/>
                <w:sz w:val="18"/>
                <w:szCs w:val="18"/>
                <w:lang w:val="hr-HR" w:eastAsia="hr-HR"/>
              </w:rPr>
              <w:t>Usluge</w:t>
            </w:r>
          </w:p>
        </w:tc>
        <w:tc>
          <w:tcPr>
            <w:tcW w:w="467" w:type="pct"/>
            <w:noWrap/>
            <w:vAlign w:val="center"/>
          </w:tcPr>
          <w:p w14:paraId="2182F1EF" w14:textId="77777777" w:rsidR="00026618" w:rsidRPr="0036784A" w:rsidRDefault="00026618" w:rsidP="00026618">
            <w:pPr>
              <w:jc w:val="right"/>
              <w:rPr>
                <w:rFonts w:cs="Tahoma"/>
                <w:sz w:val="18"/>
                <w:szCs w:val="18"/>
                <w:lang w:val="hr-HR" w:eastAsia="hr-HR"/>
              </w:rPr>
            </w:pPr>
            <w:r w:rsidRPr="0050058B">
              <w:rPr>
                <w:sz w:val="18"/>
                <w:szCs w:val="18"/>
                <w:lang w:val="hr-HR"/>
              </w:rPr>
              <w:t>34,6</w:t>
            </w:r>
          </w:p>
        </w:tc>
        <w:tc>
          <w:tcPr>
            <w:tcW w:w="468" w:type="pct"/>
            <w:noWrap/>
            <w:hideMark/>
          </w:tcPr>
          <w:p w14:paraId="378812B9"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39,8</w:t>
            </w:r>
          </w:p>
        </w:tc>
        <w:tc>
          <w:tcPr>
            <w:tcW w:w="468" w:type="pct"/>
            <w:noWrap/>
            <w:hideMark/>
          </w:tcPr>
          <w:p w14:paraId="7A43262F"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41,9</w:t>
            </w:r>
          </w:p>
        </w:tc>
        <w:tc>
          <w:tcPr>
            <w:tcW w:w="469" w:type="pct"/>
            <w:noWrap/>
            <w:hideMark/>
          </w:tcPr>
          <w:p w14:paraId="7D1CD740" w14:textId="77777777" w:rsidR="00026618" w:rsidRPr="0036784A" w:rsidRDefault="00026618" w:rsidP="00026618">
            <w:pPr>
              <w:jc w:val="right"/>
              <w:rPr>
                <w:rFonts w:cs="Tahoma"/>
                <w:sz w:val="18"/>
                <w:szCs w:val="18"/>
                <w:lang w:val="hr-HR" w:eastAsia="hr-HR"/>
              </w:rPr>
            </w:pPr>
            <w:r>
              <w:rPr>
                <w:rFonts w:cs="Tahoma"/>
                <w:sz w:val="18"/>
                <w:szCs w:val="18"/>
                <w:lang w:val="hr-HR" w:eastAsia="hr-HR"/>
              </w:rPr>
              <w:t>41</w:t>
            </w:r>
            <w:r w:rsidRPr="0036784A">
              <w:rPr>
                <w:rFonts w:cs="Tahoma"/>
                <w:sz w:val="18"/>
                <w:szCs w:val="18"/>
                <w:lang w:val="hr-HR" w:eastAsia="hr-HR"/>
              </w:rPr>
              <w:t>,7</w:t>
            </w:r>
          </w:p>
        </w:tc>
      </w:tr>
      <w:tr w:rsidR="00026618" w:rsidRPr="009E4243" w14:paraId="6499EF49" w14:textId="77777777" w:rsidTr="00026618">
        <w:trPr>
          <w:trHeight w:val="300"/>
        </w:trPr>
        <w:tc>
          <w:tcPr>
            <w:tcW w:w="3128" w:type="pct"/>
            <w:noWrap/>
            <w:hideMark/>
          </w:tcPr>
          <w:p w14:paraId="3B7065A6" w14:textId="77777777" w:rsidR="00026618" w:rsidRPr="0036784A" w:rsidRDefault="00026618" w:rsidP="00026618">
            <w:pPr>
              <w:rPr>
                <w:rFonts w:cs="Tahoma"/>
                <w:sz w:val="18"/>
                <w:szCs w:val="18"/>
                <w:lang w:val="hr-HR" w:eastAsia="hr-HR"/>
              </w:rPr>
            </w:pPr>
            <w:r w:rsidRPr="0036784A">
              <w:rPr>
                <w:rFonts w:cs="Tahoma"/>
                <w:sz w:val="18"/>
                <w:szCs w:val="18"/>
                <w:lang w:val="hr-HR" w:eastAsia="hr-HR"/>
              </w:rPr>
              <w:t xml:space="preserve">Kućanstva      </w:t>
            </w:r>
          </w:p>
        </w:tc>
        <w:tc>
          <w:tcPr>
            <w:tcW w:w="467" w:type="pct"/>
            <w:noWrap/>
            <w:vAlign w:val="center"/>
          </w:tcPr>
          <w:p w14:paraId="61F85C62" w14:textId="77777777" w:rsidR="00026618" w:rsidRPr="0036784A" w:rsidRDefault="00026618" w:rsidP="00026618">
            <w:pPr>
              <w:jc w:val="right"/>
              <w:rPr>
                <w:rFonts w:cs="Tahoma"/>
                <w:sz w:val="18"/>
                <w:szCs w:val="18"/>
                <w:lang w:val="hr-HR" w:eastAsia="hr-HR"/>
              </w:rPr>
            </w:pPr>
            <w:r w:rsidRPr="0050058B">
              <w:rPr>
                <w:lang w:val="hr-HR" w:eastAsia="hr-HR"/>
              </w:rPr>
              <w:t>98,5</w:t>
            </w:r>
          </w:p>
        </w:tc>
        <w:tc>
          <w:tcPr>
            <w:tcW w:w="468" w:type="pct"/>
            <w:noWrap/>
            <w:hideMark/>
          </w:tcPr>
          <w:p w14:paraId="0FFCF598"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102,5</w:t>
            </w:r>
          </w:p>
        </w:tc>
        <w:tc>
          <w:tcPr>
            <w:tcW w:w="468" w:type="pct"/>
            <w:noWrap/>
            <w:hideMark/>
          </w:tcPr>
          <w:p w14:paraId="76668176"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94,9</w:t>
            </w:r>
          </w:p>
        </w:tc>
        <w:tc>
          <w:tcPr>
            <w:tcW w:w="469" w:type="pct"/>
            <w:noWrap/>
            <w:hideMark/>
          </w:tcPr>
          <w:p w14:paraId="55818360"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82,8</w:t>
            </w:r>
          </w:p>
        </w:tc>
      </w:tr>
      <w:tr w:rsidR="00C30F65" w:rsidRPr="009E4243" w14:paraId="1FD4D759" w14:textId="77777777" w:rsidTr="00026618">
        <w:trPr>
          <w:trHeight w:val="300"/>
        </w:trPr>
        <w:tc>
          <w:tcPr>
            <w:tcW w:w="3128" w:type="pct"/>
            <w:noWrap/>
            <w:hideMark/>
          </w:tcPr>
          <w:p w14:paraId="007DB591" w14:textId="77777777" w:rsidR="002B1CB6" w:rsidRPr="0036784A" w:rsidRDefault="002B1CB6" w:rsidP="008B5A42">
            <w:pPr>
              <w:rPr>
                <w:rFonts w:cs="Tahoma"/>
                <w:b/>
                <w:bCs/>
                <w:color w:val="000000"/>
                <w:sz w:val="18"/>
                <w:szCs w:val="18"/>
                <w:lang w:val="hr-HR" w:eastAsia="hr-HR"/>
              </w:rPr>
            </w:pPr>
            <w:r w:rsidRPr="0036784A">
              <w:rPr>
                <w:rFonts w:cs="Tahoma"/>
                <w:b/>
                <w:bCs/>
                <w:color w:val="000000"/>
                <w:sz w:val="18"/>
                <w:szCs w:val="18"/>
                <w:lang w:val="hr-HR" w:eastAsia="hr-HR"/>
              </w:rPr>
              <w:t>Ukup</w:t>
            </w:r>
            <w:r w:rsidR="00C30F65" w:rsidRPr="0036784A">
              <w:rPr>
                <w:rFonts w:cs="Tahoma"/>
                <w:b/>
                <w:bCs/>
                <w:color w:val="000000"/>
                <w:sz w:val="18"/>
                <w:szCs w:val="18"/>
                <w:lang w:val="hr-HR" w:eastAsia="hr-HR"/>
              </w:rPr>
              <w:t>n</w:t>
            </w:r>
            <w:r w:rsidRPr="0036784A">
              <w:rPr>
                <w:rFonts w:cs="Tahoma"/>
                <w:b/>
                <w:bCs/>
                <w:color w:val="000000"/>
                <w:sz w:val="18"/>
                <w:szCs w:val="18"/>
                <w:lang w:val="hr-HR" w:eastAsia="hr-HR"/>
              </w:rPr>
              <w:t>o</w:t>
            </w:r>
          </w:p>
        </w:tc>
        <w:tc>
          <w:tcPr>
            <w:tcW w:w="467" w:type="pct"/>
            <w:noWrap/>
          </w:tcPr>
          <w:p w14:paraId="71AB1A52" w14:textId="77777777" w:rsidR="002B1CB6" w:rsidRPr="0036784A" w:rsidRDefault="00874580" w:rsidP="008B5A42">
            <w:pPr>
              <w:jc w:val="right"/>
              <w:rPr>
                <w:rFonts w:cs="Tahoma"/>
                <w:b/>
                <w:bCs/>
                <w:color w:val="000000"/>
                <w:sz w:val="18"/>
                <w:szCs w:val="18"/>
                <w:lang w:val="hr-HR" w:eastAsia="hr-HR"/>
              </w:rPr>
            </w:pPr>
            <w:r>
              <w:rPr>
                <w:rFonts w:cs="Tahoma"/>
                <w:b/>
                <w:bCs/>
                <w:color w:val="000000"/>
                <w:sz w:val="18"/>
                <w:szCs w:val="18"/>
                <w:lang w:val="hr-HR" w:eastAsia="hr-HR"/>
              </w:rPr>
              <w:t>133,1</w:t>
            </w:r>
          </w:p>
        </w:tc>
        <w:tc>
          <w:tcPr>
            <w:tcW w:w="468" w:type="pct"/>
            <w:noWrap/>
          </w:tcPr>
          <w:p w14:paraId="4C1DA0CB" w14:textId="77777777" w:rsidR="002B1CB6" w:rsidRPr="0036784A" w:rsidRDefault="00816007" w:rsidP="008B5A42">
            <w:pPr>
              <w:jc w:val="right"/>
              <w:rPr>
                <w:rFonts w:cs="Tahoma"/>
                <w:b/>
                <w:bCs/>
                <w:color w:val="000000"/>
                <w:sz w:val="18"/>
                <w:szCs w:val="18"/>
                <w:lang w:val="hr-HR" w:eastAsia="hr-HR"/>
              </w:rPr>
            </w:pPr>
            <w:r w:rsidRPr="0036784A">
              <w:rPr>
                <w:rFonts w:cs="Tahoma"/>
                <w:b/>
                <w:bCs/>
                <w:color w:val="000000"/>
                <w:sz w:val="18"/>
                <w:szCs w:val="18"/>
                <w:lang w:val="hr-HR" w:eastAsia="hr-HR"/>
              </w:rPr>
              <w:t>142,3</w:t>
            </w:r>
          </w:p>
        </w:tc>
        <w:tc>
          <w:tcPr>
            <w:tcW w:w="468" w:type="pct"/>
            <w:noWrap/>
          </w:tcPr>
          <w:p w14:paraId="27AE6B6E" w14:textId="77777777" w:rsidR="002B1CB6" w:rsidRPr="0036784A" w:rsidRDefault="001421E1" w:rsidP="008B5A42">
            <w:pPr>
              <w:jc w:val="right"/>
              <w:rPr>
                <w:rFonts w:cs="Tahoma"/>
                <w:b/>
                <w:bCs/>
                <w:color w:val="000000"/>
                <w:sz w:val="18"/>
                <w:szCs w:val="18"/>
                <w:lang w:val="hr-HR" w:eastAsia="hr-HR"/>
              </w:rPr>
            </w:pPr>
            <w:r w:rsidRPr="0036784A">
              <w:rPr>
                <w:rFonts w:cs="Tahoma"/>
                <w:b/>
                <w:bCs/>
                <w:color w:val="000000"/>
                <w:sz w:val="18"/>
                <w:szCs w:val="18"/>
                <w:lang w:val="hr-HR" w:eastAsia="hr-HR"/>
              </w:rPr>
              <w:t>136,8</w:t>
            </w:r>
          </w:p>
        </w:tc>
        <w:tc>
          <w:tcPr>
            <w:tcW w:w="469" w:type="pct"/>
            <w:noWrap/>
          </w:tcPr>
          <w:p w14:paraId="695C3313" w14:textId="009C29BD" w:rsidR="002B1CB6" w:rsidRPr="0036784A" w:rsidRDefault="00AB4FF3" w:rsidP="00DF74DE">
            <w:pPr>
              <w:tabs>
                <w:tab w:val="clear" w:pos="431"/>
                <w:tab w:val="left" w:pos="420"/>
              </w:tabs>
              <w:jc w:val="right"/>
              <w:rPr>
                <w:rFonts w:cs="Tahoma"/>
                <w:b/>
                <w:bCs/>
                <w:color w:val="000000"/>
                <w:sz w:val="18"/>
                <w:szCs w:val="18"/>
                <w:lang w:val="hr-HR" w:eastAsia="hr-HR"/>
              </w:rPr>
            </w:pPr>
            <w:r>
              <w:rPr>
                <w:rFonts w:cs="Tahoma"/>
                <w:b/>
                <w:bCs/>
                <w:color w:val="000000"/>
                <w:sz w:val="18"/>
                <w:szCs w:val="18"/>
                <w:lang w:val="hr-HR" w:eastAsia="hr-HR"/>
              </w:rPr>
              <w:t>124,5</w:t>
            </w:r>
          </w:p>
        </w:tc>
      </w:tr>
      <w:tr w:rsidR="002B1CB6" w:rsidRPr="009E4243" w14:paraId="0DA55FF2" w14:textId="77777777" w:rsidTr="007469E5">
        <w:trPr>
          <w:trHeight w:val="300"/>
        </w:trPr>
        <w:tc>
          <w:tcPr>
            <w:tcW w:w="3128" w:type="pct"/>
            <w:shd w:val="clear" w:color="auto" w:fill="D0CECE" w:themeFill="background2" w:themeFillShade="E6"/>
            <w:noWrap/>
            <w:hideMark/>
          </w:tcPr>
          <w:p w14:paraId="435636F1" w14:textId="77777777" w:rsidR="002B1CB6" w:rsidRPr="0036784A" w:rsidRDefault="002B1CB6" w:rsidP="008B5A42">
            <w:pPr>
              <w:rPr>
                <w:rFonts w:cs="Tahoma"/>
                <w:b/>
                <w:bCs/>
                <w:color w:val="000000"/>
                <w:sz w:val="18"/>
                <w:szCs w:val="18"/>
                <w:lang w:val="hr-HR" w:eastAsia="hr-HR"/>
              </w:rPr>
            </w:pPr>
            <w:r w:rsidRPr="0036784A">
              <w:rPr>
                <w:rFonts w:cs="Tahoma"/>
                <w:b/>
                <w:bCs/>
                <w:color w:val="000000"/>
                <w:sz w:val="18"/>
                <w:szCs w:val="18"/>
                <w:lang w:val="hr-HR" w:eastAsia="hr-HR"/>
              </w:rPr>
              <w:t xml:space="preserve">Scenarij S2 </w:t>
            </w:r>
            <w:r w:rsidR="00C30F65" w:rsidRPr="0036784A">
              <w:rPr>
                <w:rFonts w:cs="Tahoma"/>
                <w:b/>
                <w:bCs/>
                <w:color w:val="000000"/>
                <w:sz w:val="18"/>
                <w:szCs w:val="18"/>
                <w:lang w:val="hr-HR" w:eastAsia="hr-HR"/>
              </w:rPr>
              <w:t xml:space="preserve">– neposredna potrošnja energije </w:t>
            </w:r>
            <w:r w:rsidR="00C30F65" w:rsidRPr="0036784A">
              <w:rPr>
                <w:rFonts w:cs="Tahoma"/>
                <w:b/>
                <w:color w:val="000000"/>
                <w:sz w:val="18"/>
                <w:szCs w:val="18"/>
                <w:lang w:val="hr-HR" w:eastAsia="hr-HR"/>
              </w:rPr>
              <w:t>(PJ)</w:t>
            </w:r>
          </w:p>
        </w:tc>
        <w:tc>
          <w:tcPr>
            <w:tcW w:w="1872" w:type="pct"/>
            <w:gridSpan w:val="4"/>
            <w:shd w:val="clear" w:color="auto" w:fill="D0CECE" w:themeFill="background2" w:themeFillShade="E6"/>
            <w:noWrap/>
            <w:hideMark/>
          </w:tcPr>
          <w:p w14:paraId="5D868B93" w14:textId="77777777" w:rsidR="002B1CB6" w:rsidRPr="0036784A" w:rsidRDefault="002B1CB6" w:rsidP="008B5A42">
            <w:pPr>
              <w:rPr>
                <w:rFonts w:cs="Tahoma"/>
                <w:sz w:val="18"/>
                <w:szCs w:val="18"/>
                <w:lang w:val="hr-HR" w:eastAsia="hr-HR"/>
              </w:rPr>
            </w:pPr>
          </w:p>
        </w:tc>
      </w:tr>
      <w:tr w:rsidR="00026618" w:rsidRPr="009E4243" w14:paraId="5B11AD8D" w14:textId="77777777" w:rsidTr="008B5A42">
        <w:trPr>
          <w:trHeight w:val="300"/>
        </w:trPr>
        <w:tc>
          <w:tcPr>
            <w:tcW w:w="3128" w:type="pct"/>
            <w:noWrap/>
            <w:hideMark/>
          </w:tcPr>
          <w:p w14:paraId="1C5E7CB7" w14:textId="77777777" w:rsidR="00026618" w:rsidRPr="0036784A" w:rsidRDefault="00026618" w:rsidP="00026618">
            <w:pPr>
              <w:rPr>
                <w:rFonts w:cs="Tahoma"/>
                <w:color w:val="000000"/>
                <w:sz w:val="18"/>
                <w:szCs w:val="18"/>
                <w:lang w:val="hr-HR" w:eastAsia="hr-HR"/>
              </w:rPr>
            </w:pPr>
            <w:r w:rsidRPr="0036784A">
              <w:rPr>
                <w:rFonts w:cs="Tahoma"/>
                <w:color w:val="000000"/>
                <w:sz w:val="18"/>
                <w:szCs w:val="18"/>
                <w:lang w:val="hr-HR" w:eastAsia="hr-HR"/>
              </w:rPr>
              <w:t>Usluge</w:t>
            </w:r>
          </w:p>
        </w:tc>
        <w:tc>
          <w:tcPr>
            <w:tcW w:w="467" w:type="pct"/>
            <w:noWrap/>
            <w:vAlign w:val="center"/>
          </w:tcPr>
          <w:p w14:paraId="6FE33BFD" w14:textId="77777777" w:rsidR="00026618" w:rsidRPr="0036784A" w:rsidRDefault="00026618" w:rsidP="00026618">
            <w:pPr>
              <w:jc w:val="right"/>
              <w:rPr>
                <w:rFonts w:cs="Tahoma"/>
                <w:sz w:val="18"/>
                <w:szCs w:val="18"/>
                <w:lang w:val="hr-HR" w:eastAsia="hr-HR"/>
              </w:rPr>
            </w:pPr>
            <w:r w:rsidRPr="0050058B">
              <w:rPr>
                <w:sz w:val="18"/>
                <w:szCs w:val="18"/>
                <w:lang w:val="hr-HR"/>
              </w:rPr>
              <w:t>34,6</w:t>
            </w:r>
          </w:p>
        </w:tc>
        <w:tc>
          <w:tcPr>
            <w:tcW w:w="468" w:type="pct"/>
            <w:noWrap/>
          </w:tcPr>
          <w:p w14:paraId="7B814BFF"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39,2</w:t>
            </w:r>
          </w:p>
        </w:tc>
        <w:tc>
          <w:tcPr>
            <w:tcW w:w="468" w:type="pct"/>
            <w:noWrap/>
          </w:tcPr>
          <w:p w14:paraId="2A4D75D7"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39,5</w:t>
            </w:r>
          </w:p>
        </w:tc>
        <w:tc>
          <w:tcPr>
            <w:tcW w:w="469" w:type="pct"/>
            <w:noWrap/>
          </w:tcPr>
          <w:p w14:paraId="78AE8AD9"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36,8</w:t>
            </w:r>
          </w:p>
        </w:tc>
      </w:tr>
      <w:tr w:rsidR="00026618" w:rsidRPr="009E4243" w14:paraId="40CA7B60" w14:textId="77777777" w:rsidTr="008B5A42">
        <w:trPr>
          <w:trHeight w:val="300"/>
        </w:trPr>
        <w:tc>
          <w:tcPr>
            <w:tcW w:w="3128" w:type="pct"/>
            <w:noWrap/>
            <w:hideMark/>
          </w:tcPr>
          <w:p w14:paraId="503BEAD7" w14:textId="77777777" w:rsidR="00026618" w:rsidRPr="0036784A" w:rsidRDefault="00026618" w:rsidP="00026618">
            <w:pPr>
              <w:rPr>
                <w:rFonts w:cs="Tahoma"/>
                <w:sz w:val="18"/>
                <w:szCs w:val="18"/>
                <w:lang w:val="hr-HR" w:eastAsia="hr-HR"/>
              </w:rPr>
            </w:pPr>
            <w:r w:rsidRPr="0036784A">
              <w:rPr>
                <w:rFonts w:cs="Tahoma"/>
                <w:sz w:val="18"/>
                <w:szCs w:val="18"/>
                <w:lang w:val="hr-HR" w:eastAsia="hr-HR"/>
              </w:rPr>
              <w:t xml:space="preserve">Kućanstva      </w:t>
            </w:r>
          </w:p>
        </w:tc>
        <w:tc>
          <w:tcPr>
            <w:tcW w:w="467" w:type="pct"/>
            <w:noWrap/>
            <w:vAlign w:val="center"/>
          </w:tcPr>
          <w:p w14:paraId="25AD142C" w14:textId="77777777" w:rsidR="00026618" w:rsidRPr="0036784A" w:rsidRDefault="00026618" w:rsidP="00026618">
            <w:pPr>
              <w:jc w:val="right"/>
              <w:rPr>
                <w:rFonts w:cs="Tahoma"/>
                <w:sz w:val="18"/>
                <w:szCs w:val="18"/>
                <w:lang w:val="hr-HR" w:eastAsia="hr-HR"/>
              </w:rPr>
            </w:pPr>
            <w:r w:rsidRPr="0050058B">
              <w:rPr>
                <w:lang w:val="hr-HR" w:eastAsia="hr-HR"/>
              </w:rPr>
              <w:t>98,5</w:t>
            </w:r>
          </w:p>
        </w:tc>
        <w:tc>
          <w:tcPr>
            <w:tcW w:w="468" w:type="pct"/>
            <w:noWrap/>
          </w:tcPr>
          <w:p w14:paraId="7BEB9C32"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96,9</w:t>
            </w:r>
          </w:p>
        </w:tc>
        <w:tc>
          <w:tcPr>
            <w:tcW w:w="468" w:type="pct"/>
            <w:noWrap/>
          </w:tcPr>
          <w:p w14:paraId="18D41D8E"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83,6</w:t>
            </w:r>
          </w:p>
        </w:tc>
        <w:tc>
          <w:tcPr>
            <w:tcW w:w="469" w:type="pct"/>
            <w:noWrap/>
          </w:tcPr>
          <w:p w14:paraId="1C7E9FF0"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68,4</w:t>
            </w:r>
          </w:p>
        </w:tc>
      </w:tr>
      <w:tr w:rsidR="00BE12F0" w:rsidRPr="009E4243" w14:paraId="65DEF9DA" w14:textId="77777777" w:rsidTr="008B5A42">
        <w:trPr>
          <w:trHeight w:val="300"/>
        </w:trPr>
        <w:tc>
          <w:tcPr>
            <w:tcW w:w="3128" w:type="pct"/>
            <w:noWrap/>
            <w:hideMark/>
          </w:tcPr>
          <w:p w14:paraId="32EBECC4" w14:textId="77777777" w:rsidR="00BE12F0" w:rsidRPr="0036784A" w:rsidRDefault="00BE12F0" w:rsidP="00BE12F0">
            <w:pPr>
              <w:rPr>
                <w:rFonts w:cs="Tahoma"/>
                <w:b/>
                <w:bCs/>
                <w:color w:val="000000"/>
                <w:sz w:val="18"/>
                <w:szCs w:val="18"/>
                <w:lang w:val="hr-HR" w:eastAsia="hr-HR"/>
              </w:rPr>
            </w:pPr>
            <w:r w:rsidRPr="0036784A">
              <w:rPr>
                <w:rFonts w:cs="Tahoma"/>
                <w:b/>
                <w:bCs/>
                <w:color w:val="000000"/>
                <w:sz w:val="18"/>
                <w:szCs w:val="18"/>
                <w:lang w:val="hr-HR" w:eastAsia="hr-HR"/>
              </w:rPr>
              <w:t>Ukupno</w:t>
            </w:r>
          </w:p>
        </w:tc>
        <w:tc>
          <w:tcPr>
            <w:tcW w:w="467" w:type="pct"/>
            <w:noWrap/>
          </w:tcPr>
          <w:p w14:paraId="1FE6DB58" w14:textId="77777777" w:rsidR="00BE12F0" w:rsidRPr="0036784A" w:rsidRDefault="00BE12F0" w:rsidP="00BE12F0">
            <w:pPr>
              <w:jc w:val="right"/>
              <w:rPr>
                <w:rFonts w:cs="Tahoma"/>
                <w:b/>
                <w:bCs/>
                <w:color w:val="000000"/>
                <w:sz w:val="18"/>
                <w:szCs w:val="18"/>
                <w:lang w:val="hr-HR" w:eastAsia="hr-HR"/>
              </w:rPr>
            </w:pPr>
            <w:r>
              <w:rPr>
                <w:rFonts w:cs="Tahoma"/>
                <w:b/>
                <w:bCs/>
                <w:color w:val="000000"/>
                <w:sz w:val="18"/>
                <w:szCs w:val="18"/>
                <w:lang w:val="hr-HR" w:eastAsia="hr-HR"/>
              </w:rPr>
              <w:t>133,1</w:t>
            </w:r>
          </w:p>
        </w:tc>
        <w:tc>
          <w:tcPr>
            <w:tcW w:w="468" w:type="pct"/>
            <w:noWrap/>
          </w:tcPr>
          <w:p w14:paraId="76798506" w14:textId="77777777" w:rsidR="00BE12F0" w:rsidRPr="0036784A" w:rsidRDefault="00BE12F0" w:rsidP="00BE12F0">
            <w:pPr>
              <w:jc w:val="right"/>
              <w:rPr>
                <w:rFonts w:cs="Tahoma"/>
                <w:b/>
                <w:bCs/>
                <w:color w:val="000000"/>
                <w:sz w:val="18"/>
                <w:szCs w:val="18"/>
                <w:lang w:val="hr-HR" w:eastAsia="hr-HR"/>
              </w:rPr>
            </w:pPr>
            <w:r w:rsidRPr="0036784A">
              <w:rPr>
                <w:rFonts w:cs="Tahoma"/>
                <w:b/>
                <w:bCs/>
                <w:color w:val="000000"/>
                <w:sz w:val="18"/>
                <w:szCs w:val="18"/>
                <w:lang w:val="hr-HR" w:eastAsia="hr-HR"/>
              </w:rPr>
              <w:t>136,1</w:t>
            </w:r>
          </w:p>
        </w:tc>
        <w:tc>
          <w:tcPr>
            <w:tcW w:w="468" w:type="pct"/>
            <w:noWrap/>
          </w:tcPr>
          <w:p w14:paraId="2EF13104" w14:textId="77777777" w:rsidR="00BE12F0" w:rsidRPr="0036784A" w:rsidRDefault="00BE12F0" w:rsidP="00BE12F0">
            <w:pPr>
              <w:jc w:val="right"/>
              <w:rPr>
                <w:rFonts w:cs="Tahoma"/>
                <w:b/>
                <w:bCs/>
                <w:color w:val="000000"/>
                <w:sz w:val="18"/>
                <w:szCs w:val="18"/>
                <w:lang w:val="hr-HR" w:eastAsia="hr-HR"/>
              </w:rPr>
            </w:pPr>
            <w:r w:rsidRPr="0036784A">
              <w:rPr>
                <w:rFonts w:cs="Tahoma"/>
                <w:b/>
                <w:bCs/>
                <w:color w:val="000000"/>
                <w:sz w:val="18"/>
                <w:szCs w:val="18"/>
                <w:lang w:val="hr-HR" w:eastAsia="hr-HR"/>
              </w:rPr>
              <w:t>123,1</w:t>
            </w:r>
          </w:p>
        </w:tc>
        <w:tc>
          <w:tcPr>
            <w:tcW w:w="469" w:type="pct"/>
            <w:noWrap/>
          </w:tcPr>
          <w:p w14:paraId="75F2276A" w14:textId="77777777" w:rsidR="00BE12F0" w:rsidRPr="0036784A" w:rsidRDefault="00BE12F0" w:rsidP="00BE12F0">
            <w:pPr>
              <w:jc w:val="right"/>
              <w:rPr>
                <w:rFonts w:cs="Tahoma"/>
                <w:b/>
                <w:bCs/>
                <w:color w:val="000000"/>
                <w:sz w:val="18"/>
                <w:szCs w:val="18"/>
                <w:lang w:val="hr-HR" w:eastAsia="hr-HR"/>
              </w:rPr>
            </w:pPr>
            <w:r w:rsidRPr="0036784A">
              <w:rPr>
                <w:rFonts w:cs="Tahoma"/>
                <w:b/>
                <w:bCs/>
                <w:color w:val="000000"/>
                <w:sz w:val="18"/>
                <w:szCs w:val="18"/>
                <w:lang w:val="hr-HR" w:eastAsia="hr-HR"/>
              </w:rPr>
              <w:t>105,2</w:t>
            </w:r>
          </w:p>
        </w:tc>
      </w:tr>
      <w:tr w:rsidR="00BE12F0" w:rsidRPr="009E4243" w14:paraId="5DCE7E34" w14:textId="77777777" w:rsidTr="008B5A42">
        <w:trPr>
          <w:trHeight w:val="300"/>
        </w:trPr>
        <w:tc>
          <w:tcPr>
            <w:tcW w:w="3128" w:type="pct"/>
            <w:shd w:val="clear" w:color="auto" w:fill="D0CECE" w:themeFill="background2" w:themeFillShade="E6"/>
            <w:noWrap/>
            <w:hideMark/>
          </w:tcPr>
          <w:p w14:paraId="36241336" w14:textId="77777777" w:rsidR="00BE12F0" w:rsidRPr="0036784A" w:rsidRDefault="00BE12F0" w:rsidP="00BE12F0">
            <w:pPr>
              <w:rPr>
                <w:rFonts w:cs="Tahoma"/>
                <w:b/>
                <w:bCs/>
                <w:color w:val="000000"/>
                <w:sz w:val="18"/>
                <w:szCs w:val="18"/>
                <w:lang w:val="hr-HR" w:eastAsia="hr-HR"/>
              </w:rPr>
            </w:pPr>
            <w:r w:rsidRPr="0036784A">
              <w:rPr>
                <w:rFonts w:cs="Tahoma"/>
                <w:b/>
                <w:bCs/>
                <w:color w:val="000000"/>
                <w:sz w:val="18"/>
                <w:szCs w:val="18"/>
                <w:lang w:val="hr-HR" w:eastAsia="hr-HR"/>
              </w:rPr>
              <w:t xml:space="preserve">Razlika scenarija S0 i S2 – </w:t>
            </w:r>
            <w:r w:rsidR="00DF2181">
              <w:rPr>
                <w:rFonts w:cs="Tahoma"/>
                <w:b/>
                <w:bCs/>
                <w:color w:val="000000"/>
                <w:sz w:val="18"/>
                <w:szCs w:val="18"/>
                <w:lang w:val="hr-HR" w:eastAsia="hr-HR"/>
              </w:rPr>
              <w:t>ušteda</w:t>
            </w:r>
            <w:r w:rsidRPr="0036784A">
              <w:rPr>
                <w:rFonts w:cs="Tahoma"/>
                <w:b/>
                <w:bCs/>
                <w:color w:val="000000"/>
                <w:sz w:val="18"/>
                <w:szCs w:val="18"/>
                <w:lang w:val="hr-HR" w:eastAsia="hr-HR"/>
              </w:rPr>
              <w:t xml:space="preserve"> energije </w:t>
            </w:r>
            <w:r w:rsidRPr="0036784A">
              <w:rPr>
                <w:rFonts w:cs="Tahoma"/>
                <w:b/>
                <w:color w:val="000000"/>
                <w:sz w:val="18"/>
                <w:szCs w:val="18"/>
                <w:lang w:val="hr-HR" w:eastAsia="hr-HR"/>
              </w:rPr>
              <w:t>(PJ)</w:t>
            </w:r>
          </w:p>
        </w:tc>
        <w:tc>
          <w:tcPr>
            <w:tcW w:w="1872" w:type="pct"/>
            <w:gridSpan w:val="4"/>
            <w:shd w:val="clear" w:color="auto" w:fill="D0CECE" w:themeFill="background2" w:themeFillShade="E6"/>
            <w:noWrap/>
            <w:vAlign w:val="center"/>
            <w:hideMark/>
          </w:tcPr>
          <w:p w14:paraId="2101D17D" w14:textId="77777777" w:rsidR="00BE12F0" w:rsidRPr="0036784A" w:rsidRDefault="00BE12F0" w:rsidP="00BE12F0">
            <w:pPr>
              <w:rPr>
                <w:rFonts w:cs="Tahoma"/>
                <w:sz w:val="18"/>
                <w:szCs w:val="18"/>
                <w:lang w:val="hr-HR" w:eastAsia="hr-HR"/>
              </w:rPr>
            </w:pPr>
          </w:p>
        </w:tc>
      </w:tr>
      <w:tr w:rsidR="00BE12F0" w:rsidRPr="009E4243" w14:paraId="53B13827" w14:textId="77777777" w:rsidTr="00026618">
        <w:trPr>
          <w:trHeight w:val="300"/>
        </w:trPr>
        <w:tc>
          <w:tcPr>
            <w:tcW w:w="3128" w:type="pct"/>
            <w:noWrap/>
            <w:hideMark/>
          </w:tcPr>
          <w:p w14:paraId="55CC69E8" w14:textId="77777777" w:rsidR="00BE12F0" w:rsidRPr="00EA755B" w:rsidRDefault="00BE12F0" w:rsidP="00BE12F0">
            <w:pPr>
              <w:rPr>
                <w:rFonts w:cs="Tahoma"/>
                <w:color w:val="000000"/>
                <w:sz w:val="18"/>
                <w:szCs w:val="18"/>
                <w:lang w:val="hr-HR" w:eastAsia="hr-HR"/>
              </w:rPr>
            </w:pPr>
            <w:r w:rsidRPr="00EA755B">
              <w:rPr>
                <w:rFonts w:cs="Tahoma"/>
                <w:color w:val="000000"/>
                <w:sz w:val="18"/>
                <w:szCs w:val="18"/>
                <w:lang w:val="hr-HR" w:eastAsia="hr-HR"/>
              </w:rPr>
              <w:t>Usluge</w:t>
            </w:r>
          </w:p>
        </w:tc>
        <w:tc>
          <w:tcPr>
            <w:tcW w:w="467" w:type="pct"/>
            <w:noWrap/>
            <w:hideMark/>
          </w:tcPr>
          <w:p w14:paraId="1E07BB08" w14:textId="77777777" w:rsidR="00BE12F0" w:rsidRPr="009E4243" w:rsidRDefault="00BE12F0" w:rsidP="00BE12F0">
            <w:pPr>
              <w:jc w:val="right"/>
              <w:rPr>
                <w:rFonts w:cs="Tahoma"/>
                <w:sz w:val="18"/>
                <w:szCs w:val="18"/>
                <w:lang w:eastAsia="hr-HR"/>
              </w:rPr>
            </w:pPr>
            <w:r w:rsidRPr="009E4243">
              <w:rPr>
                <w:rFonts w:cs="Tahoma"/>
                <w:sz w:val="18"/>
                <w:szCs w:val="18"/>
                <w:lang w:eastAsia="hr-HR"/>
              </w:rPr>
              <w:t>0,0</w:t>
            </w:r>
          </w:p>
        </w:tc>
        <w:tc>
          <w:tcPr>
            <w:tcW w:w="468" w:type="pct"/>
            <w:noWrap/>
            <w:vAlign w:val="center"/>
            <w:hideMark/>
          </w:tcPr>
          <w:p w14:paraId="299EDBE7" w14:textId="77777777" w:rsidR="00BE12F0" w:rsidRPr="009E4243" w:rsidRDefault="00BE12F0" w:rsidP="00BE12F0">
            <w:pPr>
              <w:jc w:val="right"/>
              <w:rPr>
                <w:rFonts w:cs="Tahoma"/>
                <w:sz w:val="18"/>
                <w:szCs w:val="18"/>
                <w:lang w:eastAsia="hr-HR"/>
              </w:rPr>
            </w:pPr>
            <w:r>
              <w:rPr>
                <w:rFonts w:cs="Tahoma"/>
                <w:color w:val="000000"/>
                <w:sz w:val="18"/>
                <w:szCs w:val="18"/>
              </w:rPr>
              <w:t>0,6</w:t>
            </w:r>
          </w:p>
        </w:tc>
        <w:tc>
          <w:tcPr>
            <w:tcW w:w="468" w:type="pct"/>
            <w:noWrap/>
            <w:vAlign w:val="center"/>
            <w:hideMark/>
          </w:tcPr>
          <w:p w14:paraId="4E66F706" w14:textId="77777777" w:rsidR="00BE12F0" w:rsidRPr="009E4243" w:rsidRDefault="00BE12F0" w:rsidP="00BE12F0">
            <w:pPr>
              <w:jc w:val="right"/>
              <w:rPr>
                <w:rFonts w:cs="Tahoma"/>
                <w:sz w:val="18"/>
                <w:szCs w:val="18"/>
                <w:lang w:eastAsia="hr-HR"/>
              </w:rPr>
            </w:pPr>
            <w:r>
              <w:rPr>
                <w:rFonts w:cs="Tahoma"/>
                <w:color w:val="000000"/>
                <w:sz w:val="18"/>
                <w:szCs w:val="18"/>
              </w:rPr>
              <w:t>2,4</w:t>
            </w:r>
          </w:p>
        </w:tc>
        <w:tc>
          <w:tcPr>
            <w:tcW w:w="469" w:type="pct"/>
            <w:noWrap/>
            <w:vAlign w:val="center"/>
            <w:hideMark/>
          </w:tcPr>
          <w:p w14:paraId="5F1F6D4E" w14:textId="77777777" w:rsidR="00BE12F0" w:rsidRPr="009E4243" w:rsidRDefault="00BE12F0" w:rsidP="00BE12F0">
            <w:pPr>
              <w:jc w:val="right"/>
              <w:rPr>
                <w:rFonts w:cs="Tahoma"/>
                <w:sz w:val="18"/>
                <w:szCs w:val="18"/>
                <w:lang w:eastAsia="hr-HR"/>
              </w:rPr>
            </w:pPr>
            <w:r>
              <w:rPr>
                <w:rFonts w:cs="Tahoma"/>
                <w:color w:val="000000"/>
                <w:sz w:val="18"/>
                <w:szCs w:val="18"/>
              </w:rPr>
              <w:t>4,9</w:t>
            </w:r>
          </w:p>
        </w:tc>
      </w:tr>
      <w:tr w:rsidR="00BE12F0" w:rsidRPr="009E4243" w14:paraId="05C732E4" w14:textId="77777777" w:rsidTr="00026618">
        <w:trPr>
          <w:trHeight w:val="300"/>
        </w:trPr>
        <w:tc>
          <w:tcPr>
            <w:tcW w:w="3128" w:type="pct"/>
            <w:noWrap/>
            <w:hideMark/>
          </w:tcPr>
          <w:p w14:paraId="50C422CF" w14:textId="77777777" w:rsidR="00BE12F0" w:rsidRPr="00EA755B" w:rsidRDefault="00BE12F0" w:rsidP="00BE12F0">
            <w:pPr>
              <w:rPr>
                <w:rFonts w:cs="Tahoma"/>
                <w:sz w:val="18"/>
                <w:szCs w:val="18"/>
                <w:lang w:val="hr-HR" w:eastAsia="hr-HR"/>
              </w:rPr>
            </w:pPr>
            <w:r w:rsidRPr="00EA755B">
              <w:rPr>
                <w:rFonts w:cs="Tahoma"/>
                <w:sz w:val="18"/>
                <w:szCs w:val="18"/>
                <w:lang w:val="hr-HR" w:eastAsia="hr-HR"/>
              </w:rPr>
              <w:t xml:space="preserve">Kućanstva      </w:t>
            </w:r>
          </w:p>
        </w:tc>
        <w:tc>
          <w:tcPr>
            <w:tcW w:w="467" w:type="pct"/>
            <w:noWrap/>
            <w:hideMark/>
          </w:tcPr>
          <w:p w14:paraId="0F783598" w14:textId="77777777" w:rsidR="00BE12F0" w:rsidRPr="009E4243" w:rsidRDefault="00BE12F0" w:rsidP="00BE12F0">
            <w:pPr>
              <w:jc w:val="right"/>
              <w:rPr>
                <w:rFonts w:cs="Tahoma"/>
                <w:sz w:val="18"/>
                <w:szCs w:val="18"/>
                <w:lang w:eastAsia="hr-HR"/>
              </w:rPr>
            </w:pPr>
            <w:r w:rsidRPr="009E4243">
              <w:rPr>
                <w:rFonts w:cs="Tahoma"/>
                <w:sz w:val="18"/>
                <w:szCs w:val="18"/>
                <w:lang w:eastAsia="hr-HR"/>
              </w:rPr>
              <w:t>0,0</w:t>
            </w:r>
          </w:p>
        </w:tc>
        <w:tc>
          <w:tcPr>
            <w:tcW w:w="468" w:type="pct"/>
            <w:noWrap/>
            <w:vAlign w:val="center"/>
            <w:hideMark/>
          </w:tcPr>
          <w:p w14:paraId="11ACCC42" w14:textId="77777777" w:rsidR="00BE12F0" w:rsidRPr="009E4243" w:rsidRDefault="00BE12F0" w:rsidP="00BE12F0">
            <w:pPr>
              <w:jc w:val="right"/>
              <w:rPr>
                <w:rFonts w:cs="Tahoma"/>
                <w:sz w:val="18"/>
                <w:szCs w:val="18"/>
                <w:lang w:eastAsia="hr-HR"/>
              </w:rPr>
            </w:pPr>
            <w:r>
              <w:rPr>
                <w:rFonts w:cs="Tahoma"/>
                <w:color w:val="000000"/>
                <w:sz w:val="18"/>
                <w:szCs w:val="18"/>
              </w:rPr>
              <w:t>5,6</w:t>
            </w:r>
          </w:p>
        </w:tc>
        <w:tc>
          <w:tcPr>
            <w:tcW w:w="468" w:type="pct"/>
            <w:noWrap/>
            <w:vAlign w:val="center"/>
            <w:hideMark/>
          </w:tcPr>
          <w:p w14:paraId="2D24B0C2" w14:textId="77777777" w:rsidR="00BE12F0" w:rsidRPr="009E4243" w:rsidRDefault="00BE12F0" w:rsidP="00BE12F0">
            <w:pPr>
              <w:jc w:val="right"/>
              <w:rPr>
                <w:rFonts w:cs="Tahoma"/>
                <w:sz w:val="18"/>
                <w:szCs w:val="18"/>
                <w:lang w:eastAsia="hr-HR"/>
              </w:rPr>
            </w:pPr>
            <w:r>
              <w:rPr>
                <w:rFonts w:cs="Tahoma"/>
                <w:color w:val="000000"/>
                <w:sz w:val="18"/>
                <w:szCs w:val="18"/>
              </w:rPr>
              <w:t>11,3</w:t>
            </w:r>
          </w:p>
        </w:tc>
        <w:tc>
          <w:tcPr>
            <w:tcW w:w="469" w:type="pct"/>
            <w:noWrap/>
            <w:vAlign w:val="center"/>
            <w:hideMark/>
          </w:tcPr>
          <w:p w14:paraId="739DBF77" w14:textId="77777777" w:rsidR="00BE12F0" w:rsidRPr="009E4243" w:rsidRDefault="00BE12F0" w:rsidP="00BE12F0">
            <w:pPr>
              <w:jc w:val="right"/>
              <w:rPr>
                <w:rFonts w:cs="Tahoma"/>
                <w:sz w:val="18"/>
                <w:szCs w:val="18"/>
                <w:lang w:eastAsia="hr-HR"/>
              </w:rPr>
            </w:pPr>
            <w:r>
              <w:rPr>
                <w:rFonts w:cs="Tahoma"/>
                <w:color w:val="000000"/>
                <w:sz w:val="18"/>
                <w:szCs w:val="18"/>
              </w:rPr>
              <w:t>14,4</w:t>
            </w:r>
          </w:p>
        </w:tc>
      </w:tr>
      <w:tr w:rsidR="00BE12F0" w:rsidRPr="009E4243" w14:paraId="14337291" w14:textId="77777777" w:rsidTr="00026618">
        <w:trPr>
          <w:trHeight w:val="300"/>
        </w:trPr>
        <w:tc>
          <w:tcPr>
            <w:tcW w:w="3128" w:type="pct"/>
            <w:noWrap/>
            <w:hideMark/>
          </w:tcPr>
          <w:p w14:paraId="45F815A4" w14:textId="77777777" w:rsidR="00BE12F0" w:rsidRPr="00EA755B" w:rsidRDefault="00BE12F0" w:rsidP="00BE12F0">
            <w:pPr>
              <w:rPr>
                <w:rFonts w:cs="Tahoma"/>
                <w:b/>
                <w:bCs/>
                <w:color w:val="000000"/>
                <w:sz w:val="18"/>
                <w:szCs w:val="18"/>
                <w:lang w:val="hr-HR" w:eastAsia="hr-HR"/>
              </w:rPr>
            </w:pPr>
            <w:r w:rsidRPr="00EA755B">
              <w:rPr>
                <w:rFonts w:cs="Tahoma"/>
                <w:b/>
                <w:bCs/>
                <w:color w:val="000000"/>
                <w:sz w:val="18"/>
                <w:szCs w:val="18"/>
                <w:lang w:val="hr-HR" w:eastAsia="hr-HR"/>
              </w:rPr>
              <w:t>Ukup</w:t>
            </w:r>
            <w:r>
              <w:rPr>
                <w:rFonts w:cs="Tahoma"/>
                <w:b/>
                <w:bCs/>
                <w:color w:val="000000"/>
                <w:sz w:val="18"/>
                <w:szCs w:val="18"/>
                <w:lang w:val="hr-HR" w:eastAsia="hr-HR"/>
              </w:rPr>
              <w:t>n</w:t>
            </w:r>
            <w:r w:rsidRPr="00EA755B">
              <w:rPr>
                <w:rFonts w:cs="Tahoma"/>
                <w:b/>
                <w:bCs/>
                <w:color w:val="000000"/>
                <w:sz w:val="18"/>
                <w:szCs w:val="18"/>
                <w:lang w:val="hr-HR" w:eastAsia="hr-HR"/>
              </w:rPr>
              <w:t>o</w:t>
            </w:r>
          </w:p>
        </w:tc>
        <w:tc>
          <w:tcPr>
            <w:tcW w:w="467" w:type="pct"/>
            <w:noWrap/>
            <w:hideMark/>
          </w:tcPr>
          <w:p w14:paraId="596312FD" w14:textId="77777777" w:rsidR="00BE12F0" w:rsidRPr="009E4243" w:rsidRDefault="00BE12F0" w:rsidP="00BE12F0">
            <w:pPr>
              <w:jc w:val="right"/>
              <w:rPr>
                <w:rFonts w:cs="Tahoma"/>
                <w:b/>
                <w:bCs/>
                <w:color w:val="000000"/>
                <w:sz w:val="18"/>
                <w:szCs w:val="18"/>
                <w:lang w:eastAsia="hr-HR"/>
              </w:rPr>
            </w:pPr>
            <w:r w:rsidRPr="009E4243">
              <w:rPr>
                <w:rFonts w:cs="Tahoma"/>
                <w:b/>
                <w:bCs/>
                <w:color w:val="000000"/>
                <w:sz w:val="18"/>
                <w:szCs w:val="18"/>
                <w:lang w:eastAsia="hr-HR"/>
              </w:rPr>
              <w:t>0,0</w:t>
            </w:r>
          </w:p>
        </w:tc>
        <w:tc>
          <w:tcPr>
            <w:tcW w:w="468" w:type="pct"/>
            <w:noWrap/>
            <w:vAlign w:val="center"/>
            <w:hideMark/>
          </w:tcPr>
          <w:p w14:paraId="48DC48A7" w14:textId="77777777" w:rsidR="00BE12F0" w:rsidRPr="009E4243" w:rsidRDefault="00BE12F0" w:rsidP="00BE12F0">
            <w:pPr>
              <w:jc w:val="right"/>
              <w:rPr>
                <w:rFonts w:cs="Tahoma"/>
                <w:b/>
                <w:bCs/>
                <w:color w:val="000000"/>
                <w:sz w:val="18"/>
                <w:szCs w:val="18"/>
                <w:lang w:eastAsia="hr-HR"/>
              </w:rPr>
            </w:pPr>
            <w:r>
              <w:rPr>
                <w:rFonts w:cs="Tahoma"/>
                <w:b/>
                <w:bCs/>
                <w:color w:val="000000"/>
                <w:sz w:val="18"/>
                <w:szCs w:val="18"/>
              </w:rPr>
              <w:t>6,2</w:t>
            </w:r>
          </w:p>
        </w:tc>
        <w:tc>
          <w:tcPr>
            <w:tcW w:w="468" w:type="pct"/>
            <w:noWrap/>
            <w:vAlign w:val="center"/>
            <w:hideMark/>
          </w:tcPr>
          <w:p w14:paraId="45DC1937" w14:textId="77777777" w:rsidR="00BE12F0" w:rsidRPr="009E4243" w:rsidRDefault="00BE12F0" w:rsidP="00BE12F0">
            <w:pPr>
              <w:jc w:val="right"/>
              <w:rPr>
                <w:rFonts w:cs="Tahoma"/>
                <w:b/>
                <w:bCs/>
                <w:color w:val="000000"/>
                <w:sz w:val="18"/>
                <w:szCs w:val="18"/>
                <w:lang w:eastAsia="hr-HR"/>
              </w:rPr>
            </w:pPr>
            <w:r>
              <w:rPr>
                <w:rFonts w:cs="Tahoma"/>
                <w:b/>
                <w:bCs/>
                <w:color w:val="000000"/>
                <w:sz w:val="18"/>
                <w:szCs w:val="18"/>
              </w:rPr>
              <w:t>13,7</w:t>
            </w:r>
          </w:p>
        </w:tc>
        <w:tc>
          <w:tcPr>
            <w:tcW w:w="469" w:type="pct"/>
            <w:noWrap/>
            <w:vAlign w:val="center"/>
            <w:hideMark/>
          </w:tcPr>
          <w:p w14:paraId="27C0380F" w14:textId="77777777" w:rsidR="00BE12F0" w:rsidRPr="009E4243" w:rsidRDefault="00BE12F0" w:rsidP="00BE12F0">
            <w:pPr>
              <w:jc w:val="right"/>
              <w:rPr>
                <w:rFonts w:cs="Tahoma"/>
                <w:b/>
                <w:bCs/>
                <w:color w:val="000000"/>
                <w:sz w:val="18"/>
                <w:szCs w:val="18"/>
                <w:lang w:eastAsia="hr-HR"/>
              </w:rPr>
            </w:pPr>
            <w:r>
              <w:rPr>
                <w:rFonts w:cs="Tahoma"/>
                <w:b/>
                <w:bCs/>
                <w:color w:val="000000"/>
                <w:sz w:val="18"/>
                <w:szCs w:val="18"/>
              </w:rPr>
              <w:t>19,3</w:t>
            </w:r>
          </w:p>
        </w:tc>
      </w:tr>
    </w:tbl>
    <w:p w14:paraId="14BED35C" w14:textId="77777777" w:rsidR="00E679A6" w:rsidRDefault="00E679A6" w:rsidP="00C74265">
      <w:pPr>
        <w:rPr>
          <w:lang w:eastAsia="hr-HR"/>
        </w:rPr>
      </w:pPr>
    </w:p>
    <w:p w14:paraId="77BF2A1D" w14:textId="0A511616" w:rsidR="00894713" w:rsidRDefault="00894713" w:rsidP="00C74265">
      <w:pPr>
        <w:rPr>
          <w:lang w:eastAsia="hr-HR"/>
        </w:rPr>
      </w:pPr>
      <w:r>
        <w:rPr>
          <w:lang w:eastAsia="hr-HR"/>
        </w:rPr>
        <w:fldChar w:fldCharType="begin"/>
      </w:r>
      <w:r>
        <w:rPr>
          <w:lang w:eastAsia="hr-HR"/>
        </w:rPr>
        <w:instrText xml:space="preserve"> REF _Ref24369511 \h </w:instrText>
      </w:r>
      <w:r>
        <w:rPr>
          <w:lang w:eastAsia="hr-HR"/>
        </w:rPr>
      </w:r>
      <w:r>
        <w:rPr>
          <w:lang w:eastAsia="hr-HR"/>
        </w:rPr>
        <w:fldChar w:fldCharType="separate"/>
      </w:r>
      <w:r w:rsidR="00CE61F3">
        <w:t xml:space="preserve">Tablica </w:t>
      </w:r>
      <w:r w:rsidR="00CE61F3">
        <w:rPr>
          <w:noProof/>
        </w:rPr>
        <w:t>9</w:t>
      </w:r>
      <w:r w:rsidR="00CE61F3">
        <w:t>.</w:t>
      </w:r>
      <w:r w:rsidR="00CE61F3">
        <w:rPr>
          <w:noProof/>
        </w:rPr>
        <w:t>1</w:t>
      </w:r>
      <w:r>
        <w:rPr>
          <w:lang w:eastAsia="hr-HR"/>
        </w:rPr>
        <w:fldChar w:fldCharType="end"/>
      </w:r>
      <w:r>
        <w:rPr>
          <w:lang w:eastAsia="hr-HR"/>
        </w:rPr>
        <w:t xml:space="preserve"> pokazuje da očekivane uštede energije </w:t>
      </w:r>
      <w:r w:rsidR="00E34A1F">
        <w:rPr>
          <w:lang w:eastAsia="hr-HR"/>
        </w:rPr>
        <w:t>koje su izravna i neizravna posljedica provedbe predviđenih novih politika i mjera za energetsku obnovu stambenih i nestambenih zgrada</w:t>
      </w:r>
      <w:r w:rsidR="00683312">
        <w:rPr>
          <w:lang w:eastAsia="hr-HR"/>
        </w:rPr>
        <w:t xml:space="preserve"> </w:t>
      </w:r>
      <w:r w:rsidR="00357F03">
        <w:rPr>
          <w:lang w:eastAsia="hr-HR"/>
        </w:rPr>
        <w:t>iznositi</w:t>
      </w:r>
      <w:r w:rsidR="00683312">
        <w:rPr>
          <w:lang w:eastAsia="hr-HR"/>
        </w:rPr>
        <w:t xml:space="preserve"> u 2030. godini 6,2 PJ (</w:t>
      </w:r>
      <w:r w:rsidR="0059250D">
        <w:rPr>
          <w:lang w:eastAsia="hr-HR"/>
        </w:rPr>
        <w:t>oko 1.722 GWh)</w:t>
      </w:r>
      <w:r w:rsidR="00357F03">
        <w:rPr>
          <w:lang w:eastAsia="hr-HR"/>
        </w:rPr>
        <w:t xml:space="preserve">, a u 2050. godini 19,3 PJ </w:t>
      </w:r>
      <w:r w:rsidR="00764477">
        <w:rPr>
          <w:lang w:eastAsia="hr-HR"/>
        </w:rPr>
        <w:t>(oko 5.361 GWh).</w:t>
      </w:r>
      <w:r w:rsidR="00E705CE">
        <w:rPr>
          <w:lang w:eastAsia="hr-HR"/>
        </w:rPr>
        <w:t xml:space="preserve"> Pri tome treba istaknuti</w:t>
      </w:r>
      <w:r w:rsidR="00D8776A">
        <w:rPr>
          <w:lang w:eastAsia="hr-HR"/>
        </w:rPr>
        <w:t xml:space="preserve"> da</w:t>
      </w:r>
      <w:r w:rsidR="00894E33">
        <w:rPr>
          <w:lang w:eastAsia="hr-HR"/>
        </w:rPr>
        <w:t xml:space="preserve"> na razini ukupne neposredne potrošnje energije</w:t>
      </w:r>
      <w:r w:rsidR="00F14604">
        <w:rPr>
          <w:lang w:eastAsia="hr-HR"/>
        </w:rPr>
        <w:t xml:space="preserve"> (u svim sektorima)</w:t>
      </w:r>
      <w:r w:rsidR="008C4A75">
        <w:rPr>
          <w:rStyle w:val="Referencafusnote"/>
          <w:lang w:eastAsia="hr-HR"/>
        </w:rPr>
        <w:footnoteReference w:id="36"/>
      </w:r>
      <w:r w:rsidR="00F14604">
        <w:rPr>
          <w:lang w:eastAsia="hr-HR"/>
        </w:rPr>
        <w:t xml:space="preserve">, u 2030. godini se očekuju uštede od </w:t>
      </w:r>
      <w:r w:rsidR="001C3FCC">
        <w:rPr>
          <w:lang w:eastAsia="hr-HR"/>
        </w:rPr>
        <w:t>10</w:t>
      </w:r>
      <w:r w:rsidR="00C64699">
        <w:rPr>
          <w:lang w:eastAsia="hr-HR"/>
        </w:rPr>
        <w:t>,8 PJ</w:t>
      </w:r>
      <w:r w:rsidR="00C17329">
        <w:rPr>
          <w:lang w:eastAsia="hr-HR"/>
        </w:rPr>
        <w:t xml:space="preserve"> (</w:t>
      </w:r>
      <w:r w:rsidR="004A00CA">
        <w:rPr>
          <w:lang w:eastAsia="hr-HR"/>
        </w:rPr>
        <w:t>razlika ukupne neposredne potrošnje energije scenarija S0 i S</w:t>
      </w:r>
      <w:r w:rsidR="005E71DF">
        <w:rPr>
          <w:lang w:eastAsia="hr-HR"/>
        </w:rPr>
        <w:t>2</w:t>
      </w:r>
      <w:r w:rsidR="004A00CA">
        <w:rPr>
          <w:lang w:eastAsia="hr-HR"/>
        </w:rPr>
        <w:t xml:space="preserve">), što znači da </w:t>
      </w:r>
      <w:r w:rsidR="007F2860" w:rsidRPr="00334A49">
        <w:rPr>
          <w:b/>
          <w:bCs/>
          <w:lang w:eastAsia="hr-HR"/>
        </w:rPr>
        <w:t>zgradarstvo pridonosi ovom cilju s</w:t>
      </w:r>
      <w:r w:rsidR="007E35DA" w:rsidRPr="00334A49">
        <w:rPr>
          <w:b/>
          <w:bCs/>
          <w:lang w:eastAsia="hr-HR"/>
        </w:rPr>
        <w:t xml:space="preserve"> preko 57%</w:t>
      </w:r>
      <w:r w:rsidR="003A69DB" w:rsidRPr="00334A49">
        <w:rPr>
          <w:b/>
          <w:bCs/>
          <w:lang w:eastAsia="hr-HR"/>
        </w:rPr>
        <w:t xml:space="preserve"> u 2030</w:t>
      </w:r>
      <w:r w:rsidR="00C55AB4">
        <w:rPr>
          <w:lang w:eastAsia="hr-HR"/>
        </w:rPr>
        <w:t xml:space="preserve">. </w:t>
      </w:r>
      <w:r w:rsidR="00BF24EF">
        <w:rPr>
          <w:lang w:eastAsia="hr-HR"/>
        </w:rPr>
        <w:t xml:space="preserve">U 2050. očekivane ukupne uštede energije </w:t>
      </w:r>
      <w:r w:rsidR="000568AD">
        <w:rPr>
          <w:lang w:eastAsia="hr-HR"/>
        </w:rPr>
        <w:t xml:space="preserve">iznosit će </w:t>
      </w:r>
      <w:r w:rsidR="004B6B88">
        <w:rPr>
          <w:lang w:eastAsia="hr-HR"/>
        </w:rPr>
        <w:t>29,7 PJ</w:t>
      </w:r>
      <w:r w:rsidR="00D5451C">
        <w:rPr>
          <w:lang w:eastAsia="hr-HR"/>
        </w:rPr>
        <w:t>,</w:t>
      </w:r>
      <w:r w:rsidR="005E34C8">
        <w:rPr>
          <w:lang w:eastAsia="hr-HR"/>
        </w:rPr>
        <w:t xml:space="preserve"> što znači da će </w:t>
      </w:r>
      <w:r w:rsidR="005E34C8" w:rsidRPr="00334A49">
        <w:rPr>
          <w:b/>
          <w:bCs/>
          <w:lang w:eastAsia="hr-HR"/>
        </w:rPr>
        <w:t xml:space="preserve">očekivani doprinos zgradarstva </w:t>
      </w:r>
      <w:r w:rsidR="003A69DB" w:rsidRPr="00334A49">
        <w:rPr>
          <w:b/>
          <w:bCs/>
          <w:lang w:eastAsia="hr-HR"/>
        </w:rPr>
        <w:t>u ukupnim uštedama energije u</w:t>
      </w:r>
      <w:r w:rsidR="00FC4BE4" w:rsidRPr="00334A49">
        <w:rPr>
          <w:b/>
          <w:bCs/>
          <w:lang w:eastAsia="hr-HR"/>
        </w:rPr>
        <w:t xml:space="preserve"> 2050. godini </w:t>
      </w:r>
      <w:r w:rsidR="005E34C8" w:rsidRPr="00334A49">
        <w:rPr>
          <w:b/>
          <w:bCs/>
          <w:lang w:eastAsia="hr-HR"/>
        </w:rPr>
        <w:t xml:space="preserve">biti </w:t>
      </w:r>
      <w:r w:rsidR="00FD6F37" w:rsidRPr="00334A49">
        <w:rPr>
          <w:b/>
          <w:bCs/>
          <w:lang w:eastAsia="hr-HR"/>
        </w:rPr>
        <w:t>oko 65</w:t>
      </w:r>
      <w:r w:rsidR="005E34C8" w:rsidRPr="00334A49">
        <w:rPr>
          <w:b/>
          <w:bCs/>
          <w:lang w:eastAsia="hr-HR"/>
        </w:rPr>
        <w:t>%</w:t>
      </w:r>
      <w:r w:rsidR="005E34C8">
        <w:rPr>
          <w:lang w:eastAsia="hr-HR"/>
        </w:rPr>
        <w:t xml:space="preserve">. </w:t>
      </w:r>
    </w:p>
    <w:p w14:paraId="7FD6DF75" w14:textId="2E74EE75" w:rsidR="00C74265" w:rsidRDefault="00C74265" w:rsidP="00C74265">
      <w:pPr>
        <w:rPr>
          <w:lang w:eastAsia="hr-HR"/>
        </w:rPr>
      </w:pPr>
      <w:r>
        <w:rPr>
          <w:lang w:eastAsia="hr-HR"/>
        </w:rPr>
        <w:t>Smanjenje emisija CO</w:t>
      </w:r>
      <w:r w:rsidRPr="00041421">
        <w:rPr>
          <w:vertAlign w:val="subscript"/>
          <w:lang w:eastAsia="hr-HR"/>
        </w:rPr>
        <w:t>2</w:t>
      </w:r>
      <w:r>
        <w:rPr>
          <w:lang w:eastAsia="hr-HR"/>
        </w:rPr>
        <w:t xml:space="preserve"> također je ocijenjeno za potrebe Integriranog nacionalnog</w:t>
      </w:r>
      <w:r w:rsidR="00C637A7">
        <w:rPr>
          <w:lang w:eastAsia="hr-HR"/>
        </w:rPr>
        <w:t xml:space="preserve"> energetskog i klimatskog plana, kao razlika između projekcija između scenarija samo s postojećim mjerama (S0) i </w:t>
      </w:r>
      <w:r w:rsidR="00041421">
        <w:rPr>
          <w:lang w:eastAsia="hr-HR"/>
        </w:rPr>
        <w:t>scenarija potrošnje energije s dodatnim mjerama predviđenima u tom Planu i u ovoj Dugoročnoj strategiji. Rezult</w:t>
      </w:r>
      <w:r w:rsidR="00037E3A">
        <w:rPr>
          <w:lang w:eastAsia="hr-HR"/>
        </w:rPr>
        <w:t>i</w:t>
      </w:r>
      <w:r w:rsidR="00041421">
        <w:rPr>
          <w:lang w:eastAsia="hr-HR"/>
        </w:rPr>
        <w:t>rajuće smanjenje emisija CO</w:t>
      </w:r>
      <w:r w:rsidR="00041421" w:rsidRPr="00041421">
        <w:rPr>
          <w:vertAlign w:val="subscript"/>
          <w:lang w:eastAsia="hr-HR"/>
        </w:rPr>
        <w:t>2</w:t>
      </w:r>
      <w:r w:rsidR="00041421">
        <w:rPr>
          <w:lang w:eastAsia="hr-HR"/>
        </w:rPr>
        <w:t xml:space="preserve"> iz sektora kućanstava i usluga, koje je dominantno posljedica provedbe mjera energetske obnove fonda zgrada, prikazuje </w:t>
      </w:r>
      <w:r w:rsidR="002B1CB6">
        <w:rPr>
          <w:lang w:eastAsia="hr-HR"/>
        </w:rPr>
        <w:fldChar w:fldCharType="begin"/>
      </w:r>
      <w:r w:rsidR="002B1CB6">
        <w:rPr>
          <w:lang w:eastAsia="hr-HR"/>
        </w:rPr>
        <w:instrText xml:space="preserve"> REF _Ref24369500 \h </w:instrText>
      </w:r>
      <w:r w:rsidR="002B1CB6">
        <w:rPr>
          <w:lang w:eastAsia="hr-HR"/>
        </w:rPr>
      </w:r>
      <w:r w:rsidR="002B1CB6">
        <w:rPr>
          <w:lang w:eastAsia="hr-HR"/>
        </w:rPr>
        <w:fldChar w:fldCharType="separate"/>
      </w:r>
      <w:r w:rsidR="00CE61F3">
        <w:t xml:space="preserve">Tablica </w:t>
      </w:r>
      <w:r w:rsidR="00CE61F3">
        <w:rPr>
          <w:noProof/>
        </w:rPr>
        <w:t>9</w:t>
      </w:r>
      <w:r w:rsidR="00CE61F3">
        <w:t>.</w:t>
      </w:r>
      <w:r w:rsidR="00CE61F3">
        <w:rPr>
          <w:noProof/>
        </w:rPr>
        <w:t>2</w:t>
      </w:r>
      <w:r w:rsidR="002B1CB6">
        <w:rPr>
          <w:lang w:eastAsia="hr-HR"/>
        </w:rPr>
        <w:fldChar w:fldCharType="end"/>
      </w:r>
      <w:r w:rsidR="002B1CB6">
        <w:rPr>
          <w:lang w:eastAsia="hr-HR"/>
        </w:rPr>
        <w:t>.</w:t>
      </w:r>
    </w:p>
    <w:p w14:paraId="71477FDD" w14:textId="240CC9FC" w:rsidR="0059549E" w:rsidRDefault="0059549E" w:rsidP="0059549E">
      <w:pPr>
        <w:pStyle w:val="Opisslike"/>
        <w:rPr>
          <w:lang w:eastAsia="hr-HR"/>
        </w:rPr>
      </w:pPr>
      <w:bookmarkStart w:id="217" w:name="_Ref24369500"/>
      <w:bookmarkStart w:id="218" w:name="_Toc40089049"/>
      <w:r>
        <w:t xml:space="preserve">Tablica </w:t>
      </w:r>
      <w:fldSimple w:instr=" STYLEREF 1 \s ">
        <w:r w:rsidR="00CE61F3">
          <w:rPr>
            <w:noProof/>
          </w:rPr>
          <w:t>9</w:t>
        </w:r>
      </w:fldSimple>
      <w:r w:rsidR="0046545B">
        <w:t>.</w:t>
      </w:r>
      <w:fldSimple w:instr=" SEQ Tablica \* ARABIC \s 1 ">
        <w:r w:rsidR="00CE61F3">
          <w:rPr>
            <w:noProof/>
          </w:rPr>
          <w:t>2</w:t>
        </w:r>
      </w:fldSimple>
      <w:bookmarkEnd w:id="217"/>
      <w:r>
        <w:t xml:space="preserve"> Smanjenje emisija CO</w:t>
      </w:r>
      <w:r w:rsidRPr="0059549E">
        <w:rPr>
          <w:vertAlign w:val="subscript"/>
        </w:rPr>
        <w:t xml:space="preserve">2 </w:t>
      </w:r>
      <w:r>
        <w:t>u sektoru kućanstava i usluga</w:t>
      </w:r>
      <w:bookmarkEnd w:id="218"/>
    </w:p>
    <w:tbl>
      <w:tblPr>
        <w:tblStyle w:val="TableGrid1"/>
        <w:tblW w:w="5000" w:type="pct"/>
        <w:tblLook w:val="04A0" w:firstRow="1" w:lastRow="0" w:firstColumn="1" w:lastColumn="0" w:noHBand="0" w:noVBand="1"/>
      </w:tblPr>
      <w:tblGrid>
        <w:gridCol w:w="4562"/>
        <w:gridCol w:w="1196"/>
        <w:gridCol w:w="1196"/>
        <w:gridCol w:w="1196"/>
        <w:gridCol w:w="1194"/>
      </w:tblGrid>
      <w:tr w:rsidR="009E4243" w:rsidRPr="0059549E" w14:paraId="6E80315A" w14:textId="77777777" w:rsidTr="0059549E">
        <w:trPr>
          <w:trHeight w:val="300"/>
        </w:trPr>
        <w:tc>
          <w:tcPr>
            <w:tcW w:w="2441" w:type="pct"/>
            <w:shd w:val="clear" w:color="auto" w:fill="D0CECE" w:themeFill="background2" w:themeFillShade="E6"/>
            <w:noWrap/>
            <w:hideMark/>
          </w:tcPr>
          <w:p w14:paraId="4EBE6435" w14:textId="77777777" w:rsidR="009E4243" w:rsidRPr="00C30F65" w:rsidRDefault="009E4243" w:rsidP="009E4243">
            <w:pPr>
              <w:rPr>
                <w:rFonts w:cs="Tahoma"/>
                <w:b/>
                <w:bCs/>
                <w:color w:val="000000"/>
                <w:sz w:val="18"/>
                <w:szCs w:val="18"/>
                <w:lang w:val="hr-HR" w:eastAsia="hr-HR"/>
              </w:rPr>
            </w:pPr>
            <w:r w:rsidRPr="00C30F65">
              <w:rPr>
                <w:rFonts w:cs="Tahoma"/>
                <w:b/>
                <w:bCs/>
                <w:color w:val="000000"/>
                <w:sz w:val="18"/>
                <w:szCs w:val="18"/>
                <w:lang w:val="hr-HR" w:eastAsia="hr-HR"/>
              </w:rPr>
              <w:t xml:space="preserve">Scenarij S0 – emisije </w:t>
            </w:r>
            <w:r w:rsidRPr="00C30F65">
              <w:rPr>
                <w:rFonts w:cs="Tahoma"/>
                <w:b/>
                <w:color w:val="000000"/>
                <w:sz w:val="18"/>
                <w:szCs w:val="18"/>
                <w:lang w:val="hr-HR" w:eastAsia="hr-HR"/>
              </w:rPr>
              <w:t>(kt CO2-eq)</w:t>
            </w:r>
          </w:p>
        </w:tc>
        <w:tc>
          <w:tcPr>
            <w:tcW w:w="640" w:type="pct"/>
            <w:shd w:val="clear" w:color="auto" w:fill="D0CECE" w:themeFill="background2" w:themeFillShade="E6"/>
            <w:noWrap/>
            <w:hideMark/>
          </w:tcPr>
          <w:p w14:paraId="791727DB" w14:textId="77777777" w:rsidR="009E4243" w:rsidRPr="00C30F65" w:rsidRDefault="009E4243" w:rsidP="0059549E">
            <w:pPr>
              <w:jc w:val="right"/>
              <w:rPr>
                <w:rFonts w:cs="Tahoma"/>
                <w:b/>
                <w:bCs/>
                <w:color w:val="000000"/>
                <w:sz w:val="18"/>
                <w:szCs w:val="18"/>
                <w:lang w:val="hr-HR" w:eastAsia="hr-HR"/>
              </w:rPr>
            </w:pPr>
            <w:r w:rsidRPr="00C30F65">
              <w:rPr>
                <w:rFonts w:cs="Tahoma"/>
                <w:b/>
                <w:color w:val="000000"/>
                <w:sz w:val="18"/>
                <w:szCs w:val="18"/>
                <w:lang w:val="hr-HR" w:eastAsia="hr-HR"/>
              </w:rPr>
              <w:t>2020</w:t>
            </w:r>
          </w:p>
        </w:tc>
        <w:tc>
          <w:tcPr>
            <w:tcW w:w="640" w:type="pct"/>
            <w:shd w:val="clear" w:color="auto" w:fill="D0CECE" w:themeFill="background2" w:themeFillShade="E6"/>
            <w:noWrap/>
            <w:hideMark/>
          </w:tcPr>
          <w:p w14:paraId="0860FE43" w14:textId="77777777" w:rsidR="009E4243" w:rsidRPr="00C30F65" w:rsidRDefault="009E4243" w:rsidP="0059549E">
            <w:pPr>
              <w:jc w:val="right"/>
              <w:rPr>
                <w:rFonts w:cs="Tahoma"/>
                <w:b/>
                <w:sz w:val="18"/>
                <w:szCs w:val="18"/>
                <w:lang w:val="hr-HR" w:eastAsia="hr-HR"/>
              </w:rPr>
            </w:pPr>
            <w:r w:rsidRPr="00C30F65">
              <w:rPr>
                <w:rFonts w:cs="Tahoma"/>
                <w:b/>
                <w:color w:val="000000"/>
                <w:sz w:val="18"/>
                <w:szCs w:val="18"/>
                <w:lang w:val="hr-HR" w:eastAsia="hr-HR"/>
              </w:rPr>
              <w:t>2030</w:t>
            </w:r>
          </w:p>
        </w:tc>
        <w:tc>
          <w:tcPr>
            <w:tcW w:w="640" w:type="pct"/>
            <w:shd w:val="clear" w:color="auto" w:fill="D0CECE" w:themeFill="background2" w:themeFillShade="E6"/>
            <w:noWrap/>
            <w:hideMark/>
          </w:tcPr>
          <w:p w14:paraId="0C071401" w14:textId="77777777" w:rsidR="009E4243" w:rsidRPr="00C30F65" w:rsidRDefault="009E4243" w:rsidP="0059549E">
            <w:pPr>
              <w:jc w:val="right"/>
              <w:rPr>
                <w:rFonts w:cs="Tahoma"/>
                <w:b/>
                <w:sz w:val="18"/>
                <w:szCs w:val="18"/>
                <w:lang w:val="hr-HR" w:eastAsia="hr-HR"/>
              </w:rPr>
            </w:pPr>
            <w:r w:rsidRPr="00C30F65">
              <w:rPr>
                <w:rFonts w:cs="Tahoma"/>
                <w:b/>
                <w:color w:val="000000"/>
                <w:sz w:val="18"/>
                <w:szCs w:val="18"/>
                <w:lang w:val="hr-HR" w:eastAsia="hr-HR"/>
              </w:rPr>
              <w:t>2040</w:t>
            </w:r>
          </w:p>
        </w:tc>
        <w:tc>
          <w:tcPr>
            <w:tcW w:w="639" w:type="pct"/>
            <w:shd w:val="clear" w:color="auto" w:fill="D0CECE" w:themeFill="background2" w:themeFillShade="E6"/>
            <w:noWrap/>
            <w:hideMark/>
          </w:tcPr>
          <w:p w14:paraId="06971EAB" w14:textId="77777777" w:rsidR="009E4243" w:rsidRPr="00C30F65" w:rsidRDefault="009E4243" w:rsidP="0059549E">
            <w:pPr>
              <w:jc w:val="right"/>
              <w:rPr>
                <w:rFonts w:cs="Tahoma"/>
                <w:b/>
                <w:sz w:val="18"/>
                <w:szCs w:val="18"/>
                <w:lang w:val="hr-HR" w:eastAsia="hr-HR"/>
              </w:rPr>
            </w:pPr>
            <w:r w:rsidRPr="00C30F65">
              <w:rPr>
                <w:rFonts w:cs="Tahoma"/>
                <w:b/>
                <w:color w:val="000000"/>
                <w:sz w:val="18"/>
                <w:szCs w:val="18"/>
                <w:lang w:val="hr-HR" w:eastAsia="hr-HR"/>
              </w:rPr>
              <w:t>2050</w:t>
            </w:r>
          </w:p>
        </w:tc>
      </w:tr>
      <w:tr w:rsidR="009E4243" w:rsidRPr="009E4243" w14:paraId="1AB76733" w14:textId="77777777" w:rsidTr="0059549E">
        <w:trPr>
          <w:trHeight w:val="300"/>
        </w:trPr>
        <w:tc>
          <w:tcPr>
            <w:tcW w:w="2441" w:type="pct"/>
            <w:noWrap/>
            <w:hideMark/>
          </w:tcPr>
          <w:p w14:paraId="46F2427B" w14:textId="77777777" w:rsidR="009E4243" w:rsidRPr="00C30F65" w:rsidRDefault="0059549E" w:rsidP="009E4243">
            <w:pPr>
              <w:rPr>
                <w:rFonts w:cs="Tahoma"/>
                <w:color w:val="000000"/>
                <w:sz w:val="18"/>
                <w:szCs w:val="18"/>
                <w:lang w:val="hr-HR" w:eastAsia="hr-HR"/>
              </w:rPr>
            </w:pPr>
            <w:r w:rsidRPr="00C30F65">
              <w:rPr>
                <w:rFonts w:cs="Tahoma"/>
                <w:color w:val="000000"/>
                <w:sz w:val="18"/>
                <w:szCs w:val="18"/>
                <w:lang w:val="hr-HR" w:eastAsia="hr-HR"/>
              </w:rPr>
              <w:t>Usluge</w:t>
            </w:r>
          </w:p>
        </w:tc>
        <w:tc>
          <w:tcPr>
            <w:tcW w:w="640" w:type="pct"/>
            <w:noWrap/>
            <w:hideMark/>
          </w:tcPr>
          <w:p w14:paraId="56ED3B07"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639,4</w:t>
            </w:r>
          </w:p>
        </w:tc>
        <w:tc>
          <w:tcPr>
            <w:tcW w:w="640" w:type="pct"/>
            <w:noWrap/>
            <w:hideMark/>
          </w:tcPr>
          <w:p w14:paraId="65FE6D48"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708,8</w:t>
            </w:r>
          </w:p>
        </w:tc>
        <w:tc>
          <w:tcPr>
            <w:tcW w:w="640" w:type="pct"/>
            <w:noWrap/>
            <w:hideMark/>
          </w:tcPr>
          <w:p w14:paraId="6CB35904"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687,7</w:t>
            </w:r>
          </w:p>
        </w:tc>
        <w:tc>
          <w:tcPr>
            <w:tcW w:w="639" w:type="pct"/>
            <w:noWrap/>
            <w:hideMark/>
          </w:tcPr>
          <w:p w14:paraId="376AE3F1"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612,7</w:t>
            </w:r>
          </w:p>
        </w:tc>
      </w:tr>
      <w:tr w:rsidR="009E4243" w:rsidRPr="009E4243" w14:paraId="339A012F" w14:textId="77777777" w:rsidTr="0059549E">
        <w:trPr>
          <w:trHeight w:val="300"/>
        </w:trPr>
        <w:tc>
          <w:tcPr>
            <w:tcW w:w="2441" w:type="pct"/>
            <w:noWrap/>
            <w:hideMark/>
          </w:tcPr>
          <w:p w14:paraId="08FED06B" w14:textId="77777777" w:rsidR="009E4243" w:rsidRPr="00C30F65" w:rsidRDefault="0059549E" w:rsidP="009E4243">
            <w:pPr>
              <w:rPr>
                <w:rFonts w:cs="Tahoma"/>
                <w:sz w:val="18"/>
                <w:szCs w:val="18"/>
                <w:lang w:val="hr-HR" w:eastAsia="hr-HR"/>
              </w:rPr>
            </w:pPr>
            <w:r w:rsidRPr="00C30F65">
              <w:rPr>
                <w:rFonts w:cs="Tahoma"/>
                <w:sz w:val="18"/>
                <w:szCs w:val="18"/>
                <w:lang w:val="hr-HR" w:eastAsia="hr-HR"/>
              </w:rPr>
              <w:t>Kućanstva</w:t>
            </w:r>
            <w:r w:rsidR="009E4243" w:rsidRPr="00C30F65">
              <w:rPr>
                <w:rFonts w:cs="Tahoma"/>
                <w:sz w:val="18"/>
                <w:szCs w:val="18"/>
                <w:lang w:val="hr-HR" w:eastAsia="hr-HR"/>
              </w:rPr>
              <w:t xml:space="preserve">      </w:t>
            </w:r>
          </w:p>
        </w:tc>
        <w:tc>
          <w:tcPr>
            <w:tcW w:w="640" w:type="pct"/>
            <w:noWrap/>
            <w:hideMark/>
          </w:tcPr>
          <w:p w14:paraId="328E57E3"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1527,8</w:t>
            </w:r>
          </w:p>
        </w:tc>
        <w:tc>
          <w:tcPr>
            <w:tcW w:w="640" w:type="pct"/>
            <w:noWrap/>
            <w:hideMark/>
          </w:tcPr>
          <w:p w14:paraId="19CE7017"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1621,9</w:t>
            </w:r>
          </w:p>
        </w:tc>
        <w:tc>
          <w:tcPr>
            <w:tcW w:w="640" w:type="pct"/>
            <w:noWrap/>
            <w:hideMark/>
          </w:tcPr>
          <w:p w14:paraId="1FAEE6EB"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1608,8</w:t>
            </w:r>
          </w:p>
        </w:tc>
        <w:tc>
          <w:tcPr>
            <w:tcW w:w="639" w:type="pct"/>
            <w:noWrap/>
            <w:hideMark/>
          </w:tcPr>
          <w:p w14:paraId="13DD8091"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1563,4</w:t>
            </w:r>
          </w:p>
        </w:tc>
      </w:tr>
      <w:tr w:rsidR="009E4243" w:rsidRPr="009E4243" w14:paraId="34378128" w14:textId="77777777" w:rsidTr="0059549E">
        <w:trPr>
          <w:trHeight w:val="300"/>
        </w:trPr>
        <w:tc>
          <w:tcPr>
            <w:tcW w:w="2441" w:type="pct"/>
            <w:noWrap/>
            <w:hideMark/>
          </w:tcPr>
          <w:p w14:paraId="362C3EFE" w14:textId="77777777" w:rsidR="009E4243" w:rsidRPr="00C30F65" w:rsidRDefault="0059549E" w:rsidP="009E4243">
            <w:pPr>
              <w:rPr>
                <w:rFonts w:cs="Tahoma"/>
                <w:b/>
                <w:bCs/>
                <w:color w:val="000000"/>
                <w:sz w:val="18"/>
                <w:szCs w:val="18"/>
                <w:lang w:val="hr-HR" w:eastAsia="hr-HR"/>
              </w:rPr>
            </w:pPr>
            <w:r w:rsidRPr="00C30F65">
              <w:rPr>
                <w:rFonts w:cs="Tahoma"/>
                <w:b/>
                <w:bCs/>
                <w:color w:val="000000"/>
                <w:sz w:val="18"/>
                <w:szCs w:val="18"/>
                <w:lang w:val="hr-HR" w:eastAsia="hr-HR"/>
              </w:rPr>
              <w:t>Ukup</w:t>
            </w:r>
            <w:r w:rsidR="00C30F65" w:rsidRPr="00C30F65">
              <w:rPr>
                <w:rFonts w:cs="Tahoma"/>
                <w:b/>
                <w:bCs/>
                <w:color w:val="000000"/>
                <w:sz w:val="18"/>
                <w:szCs w:val="18"/>
                <w:lang w:val="hr-HR" w:eastAsia="hr-HR"/>
              </w:rPr>
              <w:t>n</w:t>
            </w:r>
            <w:r w:rsidRPr="00C30F65">
              <w:rPr>
                <w:rFonts w:cs="Tahoma"/>
                <w:b/>
                <w:bCs/>
                <w:color w:val="000000"/>
                <w:sz w:val="18"/>
                <w:szCs w:val="18"/>
                <w:lang w:val="hr-HR" w:eastAsia="hr-HR"/>
              </w:rPr>
              <w:t>o</w:t>
            </w:r>
          </w:p>
        </w:tc>
        <w:tc>
          <w:tcPr>
            <w:tcW w:w="640" w:type="pct"/>
            <w:noWrap/>
            <w:hideMark/>
          </w:tcPr>
          <w:p w14:paraId="5A7964B9" w14:textId="77777777" w:rsidR="009E4243" w:rsidRPr="00C30F65" w:rsidRDefault="009E4243" w:rsidP="009E4243">
            <w:pPr>
              <w:jc w:val="right"/>
              <w:rPr>
                <w:rFonts w:cs="Tahoma"/>
                <w:b/>
                <w:bCs/>
                <w:color w:val="000000"/>
                <w:sz w:val="18"/>
                <w:szCs w:val="18"/>
                <w:lang w:val="hr-HR" w:eastAsia="hr-HR"/>
              </w:rPr>
            </w:pPr>
            <w:r w:rsidRPr="00C30F65">
              <w:rPr>
                <w:rFonts w:cs="Tahoma"/>
                <w:b/>
                <w:bCs/>
                <w:color w:val="000000"/>
                <w:sz w:val="18"/>
                <w:szCs w:val="18"/>
                <w:lang w:val="hr-HR" w:eastAsia="hr-HR"/>
              </w:rPr>
              <w:t>2167,2</w:t>
            </w:r>
          </w:p>
        </w:tc>
        <w:tc>
          <w:tcPr>
            <w:tcW w:w="640" w:type="pct"/>
            <w:noWrap/>
            <w:hideMark/>
          </w:tcPr>
          <w:p w14:paraId="7E19EDDC" w14:textId="77777777" w:rsidR="009E4243" w:rsidRPr="00C30F65" w:rsidRDefault="009E4243" w:rsidP="009E4243">
            <w:pPr>
              <w:jc w:val="right"/>
              <w:rPr>
                <w:rFonts w:cs="Tahoma"/>
                <w:b/>
                <w:bCs/>
                <w:color w:val="000000"/>
                <w:sz w:val="18"/>
                <w:szCs w:val="18"/>
                <w:lang w:val="hr-HR" w:eastAsia="hr-HR"/>
              </w:rPr>
            </w:pPr>
            <w:r w:rsidRPr="00C30F65">
              <w:rPr>
                <w:rFonts w:cs="Tahoma"/>
                <w:b/>
                <w:bCs/>
                <w:color w:val="000000"/>
                <w:sz w:val="18"/>
                <w:szCs w:val="18"/>
                <w:lang w:val="hr-HR" w:eastAsia="hr-HR"/>
              </w:rPr>
              <w:t>2330,7</w:t>
            </w:r>
          </w:p>
        </w:tc>
        <w:tc>
          <w:tcPr>
            <w:tcW w:w="640" w:type="pct"/>
            <w:noWrap/>
            <w:hideMark/>
          </w:tcPr>
          <w:p w14:paraId="43C71D43" w14:textId="77777777" w:rsidR="009E4243" w:rsidRPr="00C30F65" w:rsidRDefault="009E4243" w:rsidP="009E4243">
            <w:pPr>
              <w:jc w:val="right"/>
              <w:rPr>
                <w:rFonts w:cs="Tahoma"/>
                <w:b/>
                <w:bCs/>
                <w:color w:val="000000"/>
                <w:sz w:val="18"/>
                <w:szCs w:val="18"/>
                <w:lang w:val="hr-HR" w:eastAsia="hr-HR"/>
              </w:rPr>
            </w:pPr>
            <w:r w:rsidRPr="00C30F65">
              <w:rPr>
                <w:rFonts w:cs="Tahoma"/>
                <w:b/>
                <w:bCs/>
                <w:color w:val="000000"/>
                <w:sz w:val="18"/>
                <w:szCs w:val="18"/>
                <w:lang w:val="hr-HR" w:eastAsia="hr-HR"/>
              </w:rPr>
              <w:t>2296,4</w:t>
            </w:r>
          </w:p>
        </w:tc>
        <w:tc>
          <w:tcPr>
            <w:tcW w:w="639" w:type="pct"/>
            <w:noWrap/>
            <w:hideMark/>
          </w:tcPr>
          <w:p w14:paraId="48BA756C" w14:textId="77777777" w:rsidR="009E4243" w:rsidRPr="00C30F65" w:rsidRDefault="009E4243" w:rsidP="009E4243">
            <w:pPr>
              <w:jc w:val="right"/>
              <w:rPr>
                <w:rFonts w:cs="Tahoma"/>
                <w:b/>
                <w:bCs/>
                <w:color w:val="000000"/>
                <w:sz w:val="18"/>
                <w:szCs w:val="18"/>
                <w:lang w:val="hr-HR" w:eastAsia="hr-HR"/>
              </w:rPr>
            </w:pPr>
            <w:r w:rsidRPr="00C30F65">
              <w:rPr>
                <w:rFonts w:cs="Tahoma"/>
                <w:b/>
                <w:bCs/>
                <w:color w:val="000000"/>
                <w:sz w:val="18"/>
                <w:szCs w:val="18"/>
                <w:lang w:val="hr-HR" w:eastAsia="hr-HR"/>
              </w:rPr>
              <w:t>2176,2</w:t>
            </w:r>
          </w:p>
        </w:tc>
      </w:tr>
      <w:tr w:rsidR="001C5ADB" w:rsidRPr="009E4243" w14:paraId="68517DD7" w14:textId="77777777" w:rsidTr="001C5ADB">
        <w:trPr>
          <w:trHeight w:val="300"/>
        </w:trPr>
        <w:tc>
          <w:tcPr>
            <w:tcW w:w="2441" w:type="pct"/>
            <w:shd w:val="clear" w:color="auto" w:fill="D0CECE" w:themeFill="background2" w:themeFillShade="E6"/>
            <w:noWrap/>
            <w:hideMark/>
          </w:tcPr>
          <w:p w14:paraId="5062BBF7" w14:textId="77777777" w:rsidR="001C5ADB" w:rsidRPr="00C30F65" w:rsidRDefault="001C5ADB" w:rsidP="009E4243">
            <w:pPr>
              <w:rPr>
                <w:rFonts w:cs="Tahoma"/>
                <w:b/>
                <w:bCs/>
                <w:color w:val="000000"/>
                <w:sz w:val="18"/>
                <w:szCs w:val="18"/>
                <w:lang w:val="hr-HR" w:eastAsia="hr-HR"/>
              </w:rPr>
            </w:pPr>
            <w:r w:rsidRPr="00C30F65">
              <w:rPr>
                <w:rFonts w:cs="Tahoma"/>
                <w:b/>
                <w:bCs/>
                <w:color w:val="000000"/>
                <w:sz w:val="18"/>
                <w:szCs w:val="18"/>
                <w:lang w:val="hr-HR" w:eastAsia="hr-HR"/>
              </w:rPr>
              <w:t xml:space="preserve">Scenarij S2 </w:t>
            </w:r>
            <w:r w:rsidR="00C30F65" w:rsidRPr="00C30F65">
              <w:rPr>
                <w:rFonts w:cs="Tahoma"/>
                <w:b/>
                <w:bCs/>
                <w:color w:val="000000"/>
                <w:sz w:val="18"/>
                <w:szCs w:val="18"/>
                <w:lang w:val="hr-HR" w:eastAsia="hr-HR"/>
              </w:rPr>
              <w:t xml:space="preserve">– </w:t>
            </w:r>
            <w:r w:rsidRPr="00C30F65">
              <w:rPr>
                <w:rFonts w:cs="Tahoma"/>
                <w:b/>
                <w:bCs/>
                <w:color w:val="000000"/>
                <w:sz w:val="18"/>
                <w:szCs w:val="18"/>
                <w:lang w:val="hr-HR" w:eastAsia="hr-HR"/>
              </w:rPr>
              <w:t>emisije</w:t>
            </w:r>
            <w:r w:rsidR="00C30F65" w:rsidRPr="00C30F65">
              <w:rPr>
                <w:rFonts w:cs="Tahoma"/>
                <w:b/>
                <w:bCs/>
                <w:color w:val="000000"/>
                <w:sz w:val="18"/>
                <w:szCs w:val="18"/>
                <w:lang w:val="hr-HR" w:eastAsia="hr-HR"/>
              </w:rPr>
              <w:t xml:space="preserve"> </w:t>
            </w:r>
            <w:r w:rsidRPr="00C30F65">
              <w:rPr>
                <w:rFonts w:cs="Tahoma"/>
                <w:b/>
                <w:color w:val="000000"/>
                <w:sz w:val="18"/>
                <w:szCs w:val="18"/>
                <w:lang w:val="hr-HR" w:eastAsia="hr-HR"/>
              </w:rPr>
              <w:t>(kt CO2-eq)</w:t>
            </w:r>
          </w:p>
        </w:tc>
        <w:tc>
          <w:tcPr>
            <w:tcW w:w="2559" w:type="pct"/>
            <w:gridSpan w:val="4"/>
            <w:shd w:val="clear" w:color="auto" w:fill="D0CECE" w:themeFill="background2" w:themeFillShade="E6"/>
            <w:noWrap/>
            <w:hideMark/>
          </w:tcPr>
          <w:p w14:paraId="76D1C3CD" w14:textId="77777777" w:rsidR="001C5ADB" w:rsidRPr="00C30F65" w:rsidRDefault="001C5ADB" w:rsidP="009E4243">
            <w:pPr>
              <w:rPr>
                <w:rFonts w:cs="Tahoma"/>
                <w:sz w:val="18"/>
                <w:szCs w:val="18"/>
                <w:lang w:val="hr-HR" w:eastAsia="hr-HR"/>
              </w:rPr>
            </w:pPr>
          </w:p>
        </w:tc>
      </w:tr>
      <w:tr w:rsidR="00EA755B" w:rsidRPr="009E4243" w14:paraId="7FF89686" w14:textId="77777777" w:rsidTr="0059549E">
        <w:trPr>
          <w:trHeight w:val="300"/>
        </w:trPr>
        <w:tc>
          <w:tcPr>
            <w:tcW w:w="2441" w:type="pct"/>
            <w:noWrap/>
            <w:hideMark/>
          </w:tcPr>
          <w:p w14:paraId="19559060" w14:textId="77777777" w:rsidR="00EA755B" w:rsidRPr="00C30F65" w:rsidRDefault="00EA755B" w:rsidP="00EA755B">
            <w:pPr>
              <w:rPr>
                <w:rFonts w:cs="Tahoma"/>
                <w:color w:val="000000"/>
                <w:sz w:val="18"/>
                <w:szCs w:val="18"/>
                <w:lang w:val="hr-HR" w:eastAsia="hr-HR"/>
              </w:rPr>
            </w:pPr>
            <w:r w:rsidRPr="00C30F65">
              <w:rPr>
                <w:rFonts w:cs="Tahoma"/>
                <w:color w:val="000000"/>
                <w:sz w:val="18"/>
                <w:szCs w:val="18"/>
                <w:lang w:val="hr-HR" w:eastAsia="hr-HR"/>
              </w:rPr>
              <w:t>Usluge</w:t>
            </w:r>
          </w:p>
        </w:tc>
        <w:tc>
          <w:tcPr>
            <w:tcW w:w="640" w:type="pct"/>
            <w:noWrap/>
            <w:hideMark/>
          </w:tcPr>
          <w:p w14:paraId="0290829A"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639,4</w:t>
            </w:r>
          </w:p>
        </w:tc>
        <w:tc>
          <w:tcPr>
            <w:tcW w:w="640" w:type="pct"/>
            <w:noWrap/>
            <w:hideMark/>
          </w:tcPr>
          <w:p w14:paraId="7CEF0B9C"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641,0</w:t>
            </w:r>
          </w:p>
        </w:tc>
        <w:tc>
          <w:tcPr>
            <w:tcW w:w="640" w:type="pct"/>
            <w:noWrap/>
            <w:hideMark/>
          </w:tcPr>
          <w:p w14:paraId="799D4C51"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530,8</w:t>
            </w:r>
          </w:p>
        </w:tc>
        <w:tc>
          <w:tcPr>
            <w:tcW w:w="639" w:type="pct"/>
            <w:noWrap/>
            <w:hideMark/>
          </w:tcPr>
          <w:p w14:paraId="2285BEE2"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350,3</w:t>
            </w:r>
          </w:p>
        </w:tc>
      </w:tr>
      <w:tr w:rsidR="00EA755B" w:rsidRPr="009E4243" w14:paraId="1E4FE3BE" w14:textId="77777777" w:rsidTr="0059549E">
        <w:trPr>
          <w:trHeight w:val="300"/>
        </w:trPr>
        <w:tc>
          <w:tcPr>
            <w:tcW w:w="2441" w:type="pct"/>
            <w:noWrap/>
            <w:hideMark/>
          </w:tcPr>
          <w:p w14:paraId="7EB39C3F" w14:textId="77777777" w:rsidR="00EA755B" w:rsidRPr="00C30F65" w:rsidRDefault="00EA755B" w:rsidP="00EA755B">
            <w:pPr>
              <w:rPr>
                <w:rFonts w:cs="Tahoma"/>
                <w:sz w:val="18"/>
                <w:szCs w:val="18"/>
                <w:lang w:val="hr-HR" w:eastAsia="hr-HR"/>
              </w:rPr>
            </w:pPr>
            <w:r w:rsidRPr="00C30F65">
              <w:rPr>
                <w:rFonts w:cs="Tahoma"/>
                <w:sz w:val="18"/>
                <w:szCs w:val="18"/>
                <w:lang w:val="hr-HR" w:eastAsia="hr-HR"/>
              </w:rPr>
              <w:t xml:space="preserve">Kućanstva      </w:t>
            </w:r>
          </w:p>
        </w:tc>
        <w:tc>
          <w:tcPr>
            <w:tcW w:w="640" w:type="pct"/>
            <w:noWrap/>
            <w:hideMark/>
          </w:tcPr>
          <w:p w14:paraId="4B7E099B"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1527,8</w:t>
            </w:r>
          </w:p>
        </w:tc>
        <w:tc>
          <w:tcPr>
            <w:tcW w:w="640" w:type="pct"/>
            <w:noWrap/>
            <w:hideMark/>
          </w:tcPr>
          <w:p w14:paraId="3D436EBA"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1372,3</w:t>
            </w:r>
          </w:p>
        </w:tc>
        <w:tc>
          <w:tcPr>
            <w:tcW w:w="640" w:type="pct"/>
            <w:noWrap/>
            <w:hideMark/>
          </w:tcPr>
          <w:p w14:paraId="5EFBB33B"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1206,3</w:t>
            </w:r>
          </w:p>
        </w:tc>
        <w:tc>
          <w:tcPr>
            <w:tcW w:w="639" w:type="pct"/>
            <w:noWrap/>
            <w:hideMark/>
          </w:tcPr>
          <w:p w14:paraId="7917BA38"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913,8</w:t>
            </w:r>
          </w:p>
        </w:tc>
      </w:tr>
      <w:tr w:rsidR="00EA755B" w:rsidRPr="009E4243" w14:paraId="19F5D54C" w14:textId="77777777" w:rsidTr="0059549E">
        <w:trPr>
          <w:trHeight w:val="300"/>
        </w:trPr>
        <w:tc>
          <w:tcPr>
            <w:tcW w:w="2441" w:type="pct"/>
            <w:noWrap/>
            <w:hideMark/>
          </w:tcPr>
          <w:p w14:paraId="79E0AAFD" w14:textId="77777777" w:rsidR="00EA755B" w:rsidRPr="00C30F65" w:rsidRDefault="00EA755B" w:rsidP="00EA755B">
            <w:pPr>
              <w:rPr>
                <w:rFonts w:cs="Tahoma"/>
                <w:b/>
                <w:bCs/>
                <w:color w:val="000000"/>
                <w:sz w:val="18"/>
                <w:szCs w:val="18"/>
                <w:lang w:val="hr-HR" w:eastAsia="hr-HR"/>
              </w:rPr>
            </w:pPr>
            <w:r w:rsidRPr="00C30F65">
              <w:rPr>
                <w:rFonts w:cs="Tahoma"/>
                <w:b/>
                <w:bCs/>
                <w:color w:val="000000"/>
                <w:sz w:val="18"/>
                <w:szCs w:val="18"/>
                <w:lang w:val="hr-HR" w:eastAsia="hr-HR"/>
              </w:rPr>
              <w:t>Ukupo</w:t>
            </w:r>
          </w:p>
        </w:tc>
        <w:tc>
          <w:tcPr>
            <w:tcW w:w="640" w:type="pct"/>
            <w:noWrap/>
            <w:hideMark/>
          </w:tcPr>
          <w:p w14:paraId="3B0CAA3D"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2167,2</w:t>
            </w:r>
          </w:p>
        </w:tc>
        <w:tc>
          <w:tcPr>
            <w:tcW w:w="640" w:type="pct"/>
            <w:noWrap/>
            <w:hideMark/>
          </w:tcPr>
          <w:p w14:paraId="6FEBC996"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2013,3</w:t>
            </w:r>
          </w:p>
        </w:tc>
        <w:tc>
          <w:tcPr>
            <w:tcW w:w="640" w:type="pct"/>
            <w:noWrap/>
            <w:hideMark/>
          </w:tcPr>
          <w:p w14:paraId="43A1811E"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1737,0</w:t>
            </w:r>
          </w:p>
        </w:tc>
        <w:tc>
          <w:tcPr>
            <w:tcW w:w="639" w:type="pct"/>
            <w:noWrap/>
            <w:hideMark/>
          </w:tcPr>
          <w:p w14:paraId="25E33F08"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1264,0</w:t>
            </w:r>
          </w:p>
        </w:tc>
      </w:tr>
      <w:tr w:rsidR="001C5ADB" w:rsidRPr="009E4243" w14:paraId="7D7A8AC0" w14:textId="77777777" w:rsidTr="001C5ADB">
        <w:trPr>
          <w:trHeight w:val="300"/>
        </w:trPr>
        <w:tc>
          <w:tcPr>
            <w:tcW w:w="2441" w:type="pct"/>
            <w:shd w:val="clear" w:color="auto" w:fill="D0CECE" w:themeFill="background2" w:themeFillShade="E6"/>
            <w:noWrap/>
            <w:hideMark/>
          </w:tcPr>
          <w:p w14:paraId="070491B7" w14:textId="77777777" w:rsidR="001C5ADB" w:rsidRPr="00C30F65" w:rsidRDefault="001C5ADB" w:rsidP="009E4243">
            <w:pPr>
              <w:rPr>
                <w:rFonts w:cs="Tahoma"/>
                <w:b/>
                <w:bCs/>
                <w:color w:val="000000"/>
                <w:sz w:val="18"/>
                <w:szCs w:val="18"/>
                <w:lang w:val="hr-HR" w:eastAsia="hr-HR"/>
              </w:rPr>
            </w:pPr>
            <w:r w:rsidRPr="00C30F65">
              <w:rPr>
                <w:rFonts w:cs="Tahoma"/>
                <w:b/>
                <w:bCs/>
                <w:color w:val="000000"/>
                <w:sz w:val="18"/>
                <w:szCs w:val="18"/>
                <w:lang w:val="hr-HR" w:eastAsia="hr-HR"/>
              </w:rPr>
              <w:t xml:space="preserve">Razlika scenarija S0 i S2 </w:t>
            </w:r>
            <w:r w:rsidR="00C30F65" w:rsidRPr="00C30F65">
              <w:rPr>
                <w:rFonts w:cs="Tahoma"/>
                <w:b/>
                <w:bCs/>
                <w:color w:val="000000"/>
                <w:sz w:val="18"/>
                <w:szCs w:val="18"/>
                <w:lang w:val="hr-HR" w:eastAsia="hr-HR"/>
              </w:rPr>
              <w:t>–</w:t>
            </w:r>
            <w:r w:rsidRPr="00C30F65">
              <w:rPr>
                <w:rFonts w:cs="Tahoma"/>
                <w:b/>
                <w:bCs/>
                <w:color w:val="000000"/>
                <w:sz w:val="18"/>
                <w:szCs w:val="18"/>
                <w:lang w:val="hr-HR" w:eastAsia="hr-HR"/>
              </w:rPr>
              <w:t xml:space="preserve"> emisije</w:t>
            </w:r>
            <w:r w:rsidR="00C30F65" w:rsidRPr="00C30F65">
              <w:rPr>
                <w:rFonts w:cs="Tahoma"/>
                <w:b/>
                <w:bCs/>
                <w:color w:val="000000"/>
                <w:sz w:val="18"/>
                <w:szCs w:val="18"/>
                <w:lang w:val="hr-HR" w:eastAsia="hr-HR"/>
              </w:rPr>
              <w:t xml:space="preserve"> </w:t>
            </w:r>
            <w:r w:rsidRPr="00C30F65">
              <w:rPr>
                <w:rFonts w:cs="Tahoma"/>
                <w:b/>
                <w:color w:val="000000"/>
                <w:sz w:val="18"/>
                <w:szCs w:val="18"/>
                <w:lang w:val="hr-HR" w:eastAsia="hr-HR"/>
              </w:rPr>
              <w:t>(kt CO2-eq)</w:t>
            </w:r>
          </w:p>
        </w:tc>
        <w:tc>
          <w:tcPr>
            <w:tcW w:w="2559" w:type="pct"/>
            <w:gridSpan w:val="4"/>
            <w:shd w:val="clear" w:color="auto" w:fill="D0CECE" w:themeFill="background2" w:themeFillShade="E6"/>
            <w:noWrap/>
            <w:hideMark/>
          </w:tcPr>
          <w:p w14:paraId="5556C96F" w14:textId="77777777" w:rsidR="001C5ADB" w:rsidRPr="00C30F65" w:rsidRDefault="001C5ADB" w:rsidP="009E4243">
            <w:pPr>
              <w:rPr>
                <w:rFonts w:cs="Tahoma"/>
                <w:sz w:val="18"/>
                <w:szCs w:val="18"/>
                <w:lang w:val="hr-HR" w:eastAsia="hr-HR"/>
              </w:rPr>
            </w:pPr>
          </w:p>
        </w:tc>
      </w:tr>
      <w:tr w:rsidR="00EA755B" w:rsidRPr="009E4243" w14:paraId="202F87DC" w14:textId="77777777" w:rsidTr="0059549E">
        <w:trPr>
          <w:trHeight w:val="300"/>
        </w:trPr>
        <w:tc>
          <w:tcPr>
            <w:tcW w:w="2441" w:type="pct"/>
            <w:noWrap/>
            <w:hideMark/>
          </w:tcPr>
          <w:p w14:paraId="6129E960" w14:textId="77777777" w:rsidR="00EA755B" w:rsidRPr="00C30F65" w:rsidRDefault="00EA755B" w:rsidP="00EA755B">
            <w:pPr>
              <w:rPr>
                <w:rFonts w:cs="Tahoma"/>
                <w:color w:val="000000"/>
                <w:sz w:val="18"/>
                <w:szCs w:val="18"/>
                <w:lang w:val="hr-HR" w:eastAsia="hr-HR"/>
              </w:rPr>
            </w:pPr>
            <w:r w:rsidRPr="00C30F65">
              <w:rPr>
                <w:rFonts w:cs="Tahoma"/>
                <w:color w:val="000000"/>
                <w:sz w:val="18"/>
                <w:szCs w:val="18"/>
                <w:lang w:val="hr-HR" w:eastAsia="hr-HR"/>
              </w:rPr>
              <w:t>Usluge</w:t>
            </w:r>
          </w:p>
        </w:tc>
        <w:tc>
          <w:tcPr>
            <w:tcW w:w="640" w:type="pct"/>
            <w:noWrap/>
            <w:hideMark/>
          </w:tcPr>
          <w:p w14:paraId="1FEAEB02"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0,0</w:t>
            </w:r>
          </w:p>
        </w:tc>
        <w:tc>
          <w:tcPr>
            <w:tcW w:w="640" w:type="pct"/>
            <w:noWrap/>
            <w:hideMark/>
          </w:tcPr>
          <w:p w14:paraId="12466B1E"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67,8</w:t>
            </w:r>
          </w:p>
        </w:tc>
        <w:tc>
          <w:tcPr>
            <w:tcW w:w="640" w:type="pct"/>
            <w:noWrap/>
            <w:hideMark/>
          </w:tcPr>
          <w:p w14:paraId="32882B00"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156,9</w:t>
            </w:r>
          </w:p>
        </w:tc>
        <w:tc>
          <w:tcPr>
            <w:tcW w:w="639" w:type="pct"/>
            <w:noWrap/>
            <w:hideMark/>
          </w:tcPr>
          <w:p w14:paraId="2CE67552"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262,5</w:t>
            </w:r>
          </w:p>
        </w:tc>
      </w:tr>
      <w:tr w:rsidR="00EA755B" w:rsidRPr="009E4243" w14:paraId="3AC49087" w14:textId="77777777" w:rsidTr="0059549E">
        <w:trPr>
          <w:trHeight w:val="300"/>
        </w:trPr>
        <w:tc>
          <w:tcPr>
            <w:tcW w:w="2441" w:type="pct"/>
            <w:noWrap/>
            <w:hideMark/>
          </w:tcPr>
          <w:p w14:paraId="5A7BB7D2" w14:textId="77777777" w:rsidR="00EA755B" w:rsidRPr="00C30F65" w:rsidRDefault="00EA755B" w:rsidP="00EA755B">
            <w:pPr>
              <w:rPr>
                <w:rFonts w:cs="Tahoma"/>
                <w:sz w:val="18"/>
                <w:szCs w:val="18"/>
                <w:lang w:val="hr-HR" w:eastAsia="hr-HR"/>
              </w:rPr>
            </w:pPr>
            <w:r w:rsidRPr="00C30F65">
              <w:rPr>
                <w:rFonts w:cs="Tahoma"/>
                <w:sz w:val="18"/>
                <w:szCs w:val="18"/>
                <w:lang w:val="hr-HR" w:eastAsia="hr-HR"/>
              </w:rPr>
              <w:t xml:space="preserve">Kućanstva      </w:t>
            </w:r>
          </w:p>
        </w:tc>
        <w:tc>
          <w:tcPr>
            <w:tcW w:w="640" w:type="pct"/>
            <w:noWrap/>
            <w:hideMark/>
          </w:tcPr>
          <w:p w14:paraId="5747D645"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0,0</w:t>
            </w:r>
          </w:p>
        </w:tc>
        <w:tc>
          <w:tcPr>
            <w:tcW w:w="640" w:type="pct"/>
            <w:noWrap/>
            <w:hideMark/>
          </w:tcPr>
          <w:p w14:paraId="79F3ECE1"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249,6</w:t>
            </w:r>
          </w:p>
        </w:tc>
        <w:tc>
          <w:tcPr>
            <w:tcW w:w="640" w:type="pct"/>
            <w:noWrap/>
            <w:hideMark/>
          </w:tcPr>
          <w:p w14:paraId="1DD36F73"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402,5</w:t>
            </w:r>
          </w:p>
        </w:tc>
        <w:tc>
          <w:tcPr>
            <w:tcW w:w="639" w:type="pct"/>
            <w:noWrap/>
            <w:hideMark/>
          </w:tcPr>
          <w:p w14:paraId="53673E0E"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649,7</w:t>
            </w:r>
          </w:p>
        </w:tc>
      </w:tr>
      <w:tr w:rsidR="00EA755B" w:rsidRPr="009E4243" w14:paraId="2CECD80C" w14:textId="77777777" w:rsidTr="0059549E">
        <w:trPr>
          <w:trHeight w:val="300"/>
        </w:trPr>
        <w:tc>
          <w:tcPr>
            <w:tcW w:w="2441" w:type="pct"/>
            <w:noWrap/>
            <w:hideMark/>
          </w:tcPr>
          <w:p w14:paraId="21E96509" w14:textId="77777777" w:rsidR="00EA755B" w:rsidRPr="00C30F65" w:rsidRDefault="00EA755B" w:rsidP="00EA755B">
            <w:pPr>
              <w:rPr>
                <w:rFonts w:cs="Tahoma"/>
                <w:b/>
                <w:bCs/>
                <w:color w:val="000000"/>
                <w:sz w:val="18"/>
                <w:szCs w:val="18"/>
                <w:lang w:val="hr-HR" w:eastAsia="hr-HR"/>
              </w:rPr>
            </w:pPr>
            <w:r w:rsidRPr="00C30F65">
              <w:rPr>
                <w:rFonts w:cs="Tahoma"/>
                <w:b/>
                <w:bCs/>
                <w:color w:val="000000"/>
                <w:sz w:val="18"/>
                <w:szCs w:val="18"/>
                <w:lang w:val="hr-HR" w:eastAsia="hr-HR"/>
              </w:rPr>
              <w:t>Ukup</w:t>
            </w:r>
            <w:r w:rsidR="00C30F65" w:rsidRPr="00C30F65">
              <w:rPr>
                <w:rFonts w:cs="Tahoma"/>
                <w:b/>
                <w:bCs/>
                <w:color w:val="000000"/>
                <w:sz w:val="18"/>
                <w:szCs w:val="18"/>
                <w:lang w:val="hr-HR" w:eastAsia="hr-HR"/>
              </w:rPr>
              <w:t>n</w:t>
            </w:r>
            <w:r w:rsidRPr="00C30F65">
              <w:rPr>
                <w:rFonts w:cs="Tahoma"/>
                <w:b/>
                <w:bCs/>
                <w:color w:val="000000"/>
                <w:sz w:val="18"/>
                <w:szCs w:val="18"/>
                <w:lang w:val="hr-HR" w:eastAsia="hr-HR"/>
              </w:rPr>
              <w:t>o</w:t>
            </w:r>
          </w:p>
        </w:tc>
        <w:tc>
          <w:tcPr>
            <w:tcW w:w="640" w:type="pct"/>
            <w:noWrap/>
            <w:hideMark/>
          </w:tcPr>
          <w:p w14:paraId="11D5C385"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0,0</w:t>
            </w:r>
          </w:p>
        </w:tc>
        <w:tc>
          <w:tcPr>
            <w:tcW w:w="640" w:type="pct"/>
            <w:noWrap/>
            <w:hideMark/>
          </w:tcPr>
          <w:p w14:paraId="50BA701A"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317,4</w:t>
            </w:r>
          </w:p>
        </w:tc>
        <w:tc>
          <w:tcPr>
            <w:tcW w:w="640" w:type="pct"/>
            <w:noWrap/>
            <w:hideMark/>
          </w:tcPr>
          <w:p w14:paraId="1B6B646C"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559,4</w:t>
            </w:r>
          </w:p>
        </w:tc>
        <w:tc>
          <w:tcPr>
            <w:tcW w:w="639" w:type="pct"/>
            <w:noWrap/>
            <w:hideMark/>
          </w:tcPr>
          <w:p w14:paraId="01F847F3"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912,1</w:t>
            </w:r>
          </w:p>
        </w:tc>
      </w:tr>
    </w:tbl>
    <w:p w14:paraId="152902A1" w14:textId="77777777" w:rsidR="00E679A6" w:rsidRDefault="00E679A6" w:rsidP="00A3410C">
      <w:pPr>
        <w:rPr>
          <w:lang w:eastAsia="hr-HR"/>
        </w:rPr>
      </w:pPr>
    </w:p>
    <w:p w14:paraId="6156A2CB" w14:textId="5AC12B18" w:rsidR="00A3410C" w:rsidRDefault="008D2F91" w:rsidP="00A3410C">
      <w:pPr>
        <w:rPr>
          <w:lang w:eastAsia="hr-HR"/>
        </w:rPr>
      </w:pPr>
      <w:r>
        <w:rPr>
          <w:lang w:eastAsia="hr-HR"/>
        </w:rPr>
        <w:fldChar w:fldCharType="begin"/>
      </w:r>
      <w:r>
        <w:rPr>
          <w:lang w:eastAsia="hr-HR"/>
        </w:rPr>
        <w:instrText xml:space="preserve"> REF _Ref24369500 \h </w:instrText>
      </w:r>
      <w:r>
        <w:rPr>
          <w:lang w:eastAsia="hr-HR"/>
        </w:rPr>
      </w:r>
      <w:r>
        <w:rPr>
          <w:lang w:eastAsia="hr-HR"/>
        </w:rPr>
        <w:fldChar w:fldCharType="separate"/>
      </w:r>
      <w:r w:rsidR="00CE61F3">
        <w:t xml:space="preserve">Tablica </w:t>
      </w:r>
      <w:r w:rsidR="00CE61F3">
        <w:rPr>
          <w:noProof/>
        </w:rPr>
        <w:t>9</w:t>
      </w:r>
      <w:r w:rsidR="00CE61F3">
        <w:t>.</w:t>
      </w:r>
      <w:r w:rsidR="00CE61F3">
        <w:rPr>
          <w:noProof/>
        </w:rPr>
        <w:t>2</w:t>
      </w:r>
      <w:r>
        <w:rPr>
          <w:lang w:eastAsia="hr-HR"/>
        </w:rPr>
        <w:fldChar w:fldCharType="end"/>
      </w:r>
      <w:r>
        <w:rPr>
          <w:lang w:eastAsia="hr-HR"/>
        </w:rPr>
        <w:t xml:space="preserve"> </w:t>
      </w:r>
      <w:r w:rsidR="00A3410C">
        <w:rPr>
          <w:lang w:eastAsia="hr-HR"/>
        </w:rPr>
        <w:t xml:space="preserve">pokazuje da </w:t>
      </w:r>
      <w:r w:rsidR="0060215A">
        <w:rPr>
          <w:lang w:eastAsia="hr-HR"/>
        </w:rPr>
        <w:t xml:space="preserve">će </w:t>
      </w:r>
      <w:r w:rsidR="00A3410C">
        <w:rPr>
          <w:lang w:eastAsia="hr-HR"/>
        </w:rPr>
        <w:t>očekivan</w:t>
      </w:r>
      <w:r w:rsidR="00D35D69">
        <w:rPr>
          <w:lang w:eastAsia="hr-HR"/>
        </w:rPr>
        <w:t>o</w:t>
      </w:r>
      <w:r w:rsidR="00A3410C">
        <w:rPr>
          <w:lang w:eastAsia="hr-HR"/>
        </w:rPr>
        <w:t xml:space="preserve"> </w:t>
      </w:r>
      <w:r w:rsidR="00D35D69">
        <w:rPr>
          <w:lang w:eastAsia="hr-HR"/>
        </w:rPr>
        <w:t>smanjenje emisija</w:t>
      </w:r>
      <w:r w:rsidR="002D2E5A">
        <w:rPr>
          <w:lang w:eastAsia="hr-HR"/>
        </w:rPr>
        <w:t xml:space="preserve"> CO</w:t>
      </w:r>
      <w:r w:rsidR="002D2E5A" w:rsidRPr="0090203E">
        <w:rPr>
          <w:vertAlign w:val="subscript"/>
          <w:lang w:eastAsia="hr-HR"/>
        </w:rPr>
        <w:t>2</w:t>
      </w:r>
      <w:r w:rsidR="00A3410C">
        <w:rPr>
          <w:lang w:eastAsia="hr-HR"/>
        </w:rPr>
        <w:t xml:space="preserve"> koje su izravna i neizravna posljedica provedbe predviđenih novih politika i mjera za energetsku obnovu stambenih i nestambenih zgrada iznositi u 2030. godini</w:t>
      </w:r>
      <w:r w:rsidR="0060215A">
        <w:rPr>
          <w:lang w:eastAsia="hr-HR"/>
        </w:rPr>
        <w:t xml:space="preserve"> 317,4 </w:t>
      </w:r>
      <w:r w:rsidR="00413E52">
        <w:rPr>
          <w:lang w:eastAsia="hr-HR"/>
        </w:rPr>
        <w:t>kt</w:t>
      </w:r>
      <w:r w:rsidR="00A3410C">
        <w:rPr>
          <w:lang w:eastAsia="hr-HR"/>
        </w:rPr>
        <w:t xml:space="preserve">, a u 2050. godini </w:t>
      </w:r>
      <w:r w:rsidR="00001A28">
        <w:rPr>
          <w:lang w:eastAsia="hr-HR"/>
        </w:rPr>
        <w:t>912,1 kt</w:t>
      </w:r>
      <w:r w:rsidR="00A3410C">
        <w:rPr>
          <w:lang w:eastAsia="hr-HR"/>
        </w:rPr>
        <w:t>. Pri tome treba istaknuti da na razini ukupne neposredne potrošnje energije (u svim sektorima)</w:t>
      </w:r>
      <w:r w:rsidR="00A3410C">
        <w:rPr>
          <w:rStyle w:val="Referencafusnote"/>
          <w:lang w:eastAsia="hr-HR"/>
        </w:rPr>
        <w:footnoteReference w:id="37"/>
      </w:r>
      <w:r w:rsidR="00A3410C">
        <w:rPr>
          <w:lang w:eastAsia="hr-HR"/>
        </w:rPr>
        <w:t>, u 2030. godini se očekuj</w:t>
      </w:r>
      <w:r w:rsidR="005637D0">
        <w:rPr>
          <w:lang w:eastAsia="hr-HR"/>
        </w:rPr>
        <w:t>e</w:t>
      </w:r>
      <w:r w:rsidR="00A3410C">
        <w:rPr>
          <w:lang w:eastAsia="hr-HR"/>
        </w:rPr>
        <w:t xml:space="preserve"> </w:t>
      </w:r>
      <w:r w:rsidR="005637D0">
        <w:rPr>
          <w:lang w:eastAsia="hr-HR"/>
        </w:rPr>
        <w:t xml:space="preserve">smanjenje emisija </w:t>
      </w:r>
      <w:r w:rsidR="005B2257">
        <w:rPr>
          <w:lang w:eastAsia="hr-HR"/>
        </w:rPr>
        <w:t>CO2</w:t>
      </w:r>
      <w:r w:rsidR="009C3874">
        <w:rPr>
          <w:lang w:eastAsia="hr-HR"/>
        </w:rPr>
        <w:t xml:space="preserve"> u iznosu od </w:t>
      </w:r>
      <w:r w:rsidR="00193EE8" w:rsidRPr="00193EE8">
        <w:rPr>
          <w:lang w:eastAsia="hr-HR"/>
        </w:rPr>
        <w:t>880,8</w:t>
      </w:r>
      <w:r w:rsidR="00193EE8">
        <w:rPr>
          <w:lang w:eastAsia="hr-HR"/>
        </w:rPr>
        <w:t xml:space="preserve"> </w:t>
      </w:r>
      <w:r w:rsidR="009C3874">
        <w:rPr>
          <w:lang w:eastAsia="hr-HR"/>
        </w:rPr>
        <w:t>kt</w:t>
      </w:r>
      <w:r w:rsidR="00A3410C">
        <w:rPr>
          <w:lang w:eastAsia="hr-HR"/>
        </w:rPr>
        <w:t xml:space="preserve"> (razlika ukupne neposredne potrošnje energije scenarija S0 i S2), što znači da </w:t>
      </w:r>
      <w:r w:rsidR="00A3410C" w:rsidRPr="00FF3076">
        <w:rPr>
          <w:b/>
          <w:bCs/>
          <w:lang w:eastAsia="hr-HR"/>
        </w:rPr>
        <w:t xml:space="preserve">zgradarstvo pridonosi ovom cilju s preko </w:t>
      </w:r>
      <w:r w:rsidR="006E6A4C">
        <w:rPr>
          <w:b/>
          <w:bCs/>
          <w:lang w:eastAsia="hr-HR"/>
        </w:rPr>
        <w:t>36</w:t>
      </w:r>
      <w:r w:rsidR="00A3410C" w:rsidRPr="00FF3076">
        <w:rPr>
          <w:b/>
          <w:bCs/>
          <w:lang w:eastAsia="hr-HR"/>
        </w:rPr>
        <w:t>% u 2030</w:t>
      </w:r>
      <w:r w:rsidR="00A3410C">
        <w:rPr>
          <w:lang w:eastAsia="hr-HR"/>
        </w:rPr>
        <w:t>. U 2050. očekivan</w:t>
      </w:r>
      <w:r w:rsidR="00820B88">
        <w:rPr>
          <w:lang w:eastAsia="hr-HR"/>
        </w:rPr>
        <w:t>o</w:t>
      </w:r>
      <w:r w:rsidR="00A3410C">
        <w:rPr>
          <w:lang w:eastAsia="hr-HR"/>
        </w:rPr>
        <w:t xml:space="preserve"> </w:t>
      </w:r>
      <w:r w:rsidR="00820B88">
        <w:rPr>
          <w:lang w:eastAsia="hr-HR"/>
        </w:rPr>
        <w:t>smanjenje emisija CO</w:t>
      </w:r>
      <w:r w:rsidR="00820B88" w:rsidRPr="0090203E">
        <w:rPr>
          <w:vertAlign w:val="subscript"/>
          <w:lang w:eastAsia="hr-HR"/>
        </w:rPr>
        <w:t>2</w:t>
      </w:r>
      <w:r w:rsidR="00A3410C">
        <w:rPr>
          <w:lang w:eastAsia="hr-HR"/>
        </w:rPr>
        <w:t xml:space="preserve"> iznosit će </w:t>
      </w:r>
      <w:r w:rsidR="008C03E0">
        <w:rPr>
          <w:lang w:eastAsia="hr-HR"/>
        </w:rPr>
        <w:t>2.260,9</w:t>
      </w:r>
      <w:r w:rsidR="00820B88">
        <w:rPr>
          <w:lang w:eastAsia="hr-HR"/>
        </w:rPr>
        <w:t xml:space="preserve"> kt</w:t>
      </w:r>
      <w:r w:rsidR="00A3410C">
        <w:rPr>
          <w:lang w:eastAsia="hr-HR"/>
        </w:rPr>
        <w:t xml:space="preserve">, što znači da će </w:t>
      </w:r>
      <w:r w:rsidR="00A3410C" w:rsidRPr="00FF3076">
        <w:rPr>
          <w:b/>
          <w:bCs/>
          <w:lang w:eastAsia="hr-HR"/>
        </w:rPr>
        <w:t>očekivani doprinos zgradarstva u ukupn</w:t>
      </w:r>
      <w:r w:rsidR="0090203E">
        <w:rPr>
          <w:b/>
          <w:bCs/>
          <w:lang w:eastAsia="hr-HR"/>
        </w:rPr>
        <w:t>om</w:t>
      </w:r>
      <w:r w:rsidR="00A3410C" w:rsidRPr="00FF3076">
        <w:rPr>
          <w:b/>
          <w:bCs/>
          <w:lang w:eastAsia="hr-HR"/>
        </w:rPr>
        <w:t xml:space="preserve"> </w:t>
      </w:r>
      <w:r w:rsidR="0090203E">
        <w:rPr>
          <w:b/>
          <w:bCs/>
          <w:lang w:eastAsia="hr-HR"/>
        </w:rPr>
        <w:t>smanjenju emisija CO</w:t>
      </w:r>
      <w:r w:rsidR="0090203E" w:rsidRPr="0090203E">
        <w:rPr>
          <w:b/>
          <w:bCs/>
          <w:vertAlign w:val="subscript"/>
          <w:lang w:eastAsia="hr-HR"/>
        </w:rPr>
        <w:t>2</w:t>
      </w:r>
      <w:r w:rsidR="00A3410C" w:rsidRPr="00FF3076">
        <w:rPr>
          <w:b/>
          <w:bCs/>
          <w:lang w:eastAsia="hr-HR"/>
        </w:rPr>
        <w:t xml:space="preserve"> u 2050. godini biti oko </w:t>
      </w:r>
      <w:r w:rsidR="004733D8">
        <w:rPr>
          <w:b/>
          <w:bCs/>
          <w:lang w:eastAsia="hr-HR"/>
        </w:rPr>
        <w:t>40</w:t>
      </w:r>
      <w:r w:rsidR="00A3410C" w:rsidRPr="00FF3076">
        <w:rPr>
          <w:b/>
          <w:bCs/>
          <w:lang w:eastAsia="hr-HR"/>
        </w:rPr>
        <w:t>%</w:t>
      </w:r>
      <w:r w:rsidR="00A3410C">
        <w:rPr>
          <w:lang w:eastAsia="hr-HR"/>
        </w:rPr>
        <w:t xml:space="preserve">. </w:t>
      </w:r>
    </w:p>
    <w:p w14:paraId="28595C6A" w14:textId="77777777" w:rsidR="00174394" w:rsidRPr="00174394" w:rsidRDefault="00174394" w:rsidP="00174394">
      <w:pPr>
        <w:rPr>
          <w:lang w:eastAsia="hr-HR"/>
        </w:rPr>
      </w:pPr>
    </w:p>
    <w:p w14:paraId="073B11CC" w14:textId="77777777" w:rsidR="003C0CC5" w:rsidRDefault="000A15B5" w:rsidP="007649C2">
      <w:pPr>
        <w:pStyle w:val="Naslov20"/>
      </w:pPr>
      <w:bookmarkStart w:id="219" w:name="_Toc34052922"/>
      <w:bookmarkStart w:id="220" w:name="_Toc46163858"/>
      <w:r>
        <w:t xml:space="preserve">Doprinos </w:t>
      </w:r>
      <w:r w:rsidR="00106FB1">
        <w:t>postizanju ciljeva</w:t>
      </w:r>
      <w:r w:rsidR="003C0CC5">
        <w:t xml:space="preserve"> energetske učinkovitosti EU</w:t>
      </w:r>
      <w:bookmarkEnd w:id="219"/>
      <w:bookmarkEnd w:id="220"/>
    </w:p>
    <w:p w14:paraId="002676EF" w14:textId="77777777" w:rsidR="00681162" w:rsidRDefault="00E838A9" w:rsidP="006838E7">
      <w:pPr>
        <w:rPr>
          <w:lang w:eastAsia="hr-HR"/>
        </w:rPr>
      </w:pPr>
      <w:r>
        <w:rPr>
          <w:lang w:eastAsia="hr-HR"/>
        </w:rPr>
        <w:t>Direktivom</w:t>
      </w:r>
      <w:r w:rsidR="006838E7">
        <w:rPr>
          <w:lang w:eastAsia="hr-HR"/>
        </w:rPr>
        <w:t xml:space="preserve"> (EU)</w:t>
      </w:r>
      <w:r>
        <w:rPr>
          <w:lang w:eastAsia="hr-HR"/>
        </w:rPr>
        <w:t xml:space="preserve"> </w:t>
      </w:r>
      <w:r w:rsidR="006838E7">
        <w:rPr>
          <w:lang w:eastAsia="hr-HR"/>
        </w:rPr>
        <w:t xml:space="preserve">2018/2002 </w:t>
      </w:r>
      <w:r>
        <w:rPr>
          <w:lang w:eastAsia="hr-HR"/>
        </w:rPr>
        <w:t xml:space="preserve">o izmjeni Direktive 2012/27/EU </w:t>
      </w:r>
      <w:r w:rsidR="006838E7">
        <w:rPr>
          <w:lang w:eastAsia="hr-HR"/>
        </w:rPr>
        <w:t xml:space="preserve">o energetskoj učinkovitosti </w:t>
      </w:r>
      <w:r w:rsidR="00A165A3">
        <w:rPr>
          <w:lang w:eastAsia="hr-HR"/>
        </w:rPr>
        <w:t>postavljeni su ciljevi potrošnje primarne energije i neposredne potrošnje energije na razini cijele EU</w:t>
      </w:r>
      <w:r w:rsidR="0017188E">
        <w:rPr>
          <w:lang w:eastAsia="hr-HR"/>
        </w:rPr>
        <w:t>, koji redom ne smiju prijeći 1.273 Mten</w:t>
      </w:r>
      <w:r w:rsidR="008978AA">
        <w:rPr>
          <w:lang w:eastAsia="hr-HR"/>
        </w:rPr>
        <w:t xml:space="preserve"> (53.</w:t>
      </w:r>
      <w:r w:rsidR="001A16CB">
        <w:rPr>
          <w:lang w:eastAsia="hr-HR"/>
        </w:rPr>
        <w:t>298 PJ)</w:t>
      </w:r>
      <w:r w:rsidR="0017188E">
        <w:rPr>
          <w:lang w:eastAsia="hr-HR"/>
        </w:rPr>
        <w:t xml:space="preserve"> odnosno 956 Mten</w:t>
      </w:r>
      <w:r w:rsidR="001A16CB">
        <w:rPr>
          <w:lang w:eastAsia="hr-HR"/>
        </w:rPr>
        <w:t xml:space="preserve"> (40.026 PJ). </w:t>
      </w:r>
    </w:p>
    <w:p w14:paraId="5EAD6EA9" w14:textId="77777777" w:rsidR="002C5217" w:rsidRDefault="002C5217" w:rsidP="002C5217">
      <w:pPr>
        <w:rPr>
          <w:lang w:eastAsia="hr-HR"/>
        </w:rPr>
      </w:pPr>
      <w:r>
        <w:rPr>
          <w:lang w:eastAsia="hr-HR"/>
        </w:rPr>
        <w:t xml:space="preserve">Revizijom Dugoročne strategije za poticanje ulaganja u energetsku obnovu fonda zgrada Republike Hrvatske su potvrđene i dopunjene vrijednosti površina fonda zgrada, te utvrđen plan s mjerama i mjerljivim pokazateljima napretka na nacionalnoj razini s obzirom na dugoročni cilj smanjenja emisija stakleničkih plinova u Uniji za 80-95 % do 2050. u usporedbi s 1990., kako bi se osigurao energetski visokoučinkovit i dekarboniziran nacionalni fond zgrada i kako bi se olakšalo troškovno učinkovitu pretvorbu postojećih zgrada u zgrade gotovo nulte energije. Određenim ključnim točkama praćenja za 2030., 2040. i 2050. godinu pridodani su ciljevi usklađeni s ciljevima Unije u pogledu energetske učinkovitosti u skladu s Direktivom 2012/27/EU. Procijenjena veličine ulaganja u povećanje energetske učinkovitosti fonda zgrada pokazuju kako je nužno smanjenje rizika projekata energetske obnove kroz  agregiranje projekata, smanjenje percipiranog rizika zahvata u području energetske učinkovitosti, upotreba javnih sredstava za povećanje potencijala dodatnog ulaganja privatnog sektora, usmjeravanje ulaganja u energetski učinkovit fond zgrada javnog sektora. Regulativa o energetskoj učinkovitosti u daljnjem razvoju uključuje i razmatranje zaštite od požara i rizika povezanih s pojačanom seizmičkom aktivnošću koji utječu na energetske obnove i životni vijek zgrada, čime se obnova kvalitetnije usmjerava na zgrade s većim potencijalom za produljenje životnog vijeka. </w:t>
      </w:r>
    </w:p>
    <w:p w14:paraId="3E7B404F" w14:textId="1E1BAD92" w:rsidR="004C3930" w:rsidRPr="00681162" w:rsidRDefault="004C3930" w:rsidP="006838E7">
      <w:pPr>
        <w:rPr>
          <w:lang w:eastAsia="hr-HR"/>
        </w:rPr>
      </w:pPr>
      <w:r>
        <w:rPr>
          <w:lang w:eastAsia="hr-HR"/>
        </w:rPr>
        <w:t xml:space="preserve">Republika Hrvatska je postavila je svoje </w:t>
      </w:r>
      <w:r w:rsidR="006A7B80">
        <w:rPr>
          <w:lang w:eastAsia="hr-HR"/>
        </w:rPr>
        <w:t xml:space="preserve">okvirne nacionalne </w:t>
      </w:r>
      <w:r>
        <w:rPr>
          <w:lang w:eastAsia="hr-HR"/>
        </w:rPr>
        <w:t xml:space="preserve">ciljeve za </w:t>
      </w:r>
      <w:r w:rsidR="00797AAA">
        <w:rPr>
          <w:lang w:eastAsia="hr-HR"/>
        </w:rPr>
        <w:t xml:space="preserve">2030. godinu. Na temelju tih ciljeva, Republika Hrvatska </w:t>
      </w:r>
      <w:r w:rsidR="00707E9F">
        <w:rPr>
          <w:lang w:eastAsia="hr-HR"/>
        </w:rPr>
        <w:t xml:space="preserve">će sudjelovati s </w:t>
      </w:r>
      <w:r w:rsidR="006B0B50">
        <w:rPr>
          <w:lang w:eastAsia="hr-HR"/>
        </w:rPr>
        <w:t>0,65%</w:t>
      </w:r>
      <w:r w:rsidR="001906D8">
        <w:rPr>
          <w:lang w:eastAsia="hr-HR"/>
        </w:rPr>
        <w:t xml:space="preserve"> u ukupnoj potrošnji primarne energije, odnosno s</w:t>
      </w:r>
      <w:r w:rsidR="00A76467">
        <w:rPr>
          <w:lang w:eastAsia="hr-HR"/>
        </w:rPr>
        <w:t xml:space="preserve"> 0,72% u ukupnoj neposrednoj potrošnji energije </w:t>
      </w:r>
      <w:r w:rsidR="00170234">
        <w:rPr>
          <w:lang w:eastAsia="hr-HR"/>
        </w:rPr>
        <w:t xml:space="preserve">u EU. Vidljivo je, stoga, da je doprinos u postizanju ciljeva mali, ali je </w:t>
      </w:r>
      <w:r w:rsidR="00E14564">
        <w:rPr>
          <w:lang w:eastAsia="hr-HR"/>
        </w:rPr>
        <w:t>razmjeran</w:t>
      </w:r>
      <w:r w:rsidR="00170234">
        <w:rPr>
          <w:lang w:eastAsia="hr-HR"/>
        </w:rPr>
        <w:t xml:space="preserve"> veličini države kao i demografskim i ekonomskim ograničenjima. </w:t>
      </w:r>
    </w:p>
    <w:p w14:paraId="195EE2AE" w14:textId="77777777" w:rsidR="007E6308" w:rsidRDefault="004E6244" w:rsidP="007649C2">
      <w:pPr>
        <w:pStyle w:val="Naslov20"/>
      </w:pPr>
      <w:bookmarkStart w:id="221" w:name="_Toc34052923"/>
      <w:bookmarkStart w:id="222" w:name="_Toc46163859"/>
      <w:r>
        <w:t xml:space="preserve">Makroekonomski učinci </w:t>
      </w:r>
      <w:r w:rsidR="007E6308" w:rsidRPr="007E6308">
        <w:t>na BDP, zaposlenost i državni proračun</w:t>
      </w:r>
      <w:bookmarkEnd w:id="221"/>
      <w:bookmarkEnd w:id="222"/>
      <w:r w:rsidR="007E6308" w:rsidRPr="007E6308">
        <w:t xml:space="preserve"> </w:t>
      </w:r>
    </w:p>
    <w:p w14:paraId="682AE7BA" w14:textId="2926801C" w:rsidR="002C5217" w:rsidRDefault="002C5217" w:rsidP="002C5217">
      <w:pPr>
        <w:rPr>
          <w:lang w:eastAsia="hr-HR"/>
        </w:rPr>
      </w:pPr>
      <w:r>
        <w:rPr>
          <w:lang w:eastAsia="hr-HR"/>
        </w:rPr>
        <w:t xml:space="preserve">Makroekonomski okvir u kojem se odvija energetska obnova zgrada u RH je znatno nepovoljniji od ranijih pretpostavki, te je usklađenjem sa Energetskom strategijom RH do 2050. godine te Integriranim nacionalnim energetskim i klimatskim planom za Republiku Hrvatsku 2021. do 2030. znatno smanjen demografski potencijal te unatoč poboljšanju ekonomskih parametara, očekivana posljedica kretanja stanovništva je znatno veća stopa napuštanja zastarjelog stambenog fonda, uz njegovo neaktivno zadržavanje u prostoru. Pri tome se očekuje nastavak pritiska na urbane sredine, uz dodatno opterećenje gospodarski neaktivnih prostora smanjenim intenzitetom korištenja infrastrukture.  </w:t>
      </w:r>
    </w:p>
    <w:p w14:paraId="5108C574" w14:textId="77777777" w:rsidR="005878AF" w:rsidRDefault="002508DB" w:rsidP="005878AF">
      <w:pPr>
        <w:keepNext/>
        <w:ind w:left="6"/>
        <w:jc w:val="center"/>
      </w:pPr>
      <w:r w:rsidRPr="00283F5D">
        <w:rPr>
          <w:noProof/>
          <w:lang w:eastAsia="hr-HR"/>
        </w:rPr>
        <w:drawing>
          <wp:inline distT="0" distB="0" distL="0" distR="0" wp14:anchorId="68A99EEB" wp14:editId="4E42904F">
            <wp:extent cx="4752975" cy="2600325"/>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l="1060" t="8293" r="958" b="1726"/>
                    <a:stretch>
                      <a:fillRect/>
                    </a:stretch>
                  </pic:blipFill>
                  <pic:spPr bwMode="auto">
                    <a:xfrm>
                      <a:off x="0" y="0"/>
                      <a:ext cx="4752975" cy="2600325"/>
                    </a:xfrm>
                    <a:prstGeom prst="rect">
                      <a:avLst/>
                    </a:prstGeom>
                    <a:noFill/>
                    <a:ln>
                      <a:noFill/>
                    </a:ln>
                  </pic:spPr>
                </pic:pic>
              </a:graphicData>
            </a:graphic>
          </wp:inline>
        </w:drawing>
      </w:r>
    </w:p>
    <w:p w14:paraId="588BC8C8" w14:textId="6D76F740" w:rsidR="002C5217" w:rsidRPr="00963861" w:rsidRDefault="005878AF" w:rsidP="009C4091">
      <w:pPr>
        <w:pStyle w:val="Opisslike"/>
        <w:jc w:val="center"/>
      </w:pPr>
      <w:bookmarkStart w:id="223" w:name="_Toc40089010"/>
      <w:r w:rsidRPr="005878AF">
        <w:t xml:space="preserve">Slika </w:t>
      </w:r>
      <w:fldSimple w:instr=" STYLEREF 1 \s ">
        <w:r w:rsidR="00CE61F3">
          <w:rPr>
            <w:noProof/>
          </w:rPr>
          <w:t>9</w:t>
        </w:r>
      </w:fldSimple>
      <w:r w:rsidR="007245D7">
        <w:t>.</w:t>
      </w:r>
      <w:fldSimple w:instr=" SEQ Slika \* ARABIC \s 1 ">
        <w:r w:rsidR="00CE61F3">
          <w:rPr>
            <w:noProof/>
          </w:rPr>
          <w:t>1</w:t>
        </w:r>
      </w:fldSimple>
      <w:r w:rsidRPr="00EB5112">
        <w:t xml:space="preserve"> Projekcija broja stanovnika Republike Hrvatske do 2050. godine</w:t>
      </w:r>
      <w:bookmarkEnd w:id="223"/>
    </w:p>
    <w:p w14:paraId="05A2921A" w14:textId="77777777" w:rsidR="002C5217" w:rsidRPr="004E5A57" w:rsidRDefault="002C5217" w:rsidP="002C5217">
      <w:bookmarkStart w:id="224" w:name="_Toc532924241"/>
      <w:bookmarkStart w:id="225" w:name="_Toc536189156"/>
      <w:bookmarkStart w:id="226" w:name="_Toc536193680"/>
      <w:bookmarkStart w:id="227" w:name="_Toc2341188"/>
      <w:r>
        <w:t>Promatra li se struktura ulaganja u smanjenje potrošnje energije vidljivo je da u danim uvjetima ulaganje u povećanje energetske učinkovitosti građevinskog fonda – energetska obnova, duboka rekonstrukcija i zamjena napuštenog fonda zgrada čini</w:t>
      </w:r>
      <w:r w:rsidRPr="006F4FB1">
        <w:t xml:space="preserve"> 48,5 % ukupnih ulaganja</w:t>
      </w:r>
      <w:r>
        <w:t xml:space="preserve"> u energetskom sektoru</w:t>
      </w:r>
      <w:r w:rsidRPr="006F4FB1">
        <w:t>. Dio ulaganja koji se odnosi na EES iznosi 26,7 % od ukupnih ulaganja. Ostala ulaganja se odnose na prometnu infrastrukturu, napredna biogoriva, toplinarstvo, sunčeve toplinske sustave te ulaganja u infrastrukturu fosilnih goriva: plina i nafte i naftnih derivata</w:t>
      </w:r>
      <w:r>
        <w:rPr>
          <w:rStyle w:val="Referencafusnote"/>
          <w:rFonts w:cs="Myriad Pro"/>
        </w:rPr>
        <w:footnoteReference w:id="38"/>
      </w:r>
      <w:r w:rsidRPr="006F4FB1">
        <w:t>.</w:t>
      </w:r>
    </w:p>
    <w:bookmarkEnd w:id="224"/>
    <w:bookmarkEnd w:id="225"/>
    <w:bookmarkEnd w:id="226"/>
    <w:bookmarkEnd w:id="227"/>
    <w:p w14:paraId="473BC926" w14:textId="77777777" w:rsidR="002C5217" w:rsidRDefault="002508DB" w:rsidP="002C5217">
      <w:pPr>
        <w:rPr>
          <w:rFonts w:cs="Arial"/>
        </w:rPr>
      </w:pPr>
      <w:r w:rsidRPr="00283F5D">
        <w:rPr>
          <w:noProof/>
          <w:lang w:eastAsia="hr-HR"/>
        </w:rPr>
        <w:drawing>
          <wp:inline distT="0" distB="0" distL="0" distR="0" wp14:anchorId="6AA718F6" wp14:editId="277595A5">
            <wp:extent cx="5781675" cy="2333625"/>
            <wp:effectExtent l="0" t="0" r="0" b="0"/>
            <wp:docPr id="18" name="Picture 151748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485357"/>
                    <pic:cNvPicPr>
                      <a:picLocks noChangeAspect="1" noChangeArrowheads="1"/>
                    </pic:cNvPicPr>
                  </pic:nvPicPr>
                  <pic:blipFill>
                    <a:blip r:embed="rId31">
                      <a:extLst>
                        <a:ext uri="{28A0092B-C50C-407E-A947-70E740481C1C}">
                          <a14:useLocalDpi xmlns:a14="http://schemas.microsoft.com/office/drawing/2010/main" val="0"/>
                        </a:ext>
                      </a:extLst>
                    </a:blip>
                    <a:srcRect b="1575"/>
                    <a:stretch>
                      <a:fillRect/>
                    </a:stretch>
                  </pic:blipFill>
                  <pic:spPr bwMode="auto">
                    <a:xfrm>
                      <a:off x="0" y="0"/>
                      <a:ext cx="5781675" cy="2333625"/>
                    </a:xfrm>
                    <a:prstGeom prst="rect">
                      <a:avLst/>
                    </a:prstGeom>
                    <a:noFill/>
                    <a:ln>
                      <a:noFill/>
                    </a:ln>
                  </pic:spPr>
                </pic:pic>
              </a:graphicData>
            </a:graphic>
          </wp:inline>
        </w:drawing>
      </w:r>
    </w:p>
    <w:p w14:paraId="5BA087F3" w14:textId="51B57C7E" w:rsidR="002C5217" w:rsidRPr="00532BE1" w:rsidRDefault="002C5217" w:rsidP="009C4091">
      <w:pPr>
        <w:pStyle w:val="Opisslike"/>
        <w:jc w:val="center"/>
      </w:pPr>
      <w:bookmarkStart w:id="228" w:name="_Toc40089011"/>
      <w:r w:rsidRPr="004E5A57">
        <w:t xml:space="preserve">Slika </w:t>
      </w:r>
      <w:fldSimple w:instr=" STYLEREF 1 \s ">
        <w:r w:rsidR="00CE61F3">
          <w:rPr>
            <w:noProof/>
          </w:rPr>
          <w:t>9</w:t>
        </w:r>
      </w:fldSimple>
      <w:r w:rsidR="007245D7">
        <w:t>.</w:t>
      </w:r>
      <w:fldSimple w:instr=" SEQ Slika \* ARABIC \s 1 ">
        <w:r w:rsidR="00CE61F3">
          <w:rPr>
            <w:noProof/>
          </w:rPr>
          <w:t>2</w:t>
        </w:r>
      </w:fldSimple>
      <w:r w:rsidRPr="00532BE1">
        <w:t xml:space="preserve">. Ukupna ulaganja u energetskom sektoru od </w:t>
      </w:r>
      <w:r w:rsidRPr="00DE417B">
        <w:t>202</w:t>
      </w:r>
      <w:r>
        <w:t>1</w:t>
      </w:r>
      <w:r w:rsidRPr="00DE417B">
        <w:t>.-2050. godine</w:t>
      </w:r>
      <w:r>
        <w:t xml:space="preserve"> prema Scenariju S2 Energetske strategije RH</w:t>
      </w:r>
      <w:bookmarkEnd w:id="228"/>
    </w:p>
    <w:p w14:paraId="388C6A9E" w14:textId="77777777" w:rsidR="005A360E" w:rsidRDefault="005A360E" w:rsidP="00976A81">
      <w:pPr>
        <w:rPr>
          <w:sz w:val="24"/>
          <w:highlight w:val="cyan"/>
          <w:lang w:eastAsia="hr-HR"/>
        </w:rPr>
      </w:pPr>
    </w:p>
    <w:p w14:paraId="7DE2F41B" w14:textId="77777777" w:rsidR="000878DC" w:rsidRDefault="000878DC" w:rsidP="000878DC">
      <w:r>
        <w:t xml:space="preserve">Makroekonomski učinci </w:t>
      </w:r>
      <w:r w:rsidR="00E02387">
        <w:t>cjelokupno</w:t>
      </w:r>
      <w:r w:rsidR="00AE4303">
        <w:t>g</w:t>
      </w:r>
      <w:r w:rsidR="00E02387">
        <w:t xml:space="preserve"> Integriranog nacionalnog energetskog i klimatskog plana</w:t>
      </w:r>
      <w:r w:rsidR="00AE4303">
        <w:t>, koji uključuje i mjere definirane u ovoj Dugoročnoj strategiji,</w:t>
      </w:r>
      <w:r w:rsidR="00E02387">
        <w:t xml:space="preserve"> </w:t>
      </w:r>
      <w:r>
        <w:t xml:space="preserve">računati </w:t>
      </w:r>
      <w:r w:rsidR="00AE4303">
        <w:t xml:space="preserve">su </w:t>
      </w:r>
      <w:r>
        <w:t>input-output analizom koja se temelji na input-output tablici za Republiku Hrvatsku za 2015. godinu koja je objavljena 2019. godine na Eurostatu</w:t>
      </w:r>
      <w:r w:rsidR="0092104D">
        <w:rPr>
          <w:rStyle w:val="Referencafusnote"/>
          <w:rFonts w:cs="Myriad Pro"/>
        </w:rPr>
        <w:footnoteReference w:id="39"/>
      </w:r>
      <w:r>
        <w:t>. Analiza u obzir uzima izravne (direktne) i neizravne (indirektne), multiplikativne, učinke investicija koje su različitim procjenama disagregirane na pojedine djelatnosti (od ukupno 65 djelatnosti) koje se nalaze u simetričnoj input-output tablici</w:t>
      </w:r>
      <w:r w:rsidR="00AE4303">
        <w:t>,</w:t>
      </w:r>
      <w:r>
        <w:t xml:space="preserve"> a s obzirom na specifičnost svake investicije. Izravni učinci obuhvaćaju dodatnu zaposlenost, odnosno dohodak, u sektorima koji proizvode dobra i usluge za potrebe zadovoljavanja dodatne finalne potražnje. Neizravni učinci obuhvaćaju neizravnu zaposlenost, odnosno dohodak, drugih sektora koji povećavaju razinu proizvodnje kako bi isporučili intermedijarne inpute potrebne za proizvodnju u sektoru koji izravno isporučuje output za potrebe finalne potražnje. Input-output model obuhvaća postojeće tehnološke veze između 65 različitih djelatnosti odnosno sektora hrvatskog gospodarstva. Omjer uvozne i domaće komponente temelji se na input-output tablici za 2015. godinu.</w:t>
      </w:r>
    </w:p>
    <w:p w14:paraId="66DB3199" w14:textId="77777777" w:rsidR="000878DC" w:rsidRDefault="00343CD1" w:rsidP="00976A81">
      <w:r>
        <w:t xml:space="preserve">Rezultati analize su podijeljeni na dva razdoblja: od 2021. do 2030. i od 2031. do 2050. godine. Rezultati analize prvog razdoblja ukazuju da će ukupne investicije predviđene </w:t>
      </w:r>
      <w:r w:rsidR="00002AE5">
        <w:t xml:space="preserve">Integriranim nacionalnim </w:t>
      </w:r>
      <w:r>
        <w:t xml:space="preserve">energetskim </w:t>
      </w:r>
      <w:r w:rsidR="00002AE5">
        <w:t xml:space="preserve">i klimatskim </w:t>
      </w:r>
      <w:r>
        <w:t xml:space="preserve">planom utjecati na povećanje bruto domaćeg proizvoda (i bruto dodane vrijednosti) između 2 i 2,5 posto s obzirom na razinu BDP iz 2018. godine. U strukturi rasta građevinarstvo, sektora F, ima </w:t>
      </w:r>
      <w:r w:rsidR="00002AE5">
        <w:t xml:space="preserve">čak </w:t>
      </w:r>
      <w:r>
        <w:t>32%</w:t>
      </w:r>
      <w:r w:rsidR="00002AE5">
        <w:t xml:space="preserve">, što je izravna posljedica ulaganja u energetsku obnovu zgrada, ali i izgradnju novih nZEB zgrada. </w:t>
      </w:r>
    </w:p>
    <w:p w14:paraId="020AB89E" w14:textId="77777777" w:rsidR="00AB4430" w:rsidRDefault="00CA7173" w:rsidP="00976A81">
      <w:r>
        <w:t>Procijenjene makroekonomske učinke</w:t>
      </w:r>
      <w:r w:rsidR="005E3ACA">
        <w:t xml:space="preserve"> na bruto dodanu vrijednost, zaposlenost </w:t>
      </w:r>
      <w:r w:rsidR="006660BD">
        <w:t xml:space="preserve">i porezne prihode prikazuju sljedeće slike. </w:t>
      </w:r>
    </w:p>
    <w:p w14:paraId="70592670" w14:textId="77777777" w:rsidR="00CA7173" w:rsidRDefault="00B37C13" w:rsidP="00976A81">
      <w:r>
        <w:t>U</w:t>
      </w:r>
      <w:r w:rsidRPr="00B37C13">
        <w:t xml:space="preserve">kupne investicije predviđene </w:t>
      </w:r>
      <w:r>
        <w:t xml:space="preserve">Integriranim nacionalnim energetsko klimatskim </w:t>
      </w:r>
      <w:r w:rsidRPr="00B37C13">
        <w:t xml:space="preserve">planom </w:t>
      </w:r>
      <w:r>
        <w:t xml:space="preserve">će </w:t>
      </w:r>
      <w:r w:rsidRPr="00B37C13">
        <w:t>prosječno godišnje povećati bruto dodanu vrijednost za 9346,3 mil. HRK u razdoblju od 2021. godine do 2030. godine, odnosno 8216 mil. HRK u razdoblju od 2031. godine do 2050. godine. Pritom projicirani porast bruto dodane vrijednosti građevinarstva čini čak 34% i 42% ukupnog porasta bruto dodane vrijednosti u prvom, odnosno drugom, analiziranom razdoblju.</w:t>
      </w:r>
    </w:p>
    <w:p w14:paraId="27249ADD" w14:textId="77777777" w:rsidR="00AB4430" w:rsidRDefault="00AB4430" w:rsidP="00976A81">
      <w:r>
        <w:t>Ukupan broj zaposlenih</w:t>
      </w:r>
      <w:r w:rsidRPr="00AB4430">
        <w:t xml:space="preserve"> </w:t>
      </w:r>
      <w:r>
        <w:t>povećat će se</w:t>
      </w:r>
      <w:r w:rsidRPr="00AB4430">
        <w:t xml:space="preserve"> za 49.066 u razdoblju od 2021. godine do 2030. godine, odnosno za 44.083 u razdoblju od 2031. godine do 2050. godine. Pritom projicirani porast zaposlenosti građevinarstva čini čak 47% i 56% ukupnog porasta zaposlenosti u prvom, odnosno drugom, analiziranom razdoblju.</w:t>
      </w:r>
    </w:p>
    <w:p w14:paraId="4255EAB9" w14:textId="77777777" w:rsidR="00F561D9" w:rsidRDefault="00F561D9" w:rsidP="00976A81">
      <w:r w:rsidRPr="00F561D9">
        <w:t>Najznačajniji utjecaj na porast zaposlenost</w:t>
      </w:r>
      <w:r>
        <w:t xml:space="preserve">, kao i na porast bruto dodane vrijednosti, </w:t>
      </w:r>
      <w:r w:rsidRPr="00F561D9">
        <w:t>imaju ulaganja u području zgradarstva (energetska obnova zgrada</w:t>
      </w:r>
      <w:r>
        <w:t xml:space="preserve"> i </w:t>
      </w:r>
      <w:r w:rsidRPr="00F561D9">
        <w:t>nZEB novogradnja)</w:t>
      </w:r>
      <w:r>
        <w:t>.</w:t>
      </w:r>
    </w:p>
    <w:p w14:paraId="751A9E42" w14:textId="77777777" w:rsidR="00F561D9" w:rsidRDefault="00F561D9" w:rsidP="00976A81"/>
    <w:p w14:paraId="19364F20" w14:textId="77777777" w:rsidR="0028591B" w:rsidRPr="00BF553C" w:rsidRDefault="002508DB" w:rsidP="0028591B">
      <w:pPr>
        <w:pStyle w:val="Opisslike"/>
        <w:spacing w:line="360" w:lineRule="auto"/>
        <w:jc w:val="center"/>
        <w:rPr>
          <w:rFonts w:ascii="Arial" w:hAnsi="Arial" w:cs="Arial"/>
          <w:noProof/>
          <w:sz w:val="24"/>
          <w:szCs w:val="24"/>
        </w:rPr>
      </w:pPr>
      <w:r w:rsidRPr="002508DB">
        <w:rPr>
          <w:rFonts w:ascii="Arial" w:hAnsi="Arial" w:cs="Arial"/>
          <w:noProof/>
          <w:sz w:val="24"/>
          <w:szCs w:val="24"/>
          <w:lang w:eastAsia="hr-HR"/>
        </w:rPr>
        <w:drawing>
          <wp:inline distT="0" distB="0" distL="0" distR="0" wp14:anchorId="64FAB394" wp14:editId="13B82608">
            <wp:extent cx="2948305" cy="2740025"/>
            <wp:effectExtent l="0" t="0" r="4445" b="3175"/>
            <wp:docPr id="19" name="Grafikon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2508DB">
        <w:rPr>
          <w:rFonts w:ascii="Arial" w:hAnsi="Arial" w:cs="Arial"/>
          <w:noProof/>
          <w:sz w:val="24"/>
          <w:szCs w:val="24"/>
          <w:lang w:eastAsia="hr-HR"/>
        </w:rPr>
        <w:drawing>
          <wp:inline distT="0" distB="0" distL="0" distR="0" wp14:anchorId="1AF587A8" wp14:editId="1A97B18A">
            <wp:extent cx="2948305" cy="2740025"/>
            <wp:effectExtent l="0" t="0" r="4445" b="3175"/>
            <wp:docPr id="20" name="Grafikon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864FEC" w14:textId="32A4FE8F" w:rsidR="00277AFC" w:rsidRPr="00BF553C" w:rsidRDefault="00277AFC" w:rsidP="00277AFC">
      <w:pPr>
        <w:pStyle w:val="Opisslike"/>
        <w:rPr>
          <w:rFonts w:ascii="Arial" w:hAnsi="Arial" w:cs="Arial"/>
          <w:noProof/>
          <w:sz w:val="24"/>
          <w:szCs w:val="24"/>
        </w:rPr>
      </w:pPr>
      <w:bookmarkStart w:id="229" w:name="_Toc13150703"/>
      <w:bookmarkStart w:id="230" w:name="_Toc40089012"/>
      <w:r>
        <w:t xml:space="preserve">Slika </w:t>
      </w:r>
      <w:fldSimple w:instr=" STYLEREF 1 \s ">
        <w:r w:rsidR="00CE61F3">
          <w:rPr>
            <w:noProof/>
          </w:rPr>
          <w:t>9</w:t>
        </w:r>
      </w:fldSimple>
      <w:r w:rsidR="007245D7">
        <w:t>.</w:t>
      </w:r>
      <w:fldSimple w:instr=" SEQ Slika \* ARABIC \s 1 ">
        <w:r w:rsidR="00CE61F3">
          <w:rPr>
            <w:noProof/>
          </w:rPr>
          <w:t>3</w:t>
        </w:r>
      </w:fldSimple>
      <w:r>
        <w:t xml:space="preserve"> </w:t>
      </w:r>
      <w:r w:rsidRPr="00277AFC">
        <w:t>Procijenjeni makroekonomski i sektorski učinci ulaganja na BDV (lhs) i zaposlenost (rhs)</w:t>
      </w:r>
      <w:bookmarkEnd w:id="229"/>
      <w:r w:rsidR="0069423F">
        <w:rPr>
          <w:rStyle w:val="Referencafusnote"/>
          <w:rFonts w:cs="Myriad Pro"/>
        </w:rPr>
        <w:footnoteReference w:id="40"/>
      </w:r>
      <w:bookmarkEnd w:id="230"/>
    </w:p>
    <w:p w14:paraId="520DB5C5" w14:textId="77777777" w:rsidR="006660BD" w:rsidRDefault="004912A3" w:rsidP="00976A81">
      <w:r>
        <w:t>Ukupno povećanje p</w:t>
      </w:r>
      <w:r w:rsidRPr="004912A3">
        <w:t>orezn</w:t>
      </w:r>
      <w:r>
        <w:t>ih</w:t>
      </w:r>
      <w:r w:rsidRPr="004912A3">
        <w:t xml:space="preserve"> prihod</w:t>
      </w:r>
      <w:r>
        <w:t>a</w:t>
      </w:r>
      <w:r w:rsidRPr="004912A3">
        <w:t xml:space="preserve"> (uključujući inicijalne, direktne i indirektne efekte) </w:t>
      </w:r>
      <w:r>
        <w:t>bit će</w:t>
      </w:r>
      <w:r w:rsidRPr="004912A3">
        <w:t xml:space="preserve"> 1628 mil. HRK u razdoblju od 2021. godine do 2030. godine, odnosno 1626 mil. HRK u razdoblju od 2031. godine do 2050. godine. Pritom projicirani porast poreznih prihoda u građevinskom sektoru čini čak 45%, odnosno 35% ukupnog rasta poreznih prihoda u prvom, odnosno drugom analiziranom razdoblju</w:t>
      </w:r>
      <w:r w:rsidR="007D608B">
        <w:t xml:space="preserve">, kao što prikazuje </w:t>
      </w:r>
    </w:p>
    <w:p w14:paraId="730336CE" w14:textId="77777777" w:rsidR="0069423F" w:rsidRPr="00BF553C" w:rsidRDefault="002508DB" w:rsidP="0069423F">
      <w:pPr>
        <w:spacing w:after="0" w:line="360" w:lineRule="auto"/>
        <w:jc w:val="center"/>
        <w:rPr>
          <w:rFonts w:ascii="Arial" w:hAnsi="Arial" w:cs="Arial"/>
          <w:noProof/>
          <w:sz w:val="24"/>
        </w:rPr>
      </w:pPr>
      <w:r w:rsidRPr="002508DB">
        <w:rPr>
          <w:rFonts w:ascii="Arial" w:hAnsi="Arial" w:cs="Arial"/>
          <w:noProof/>
          <w:sz w:val="24"/>
          <w:lang w:eastAsia="hr-HR"/>
        </w:rPr>
        <w:drawing>
          <wp:inline distT="0" distB="0" distL="0" distR="0" wp14:anchorId="42B0F394" wp14:editId="4882AA30">
            <wp:extent cx="5394960" cy="2873375"/>
            <wp:effectExtent l="0" t="0" r="15240" b="3175"/>
            <wp:docPr id="21" name="Grafikon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5A80C8" w14:textId="1165AC86" w:rsidR="0069423F" w:rsidRPr="00BF553C" w:rsidRDefault="0069423F" w:rsidP="0069423F">
      <w:pPr>
        <w:pStyle w:val="Opisslike"/>
        <w:rPr>
          <w:rFonts w:ascii="Arial" w:hAnsi="Arial" w:cs="Arial"/>
          <w:noProof/>
          <w:sz w:val="24"/>
          <w:szCs w:val="24"/>
        </w:rPr>
      </w:pPr>
      <w:bookmarkStart w:id="231" w:name="_Toc40089013"/>
      <w:r>
        <w:t xml:space="preserve">Slika </w:t>
      </w:r>
      <w:fldSimple w:instr=" STYLEREF 1 \s ">
        <w:r w:rsidR="00CE61F3">
          <w:rPr>
            <w:noProof/>
          </w:rPr>
          <w:t>9</w:t>
        </w:r>
      </w:fldSimple>
      <w:r w:rsidR="007245D7">
        <w:t>.</w:t>
      </w:r>
      <w:fldSimple w:instr=" SEQ Slika \* ARABIC \s 1 ">
        <w:r w:rsidR="00CE61F3">
          <w:rPr>
            <w:noProof/>
          </w:rPr>
          <w:t>4</w:t>
        </w:r>
      </w:fldSimple>
      <w:r>
        <w:t xml:space="preserve"> </w:t>
      </w:r>
      <w:r w:rsidRPr="0069423F">
        <w:t>Procijenjeni ukupni i sektorski učinci ulaganja na porezne prihode (mil. HRK)</w:t>
      </w:r>
      <w:r>
        <w:rPr>
          <w:rStyle w:val="Referencafusnote"/>
          <w:rFonts w:cs="Myriad Pro"/>
        </w:rPr>
        <w:footnoteReference w:id="41"/>
      </w:r>
      <w:bookmarkEnd w:id="231"/>
    </w:p>
    <w:p w14:paraId="766AAA20" w14:textId="77777777" w:rsidR="007D608B" w:rsidRDefault="007D608B" w:rsidP="00976A81"/>
    <w:p w14:paraId="750D90D2" w14:textId="2C304614" w:rsidR="003B0509" w:rsidRDefault="003B0509" w:rsidP="007649C2">
      <w:pPr>
        <w:pStyle w:val="Naslov20"/>
      </w:pPr>
      <w:bookmarkStart w:id="232" w:name="_Toc34052924"/>
      <w:bookmarkStart w:id="233" w:name="_Toc46163860"/>
      <w:r>
        <w:t xml:space="preserve">Procjena </w:t>
      </w:r>
      <w:r w:rsidR="00B369C6">
        <w:t xml:space="preserve">širih </w:t>
      </w:r>
      <w:r>
        <w:t>koristi</w:t>
      </w:r>
      <w:r w:rsidR="00FC09E9">
        <w:t xml:space="preserve"> energetske obnove nacionalnog fonda zgrada</w:t>
      </w:r>
      <w:bookmarkEnd w:id="232"/>
      <w:bookmarkEnd w:id="233"/>
    </w:p>
    <w:p w14:paraId="7E30729C" w14:textId="77777777" w:rsidR="00ED2A26" w:rsidRPr="009C52C4" w:rsidRDefault="00ED2A26" w:rsidP="00ED2A26">
      <w:pPr>
        <w:rPr>
          <w:lang w:eastAsia="en-US"/>
        </w:rPr>
      </w:pPr>
      <w:r w:rsidRPr="009C52C4">
        <w:rPr>
          <w:lang w:eastAsia="en-US"/>
        </w:rPr>
        <w:t>Dodatno opravdanje za primjenu koordiniranih mjera poticanja ponude i potražnje proizlazi iz ostalih uzgrednih koristi (tzv. pozitivnih eksternalija) koje djeluju povrh energetskih ušteda, smanjenih emisija štetnih plinova, novih ulaganja i njihovih multiplikativnih učinaka na BDP, zaposlenost i prihode proračuna opće države. Ostale uzgredne koristi nije moguće egzaktno procijeniti, ali ih se može opisati u vezi s očuvanjem i rastom vrijednosti nekretnina, uzgrednim estetskim koristima za druge gospodarske aktivnosti (npr. turizam), pozitivnim učincima na zdravlje ljudi, smanjenje energetskog siromaštva i energetsku sigurnost.</w:t>
      </w:r>
    </w:p>
    <w:p w14:paraId="23A9C5C8" w14:textId="77777777" w:rsidR="00ED2A26" w:rsidRPr="009C52C4" w:rsidRDefault="00ED2A26" w:rsidP="00ED2A26">
      <w:pPr>
        <w:rPr>
          <w:b/>
          <w:i/>
          <w:lang w:eastAsia="en-US"/>
        </w:rPr>
      </w:pPr>
      <w:r w:rsidRPr="009C52C4">
        <w:rPr>
          <w:b/>
          <w:i/>
          <w:lang w:eastAsia="en-US"/>
        </w:rPr>
        <w:t>Vrijednost nekretnina i estetski eksterni učinci</w:t>
      </w:r>
    </w:p>
    <w:p w14:paraId="43154DEB" w14:textId="2A91EF9A" w:rsidR="00ED2A26" w:rsidRPr="009C52C4" w:rsidRDefault="00ED2A26" w:rsidP="00ED2A26">
      <w:pPr>
        <w:rPr>
          <w:lang w:eastAsia="en-US"/>
        </w:rPr>
      </w:pPr>
      <w:r w:rsidRPr="009C52C4">
        <w:rPr>
          <w:lang w:eastAsia="en-US"/>
        </w:rPr>
        <w:t>Cijene nekretnina u Hrvatskoj oporavljaju se od krize (</w:t>
      </w:r>
      <w:r w:rsidR="00775814">
        <w:rPr>
          <w:lang w:eastAsia="en-US"/>
        </w:rPr>
        <w:fldChar w:fldCharType="begin"/>
      </w:r>
      <w:r w:rsidR="00775814">
        <w:rPr>
          <w:lang w:eastAsia="en-US"/>
        </w:rPr>
        <w:instrText xml:space="preserve"> REF _Ref24275683 \h </w:instrText>
      </w:r>
      <w:r w:rsidR="00775814">
        <w:rPr>
          <w:lang w:eastAsia="en-US"/>
        </w:rPr>
      </w:r>
      <w:r w:rsidR="00775814">
        <w:rPr>
          <w:lang w:eastAsia="en-US"/>
        </w:rPr>
        <w:fldChar w:fldCharType="separate"/>
      </w:r>
      <w:r w:rsidR="00CE61F3">
        <w:t xml:space="preserve">Slika </w:t>
      </w:r>
      <w:r w:rsidR="00CE61F3">
        <w:rPr>
          <w:noProof/>
        </w:rPr>
        <w:t>9</w:t>
      </w:r>
      <w:r w:rsidR="00CE61F3">
        <w:t>.</w:t>
      </w:r>
      <w:r w:rsidR="00CE61F3">
        <w:rPr>
          <w:noProof/>
        </w:rPr>
        <w:t>5</w:t>
      </w:r>
      <w:r w:rsidR="00775814">
        <w:rPr>
          <w:lang w:eastAsia="en-US"/>
        </w:rPr>
        <w:fldChar w:fldCharType="end"/>
      </w:r>
      <w:r w:rsidRPr="009C52C4">
        <w:rPr>
          <w:lang w:eastAsia="en-US"/>
        </w:rPr>
        <w:t>). Oporavak koji je nastupio 2016. polako zahvaća i novogradnju čije su se cijene nastavile prilagođavati prema dolje. To je očekivano, s obzirom na demografske trendove. Naznaka disperziranog oporavka koja se vidi u podacima za 2016. naglašava pogrešnu alokaciju građevinske aktivnosti koja se u strukturi treba okrenuti od novogradnji ka adaptacijama, rekonstrukcijama i velikim popravcima. Program obnove nacionalnog fonda zgrada u tome može imati ulogu katalizatora.</w:t>
      </w:r>
    </w:p>
    <w:p w14:paraId="235AF60E" w14:textId="77777777" w:rsidR="00ED2A26" w:rsidRPr="009C52C4" w:rsidRDefault="00ED2A26" w:rsidP="00ED2A26">
      <w:pPr>
        <w:rPr>
          <w:rFonts w:ascii="Times New Roman" w:hAnsi="Times New Roman" w:cs="Times New Roman"/>
          <w:sz w:val="24"/>
          <w:lang w:eastAsia="en-US"/>
        </w:rPr>
      </w:pPr>
    </w:p>
    <w:p w14:paraId="739E4E13" w14:textId="77777777" w:rsidR="00ED2A26" w:rsidRPr="009C52C4" w:rsidRDefault="002508DB" w:rsidP="00ED2A26">
      <w:pPr>
        <w:jc w:val="center"/>
        <w:rPr>
          <w:rFonts w:ascii="Times New Roman" w:hAnsi="Times New Roman" w:cs="Times New Roman"/>
          <w:sz w:val="24"/>
          <w:lang w:eastAsia="en-US"/>
        </w:rPr>
      </w:pPr>
      <w:r w:rsidRPr="002508DB">
        <w:rPr>
          <w:rFonts w:ascii="Times New Roman" w:hAnsi="Times New Roman" w:cs="Times New Roman"/>
          <w:noProof/>
          <w:sz w:val="24"/>
          <w:lang w:eastAsia="hr-HR"/>
        </w:rPr>
        <w:drawing>
          <wp:inline distT="0" distB="0" distL="0" distR="0" wp14:anchorId="75071B74" wp14:editId="57C7CFF9">
            <wp:extent cx="4038600" cy="2771775"/>
            <wp:effectExtent l="0" t="0" r="0" b="0"/>
            <wp:docPr id="22"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262AB0" w14:textId="533B3244" w:rsidR="00ED2A26" w:rsidRPr="009C52C4" w:rsidRDefault="00FC2633" w:rsidP="00FC2633">
      <w:pPr>
        <w:pStyle w:val="Opisslike"/>
        <w:jc w:val="center"/>
        <w:rPr>
          <w:rFonts w:ascii="Times New Roman" w:hAnsi="Times New Roman" w:cs="Times New Roman"/>
          <w:b/>
          <w:bCs/>
          <w:sz w:val="24"/>
          <w:szCs w:val="24"/>
          <w:lang w:eastAsia="en-US"/>
        </w:rPr>
      </w:pPr>
      <w:bookmarkStart w:id="234" w:name="_Ref24275683"/>
      <w:bookmarkStart w:id="235" w:name="_Ref483404900"/>
      <w:bookmarkStart w:id="236" w:name="_Toc2681282"/>
      <w:bookmarkStart w:id="237" w:name="_Toc40089014"/>
      <w:r>
        <w:t xml:space="preserve">Slika </w:t>
      </w:r>
      <w:fldSimple w:instr=" STYLEREF 1 \s ">
        <w:r w:rsidR="00CE61F3">
          <w:rPr>
            <w:noProof/>
          </w:rPr>
          <w:t>9</w:t>
        </w:r>
      </w:fldSimple>
      <w:r w:rsidR="007245D7">
        <w:t>.</w:t>
      </w:r>
      <w:fldSimple w:instr=" SEQ Slika \* ARABIC \s 1 ">
        <w:r w:rsidR="00CE61F3">
          <w:rPr>
            <w:noProof/>
          </w:rPr>
          <w:t>5</w:t>
        </w:r>
      </w:fldSimple>
      <w:bookmarkEnd w:id="234"/>
      <w:r>
        <w:t xml:space="preserve"> </w:t>
      </w:r>
      <w:bookmarkEnd w:id="235"/>
      <w:r w:rsidR="00ED2A26" w:rsidRPr="00FC2633">
        <w:t>Bazni indeks cijena nekretnina, 2010. = 100</w:t>
      </w:r>
      <w:bookmarkEnd w:id="236"/>
      <w:bookmarkEnd w:id="237"/>
    </w:p>
    <w:p w14:paraId="2240581D" w14:textId="77777777" w:rsidR="00ED2A26" w:rsidRPr="00FC2633" w:rsidRDefault="00ED2A26" w:rsidP="00ED2A26">
      <w:pPr>
        <w:jc w:val="center"/>
        <w:rPr>
          <w:rFonts w:cs="Tahoma"/>
          <w:sz w:val="18"/>
          <w:szCs w:val="18"/>
          <w:lang w:eastAsia="en-US"/>
        </w:rPr>
      </w:pPr>
      <w:r w:rsidRPr="00FC2633">
        <w:rPr>
          <w:rFonts w:cs="Tahoma"/>
          <w:sz w:val="18"/>
          <w:szCs w:val="18"/>
          <w:lang w:eastAsia="en-US"/>
        </w:rPr>
        <w:t>Izvor: Hrvatska narodna banka, Statistika, Tablica J3</w:t>
      </w:r>
    </w:p>
    <w:p w14:paraId="19811087" w14:textId="77777777" w:rsidR="002B6942" w:rsidRDefault="002B6942" w:rsidP="002B6942">
      <w:pPr>
        <w:rPr>
          <w:lang w:eastAsia="en-US"/>
        </w:rPr>
      </w:pPr>
    </w:p>
    <w:p w14:paraId="0763C32B" w14:textId="77777777" w:rsidR="00ED2A26" w:rsidRPr="009C52C4" w:rsidRDefault="00ED2A26" w:rsidP="002B6942">
      <w:pPr>
        <w:rPr>
          <w:lang w:eastAsia="en-US"/>
        </w:rPr>
      </w:pPr>
      <w:r w:rsidRPr="009C52C4">
        <w:rPr>
          <w:lang w:eastAsia="en-US"/>
        </w:rPr>
        <w:t>Energetska obnova zgrada dovodi do troškovnih ušteda, povećanja estetske vrijednosti i općenitog zadovoljstva stanovanjem i kvalitetom života. To pronalazi odraza u vrijednosti nekretnina. Stoga se dug i dubok pad vrijednosti nekretnina osim fundamentalnim (demografskim i ekonomskim) faktorima treba objasniti izostankom ambicioznijeg programa obnove zgrada.</w:t>
      </w:r>
    </w:p>
    <w:p w14:paraId="1942FDF9" w14:textId="77777777" w:rsidR="00ED2A26" w:rsidRPr="009C52C4" w:rsidRDefault="00ED2A26" w:rsidP="002B6942">
      <w:pPr>
        <w:rPr>
          <w:lang w:eastAsia="en-US"/>
        </w:rPr>
      </w:pPr>
      <w:r w:rsidRPr="009C52C4">
        <w:rPr>
          <w:lang w:eastAsia="en-US"/>
        </w:rPr>
        <w:t>Program obnove koji dovodi do rasta vrijednosti nekretnina ima i uzgredne ekonomske učinke koji djeluju na dva načina. Prvo, rast vrijednosti nekretnina preko tzv. efekta bogatstva utječe na povećanje potrošnje, a kroz to i na rast BDP-a i prihode državnog proračuna. Efekt bogatstva djeluje s parametrom od oko 0,1,</w:t>
      </w:r>
      <w:r w:rsidRPr="009C52C4">
        <w:rPr>
          <w:vertAlign w:val="superscript"/>
          <w:lang w:eastAsia="en-US"/>
        </w:rPr>
        <w:footnoteReference w:id="42"/>
      </w:r>
      <w:r w:rsidRPr="009C52C4">
        <w:rPr>
          <w:lang w:eastAsia="en-US"/>
        </w:rPr>
        <w:t xml:space="preserve"> što znači da 10%-tno povećanje vrijednosti nekretnina povećava ukupnu osobnu potrošnju za 1%. Ukupan učinak na BDP treba uzeti u obzir i pozitivan utjecaj na investicije povezan s rastom BDP-a. Drugo, pozitivne estetske eksternalije mogu se prelijevati na širu društvenu zajednicu, osobito u krajevima koji žive od turizma, gdje opći dojam o zgradama također može funkcionirati kao faktor atrakcije. Jasno je da vrijednosne i estetske učinke vezano uz nekretnine nije moguće pouzdano procijeniti, ali je sigurno da nisu veliki kao učinci koji su izravno vezani uz investicijske aktivnosti. Bez obzira na to, vrijedi ih spomenuti.</w:t>
      </w:r>
    </w:p>
    <w:p w14:paraId="781248C4" w14:textId="6B3E772B" w:rsidR="00ED2A26" w:rsidRPr="00775814" w:rsidRDefault="00ED2A26" w:rsidP="00775814">
      <w:pPr>
        <w:rPr>
          <w:b/>
          <w:lang w:eastAsia="en-US"/>
        </w:rPr>
      </w:pPr>
      <w:r w:rsidRPr="00775814">
        <w:rPr>
          <w:b/>
          <w:lang w:eastAsia="en-US"/>
        </w:rPr>
        <w:t>Smanjenje rizika zdravlja, siromaštva i dobave energije</w:t>
      </w:r>
    </w:p>
    <w:p w14:paraId="40C73668" w14:textId="77777777" w:rsidR="00ED2A26" w:rsidRPr="009C52C4" w:rsidRDefault="00ED2A26" w:rsidP="00775814">
      <w:pPr>
        <w:rPr>
          <w:lang w:eastAsia="en-US"/>
        </w:rPr>
      </w:pPr>
      <w:r w:rsidRPr="009C52C4">
        <w:rPr>
          <w:lang w:eastAsia="en-US"/>
        </w:rPr>
        <w:t xml:space="preserve">U skupinu učinaka koje je teško procijeniti, ali ih treba spomenuti, spadaju i smanjenje rizika zdravlja, energetskog siromaštva i dobave energije. Potonji učinak je osobito važan za Hrvatsku koja uvozi do polovice potrebne energije, tako da smanjenje potrošnje koje je povezano s povećanjem energetske efikasnosti popravlja saldo tekućeg računa platne bilance i parametre međunarodne financijske stabilnosti. </w:t>
      </w:r>
    </w:p>
    <w:p w14:paraId="357F1CC2" w14:textId="77777777" w:rsidR="009A1D12" w:rsidRDefault="008C6AF1" w:rsidP="009A1D12">
      <w:pPr>
        <w:rPr>
          <w:lang w:eastAsia="en-US"/>
        </w:rPr>
      </w:pPr>
      <w:r w:rsidRPr="009C52C4">
        <w:rPr>
          <w:lang w:eastAsia="en-US"/>
        </w:rPr>
        <w:t>Vrijednosn</w:t>
      </w:r>
      <w:r>
        <w:rPr>
          <w:lang w:eastAsia="en-US"/>
        </w:rPr>
        <w:t>i</w:t>
      </w:r>
      <w:r w:rsidRPr="009C52C4">
        <w:rPr>
          <w:lang w:eastAsia="en-US"/>
        </w:rPr>
        <w:t xml:space="preserve"> </w:t>
      </w:r>
      <w:r>
        <w:rPr>
          <w:lang w:eastAsia="en-US"/>
        </w:rPr>
        <w:t>učinci</w:t>
      </w:r>
      <w:r w:rsidRPr="009C52C4">
        <w:rPr>
          <w:lang w:eastAsia="en-US"/>
        </w:rPr>
        <w:t xml:space="preserve"> </w:t>
      </w:r>
      <w:r w:rsidR="00ED2A26" w:rsidRPr="009C52C4">
        <w:rPr>
          <w:lang w:eastAsia="en-US"/>
        </w:rPr>
        <w:t xml:space="preserve">poboljšanja zdravlja ljudi </w:t>
      </w:r>
      <w:r>
        <w:rPr>
          <w:lang w:eastAsia="en-US"/>
        </w:rPr>
        <w:t>trenutno se ne prate u Republici Hrvatskoj</w:t>
      </w:r>
      <w:r w:rsidR="00ED2A26" w:rsidRPr="009C52C4">
        <w:rPr>
          <w:lang w:eastAsia="en-US"/>
        </w:rPr>
        <w:t xml:space="preserve">, no svakako ih vrijedi spomenuti. </w:t>
      </w:r>
      <w:r w:rsidR="0031794D">
        <w:rPr>
          <w:lang w:eastAsia="en-US"/>
        </w:rPr>
        <w:t xml:space="preserve">Najznačajniji zdravstveni </w:t>
      </w:r>
      <w:r w:rsidR="00FC7DE9">
        <w:rPr>
          <w:lang w:eastAsia="en-US"/>
        </w:rPr>
        <w:t>rizici</w:t>
      </w:r>
      <w:r w:rsidR="00E05E0F">
        <w:rPr>
          <w:lang w:eastAsia="en-US"/>
        </w:rPr>
        <w:t xml:space="preserve"> vezani su uz neizolirane zgrade, </w:t>
      </w:r>
      <w:r w:rsidR="00670AD1">
        <w:rPr>
          <w:lang w:eastAsia="en-US"/>
        </w:rPr>
        <w:t>koje su zimi prehladne – takvim slučajevima</w:t>
      </w:r>
      <w:r w:rsidR="001C4723">
        <w:rPr>
          <w:lang w:eastAsia="en-US"/>
        </w:rPr>
        <w:t xml:space="preserve">, dva puta je vjerojatnije da će stanari </w:t>
      </w:r>
      <w:r w:rsidR="00047208">
        <w:rPr>
          <w:lang w:eastAsia="en-US"/>
        </w:rPr>
        <w:t>prijaviti loše zdravstveno stanje, izazvano upravo hladnoćom</w:t>
      </w:r>
      <w:r w:rsidR="00D46B04">
        <w:rPr>
          <w:lang w:eastAsia="en-US"/>
        </w:rPr>
        <w:t>, vlagom, propuhom</w:t>
      </w:r>
      <w:r w:rsidR="00E30267">
        <w:rPr>
          <w:lang w:eastAsia="en-US"/>
        </w:rPr>
        <w:t>, plijesni i dr.</w:t>
      </w:r>
      <w:r w:rsidR="00CC3638">
        <w:rPr>
          <w:rStyle w:val="Referencafusnote"/>
          <w:lang w:eastAsia="en-US"/>
        </w:rPr>
        <w:footnoteReference w:id="43"/>
      </w:r>
      <w:r w:rsidR="0004452B">
        <w:rPr>
          <w:lang w:eastAsia="en-US"/>
        </w:rPr>
        <w:t xml:space="preserve"> Energetskom obnovom zgrada </w:t>
      </w:r>
      <w:r w:rsidR="005F31FE">
        <w:rPr>
          <w:lang w:eastAsia="en-US"/>
        </w:rPr>
        <w:t xml:space="preserve">eliminiraju se ovi faktori rizika i poboljšava zdravstveno stanje populacije. </w:t>
      </w:r>
    </w:p>
    <w:p w14:paraId="6BD52FA0" w14:textId="6E1A6654" w:rsidR="00484216" w:rsidRDefault="00ED2A26" w:rsidP="00775814">
      <w:pPr>
        <w:rPr>
          <w:lang w:eastAsia="en-US"/>
        </w:rPr>
      </w:pPr>
      <w:r w:rsidRPr="009C52C4">
        <w:rPr>
          <w:lang w:eastAsia="en-US"/>
        </w:rPr>
        <w:t xml:space="preserve">Kada je riječ o energetskom siromaštvu, obnova zgrada ima veliki potencijal ušteda koje su relativno veće za siromašnija kućanstva. Prema pokazateljima siromaštva 2015., 9,9% osoba u Hrvatskoj živi u kućanstvima koja imaju problem s adekvatnim grijanjem, a 28,7% osoba živi u kućanstvima koja kasne s plaćanjem računa za režije. Energenti imaju važnu ulogu u tome, jer je prosječni godišnji izdatak kućanstva za električnu energiju, plin i ostala goriva prema Anketi o potrošnji kućanstava 2014. iznosio 8.569 HRK, što je činilo oko 10,5% godišnjih novčanih izdataka. Pritom treba imati u vidu da je taj udjel 2-3 puta veći u kućanstvima smještenima </w:t>
      </w:r>
      <w:r w:rsidRPr="00216EE9">
        <w:rPr>
          <w:lang w:eastAsia="en-US"/>
        </w:rPr>
        <w:t xml:space="preserve">u </w:t>
      </w:r>
      <w:r w:rsidR="001B0767" w:rsidRPr="00216EE9">
        <w:rPr>
          <w:lang w:eastAsia="en-US"/>
        </w:rPr>
        <w:t xml:space="preserve">donjem dijelu </w:t>
      </w:r>
      <w:r w:rsidRPr="00216EE9">
        <w:rPr>
          <w:lang w:eastAsia="en-US"/>
        </w:rPr>
        <w:t xml:space="preserve">distribucije dohotka </w:t>
      </w:r>
      <w:r w:rsidRPr="009C52C4">
        <w:rPr>
          <w:lang w:eastAsia="en-US"/>
        </w:rPr>
        <w:t>spram udjela u kućanstvima koja su smještena u gornjim dijelovima distribucije dohotka</w:t>
      </w:r>
      <w:r w:rsidR="00C9425C">
        <w:rPr>
          <w:lang w:eastAsia="en-US"/>
        </w:rPr>
        <w:t>, s</w:t>
      </w:r>
      <w:r w:rsidRPr="009C52C4">
        <w:rPr>
          <w:lang w:eastAsia="en-US"/>
        </w:rPr>
        <w:t>toga program obnove nacionalnog stambenog fonda ima velik potencijal smanjenja energetskog siromaštva</w:t>
      </w:r>
      <w:r w:rsidR="00517099">
        <w:rPr>
          <w:lang w:eastAsia="en-US"/>
        </w:rPr>
        <w:t>.</w:t>
      </w:r>
      <w:r w:rsidRPr="009C52C4">
        <w:rPr>
          <w:lang w:eastAsia="en-US"/>
        </w:rPr>
        <w:t xml:space="preserve"> </w:t>
      </w:r>
    </w:p>
    <w:p w14:paraId="6C9100A9" w14:textId="7686B1F2" w:rsidR="00ED2A26" w:rsidRPr="009C52C4" w:rsidRDefault="00ED2A26" w:rsidP="00775814">
      <w:pPr>
        <w:rPr>
          <w:lang w:eastAsia="en-US"/>
        </w:rPr>
      </w:pPr>
      <w:r w:rsidRPr="009C52C4">
        <w:rPr>
          <w:lang w:eastAsia="en-US"/>
        </w:rPr>
        <w:t>Sljedeća slika shematski prikazuje klasifikaciju procijenjenih i spomenutih učinaka obnove nacionalnog fonda zgrada (</w:t>
      </w:r>
      <w:r w:rsidR="00484216">
        <w:rPr>
          <w:lang w:eastAsia="en-US"/>
        </w:rPr>
        <w:fldChar w:fldCharType="begin"/>
      </w:r>
      <w:r w:rsidR="00484216">
        <w:rPr>
          <w:lang w:eastAsia="en-US"/>
        </w:rPr>
        <w:instrText xml:space="preserve"> REF _Ref24275751 \h </w:instrText>
      </w:r>
      <w:r w:rsidR="00484216">
        <w:rPr>
          <w:lang w:eastAsia="en-US"/>
        </w:rPr>
      </w:r>
      <w:r w:rsidR="00484216">
        <w:rPr>
          <w:lang w:eastAsia="en-US"/>
        </w:rPr>
        <w:fldChar w:fldCharType="separate"/>
      </w:r>
      <w:r w:rsidR="00CE61F3">
        <w:t xml:space="preserve">Slika </w:t>
      </w:r>
      <w:r w:rsidR="00CE61F3">
        <w:rPr>
          <w:noProof/>
        </w:rPr>
        <w:t>9</w:t>
      </w:r>
      <w:r w:rsidR="00CE61F3">
        <w:t>.</w:t>
      </w:r>
      <w:r w:rsidR="00CE61F3">
        <w:rPr>
          <w:noProof/>
        </w:rPr>
        <w:t>6</w:t>
      </w:r>
      <w:r w:rsidR="00484216">
        <w:rPr>
          <w:lang w:eastAsia="en-US"/>
        </w:rPr>
        <w:fldChar w:fldCharType="end"/>
      </w:r>
      <w:r w:rsidRPr="009C52C4">
        <w:rPr>
          <w:lang w:eastAsia="en-US"/>
        </w:rPr>
        <w:t>).</w:t>
      </w:r>
    </w:p>
    <w:p w14:paraId="11D35732" w14:textId="77777777" w:rsidR="00ED2A26" w:rsidRPr="009C52C4" w:rsidRDefault="002508DB" w:rsidP="00ED2A26">
      <w:pPr>
        <w:jc w:val="center"/>
        <w:rPr>
          <w:rFonts w:ascii="Times New Roman" w:hAnsi="Times New Roman" w:cs="Times New Roman"/>
          <w:sz w:val="24"/>
          <w:lang w:eastAsia="en-US"/>
        </w:rPr>
      </w:pPr>
      <w:r w:rsidRPr="002508DB">
        <w:rPr>
          <w:rFonts w:ascii="Times New Roman" w:hAnsi="Times New Roman" w:cs="Times New Roman"/>
          <w:noProof/>
          <w:sz w:val="24"/>
          <w:lang w:eastAsia="hr-HR"/>
        </w:rPr>
        <w:drawing>
          <wp:inline distT="0" distB="0" distL="0" distR="0" wp14:anchorId="3F1024AF" wp14:editId="695C1C8C">
            <wp:extent cx="5295900" cy="3219450"/>
            <wp:effectExtent l="0" t="0" r="0"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5900" cy="3219450"/>
                    </a:xfrm>
                    <a:prstGeom prst="rect">
                      <a:avLst/>
                    </a:prstGeom>
                    <a:noFill/>
                    <a:ln>
                      <a:noFill/>
                    </a:ln>
                  </pic:spPr>
                </pic:pic>
              </a:graphicData>
            </a:graphic>
          </wp:inline>
        </w:drawing>
      </w:r>
    </w:p>
    <w:p w14:paraId="73C4E01E" w14:textId="1EACC831" w:rsidR="00ED2A26" w:rsidRDefault="00484216" w:rsidP="00334A49">
      <w:pPr>
        <w:pStyle w:val="Opisslike"/>
        <w:jc w:val="center"/>
      </w:pPr>
      <w:bookmarkStart w:id="238" w:name="_Ref24275751"/>
      <w:bookmarkStart w:id="239" w:name="_Ref483404944"/>
      <w:bookmarkStart w:id="240" w:name="_Toc2681283"/>
      <w:bookmarkStart w:id="241" w:name="_Toc40089015"/>
      <w:r>
        <w:t xml:space="preserve">Slika </w:t>
      </w:r>
      <w:fldSimple w:instr=" STYLEREF 1 \s ">
        <w:r w:rsidR="00CE61F3">
          <w:rPr>
            <w:noProof/>
          </w:rPr>
          <w:t>9</w:t>
        </w:r>
      </w:fldSimple>
      <w:r w:rsidR="007245D7">
        <w:t>.</w:t>
      </w:r>
      <w:fldSimple w:instr=" SEQ Slika \* ARABIC \s 1 ">
        <w:r w:rsidR="00CE61F3">
          <w:rPr>
            <w:noProof/>
          </w:rPr>
          <w:t>6</w:t>
        </w:r>
      </w:fldSimple>
      <w:bookmarkEnd w:id="238"/>
      <w:r>
        <w:t xml:space="preserve"> </w:t>
      </w:r>
      <w:bookmarkEnd w:id="239"/>
      <w:r w:rsidR="00ED2A26" w:rsidRPr="00484216">
        <w:t>Shematski prikaz svih potencijalnih učinaka energetske obnove zgrada</w:t>
      </w:r>
      <w:bookmarkEnd w:id="240"/>
      <w:bookmarkEnd w:id="241"/>
    </w:p>
    <w:p w14:paraId="28ADD43F" w14:textId="77777777" w:rsidR="00146416" w:rsidRPr="00146416" w:rsidRDefault="00146416" w:rsidP="00146416"/>
    <w:p w14:paraId="258D9BAD" w14:textId="63C94EEE" w:rsidR="00827B0A" w:rsidRDefault="00827B0A" w:rsidP="00827B0A">
      <w:r>
        <w:br w:type="page"/>
      </w:r>
    </w:p>
    <w:p w14:paraId="0D988F44" w14:textId="77777777" w:rsidR="00CA43BA" w:rsidRDefault="00CA43BA" w:rsidP="008129E7">
      <w:pPr>
        <w:pStyle w:val="Naslov10"/>
      </w:pPr>
      <w:bookmarkStart w:id="242" w:name="_Toc34052925"/>
      <w:bookmarkStart w:id="243" w:name="_Toc46163861"/>
      <w:r w:rsidRPr="00CA43BA">
        <w:t>Zaštita od požara i rizika povezanih s pojačanom seizmičkom aktivnošću</w:t>
      </w:r>
      <w:bookmarkEnd w:id="242"/>
      <w:bookmarkEnd w:id="243"/>
    </w:p>
    <w:p w14:paraId="30BCEC4F" w14:textId="77777777" w:rsidR="00BF3489" w:rsidRDefault="00091F7C" w:rsidP="00275F71">
      <w:r w:rsidRPr="00275F71">
        <w:t xml:space="preserve">Direktiva </w:t>
      </w:r>
      <w:r w:rsidR="00275F71" w:rsidRPr="00275F71">
        <w:t xml:space="preserve">(EU) 2018/844 </w:t>
      </w:r>
      <w:r w:rsidR="00275F71">
        <w:t xml:space="preserve">u člancima </w:t>
      </w:r>
      <w:r w:rsidR="007718D2">
        <w:t>2a</w:t>
      </w:r>
      <w:r w:rsidR="00D360F5">
        <w:t xml:space="preserve"> </w:t>
      </w:r>
      <w:r w:rsidR="007718D2">
        <w:t xml:space="preserve">i 7 uvodi </w:t>
      </w:r>
      <w:r w:rsidR="00D360F5">
        <w:t xml:space="preserve">prostor za </w:t>
      </w:r>
      <w:r w:rsidR="00FD5667">
        <w:t xml:space="preserve">povezivanje Dugoročne strategije za poticanje ulaganja u obnovu nacionalnog fonda zgrada sa zahtjevima </w:t>
      </w:r>
      <w:r w:rsidR="00D360F5" w:rsidRPr="00D360F5">
        <w:t>zaštite od požara i rizika povezanih s pojačanom seizmičkom aktivnošću koji utječu na energetske obnove i životni vijek zgrada</w:t>
      </w:r>
      <w:r w:rsidR="00782786">
        <w:t xml:space="preserve">. </w:t>
      </w:r>
    </w:p>
    <w:p w14:paraId="5AC26CE9" w14:textId="6B69AD00" w:rsidR="00614E56" w:rsidRDefault="003B20F4" w:rsidP="00614E56">
      <w:r>
        <w:t xml:space="preserve">Zakonom o gradnji </w:t>
      </w:r>
      <w:r w:rsidRPr="00614E56">
        <w:fldChar w:fldCharType="begin"/>
      </w:r>
      <w:r w:rsidRPr="00614E56">
        <w:instrText xml:space="preserve"> CITATION Zak19 \l 1033 </w:instrText>
      </w:r>
      <w:r w:rsidRPr="00614E56">
        <w:fldChar w:fldCharType="separate"/>
      </w:r>
      <w:r w:rsidR="002D258B">
        <w:rPr>
          <w:noProof/>
        </w:rPr>
        <w:t xml:space="preserve"> </w:t>
      </w:r>
      <w:r w:rsidR="002D258B" w:rsidRPr="002D258B">
        <w:rPr>
          <w:noProof/>
        </w:rPr>
        <w:t>(2019)</w:t>
      </w:r>
      <w:r w:rsidRPr="00614E56">
        <w:fldChar w:fldCharType="end"/>
      </w:r>
      <w:r>
        <w:t xml:space="preserve"> </w:t>
      </w:r>
      <w:r w:rsidR="00614E56">
        <w:t xml:space="preserve">kroz bitne </w:t>
      </w:r>
      <w:r w:rsidR="00ED1FC8">
        <w:t>zahtjeve</w:t>
      </w:r>
      <w:r w:rsidR="00614E56">
        <w:t xml:space="preserve"> za građevinu osigurava se da </w:t>
      </w:r>
      <w:r w:rsidR="006A12DC">
        <w:t xml:space="preserve">se </w:t>
      </w:r>
      <w:r w:rsidR="00614E56">
        <w:t>u slučaju požara</w:t>
      </w:r>
      <w:r w:rsidR="006A12DC">
        <w:t xml:space="preserve">: </w:t>
      </w:r>
    </w:p>
    <w:p w14:paraId="6FD91B28" w14:textId="77777777" w:rsidR="006A12DC" w:rsidRDefault="006A12DC" w:rsidP="00853D9C">
      <w:pPr>
        <w:pStyle w:val="Odlomakpopisa"/>
        <w:numPr>
          <w:ilvl w:val="0"/>
          <w:numId w:val="49"/>
        </w:numPr>
      </w:pPr>
      <w:r>
        <w:t>osigura nosivost konstrukcije tijekom određenog vremena utvrđena posebnim propisom</w:t>
      </w:r>
    </w:p>
    <w:p w14:paraId="76F3B8AD" w14:textId="77777777" w:rsidR="006A12DC" w:rsidRDefault="006A12DC" w:rsidP="00853D9C">
      <w:pPr>
        <w:pStyle w:val="Odlomakpopisa"/>
        <w:numPr>
          <w:ilvl w:val="0"/>
          <w:numId w:val="49"/>
        </w:numPr>
      </w:pPr>
      <w:r>
        <w:t>spriječi širenje vatre i dima unutar građevine</w:t>
      </w:r>
    </w:p>
    <w:p w14:paraId="7F00BB75" w14:textId="77777777" w:rsidR="006A12DC" w:rsidRDefault="006A12DC" w:rsidP="00853D9C">
      <w:pPr>
        <w:pStyle w:val="Odlomakpopisa"/>
        <w:numPr>
          <w:ilvl w:val="0"/>
          <w:numId w:val="49"/>
        </w:numPr>
      </w:pPr>
      <w:r>
        <w:t>spriječi širenje vatre na susjedne građevine</w:t>
      </w:r>
    </w:p>
    <w:p w14:paraId="5A246606" w14:textId="77777777" w:rsidR="006A12DC" w:rsidRDefault="006A12DC" w:rsidP="00853D9C">
      <w:pPr>
        <w:pStyle w:val="Odlomakpopisa"/>
        <w:numPr>
          <w:ilvl w:val="0"/>
          <w:numId w:val="49"/>
        </w:numPr>
      </w:pPr>
      <w:r>
        <w:t>omogući da osobe mogu neozlijeđene napustiti građevinu, odnosno da se omogući njihovo spašavanje</w:t>
      </w:r>
    </w:p>
    <w:p w14:paraId="416ACB06" w14:textId="77777777" w:rsidR="006A12DC" w:rsidRDefault="006A12DC" w:rsidP="00853D9C">
      <w:pPr>
        <w:pStyle w:val="Odlomakpopisa"/>
        <w:numPr>
          <w:ilvl w:val="0"/>
          <w:numId w:val="49"/>
        </w:numPr>
      </w:pPr>
      <w:r>
        <w:t xml:space="preserve">omogući zaštita spašavatelja. </w:t>
      </w:r>
    </w:p>
    <w:p w14:paraId="0E8DC7E5" w14:textId="4B7F9798" w:rsidR="00953BCC" w:rsidRDefault="00063CA4" w:rsidP="00544070">
      <w:r w:rsidRPr="00063CA4">
        <w:t>P</w:t>
      </w:r>
      <w:r>
        <w:t xml:space="preserve">ravilnikom o otpornosti na požar </w:t>
      </w:r>
      <w:r w:rsidR="00293A34">
        <w:t xml:space="preserve">i drugim zahtjevima koje građevine moraju zadovoljiti u </w:t>
      </w:r>
      <w:r w:rsidR="00F638B1">
        <w:t xml:space="preserve">slučaju požara NN </w:t>
      </w:r>
      <w:r w:rsidR="00651901" w:rsidRPr="00651901">
        <w:t xml:space="preserve"> 29/13 i 87/15</w:t>
      </w:r>
      <w:r w:rsidR="00651901">
        <w:t xml:space="preserve"> </w:t>
      </w:r>
      <w:r w:rsidR="00987FD7">
        <w:t>detaljnije</w:t>
      </w:r>
      <w:r w:rsidR="0083685C">
        <w:t xml:space="preserve"> se</w:t>
      </w:r>
      <w:r w:rsidR="00987FD7">
        <w:t xml:space="preserve"> </w:t>
      </w:r>
      <w:r w:rsidR="0083685C" w:rsidRPr="0083685C">
        <w:t xml:space="preserve">propisuje otpornost na požar te drugi zahtjevi koje </w:t>
      </w:r>
      <w:r w:rsidR="00161AA1" w:rsidRPr="00161AA1">
        <w:t>građevina mora zadovoljiti u slučaju požara u svrhu sprječavanja širenja vatre i dima unutar građevine, sprječavanja širenja požara na susjedne građevine, omogućavanja da osobe mogu neozlijeđene napustiti građevinu, odnosno osiguravanje njihovog spašavanja i zaštite spašavatelja kod projektiranja i građenja novih građevina, i kod rekonstrukcija (projektiranja i građenja), ali se ne odnose na građevine upisane u Registar kulturnih dobara Republike Hrvatske ili građevine koje se nalaze u kulturno-povijesnoj cjelini upisane u taj Registar. Isto tako, nisu dani zahtjevi za postojeće zgrade, osobito za energetsku obnovu zgrada. Potrebno je propisati uvjete za postojeće zgrade koji ne mogu biti isti kao za nove zgrade (jer većina zgrada nema odijeljene požarne sektore) u pogledu mogućnosti postavljanja vrsta toplinske izolacije na fasadu (prekidne udaljenosti) i uvjeta zaštite od požara za ugradnju dizala u postojeće zgrade koji povećavaju požarno opterećenje unutar zgrade.</w:t>
      </w:r>
      <w:r w:rsidR="00161AA1">
        <w:t xml:space="preserve"> </w:t>
      </w:r>
      <w:r w:rsidR="00544070" w:rsidRPr="00544070">
        <w:t xml:space="preserve">Određeni napredak postignut je propisivanjem prikaza svih primijenjenih mjera zaštite od požara </w:t>
      </w:r>
      <w:r w:rsidR="00E3290C" w:rsidRPr="00544070">
        <w:t>koji podrazumijeva organizacijske mjere i radnje za otklanjanje opasnosti od nastanka požara u građevini, rano otkrivanje požara u građevini, obavješćivanje korisnika građevine o izbijanju požara, sprječavanje širenja požara i dima u građevini te učinkovito gašenje požara u građevini, sigurno spašavanje ljudi i životinja ugroženih požarom građevine, sprječavanje i smanjenje štetnih posljedica požara u građevini</w:t>
      </w:r>
      <w:r w:rsidR="00E3290C">
        <w:t xml:space="preserve">, </w:t>
      </w:r>
      <w:r w:rsidR="00544070" w:rsidRPr="00544070">
        <w:t xml:space="preserve">u svim dijelovima glavnog projekta (za građevinu razvrstanu u 1., 2.a ili 2.b skupinu građevina za koju se prema posebnom propisu utvrđuju posebni uvjeti zaštite od požara) Zakonom o gradnji („Narodne novine“ broj 153/13, 20/17, 39/19, 125/19) i Pravilnikom o obveznom sadržaju i opremanju projekata građevina („Narodne novine“ broj 118/19). </w:t>
      </w:r>
    </w:p>
    <w:p w14:paraId="2084742D" w14:textId="6ACECA29" w:rsidR="00701744" w:rsidRDefault="00701744" w:rsidP="00CD5C12">
      <w:pPr>
        <w:pStyle w:val="Default"/>
        <w:jc w:val="both"/>
        <w:rPr>
          <w:rFonts w:ascii="Tahoma" w:hAnsi="Tahoma" w:cs="Myriad Pro"/>
          <w:color w:val="auto"/>
          <w:sz w:val="20"/>
          <w:lang w:eastAsia="de-DE"/>
        </w:rPr>
      </w:pPr>
      <w:r w:rsidRPr="00701744">
        <w:rPr>
          <w:rFonts w:ascii="Tahoma" w:hAnsi="Tahoma" w:cs="Myriad Pro"/>
          <w:color w:val="auto"/>
          <w:sz w:val="20"/>
          <w:lang w:eastAsia="de-DE"/>
        </w:rPr>
        <w:t>Energetska obnova zgrada pre</w:t>
      </w:r>
      <w:r w:rsidR="00A561A6">
        <w:rPr>
          <w:rFonts w:ascii="Tahoma" w:hAnsi="Tahoma" w:cs="Myriad Pro"/>
          <w:color w:val="auto"/>
          <w:sz w:val="20"/>
          <w:lang w:eastAsia="de-DE"/>
        </w:rPr>
        <w:t xml:space="preserve">dstavlja značajnu intervenciju na zgradi. Trenutačno </w:t>
      </w:r>
      <w:r w:rsidR="00B723BB">
        <w:rPr>
          <w:rFonts w:ascii="Tahoma" w:hAnsi="Tahoma" w:cs="Myriad Pro"/>
          <w:color w:val="auto"/>
          <w:sz w:val="20"/>
          <w:lang w:eastAsia="de-DE"/>
        </w:rPr>
        <w:t xml:space="preserve">zakonsko </w:t>
      </w:r>
      <w:r w:rsidR="00A561A6">
        <w:rPr>
          <w:rFonts w:ascii="Tahoma" w:hAnsi="Tahoma" w:cs="Myriad Pro"/>
          <w:color w:val="auto"/>
          <w:sz w:val="20"/>
          <w:lang w:eastAsia="de-DE"/>
        </w:rPr>
        <w:t xml:space="preserve">rješenje kojim se </w:t>
      </w:r>
      <w:r w:rsidR="00B723BB">
        <w:rPr>
          <w:rFonts w:ascii="Tahoma" w:hAnsi="Tahoma" w:cs="Myriad Pro"/>
          <w:color w:val="auto"/>
          <w:sz w:val="20"/>
          <w:lang w:eastAsia="de-DE"/>
        </w:rPr>
        <w:t>značajan broj energetskih obnova zbog pojednostavljenja procedura i ubrzanja postupaka</w:t>
      </w:r>
      <w:r w:rsidR="001A19C9">
        <w:rPr>
          <w:rFonts w:ascii="Tahoma" w:hAnsi="Tahoma" w:cs="Myriad Pro"/>
          <w:color w:val="auto"/>
          <w:sz w:val="20"/>
          <w:lang w:eastAsia="de-DE"/>
        </w:rPr>
        <w:t xml:space="preserve"> provodi </w:t>
      </w:r>
      <w:r w:rsidR="00B723BB">
        <w:rPr>
          <w:rFonts w:ascii="Tahoma" w:hAnsi="Tahoma" w:cs="Myriad Pro"/>
          <w:color w:val="auto"/>
          <w:sz w:val="20"/>
          <w:lang w:eastAsia="de-DE"/>
        </w:rPr>
        <w:t xml:space="preserve"> </w:t>
      </w:r>
      <w:r w:rsidR="00023590">
        <w:rPr>
          <w:rFonts w:ascii="Tahoma" w:hAnsi="Tahoma" w:cs="Myriad Pro"/>
          <w:color w:val="auto"/>
          <w:sz w:val="20"/>
          <w:lang w:eastAsia="de-DE"/>
        </w:rPr>
        <w:t xml:space="preserve">prema </w:t>
      </w:r>
      <w:r w:rsidR="008D3F0E">
        <w:rPr>
          <w:rFonts w:ascii="Tahoma" w:hAnsi="Tahoma" w:cs="Myriad Pro"/>
          <w:color w:val="auto"/>
          <w:sz w:val="20"/>
          <w:lang w:eastAsia="de-DE"/>
        </w:rPr>
        <w:t xml:space="preserve">Pravilniku o jednostavnim i drugim radovima i građevinama </w:t>
      </w:r>
      <w:r w:rsidR="008D3F0E" w:rsidRPr="008D3F0E">
        <w:rPr>
          <w:rFonts w:ascii="Tahoma" w:hAnsi="Tahoma" w:cs="Myriad Pro"/>
          <w:color w:val="auto"/>
          <w:sz w:val="20"/>
          <w:lang w:eastAsia="de-DE"/>
        </w:rPr>
        <w:t>112/2017, NN 34/2018, NN 36/2019, NN 98/2019</w:t>
      </w:r>
      <w:r w:rsidR="008D3F0E">
        <w:rPr>
          <w:rFonts w:ascii="Tahoma" w:hAnsi="Tahoma" w:cs="Myriad Pro"/>
          <w:color w:val="auto"/>
          <w:sz w:val="20"/>
          <w:lang w:eastAsia="de-DE"/>
        </w:rPr>
        <w:t xml:space="preserve"> </w:t>
      </w:r>
      <w:r w:rsidR="008D3F0E" w:rsidRPr="008D3F0E">
        <w:rPr>
          <w:rFonts w:ascii="Tahoma" w:hAnsi="Tahoma" w:cs="Myriad Pro"/>
          <w:color w:val="auto"/>
          <w:sz w:val="20"/>
          <w:lang w:eastAsia="de-DE"/>
        </w:rPr>
        <w:fldChar w:fldCharType="begin"/>
      </w:r>
      <w:r w:rsidR="008D3F0E" w:rsidRPr="008D3F0E">
        <w:rPr>
          <w:rFonts w:ascii="Tahoma" w:hAnsi="Tahoma" w:cs="Myriad Pro"/>
          <w:color w:val="auto"/>
          <w:sz w:val="20"/>
          <w:lang w:eastAsia="de-DE"/>
        </w:rPr>
        <w:instrText xml:space="preserve"> CITATION Pra19 \l 1033 </w:instrText>
      </w:r>
      <w:r w:rsidR="008D3F0E" w:rsidRPr="008D3F0E">
        <w:rPr>
          <w:rFonts w:ascii="Tahoma" w:hAnsi="Tahoma" w:cs="Myriad Pro"/>
          <w:color w:val="auto"/>
          <w:sz w:val="20"/>
          <w:lang w:eastAsia="de-DE"/>
        </w:rPr>
        <w:fldChar w:fldCharType="separate"/>
      </w:r>
      <w:r w:rsidR="002D258B">
        <w:rPr>
          <w:rFonts w:ascii="Tahoma" w:hAnsi="Tahoma" w:cs="Myriad Pro"/>
          <w:noProof/>
          <w:color w:val="auto"/>
          <w:sz w:val="20"/>
          <w:lang w:eastAsia="de-DE"/>
        </w:rPr>
        <w:t xml:space="preserve"> </w:t>
      </w:r>
      <w:r w:rsidR="002D258B" w:rsidRPr="002D258B">
        <w:rPr>
          <w:rFonts w:ascii="Tahoma" w:hAnsi="Tahoma" w:cs="Myriad Pro"/>
          <w:noProof/>
          <w:color w:val="auto"/>
          <w:sz w:val="20"/>
          <w:lang w:eastAsia="de-DE"/>
        </w:rPr>
        <w:t>(2019)</w:t>
      </w:r>
      <w:r w:rsidR="008D3F0E" w:rsidRPr="008D3F0E">
        <w:rPr>
          <w:rFonts w:ascii="Tahoma" w:hAnsi="Tahoma" w:cs="Myriad Pro"/>
          <w:color w:val="auto"/>
          <w:sz w:val="20"/>
          <w:lang w:eastAsia="de-DE"/>
        </w:rPr>
        <w:fldChar w:fldCharType="end"/>
      </w:r>
      <w:r w:rsidR="008D3F0E">
        <w:rPr>
          <w:rFonts w:ascii="Tahoma" w:hAnsi="Tahoma" w:cs="Myriad Pro"/>
          <w:color w:val="auto"/>
          <w:sz w:val="20"/>
          <w:lang w:eastAsia="de-DE"/>
        </w:rPr>
        <w:t xml:space="preserve"> </w:t>
      </w:r>
      <w:r w:rsidR="001A19C9">
        <w:rPr>
          <w:rFonts w:ascii="Tahoma" w:hAnsi="Tahoma" w:cs="Myriad Pro"/>
          <w:color w:val="auto"/>
          <w:sz w:val="20"/>
          <w:lang w:eastAsia="de-DE"/>
        </w:rPr>
        <w:t>dovodi do izvođenja</w:t>
      </w:r>
      <w:r w:rsidR="00044CAA" w:rsidRPr="00044CAA">
        <w:rPr>
          <w:rFonts w:ascii="Tahoma" w:hAnsi="Tahoma" w:cs="Myriad Pro"/>
          <w:color w:val="auto"/>
          <w:sz w:val="20"/>
          <w:lang w:eastAsia="de-DE"/>
        </w:rPr>
        <w:t xml:space="preserve"> radov</w:t>
      </w:r>
      <w:r w:rsidR="001A19C9">
        <w:rPr>
          <w:rFonts w:ascii="Tahoma" w:hAnsi="Tahoma" w:cs="Myriad Pro"/>
          <w:color w:val="auto"/>
          <w:sz w:val="20"/>
          <w:lang w:eastAsia="de-DE"/>
        </w:rPr>
        <w:t>a</w:t>
      </w:r>
      <w:r w:rsidR="00D40294">
        <w:rPr>
          <w:rFonts w:ascii="Tahoma" w:hAnsi="Tahoma" w:cs="Myriad Pro"/>
          <w:color w:val="auto"/>
          <w:sz w:val="20"/>
          <w:lang w:eastAsia="de-DE"/>
        </w:rPr>
        <w:t xml:space="preserve"> b</w:t>
      </w:r>
      <w:r w:rsidR="00D40294" w:rsidRPr="00044CAA">
        <w:rPr>
          <w:rFonts w:ascii="Tahoma" w:hAnsi="Tahoma" w:cs="Myriad Pro"/>
          <w:color w:val="auto"/>
          <w:sz w:val="20"/>
          <w:lang w:eastAsia="de-DE"/>
        </w:rPr>
        <w:t>ez građevinske dozvole i glavnog projekta,</w:t>
      </w:r>
      <w:r w:rsidR="00D40294">
        <w:rPr>
          <w:rFonts w:ascii="Tahoma" w:hAnsi="Tahoma" w:cs="Myriad Pro"/>
          <w:color w:val="auto"/>
          <w:sz w:val="20"/>
          <w:lang w:eastAsia="de-DE"/>
        </w:rPr>
        <w:t xml:space="preserve"> </w:t>
      </w:r>
      <w:r w:rsidR="005D2477">
        <w:rPr>
          <w:rFonts w:ascii="Tahoma" w:hAnsi="Tahoma" w:cs="Myriad Pro"/>
          <w:color w:val="auto"/>
          <w:sz w:val="20"/>
          <w:lang w:eastAsia="de-DE"/>
        </w:rPr>
        <w:t xml:space="preserve">odnosno </w:t>
      </w:r>
      <w:r w:rsidR="005D5E2E">
        <w:rPr>
          <w:rFonts w:ascii="Tahoma" w:hAnsi="Tahoma" w:cs="Myriad Pro"/>
          <w:color w:val="auto"/>
          <w:sz w:val="20"/>
          <w:lang w:eastAsia="de-DE"/>
        </w:rPr>
        <w:t>radov</w:t>
      </w:r>
      <w:r w:rsidR="001A19C9">
        <w:rPr>
          <w:rFonts w:ascii="Tahoma" w:hAnsi="Tahoma" w:cs="Myriad Pro"/>
          <w:color w:val="auto"/>
          <w:sz w:val="20"/>
          <w:lang w:eastAsia="de-DE"/>
        </w:rPr>
        <w:t>a</w:t>
      </w:r>
      <w:r w:rsidR="005D5E2E">
        <w:rPr>
          <w:rFonts w:ascii="Tahoma" w:hAnsi="Tahoma" w:cs="Myriad Pro"/>
          <w:color w:val="auto"/>
          <w:sz w:val="20"/>
          <w:lang w:eastAsia="de-DE"/>
        </w:rPr>
        <w:t xml:space="preserve"> prema glavnom projektu bez građevinske dozvole</w:t>
      </w:r>
      <w:r w:rsidR="001A19C9">
        <w:rPr>
          <w:rFonts w:ascii="Tahoma" w:hAnsi="Tahoma" w:cs="Myriad Pro"/>
          <w:color w:val="auto"/>
          <w:sz w:val="20"/>
          <w:lang w:eastAsia="de-DE"/>
        </w:rPr>
        <w:t xml:space="preserve"> i</w:t>
      </w:r>
      <w:r w:rsidR="005D5E2E">
        <w:rPr>
          <w:rFonts w:ascii="Tahoma" w:hAnsi="Tahoma" w:cs="Myriad Pro"/>
          <w:color w:val="auto"/>
          <w:sz w:val="20"/>
          <w:lang w:eastAsia="de-DE"/>
        </w:rPr>
        <w:t xml:space="preserve"> </w:t>
      </w:r>
      <w:r w:rsidR="001A19C9">
        <w:rPr>
          <w:rFonts w:ascii="Tahoma" w:hAnsi="Tahoma" w:cs="Myriad Pro"/>
          <w:color w:val="auto"/>
          <w:sz w:val="20"/>
          <w:lang w:eastAsia="de-DE"/>
        </w:rPr>
        <w:t>uključuje</w:t>
      </w:r>
      <w:r w:rsidR="00BE71D9">
        <w:rPr>
          <w:rFonts w:ascii="Tahoma" w:hAnsi="Tahoma" w:cs="Myriad Pro"/>
          <w:color w:val="auto"/>
          <w:sz w:val="20"/>
          <w:lang w:eastAsia="de-DE"/>
        </w:rPr>
        <w:t xml:space="preserve"> odgovornost </w:t>
      </w:r>
      <w:r w:rsidR="001A19C9">
        <w:rPr>
          <w:rFonts w:ascii="Tahoma" w:hAnsi="Tahoma" w:cs="Myriad Pro"/>
          <w:color w:val="auto"/>
          <w:sz w:val="20"/>
          <w:lang w:eastAsia="de-DE"/>
        </w:rPr>
        <w:t>sudionika</w:t>
      </w:r>
      <w:r w:rsidR="00BE71D9">
        <w:rPr>
          <w:rFonts w:ascii="Tahoma" w:hAnsi="Tahoma" w:cs="Myriad Pro"/>
          <w:color w:val="auto"/>
          <w:sz w:val="20"/>
          <w:lang w:eastAsia="de-DE"/>
        </w:rPr>
        <w:t xml:space="preserve"> u procesu gradnje. </w:t>
      </w:r>
    </w:p>
    <w:p w14:paraId="1469A197" w14:textId="300755BC" w:rsidR="00CF7B0D" w:rsidRDefault="00331932" w:rsidP="00CD5C12">
      <w:pPr>
        <w:pStyle w:val="Default"/>
        <w:jc w:val="both"/>
        <w:rPr>
          <w:rFonts w:ascii="Tahoma" w:hAnsi="Tahoma" w:cs="Myriad Pro"/>
          <w:color w:val="auto"/>
          <w:sz w:val="20"/>
          <w:lang w:eastAsia="de-DE"/>
        </w:rPr>
      </w:pPr>
      <w:r>
        <w:rPr>
          <w:rFonts w:ascii="Tahoma" w:hAnsi="Tahoma" w:cs="Myriad Pro"/>
          <w:color w:val="auto"/>
          <w:sz w:val="20"/>
          <w:lang w:eastAsia="de-DE"/>
        </w:rPr>
        <w:t xml:space="preserve">Poticanjem integralne obnove zgrada </w:t>
      </w:r>
      <w:r w:rsidR="00884A4C">
        <w:rPr>
          <w:rFonts w:ascii="Tahoma" w:hAnsi="Tahoma" w:cs="Myriad Pro"/>
          <w:color w:val="auto"/>
          <w:sz w:val="20"/>
          <w:lang w:eastAsia="de-DE"/>
        </w:rPr>
        <w:t xml:space="preserve">povećava se </w:t>
      </w:r>
      <w:r w:rsidR="006F09C2">
        <w:rPr>
          <w:rFonts w:ascii="Tahoma" w:hAnsi="Tahoma" w:cs="Myriad Pro"/>
          <w:color w:val="auto"/>
          <w:sz w:val="20"/>
          <w:lang w:eastAsia="de-DE"/>
        </w:rPr>
        <w:t xml:space="preserve">obuhvat </w:t>
      </w:r>
      <w:r w:rsidR="00CF7B0D">
        <w:rPr>
          <w:rFonts w:ascii="Tahoma" w:hAnsi="Tahoma" w:cs="Myriad Pro"/>
          <w:color w:val="auto"/>
          <w:sz w:val="20"/>
          <w:lang w:eastAsia="de-DE"/>
        </w:rPr>
        <w:t>analiza</w:t>
      </w:r>
      <w:r w:rsidR="006F09C2">
        <w:rPr>
          <w:rFonts w:ascii="Tahoma" w:hAnsi="Tahoma" w:cs="Myriad Pro"/>
          <w:color w:val="auto"/>
          <w:sz w:val="20"/>
          <w:lang w:eastAsia="de-DE"/>
        </w:rPr>
        <w:t xml:space="preserve"> i kvaliteta rješenja zaštite od požara</w:t>
      </w:r>
      <w:r w:rsidR="00CD5C12">
        <w:rPr>
          <w:rFonts w:ascii="Tahoma" w:hAnsi="Tahoma" w:cs="Myriad Pro"/>
          <w:color w:val="auto"/>
          <w:sz w:val="20"/>
          <w:lang w:eastAsia="de-DE"/>
        </w:rPr>
        <w:t xml:space="preserve">. </w:t>
      </w:r>
      <w:r w:rsidR="00ED3EDD">
        <w:rPr>
          <w:rFonts w:ascii="Tahoma" w:hAnsi="Tahoma" w:cs="Myriad Pro"/>
          <w:color w:val="auto"/>
          <w:sz w:val="20"/>
          <w:lang w:eastAsia="de-DE"/>
        </w:rPr>
        <w:t xml:space="preserve">S obzirom na moguće načine uporabe zgrada i ranjivost </w:t>
      </w:r>
      <w:r w:rsidR="00ED1FC8">
        <w:rPr>
          <w:rFonts w:ascii="Tahoma" w:hAnsi="Tahoma" w:cs="Myriad Pro"/>
          <w:color w:val="auto"/>
          <w:sz w:val="20"/>
          <w:lang w:eastAsia="de-DE"/>
        </w:rPr>
        <w:t xml:space="preserve">pojedinačnih </w:t>
      </w:r>
      <w:r w:rsidR="00ED3EDD">
        <w:rPr>
          <w:rFonts w:ascii="Tahoma" w:hAnsi="Tahoma" w:cs="Myriad Pro"/>
          <w:color w:val="auto"/>
          <w:sz w:val="20"/>
          <w:lang w:eastAsia="de-DE"/>
        </w:rPr>
        <w:t xml:space="preserve">skupina korisnika, </w:t>
      </w:r>
      <w:r w:rsidR="00366606">
        <w:rPr>
          <w:rFonts w:ascii="Tahoma" w:hAnsi="Tahoma" w:cs="Myriad Pro"/>
          <w:color w:val="auto"/>
          <w:sz w:val="20"/>
          <w:lang w:eastAsia="de-DE"/>
        </w:rPr>
        <w:t xml:space="preserve">uz primjenu </w:t>
      </w:r>
      <w:r w:rsidR="0039575A">
        <w:rPr>
          <w:rFonts w:ascii="Tahoma" w:hAnsi="Tahoma" w:cs="Myriad Pro"/>
          <w:color w:val="auto"/>
          <w:sz w:val="20"/>
          <w:lang w:eastAsia="de-DE"/>
        </w:rPr>
        <w:t>minimalnih zahtjeva na sadržaj projektne dokumentacije</w:t>
      </w:r>
      <w:r w:rsidR="008D4D59">
        <w:rPr>
          <w:rFonts w:ascii="Tahoma" w:hAnsi="Tahoma" w:cs="Myriad Pro"/>
          <w:color w:val="auto"/>
          <w:sz w:val="20"/>
          <w:lang w:eastAsia="de-DE"/>
        </w:rPr>
        <w:t>, p</w:t>
      </w:r>
      <w:r w:rsidR="005A56AF">
        <w:rPr>
          <w:rFonts w:ascii="Tahoma" w:hAnsi="Tahoma" w:cs="Myriad Pro"/>
          <w:color w:val="auto"/>
          <w:sz w:val="20"/>
          <w:lang w:eastAsia="de-DE"/>
        </w:rPr>
        <w:t xml:space="preserve">roširenje obuhvata prethodnih analiza </w:t>
      </w:r>
      <w:r w:rsidR="00E429D9">
        <w:rPr>
          <w:rFonts w:ascii="Tahoma" w:hAnsi="Tahoma" w:cs="Myriad Pro"/>
          <w:color w:val="auto"/>
          <w:sz w:val="20"/>
          <w:lang w:eastAsia="de-DE"/>
        </w:rPr>
        <w:t xml:space="preserve">u pogledu zaštite od požara i </w:t>
      </w:r>
      <w:r w:rsidR="008C370A">
        <w:rPr>
          <w:rFonts w:ascii="Tahoma" w:hAnsi="Tahoma" w:cs="Myriad Pro"/>
          <w:color w:val="auto"/>
          <w:sz w:val="20"/>
          <w:lang w:eastAsia="de-DE"/>
        </w:rPr>
        <w:t>seizmičkih aktivnosti obuhva</w:t>
      </w:r>
      <w:r w:rsidR="00F8644F">
        <w:rPr>
          <w:rFonts w:ascii="Tahoma" w:hAnsi="Tahoma" w:cs="Myriad Pro"/>
          <w:color w:val="auto"/>
          <w:sz w:val="20"/>
          <w:lang w:eastAsia="de-DE"/>
        </w:rPr>
        <w:t xml:space="preserve">ća se opravdanim troškovima energetske obnove. </w:t>
      </w:r>
    </w:p>
    <w:p w14:paraId="44446B06" w14:textId="77777777" w:rsidR="00146EDB" w:rsidRDefault="00146EDB" w:rsidP="00CD5C12">
      <w:pPr>
        <w:pStyle w:val="Default"/>
        <w:jc w:val="both"/>
        <w:rPr>
          <w:rFonts w:ascii="Tahoma" w:hAnsi="Tahoma" w:cs="Myriad Pro"/>
          <w:color w:val="auto"/>
          <w:sz w:val="20"/>
          <w:lang w:eastAsia="de-DE"/>
        </w:rPr>
      </w:pPr>
    </w:p>
    <w:p w14:paraId="3368DD05" w14:textId="2470EAA9" w:rsidR="00373887" w:rsidRDefault="00FB256E" w:rsidP="00CD5C12">
      <w:pPr>
        <w:pStyle w:val="Default"/>
        <w:jc w:val="both"/>
        <w:rPr>
          <w:rFonts w:ascii="Tahoma" w:hAnsi="Tahoma" w:cs="Myriad Pro"/>
          <w:color w:val="auto"/>
          <w:sz w:val="20"/>
          <w:lang w:eastAsia="de-DE"/>
        </w:rPr>
      </w:pPr>
      <w:r>
        <w:rPr>
          <w:rFonts w:ascii="Tahoma" w:hAnsi="Tahoma" w:cs="Myriad Pro"/>
          <w:color w:val="auto"/>
          <w:sz w:val="20"/>
          <w:lang w:eastAsia="de-DE"/>
        </w:rPr>
        <w:t xml:space="preserve">Minimalni uvjeti za nove zgrade u pogledu zaštite od požara i rizika povezanih s pojačanom seizmičkom aktivnošću su u nekim slučajevima neprimjenjivi na postojeće zgrade. Iako </w:t>
      </w:r>
      <w:r w:rsidR="008357BF">
        <w:rPr>
          <w:rFonts w:ascii="Tahoma" w:hAnsi="Tahoma" w:cs="Myriad Pro"/>
          <w:color w:val="auto"/>
          <w:sz w:val="20"/>
          <w:lang w:eastAsia="de-DE"/>
        </w:rPr>
        <w:t xml:space="preserve">je u modelu razvoja fonda zgrada </w:t>
      </w:r>
      <w:r w:rsidR="002833F5">
        <w:rPr>
          <w:rFonts w:ascii="Tahoma" w:hAnsi="Tahoma" w:cs="Myriad Pro"/>
          <w:color w:val="auto"/>
          <w:sz w:val="20"/>
          <w:lang w:eastAsia="de-DE"/>
        </w:rPr>
        <w:t>do 2050. godine vidljivo da dolazi do intenzivnije zamjene zgrada</w:t>
      </w:r>
      <w:r w:rsidR="00112CAE">
        <w:rPr>
          <w:rFonts w:ascii="Tahoma" w:hAnsi="Tahoma" w:cs="Myriad Pro"/>
          <w:color w:val="auto"/>
          <w:sz w:val="20"/>
          <w:lang w:eastAsia="de-DE"/>
        </w:rPr>
        <w:t xml:space="preserve">, model </w:t>
      </w:r>
      <w:r w:rsidR="00955BC1">
        <w:rPr>
          <w:rFonts w:ascii="Tahoma" w:hAnsi="Tahoma" w:cs="Myriad Pro"/>
          <w:color w:val="auto"/>
          <w:sz w:val="20"/>
          <w:lang w:eastAsia="de-DE"/>
        </w:rPr>
        <w:t xml:space="preserve">prethodne procjene održivosti zgrade </w:t>
      </w:r>
      <w:r w:rsidR="00563CF6">
        <w:rPr>
          <w:rFonts w:ascii="Tahoma" w:hAnsi="Tahoma" w:cs="Myriad Pro"/>
          <w:color w:val="auto"/>
          <w:sz w:val="20"/>
          <w:lang w:eastAsia="de-DE"/>
        </w:rPr>
        <w:t>ni</w:t>
      </w:r>
      <w:r w:rsidR="00B22048">
        <w:rPr>
          <w:rFonts w:ascii="Tahoma" w:hAnsi="Tahoma" w:cs="Myriad Pro"/>
          <w:color w:val="auto"/>
          <w:sz w:val="20"/>
          <w:lang w:eastAsia="de-DE"/>
        </w:rPr>
        <w:t>j</w:t>
      </w:r>
      <w:r w:rsidR="00955BC1">
        <w:rPr>
          <w:rFonts w:ascii="Tahoma" w:hAnsi="Tahoma" w:cs="Myriad Pro"/>
          <w:color w:val="auto"/>
          <w:sz w:val="20"/>
          <w:lang w:eastAsia="de-DE"/>
        </w:rPr>
        <w:t xml:space="preserve">e primjenjiv </w:t>
      </w:r>
      <w:r w:rsidR="005F6761">
        <w:rPr>
          <w:rFonts w:ascii="Tahoma" w:hAnsi="Tahoma" w:cs="Myriad Pro"/>
          <w:color w:val="auto"/>
          <w:sz w:val="20"/>
          <w:lang w:eastAsia="de-DE"/>
        </w:rPr>
        <w:t xml:space="preserve">(već prema </w:t>
      </w:r>
      <w:r w:rsidR="00C2554F">
        <w:rPr>
          <w:rFonts w:ascii="Tahoma" w:hAnsi="Tahoma" w:cs="Myriad Pro"/>
          <w:color w:val="auto"/>
          <w:sz w:val="20"/>
          <w:lang w:eastAsia="de-DE"/>
        </w:rPr>
        <w:t>Z</w:t>
      </w:r>
      <w:r w:rsidR="005F6761">
        <w:rPr>
          <w:rFonts w:ascii="Tahoma" w:hAnsi="Tahoma" w:cs="Myriad Pro"/>
          <w:color w:val="auto"/>
          <w:sz w:val="20"/>
          <w:lang w:eastAsia="de-DE"/>
        </w:rPr>
        <w:t xml:space="preserve">akonu o gradnji za niz situacija je </w:t>
      </w:r>
      <w:r w:rsidR="00C2554F">
        <w:rPr>
          <w:rFonts w:ascii="Tahoma" w:hAnsi="Tahoma" w:cs="Myriad Pro"/>
          <w:color w:val="auto"/>
          <w:sz w:val="20"/>
          <w:lang w:eastAsia="de-DE"/>
        </w:rPr>
        <w:t>dopušteno odstupanje od minimalnih zahtjeva na bitno svojstvo zgrade)</w:t>
      </w:r>
      <w:r w:rsidR="00B22048">
        <w:rPr>
          <w:rFonts w:ascii="Tahoma" w:hAnsi="Tahoma" w:cs="Myriad Pro"/>
          <w:color w:val="auto"/>
          <w:sz w:val="20"/>
          <w:lang w:eastAsia="de-DE"/>
        </w:rPr>
        <w:t xml:space="preserve">, te </w:t>
      </w:r>
      <w:r w:rsidR="003B3D3D">
        <w:rPr>
          <w:rFonts w:ascii="Tahoma" w:hAnsi="Tahoma" w:cs="Myriad Pro"/>
          <w:color w:val="auto"/>
          <w:sz w:val="20"/>
          <w:lang w:eastAsia="de-DE"/>
        </w:rPr>
        <w:t xml:space="preserve">se </w:t>
      </w:r>
      <w:r w:rsidR="00B22048">
        <w:rPr>
          <w:rFonts w:ascii="Tahoma" w:hAnsi="Tahoma" w:cs="Myriad Pro"/>
          <w:color w:val="auto"/>
          <w:sz w:val="20"/>
          <w:lang w:eastAsia="de-DE"/>
        </w:rPr>
        <w:t>kroz projekt</w:t>
      </w:r>
      <w:r w:rsidR="003B3D3D">
        <w:rPr>
          <w:rFonts w:ascii="Tahoma" w:hAnsi="Tahoma" w:cs="Myriad Pro"/>
          <w:color w:val="auto"/>
          <w:sz w:val="20"/>
          <w:lang w:eastAsia="de-DE"/>
        </w:rPr>
        <w:t xml:space="preserve"> energetske obnove procjenjuju rizici</w:t>
      </w:r>
      <w:r>
        <w:rPr>
          <w:rFonts w:ascii="Tahoma" w:hAnsi="Tahoma" w:cs="Myriad Pro"/>
          <w:color w:val="auto"/>
          <w:sz w:val="20"/>
          <w:lang w:eastAsia="de-DE"/>
        </w:rPr>
        <w:t xml:space="preserve"> </w:t>
      </w:r>
      <w:r w:rsidR="003B3D3D">
        <w:rPr>
          <w:rFonts w:ascii="Tahoma" w:hAnsi="Tahoma" w:cs="Myriad Pro"/>
          <w:color w:val="auto"/>
          <w:sz w:val="20"/>
          <w:lang w:eastAsia="de-DE"/>
        </w:rPr>
        <w:t xml:space="preserve">za zgradu i mogući načini ublažavanja rizika. </w:t>
      </w:r>
    </w:p>
    <w:p w14:paraId="2AC6CA7E" w14:textId="380A6B61" w:rsidR="00DB458D" w:rsidRDefault="003C3043" w:rsidP="00D877C5">
      <w:r>
        <w:t>Zgrade građene iza 2012. godine jedine u potpunosti zadovoljavaju zahtjev seizmičke otpornosti</w:t>
      </w:r>
      <w:r w:rsidR="0073466B">
        <w:t xml:space="preserve"> prema danas važećoj regulativi</w:t>
      </w:r>
      <w:r>
        <w:t xml:space="preserve">, </w:t>
      </w:r>
      <w:r w:rsidR="00DF7ED3">
        <w:t xml:space="preserve">dok je kod zgrada iz razdoblja </w:t>
      </w:r>
      <w:r w:rsidR="000A6F57">
        <w:t xml:space="preserve">prije </w:t>
      </w:r>
      <w:r w:rsidR="0025577A">
        <w:t xml:space="preserve">1963. </w:t>
      </w:r>
      <w:r w:rsidR="00A84A6C">
        <w:t xml:space="preserve">godine </w:t>
      </w:r>
      <w:r w:rsidR="00DF7ED3">
        <w:t>otpornost na povećanu seizmičku aktivnost mala ili ne postoji.</w:t>
      </w:r>
      <w:r w:rsidR="00206963">
        <w:t xml:space="preserve"> </w:t>
      </w:r>
      <w:r w:rsidR="00DF7ED3">
        <w:t xml:space="preserve"> </w:t>
      </w:r>
      <w:r w:rsidR="00EC6443">
        <w:t xml:space="preserve">Armiranom betonske konstrukcije građene </w:t>
      </w:r>
      <w:r w:rsidR="00DC2CE7">
        <w:t xml:space="preserve">80-ih godina 20.stoljeća i kasnije </w:t>
      </w:r>
      <w:r w:rsidR="00B27839">
        <w:t xml:space="preserve">pokazale su se otpornijim u potresu, a od </w:t>
      </w:r>
      <w:r w:rsidR="00DF7ED3">
        <w:t>Gotovo cijeli teritori</w:t>
      </w:r>
      <w:r w:rsidR="00DB458D">
        <w:t>j Republike</w:t>
      </w:r>
      <w:r w:rsidR="00DF7ED3">
        <w:t xml:space="preserve"> Hrvatske se nalazi u seizmički aktivnom području, </w:t>
      </w:r>
      <w:r w:rsidR="00A61D53">
        <w:t xml:space="preserve">s vrlo ograničenim područjima u kojima je horizontalno ubrzanje tla manje od </w:t>
      </w:r>
      <w:r w:rsidR="00976491">
        <w:t>0,98 m/s²</w:t>
      </w:r>
      <w:r w:rsidR="00982D2A">
        <w:t>. Sve</w:t>
      </w:r>
      <w:r w:rsidR="00982D2A" w:rsidRPr="00982D2A">
        <w:t xml:space="preserve"> postojeće</w:t>
      </w:r>
      <w:r w:rsidR="006A5749">
        <w:t xml:space="preserve"> </w:t>
      </w:r>
      <w:r w:rsidR="00982D2A" w:rsidRPr="00982D2A">
        <w:t>procjene ističu potres kao jedan od najvećih rizika za</w:t>
      </w:r>
      <w:r w:rsidR="006A5749">
        <w:t xml:space="preserve"> </w:t>
      </w:r>
      <w:r w:rsidR="00982D2A" w:rsidRPr="00982D2A">
        <w:t>Republiku Hrvatsku s mogućim katastrofalnim posljedicama.</w:t>
      </w:r>
      <w:r w:rsidR="006A5749">
        <w:t xml:space="preserve"> </w:t>
      </w:r>
      <w:r w:rsidR="00BF1D00">
        <w:t>M</w:t>
      </w:r>
      <w:r w:rsidR="00BF1D00" w:rsidRPr="00BF1D00">
        <w:t xml:space="preserve">oguće posljedice </w:t>
      </w:r>
      <w:r w:rsidR="00BF1D00">
        <w:t xml:space="preserve">katastrofalnih potresa </w:t>
      </w:r>
      <w:r w:rsidR="00BF1D00" w:rsidRPr="00BF1D00">
        <w:t>uvelike premašuju financijske kapacitete</w:t>
      </w:r>
      <w:r w:rsidR="00BF1D00">
        <w:t xml:space="preserve"> države</w:t>
      </w:r>
      <w:r w:rsidR="00BF1D00" w:rsidRPr="00BF1D00">
        <w:t>,</w:t>
      </w:r>
      <w:r w:rsidR="00BF1D00">
        <w:t xml:space="preserve"> te su potrebne </w:t>
      </w:r>
      <w:r w:rsidR="00BF1D00" w:rsidRPr="00BF1D00">
        <w:t xml:space="preserve">procjene rizika od potresa </w:t>
      </w:r>
      <w:r w:rsidR="00F602E1">
        <w:t>kao</w:t>
      </w:r>
      <w:r w:rsidR="00BF1D00" w:rsidRPr="00BF1D00">
        <w:t xml:space="preserve"> osnova za provođenje politika (procjene</w:t>
      </w:r>
      <w:r w:rsidR="00F602E1">
        <w:t xml:space="preserve"> </w:t>
      </w:r>
      <w:r w:rsidR="00BF1D00" w:rsidRPr="00BF1D00">
        <w:t>sposobnosti, kapaciteta, provođenje strategija, i slično)</w:t>
      </w:r>
      <w:r w:rsidR="00C85A47">
        <w:t xml:space="preserve">. </w:t>
      </w:r>
      <w:r w:rsidR="00BB5501">
        <w:t xml:space="preserve">Zgrade građene nakon potresa u </w:t>
      </w:r>
      <w:r w:rsidR="00720285">
        <w:t xml:space="preserve">Skopju </w:t>
      </w:r>
      <w:r w:rsidR="00E47828">
        <w:t xml:space="preserve">1963. godine su bitno otpornije na djelovanje potresa od ranijih zgrada. </w:t>
      </w:r>
    </w:p>
    <w:p w14:paraId="0683F863" w14:textId="59946C9C" w:rsidR="00D1663B" w:rsidRDefault="00D1663B" w:rsidP="00D877C5">
      <w:pPr>
        <w:pStyle w:val="Opisslike"/>
        <w:keepNext/>
      </w:pPr>
      <w:bookmarkStart w:id="244" w:name="_Toc40089050"/>
      <w:r>
        <w:t xml:space="preserve">Tablica </w:t>
      </w:r>
      <w:fldSimple w:instr=" SEQ Tablica \* ARABIC ">
        <w:r w:rsidR="00CE61F3">
          <w:rPr>
            <w:noProof/>
          </w:rPr>
          <w:t>3</w:t>
        </w:r>
      </w:fldSimple>
      <w:r>
        <w:t xml:space="preserve"> Udio zgrada </w:t>
      </w:r>
      <w:r w:rsidR="00A26F7B">
        <w:t>prema definiranom hor</w:t>
      </w:r>
      <w:r w:rsidR="00D86A6A">
        <w:t>izontalnom djelovanju po razdobljima</w:t>
      </w:r>
      <w:bookmarkEnd w:id="244"/>
    </w:p>
    <w:tbl>
      <w:tblPr>
        <w:tblStyle w:val="Reetkatablice"/>
        <w:tblW w:w="0" w:type="auto"/>
        <w:tblLayout w:type="fixed"/>
        <w:tblLook w:val="04A0" w:firstRow="1" w:lastRow="0" w:firstColumn="1" w:lastColumn="0" w:noHBand="0" w:noVBand="1"/>
      </w:tblPr>
      <w:tblGrid>
        <w:gridCol w:w="1838"/>
        <w:gridCol w:w="1134"/>
        <w:gridCol w:w="1134"/>
        <w:gridCol w:w="1276"/>
        <w:gridCol w:w="1134"/>
        <w:gridCol w:w="1276"/>
        <w:gridCol w:w="1275"/>
      </w:tblGrid>
      <w:tr w:rsidR="00D1663B" w:rsidRPr="00FC6486" w14:paraId="08CA9342" w14:textId="77777777" w:rsidTr="00D877C5">
        <w:trPr>
          <w:trHeight w:val="564"/>
        </w:trPr>
        <w:tc>
          <w:tcPr>
            <w:tcW w:w="1838" w:type="dxa"/>
            <w:hideMark/>
          </w:tcPr>
          <w:p w14:paraId="0A1F1C60" w14:textId="77777777" w:rsidR="00FC6486" w:rsidRPr="00D877C5" w:rsidRDefault="00FC6486" w:rsidP="00FC6486">
            <w:pPr>
              <w:pStyle w:val="Default"/>
              <w:rPr>
                <w:b/>
                <w:bCs/>
                <w:sz w:val="20"/>
                <w:szCs w:val="20"/>
              </w:rPr>
            </w:pPr>
            <w:r w:rsidRPr="00D877C5">
              <w:rPr>
                <w:b/>
                <w:bCs/>
                <w:sz w:val="20"/>
                <w:szCs w:val="20"/>
              </w:rPr>
              <w:t>Razdoblje</w:t>
            </w:r>
          </w:p>
        </w:tc>
        <w:tc>
          <w:tcPr>
            <w:tcW w:w="1134" w:type="dxa"/>
            <w:hideMark/>
          </w:tcPr>
          <w:p w14:paraId="6690541B" w14:textId="77777777" w:rsidR="00FC6486" w:rsidRPr="00D877C5" w:rsidRDefault="00FC6486" w:rsidP="00FC6486">
            <w:pPr>
              <w:pStyle w:val="Default"/>
              <w:rPr>
                <w:b/>
                <w:bCs/>
                <w:sz w:val="20"/>
                <w:szCs w:val="20"/>
              </w:rPr>
            </w:pPr>
            <w:r w:rsidRPr="00D877C5">
              <w:rPr>
                <w:b/>
                <w:bCs/>
                <w:sz w:val="20"/>
                <w:szCs w:val="20"/>
              </w:rPr>
              <w:t>Do 1945</w:t>
            </w:r>
          </w:p>
        </w:tc>
        <w:tc>
          <w:tcPr>
            <w:tcW w:w="1134" w:type="dxa"/>
            <w:hideMark/>
          </w:tcPr>
          <w:p w14:paraId="49F789B7" w14:textId="77777777" w:rsidR="00FC6486" w:rsidRPr="00D877C5" w:rsidRDefault="00FC6486" w:rsidP="00FC6486">
            <w:pPr>
              <w:pStyle w:val="Default"/>
              <w:rPr>
                <w:b/>
                <w:bCs/>
                <w:sz w:val="20"/>
                <w:szCs w:val="20"/>
              </w:rPr>
            </w:pPr>
            <w:r w:rsidRPr="00D877C5">
              <w:rPr>
                <w:b/>
                <w:bCs/>
                <w:sz w:val="20"/>
                <w:szCs w:val="20"/>
              </w:rPr>
              <w:t>1946 – 1964</w:t>
            </w:r>
          </w:p>
        </w:tc>
        <w:tc>
          <w:tcPr>
            <w:tcW w:w="1276" w:type="dxa"/>
            <w:hideMark/>
          </w:tcPr>
          <w:p w14:paraId="386B1FA0" w14:textId="77777777" w:rsidR="00FC6486" w:rsidRPr="00D877C5" w:rsidRDefault="00FC6486" w:rsidP="00FC6486">
            <w:pPr>
              <w:pStyle w:val="Default"/>
              <w:rPr>
                <w:b/>
                <w:bCs/>
                <w:sz w:val="20"/>
                <w:szCs w:val="20"/>
              </w:rPr>
            </w:pPr>
            <w:r w:rsidRPr="00D877C5">
              <w:rPr>
                <w:b/>
                <w:bCs/>
                <w:sz w:val="20"/>
                <w:szCs w:val="20"/>
              </w:rPr>
              <w:t>1965 - 1981</w:t>
            </w:r>
          </w:p>
        </w:tc>
        <w:tc>
          <w:tcPr>
            <w:tcW w:w="1134" w:type="dxa"/>
            <w:hideMark/>
          </w:tcPr>
          <w:p w14:paraId="00A9176B" w14:textId="77777777" w:rsidR="00FC6486" w:rsidRPr="00D877C5" w:rsidRDefault="00FC6486" w:rsidP="00FC6486">
            <w:pPr>
              <w:pStyle w:val="Default"/>
              <w:rPr>
                <w:b/>
                <w:bCs/>
                <w:sz w:val="20"/>
                <w:szCs w:val="20"/>
              </w:rPr>
            </w:pPr>
            <w:r w:rsidRPr="00D877C5">
              <w:rPr>
                <w:b/>
                <w:bCs/>
                <w:sz w:val="20"/>
                <w:szCs w:val="20"/>
              </w:rPr>
              <w:t>1982 – 1997</w:t>
            </w:r>
          </w:p>
        </w:tc>
        <w:tc>
          <w:tcPr>
            <w:tcW w:w="1276" w:type="dxa"/>
            <w:hideMark/>
          </w:tcPr>
          <w:p w14:paraId="71F412A0" w14:textId="77777777" w:rsidR="00FC6486" w:rsidRPr="00D877C5" w:rsidRDefault="00FC6486" w:rsidP="00FC6486">
            <w:pPr>
              <w:pStyle w:val="Default"/>
              <w:rPr>
                <w:b/>
                <w:bCs/>
                <w:sz w:val="20"/>
                <w:szCs w:val="20"/>
              </w:rPr>
            </w:pPr>
            <w:r w:rsidRPr="00D877C5">
              <w:rPr>
                <w:b/>
                <w:bCs/>
                <w:sz w:val="20"/>
                <w:szCs w:val="20"/>
              </w:rPr>
              <w:t>1998 – 2011</w:t>
            </w:r>
          </w:p>
        </w:tc>
        <w:tc>
          <w:tcPr>
            <w:tcW w:w="1275" w:type="dxa"/>
            <w:hideMark/>
          </w:tcPr>
          <w:p w14:paraId="3B7B6B27" w14:textId="77777777" w:rsidR="00FC6486" w:rsidRPr="00D877C5" w:rsidRDefault="00FC6486" w:rsidP="00FC6486">
            <w:pPr>
              <w:pStyle w:val="Default"/>
              <w:rPr>
                <w:b/>
                <w:bCs/>
                <w:sz w:val="20"/>
                <w:szCs w:val="20"/>
              </w:rPr>
            </w:pPr>
            <w:r w:rsidRPr="00D877C5">
              <w:rPr>
                <w:b/>
                <w:bCs/>
                <w:sz w:val="20"/>
                <w:szCs w:val="20"/>
              </w:rPr>
              <w:t>2012 - danas</w:t>
            </w:r>
          </w:p>
        </w:tc>
      </w:tr>
      <w:tr w:rsidR="00D1663B" w:rsidRPr="00FC6486" w14:paraId="6FA0435A" w14:textId="77777777" w:rsidTr="00D877C5">
        <w:trPr>
          <w:trHeight w:val="300"/>
        </w:trPr>
        <w:tc>
          <w:tcPr>
            <w:tcW w:w="1838" w:type="dxa"/>
            <w:vMerge w:val="restart"/>
            <w:hideMark/>
          </w:tcPr>
          <w:p w14:paraId="5E800784" w14:textId="77777777" w:rsidR="00FC6486" w:rsidRPr="00D877C5" w:rsidRDefault="00FC6486" w:rsidP="00FC6486">
            <w:pPr>
              <w:pStyle w:val="Default"/>
              <w:rPr>
                <w:sz w:val="20"/>
                <w:szCs w:val="20"/>
              </w:rPr>
            </w:pPr>
            <w:r w:rsidRPr="00D877C5">
              <w:rPr>
                <w:sz w:val="20"/>
                <w:szCs w:val="20"/>
              </w:rPr>
              <w:t>Definirano horizontalno djelovanje*</w:t>
            </w:r>
          </w:p>
        </w:tc>
        <w:tc>
          <w:tcPr>
            <w:tcW w:w="1134" w:type="dxa"/>
            <w:vMerge w:val="restart"/>
            <w:hideMark/>
          </w:tcPr>
          <w:p w14:paraId="70AD4A29" w14:textId="77777777" w:rsidR="00FC6486" w:rsidRPr="00D877C5" w:rsidRDefault="00FC6486" w:rsidP="00FC6486">
            <w:pPr>
              <w:pStyle w:val="Default"/>
              <w:rPr>
                <w:sz w:val="20"/>
                <w:szCs w:val="20"/>
              </w:rPr>
            </w:pPr>
            <w:r w:rsidRPr="00D877C5">
              <w:rPr>
                <w:sz w:val="20"/>
                <w:szCs w:val="20"/>
              </w:rPr>
              <w:t>0 – 5 %</w:t>
            </w:r>
          </w:p>
        </w:tc>
        <w:tc>
          <w:tcPr>
            <w:tcW w:w="1134" w:type="dxa"/>
            <w:vMerge w:val="restart"/>
            <w:hideMark/>
          </w:tcPr>
          <w:p w14:paraId="430306B9" w14:textId="77777777" w:rsidR="00FC6486" w:rsidRPr="00D877C5" w:rsidRDefault="00FC6486" w:rsidP="00FC6486">
            <w:pPr>
              <w:pStyle w:val="Default"/>
              <w:rPr>
                <w:sz w:val="20"/>
                <w:szCs w:val="20"/>
              </w:rPr>
            </w:pPr>
            <w:r w:rsidRPr="00D877C5">
              <w:rPr>
                <w:sz w:val="20"/>
                <w:szCs w:val="20"/>
              </w:rPr>
              <w:t>0 – 10 %</w:t>
            </w:r>
          </w:p>
        </w:tc>
        <w:tc>
          <w:tcPr>
            <w:tcW w:w="1276" w:type="dxa"/>
            <w:vMerge w:val="restart"/>
            <w:hideMark/>
          </w:tcPr>
          <w:p w14:paraId="6625BC8C" w14:textId="77777777" w:rsidR="00FC6486" w:rsidRPr="00D877C5" w:rsidRDefault="00FC6486" w:rsidP="00FC6486">
            <w:pPr>
              <w:pStyle w:val="Default"/>
              <w:rPr>
                <w:sz w:val="20"/>
                <w:szCs w:val="20"/>
              </w:rPr>
            </w:pPr>
            <w:r w:rsidRPr="00D877C5">
              <w:rPr>
                <w:sz w:val="20"/>
                <w:szCs w:val="20"/>
              </w:rPr>
              <w:t>30 – 50 %</w:t>
            </w:r>
          </w:p>
        </w:tc>
        <w:tc>
          <w:tcPr>
            <w:tcW w:w="1134" w:type="dxa"/>
            <w:vMerge w:val="restart"/>
            <w:hideMark/>
          </w:tcPr>
          <w:p w14:paraId="50BF42CA" w14:textId="77777777" w:rsidR="00FC6486" w:rsidRPr="00D877C5" w:rsidRDefault="00FC6486" w:rsidP="00FC6486">
            <w:pPr>
              <w:pStyle w:val="Default"/>
              <w:rPr>
                <w:sz w:val="20"/>
                <w:szCs w:val="20"/>
              </w:rPr>
            </w:pPr>
            <w:r w:rsidRPr="00D877C5">
              <w:rPr>
                <w:sz w:val="20"/>
                <w:szCs w:val="20"/>
              </w:rPr>
              <w:t>30 – 50 %</w:t>
            </w:r>
          </w:p>
        </w:tc>
        <w:tc>
          <w:tcPr>
            <w:tcW w:w="1276" w:type="dxa"/>
            <w:vMerge w:val="restart"/>
            <w:hideMark/>
          </w:tcPr>
          <w:p w14:paraId="547229DB" w14:textId="77777777" w:rsidR="00FC6486" w:rsidRPr="00D877C5" w:rsidRDefault="00FC6486" w:rsidP="00FC6486">
            <w:pPr>
              <w:pStyle w:val="Default"/>
              <w:rPr>
                <w:sz w:val="20"/>
                <w:szCs w:val="20"/>
              </w:rPr>
            </w:pPr>
            <w:r w:rsidRPr="00D877C5">
              <w:rPr>
                <w:sz w:val="20"/>
                <w:szCs w:val="20"/>
              </w:rPr>
              <w:t>75 – 100 %</w:t>
            </w:r>
          </w:p>
        </w:tc>
        <w:tc>
          <w:tcPr>
            <w:tcW w:w="1275" w:type="dxa"/>
            <w:hideMark/>
          </w:tcPr>
          <w:p w14:paraId="3ABC94AB" w14:textId="77777777" w:rsidR="00FC6486" w:rsidRPr="00D877C5" w:rsidRDefault="00FC6486" w:rsidP="00FC6486">
            <w:pPr>
              <w:pStyle w:val="Default"/>
              <w:rPr>
                <w:sz w:val="20"/>
                <w:szCs w:val="20"/>
              </w:rPr>
            </w:pPr>
            <w:r w:rsidRPr="00D877C5">
              <w:rPr>
                <w:sz w:val="20"/>
                <w:szCs w:val="20"/>
              </w:rPr>
              <w:t>100%</w:t>
            </w:r>
          </w:p>
        </w:tc>
      </w:tr>
      <w:tr w:rsidR="00D1663B" w:rsidRPr="00FC6486" w14:paraId="434FB0CB" w14:textId="77777777" w:rsidTr="00D877C5">
        <w:trPr>
          <w:trHeight w:val="564"/>
        </w:trPr>
        <w:tc>
          <w:tcPr>
            <w:tcW w:w="1838" w:type="dxa"/>
            <w:vMerge/>
            <w:hideMark/>
          </w:tcPr>
          <w:p w14:paraId="7244CEBA" w14:textId="77777777" w:rsidR="00FC6486" w:rsidRPr="00D877C5" w:rsidRDefault="00FC6486" w:rsidP="00FC6486">
            <w:pPr>
              <w:pStyle w:val="Default"/>
              <w:rPr>
                <w:sz w:val="20"/>
                <w:szCs w:val="20"/>
              </w:rPr>
            </w:pPr>
          </w:p>
        </w:tc>
        <w:tc>
          <w:tcPr>
            <w:tcW w:w="1134" w:type="dxa"/>
            <w:vMerge/>
            <w:hideMark/>
          </w:tcPr>
          <w:p w14:paraId="54BB994D" w14:textId="77777777" w:rsidR="00FC6486" w:rsidRPr="00D877C5" w:rsidRDefault="00FC6486" w:rsidP="00FC6486">
            <w:pPr>
              <w:pStyle w:val="Default"/>
              <w:rPr>
                <w:sz w:val="20"/>
                <w:szCs w:val="20"/>
              </w:rPr>
            </w:pPr>
          </w:p>
        </w:tc>
        <w:tc>
          <w:tcPr>
            <w:tcW w:w="1134" w:type="dxa"/>
            <w:vMerge/>
            <w:hideMark/>
          </w:tcPr>
          <w:p w14:paraId="3BF4EFD2" w14:textId="77777777" w:rsidR="00FC6486" w:rsidRPr="00D877C5" w:rsidRDefault="00FC6486" w:rsidP="00FC6486">
            <w:pPr>
              <w:pStyle w:val="Default"/>
              <w:rPr>
                <w:sz w:val="20"/>
                <w:szCs w:val="20"/>
              </w:rPr>
            </w:pPr>
          </w:p>
        </w:tc>
        <w:tc>
          <w:tcPr>
            <w:tcW w:w="1276" w:type="dxa"/>
            <w:vMerge/>
            <w:hideMark/>
          </w:tcPr>
          <w:p w14:paraId="3EA124C1" w14:textId="77777777" w:rsidR="00FC6486" w:rsidRPr="00D877C5" w:rsidRDefault="00FC6486" w:rsidP="00FC6486">
            <w:pPr>
              <w:pStyle w:val="Default"/>
              <w:rPr>
                <w:sz w:val="20"/>
                <w:szCs w:val="20"/>
              </w:rPr>
            </w:pPr>
          </w:p>
        </w:tc>
        <w:tc>
          <w:tcPr>
            <w:tcW w:w="1134" w:type="dxa"/>
            <w:vMerge/>
            <w:hideMark/>
          </w:tcPr>
          <w:p w14:paraId="470BD54F" w14:textId="77777777" w:rsidR="00FC6486" w:rsidRPr="00D877C5" w:rsidRDefault="00FC6486" w:rsidP="00FC6486">
            <w:pPr>
              <w:pStyle w:val="Default"/>
              <w:rPr>
                <w:sz w:val="20"/>
                <w:szCs w:val="20"/>
              </w:rPr>
            </w:pPr>
          </w:p>
        </w:tc>
        <w:tc>
          <w:tcPr>
            <w:tcW w:w="1276" w:type="dxa"/>
            <w:vMerge/>
            <w:hideMark/>
          </w:tcPr>
          <w:p w14:paraId="2C02FF55" w14:textId="77777777" w:rsidR="00FC6486" w:rsidRPr="00D877C5" w:rsidRDefault="00FC6486" w:rsidP="00FC6486">
            <w:pPr>
              <w:pStyle w:val="Default"/>
              <w:rPr>
                <w:sz w:val="20"/>
                <w:szCs w:val="20"/>
              </w:rPr>
            </w:pPr>
          </w:p>
        </w:tc>
        <w:tc>
          <w:tcPr>
            <w:tcW w:w="1275" w:type="dxa"/>
            <w:hideMark/>
          </w:tcPr>
          <w:p w14:paraId="0A0A2C3C" w14:textId="77777777" w:rsidR="00FC6486" w:rsidRPr="00D877C5" w:rsidRDefault="00FC6486" w:rsidP="00FC6486">
            <w:pPr>
              <w:pStyle w:val="Default"/>
              <w:rPr>
                <w:sz w:val="20"/>
                <w:szCs w:val="20"/>
              </w:rPr>
            </w:pPr>
            <w:r w:rsidRPr="00D877C5">
              <w:rPr>
                <w:sz w:val="20"/>
                <w:szCs w:val="20"/>
              </w:rPr>
              <w:t>mjerodavno</w:t>
            </w:r>
          </w:p>
        </w:tc>
      </w:tr>
      <w:tr w:rsidR="00D1663B" w:rsidRPr="00FC6486" w14:paraId="2DBDFDF2" w14:textId="77777777" w:rsidTr="00D877C5">
        <w:trPr>
          <w:trHeight w:val="300"/>
        </w:trPr>
        <w:tc>
          <w:tcPr>
            <w:tcW w:w="1838" w:type="dxa"/>
            <w:hideMark/>
          </w:tcPr>
          <w:p w14:paraId="633E4205" w14:textId="77777777" w:rsidR="00FC6486" w:rsidRPr="00D877C5" w:rsidRDefault="00FC6486" w:rsidP="00FC6486">
            <w:pPr>
              <w:pStyle w:val="Default"/>
              <w:rPr>
                <w:sz w:val="20"/>
                <w:szCs w:val="20"/>
              </w:rPr>
            </w:pPr>
            <w:r w:rsidRPr="00D877C5">
              <w:rPr>
                <w:sz w:val="20"/>
                <w:szCs w:val="20"/>
              </w:rPr>
              <w:t>Izgrađeno stambenih jedinica</w:t>
            </w:r>
          </w:p>
        </w:tc>
        <w:tc>
          <w:tcPr>
            <w:tcW w:w="1134" w:type="dxa"/>
            <w:hideMark/>
          </w:tcPr>
          <w:p w14:paraId="6677B7B2" w14:textId="77777777" w:rsidR="00FC6486" w:rsidRPr="00D877C5" w:rsidRDefault="00FC6486" w:rsidP="00FC6486">
            <w:pPr>
              <w:pStyle w:val="Default"/>
              <w:rPr>
                <w:sz w:val="20"/>
                <w:szCs w:val="20"/>
              </w:rPr>
            </w:pPr>
            <w:r w:rsidRPr="00D877C5">
              <w:rPr>
                <w:sz w:val="20"/>
                <w:szCs w:val="20"/>
              </w:rPr>
              <w:t>≈ 13 %</w:t>
            </w:r>
          </w:p>
        </w:tc>
        <w:tc>
          <w:tcPr>
            <w:tcW w:w="1134" w:type="dxa"/>
            <w:hideMark/>
          </w:tcPr>
          <w:p w14:paraId="19CF0780" w14:textId="77777777" w:rsidR="00FC6486" w:rsidRPr="00D877C5" w:rsidRDefault="00FC6486" w:rsidP="00FC6486">
            <w:pPr>
              <w:pStyle w:val="Default"/>
              <w:rPr>
                <w:sz w:val="20"/>
                <w:szCs w:val="20"/>
              </w:rPr>
            </w:pPr>
            <w:r w:rsidRPr="00D877C5">
              <w:rPr>
                <w:sz w:val="20"/>
                <w:szCs w:val="20"/>
              </w:rPr>
              <w:t>≈ 17 %</w:t>
            </w:r>
          </w:p>
        </w:tc>
        <w:tc>
          <w:tcPr>
            <w:tcW w:w="1276" w:type="dxa"/>
            <w:hideMark/>
          </w:tcPr>
          <w:p w14:paraId="365F7931" w14:textId="77777777" w:rsidR="00FC6486" w:rsidRPr="00D877C5" w:rsidRDefault="00FC6486" w:rsidP="00FC6486">
            <w:pPr>
              <w:pStyle w:val="Default"/>
              <w:rPr>
                <w:sz w:val="20"/>
                <w:szCs w:val="20"/>
              </w:rPr>
            </w:pPr>
            <w:r w:rsidRPr="00D877C5">
              <w:rPr>
                <w:sz w:val="20"/>
                <w:szCs w:val="20"/>
              </w:rPr>
              <w:t>≈ 35 %</w:t>
            </w:r>
          </w:p>
        </w:tc>
        <w:tc>
          <w:tcPr>
            <w:tcW w:w="1134" w:type="dxa"/>
            <w:hideMark/>
          </w:tcPr>
          <w:p w14:paraId="07B90F6A" w14:textId="77777777" w:rsidR="00FC6486" w:rsidRPr="00D877C5" w:rsidRDefault="00FC6486" w:rsidP="00FC6486">
            <w:pPr>
              <w:pStyle w:val="Default"/>
              <w:rPr>
                <w:sz w:val="20"/>
                <w:szCs w:val="20"/>
              </w:rPr>
            </w:pPr>
            <w:r w:rsidRPr="00D877C5">
              <w:rPr>
                <w:sz w:val="20"/>
                <w:szCs w:val="20"/>
              </w:rPr>
              <w:t>≈ 21 %</w:t>
            </w:r>
          </w:p>
        </w:tc>
        <w:tc>
          <w:tcPr>
            <w:tcW w:w="1276" w:type="dxa"/>
            <w:hideMark/>
          </w:tcPr>
          <w:p w14:paraId="61911B57" w14:textId="77777777" w:rsidR="00FC6486" w:rsidRPr="00D877C5" w:rsidRDefault="00FC6486" w:rsidP="00FC6486">
            <w:pPr>
              <w:pStyle w:val="Default"/>
              <w:rPr>
                <w:sz w:val="20"/>
                <w:szCs w:val="20"/>
              </w:rPr>
            </w:pPr>
            <w:r w:rsidRPr="00D877C5">
              <w:rPr>
                <w:sz w:val="20"/>
                <w:szCs w:val="20"/>
              </w:rPr>
              <w:t>≈ 14 %</w:t>
            </w:r>
          </w:p>
        </w:tc>
        <w:tc>
          <w:tcPr>
            <w:tcW w:w="1275" w:type="dxa"/>
            <w:hideMark/>
          </w:tcPr>
          <w:p w14:paraId="16D2BD89" w14:textId="77777777" w:rsidR="00FC6486" w:rsidRPr="00D877C5" w:rsidRDefault="00FC6486" w:rsidP="00FC6486">
            <w:pPr>
              <w:pStyle w:val="Default"/>
              <w:rPr>
                <w:sz w:val="20"/>
                <w:szCs w:val="20"/>
              </w:rPr>
            </w:pPr>
            <w:r w:rsidRPr="00D877C5">
              <w:rPr>
                <w:sz w:val="20"/>
                <w:szCs w:val="20"/>
              </w:rPr>
              <w:t> </w:t>
            </w:r>
          </w:p>
        </w:tc>
      </w:tr>
      <w:tr w:rsidR="00D1663B" w:rsidRPr="00FC6486" w14:paraId="0A6B5CB4" w14:textId="77777777" w:rsidTr="00D877C5">
        <w:trPr>
          <w:trHeight w:val="300"/>
        </w:trPr>
        <w:tc>
          <w:tcPr>
            <w:tcW w:w="1838" w:type="dxa"/>
            <w:hideMark/>
          </w:tcPr>
          <w:p w14:paraId="6CC40A33" w14:textId="77777777" w:rsidR="00FC6486" w:rsidRPr="00D877C5" w:rsidRDefault="00FC6486" w:rsidP="00FC6486">
            <w:pPr>
              <w:pStyle w:val="Default"/>
              <w:rPr>
                <w:sz w:val="20"/>
                <w:szCs w:val="20"/>
              </w:rPr>
            </w:pPr>
            <w:r w:rsidRPr="00D877C5">
              <w:rPr>
                <w:sz w:val="20"/>
                <w:szCs w:val="20"/>
              </w:rPr>
              <w:t>Ukupno</w:t>
            </w:r>
          </w:p>
        </w:tc>
        <w:tc>
          <w:tcPr>
            <w:tcW w:w="1134" w:type="dxa"/>
            <w:hideMark/>
          </w:tcPr>
          <w:p w14:paraId="37C825D6" w14:textId="77777777" w:rsidR="00FC6486" w:rsidRPr="00D877C5" w:rsidRDefault="00FC6486" w:rsidP="00FC6486">
            <w:pPr>
              <w:pStyle w:val="Default"/>
              <w:rPr>
                <w:sz w:val="20"/>
                <w:szCs w:val="20"/>
              </w:rPr>
            </w:pPr>
            <w:r w:rsidRPr="00D877C5">
              <w:rPr>
                <w:sz w:val="20"/>
                <w:szCs w:val="20"/>
              </w:rPr>
              <w:t>13%</w:t>
            </w:r>
          </w:p>
        </w:tc>
        <w:tc>
          <w:tcPr>
            <w:tcW w:w="1134" w:type="dxa"/>
            <w:hideMark/>
          </w:tcPr>
          <w:p w14:paraId="14605E62" w14:textId="77777777" w:rsidR="00FC6486" w:rsidRPr="00D877C5" w:rsidRDefault="00FC6486" w:rsidP="00FC6486">
            <w:pPr>
              <w:pStyle w:val="Default"/>
              <w:rPr>
                <w:sz w:val="20"/>
                <w:szCs w:val="20"/>
              </w:rPr>
            </w:pPr>
            <w:r w:rsidRPr="00D877C5">
              <w:rPr>
                <w:sz w:val="20"/>
                <w:szCs w:val="20"/>
              </w:rPr>
              <w:t>30%</w:t>
            </w:r>
          </w:p>
        </w:tc>
        <w:tc>
          <w:tcPr>
            <w:tcW w:w="1276" w:type="dxa"/>
            <w:hideMark/>
          </w:tcPr>
          <w:p w14:paraId="50118EB2" w14:textId="77777777" w:rsidR="00FC6486" w:rsidRPr="00D877C5" w:rsidRDefault="00FC6486" w:rsidP="00FC6486">
            <w:pPr>
              <w:pStyle w:val="Default"/>
              <w:rPr>
                <w:sz w:val="20"/>
                <w:szCs w:val="20"/>
              </w:rPr>
            </w:pPr>
            <w:r w:rsidRPr="00D877C5">
              <w:rPr>
                <w:sz w:val="20"/>
                <w:szCs w:val="20"/>
              </w:rPr>
              <w:t>65%</w:t>
            </w:r>
          </w:p>
        </w:tc>
        <w:tc>
          <w:tcPr>
            <w:tcW w:w="1134" w:type="dxa"/>
            <w:hideMark/>
          </w:tcPr>
          <w:p w14:paraId="4C9C2C3D" w14:textId="77777777" w:rsidR="00FC6486" w:rsidRPr="00D877C5" w:rsidRDefault="00FC6486" w:rsidP="00FC6486">
            <w:pPr>
              <w:pStyle w:val="Default"/>
              <w:rPr>
                <w:sz w:val="20"/>
                <w:szCs w:val="20"/>
              </w:rPr>
            </w:pPr>
            <w:r w:rsidRPr="00D877C5">
              <w:rPr>
                <w:sz w:val="20"/>
                <w:szCs w:val="20"/>
              </w:rPr>
              <w:t>86%</w:t>
            </w:r>
          </w:p>
        </w:tc>
        <w:tc>
          <w:tcPr>
            <w:tcW w:w="1276" w:type="dxa"/>
            <w:hideMark/>
          </w:tcPr>
          <w:p w14:paraId="1E59F761" w14:textId="77777777" w:rsidR="00FC6486" w:rsidRPr="00D877C5" w:rsidRDefault="00FC6486" w:rsidP="00FC6486">
            <w:pPr>
              <w:pStyle w:val="Default"/>
              <w:rPr>
                <w:sz w:val="20"/>
                <w:szCs w:val="20"/>
              </w:rPr>
            </w:pPr>
            <w:r w:rsidRPr="00D877C5">
              <w:rPr>
                <w:sz w:val="20"/>
                <w:szCs w:val="20"/>
              </w:rPr>
              <w:t>100%</w:t>
            </w:r>
          </w:p>
        </w:tc>
        <w:tc>
          <w:tcPr>
            <w:tcW w:w="1275" w:type="dxa"/>
            <w:hideMark/>
          </w:tcPr>
          <w:p w14:paraId="7C740832" w14:textId="77777777" w:rsidR="00FC6486" w:rsidRPr="00D877C5" w:rsidRDefault="00FC6486" w:rsidP="00FC6486">
            <w:pPr>
              <w:pStyle w:val="Default"/>
              <w:rPr>
                <w:sz w:val="20"/>
                <w:szCs w:val="20"/>
              </w:rPr>
            </w:pPr>
            <w:r w:rsidRPr="00D877C5">
              <w:rPr>
                <w:sz w:val="20"/>
                <w:szCs w:val="20"/>
              </w:rPr>
              <w:t> </w:t>
            </w:r>
          </w:p>
        </w:tc>
      </w:tr>
    </w:tbl>
    <w:p w14:paraId="2BAF0FE0" w14:textId="77777777" w:rsidR="00C85A47" w:rsidRPr="00DA330C" w:rsidRDefault="00C85A47" w:rsidP="00D877C5">
      <w:pPr>
        <w:pStyle w:val="Default"/>
        <w:rPr>
          <w:rFonts w:ascii="Tahoma" w:hAnsi="Tahoma" w:cs="Myriad Pro"/>
          <w:color w:val="auto"/>
          <w:sz w:val="20"/>
          <w:lang w:eastAsia="de-DE"/>
        </w:rPr>
      </w:pPr>
    </w:p>
    <w:p w14:paraId="0F37DB2D" w14:textId="77777777" w:rsidR="007245D7" w:rsidRPr="00DA330C" w:rsidRDefault="00DB458D" w:rsidP="00D877C5">
      <w:pPr>
        <w:pStyle w:val="Default"/>
        <w:keepNext/>
        <w:jc w:val="both"/>
        <w:rPr>
          <w:color w:val="auto"/>
        </w:rPr>
      </w:pPr>
      <w:r w:rsidRPr="00DA330C">
        <w:rPr>
          <w:rFonts w:ascii="Tahoma" w:hAnsi="Tahoma" w:cs="Myriad Pro"/>
          <w:noProof/>
          <w:color w:val="auto"/>
          <w:sz w:val="20"/>
          <w:lang w:eastAsia="hr-HR"/>
        </w:rPr>
        <w:drawing>
          <wp:inline distT="0" distB="0" distL="0" distR="0" wp14:anchorId="43F362A1" wp14:editId="6B1B9333">
            <wp:extent cx="5845225" cy="5597611"/>
            <wp:effectExtent l="0" t="0" r="3175" b="3175"/>
            <wp:docPr id="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5845225" cy="5597611"/>
                    </a:xfrm>
                    <a:prstGeom prst="rect">
                      <a:avLst/>
                    </a:prstGeom>
                  </pic:spPr>
                </pic:pic>
              </a:graphicData>
            </a:graphic>
          </wp:inline>
        </w:drawing>
      </w:r>
    </w:p>
    <w:p w14:paraId="6CE015F3" w14:textId="3B9F34AE" w:rsidR="007245D7" w:rsidRPr="00DA330C" w:rsidRDefault="007245D7" w:rsidP="00D877C5">
      <w:pPr>
        <w:pStyle w:val="Naslovslika"/>
      </w:pPr>
      <w:bookmarkStart w:id="245" w:name="_Toc40089016"/>
      <w:r w:rsidRPr="00DA330C">
        <w:t xml:space="preserve">Slika </w:t>
      </w:r>
      <w:fldSimple w:instr=" STYLEREF 1 \s ">
        <w:r w:rsidR="00CE61F3">
          <w:rPr>
            <w:noProof/>
          </w:rPr>
          <w:t>10</w:t>
        </w:r>
      </w:fldSimple>
      <w:r w:rsidRPr="00DA330C">
        <w:t>.</w:t>
      </w:r>
      <w:fldSimple w:instr=" SEQ Slika \* ARABIC \s 1 ">
        <w:r w:rsidR="00CE61F3">
          <w:rPr>
            <w:noProof/>
          </w:rPr>
          <w:t>1</w:t>
        </w:r>
      </w:fldSimple>
      <w:r w:rsidRPr="00DA330C">
        <w:t xml:space="preserve"> Karta potresnih područja RH</w:t>
      </w:r>
      <w:bookmarkEnd w:id="245"/>
    </w:p>
    <w:p w14:paraId="5B60A006" w14:textId="3D12A45A" w:rsidR="00146EDB" w:rsidRPr="00DA330C" w:rsidRDefault="00DF7ED3" w:rsidP="00CD5C12">
      <w:pPr>
        <w:pStyle w:val="Default"/>
        <w:jc w:val="both"/>
        <w:rPr>
          <w:rFonts w:ascii="Tahoma" w:hAnsi="Tahoma" w:cs="Myriad Pro"/>
          <w:color w:val="auto"/>
          <w:sz w:val="20"/>
          <w:lang w:eastAsia="de-DE"/>
        </w:rPr>
      </w:pPr>
      <w:r w:rsidRPr="00DA330C">
        <w:rPr>
          <w:rFonts w:ascii="Tahoma" w:hAnsi="Tahoma" w:cs="Myriad Pro"/>
          <w:color w:val="auto"/>
          <w:sz w:val="20"/>
          <w:lang w:eastAsia="de-DE"/>
        </w:rPr>
        <w:t xml:space="preserve"> </w:t>
      </w:r>
    </w:p>
    <w:p w14:paraId="32EBAE66" w14:textId="77777777" w:rsidR="0066409C" w:rsidRPr="00DA330C" w:rsidRDefault="0066409C" w:rsidP="00CD5C12">
      <w:pPr>
        <w:pStyle w:val="Default"/>
        <w:jc w:val="both"/>
        <w:rPr>
          <w:rFonts w:ascii="Tahoma" w:hAnsi="Tahoma" w:cs="Myriad Pro"/>
          <w:color w:val="auto"/>
          <w:sz w:val="20"/>
          <w:lang w:eastAsia="de-DE"/>
        </w:rPr>
      </w:pPr>
    </w:p>
    <w:p w14:paraId="18E47562" w14:textId="1E16282C" w:rsidR="00EB13C9" w:rsidRPr="00DA330C" w:rsidRDefault="00EB13C9" w:rsidP="00EB13C9">
      <w:pPr>
        <w:pStyle w:val="Default"/>
        <w:rPr>
          <w:rFonts w:ascii="Tahoma" w:hAnsi="Tahoma" w:cs="Myriad Pro"/>
          <w:color w:val="auto"/>
          <w:sz w:val="20"/>
          <w:lang w:eastAsia="de-DE"/>
        </w:rPr>
      </w:pPr>
      <w:r w:rsidRPr="00DA330C">
        <w:rPr>
          <w:rFonts w:ascii="Tahoma" w:hAnsi="Tahoma" w:cs="Myriad Pro"/>
          <w:color w:val="auto"/>
          <w:sz w:val="20"/>
          <w:lang w:eastAsia="de-DE"/>
        </w:rPr>
        <w:t>Dana 22. ožujka 2020. u 6:24 sati seizmografi Seizmološke službe Republike Hrvatske zabilježili su vrlo jak potres magnitude 5.5 prema Richteru s epicentrom 7 km sjeverno od središta Zagreba na dubini od 10 km, posljedica kojeg je djelomično, odnosno potpuno uništenje brojnih zgrada i građevina na području Grada Zagreba, Zagrebačke županije i Krapinsko-zagorske županije. Oštećena je i djelomično uništena donjogradska kulturno-povijesna cjelina Grada Zagreba s pretežito višestambenim starim zidanim zgradama i mnogobrojnim kulturnim dobrima javne namjene, zatim područje Markuševca s pretežito obiteljskim kućama, kao i područje između ta dva dijela grada te uže područje iza Medvednice u Krapinsko-zagorskoj i Zagrebačkoj županiji. Najviše je razorena iznimno vrijedna visoko urbana struktura glavnog grada Republike Hrvatske, gdje se procjenjuje da su najveća oštećenja u gradskim četvrtima Donji grad, Gornji grad - Medveščak, Gornja Dubrava, Maksimir, Podsljeme i Sesvete.</w:t>
      </w:r>
    </w:p>
    <w:p w14:paraId="30AB7394" w14:textId="2337D731" w:rsidR="0066409C" w:rsidRPr="00DA330C" w:rsidRDefault="00EB13C9" w:rsidP="00CD5C12">
      <w:pPr>
        <w:pStyle w:val="Default"/>
        <w:jc w:val="both"/>
        <w:rPr>
          <w:rFonts w:ascii="Tahoma" w:hAnsi="Tahoma" w:cs="Myriad Pro"/>
          <w:color w:val="auto"/>
          <w:sz w:val="20"/>
          <w:lang w:eastAsia="de-DE"/>
        </w:rPr>
      </w:pPr>
      <w:r w:rsidRPr="00DA330C">
        <w:rPr>
          <w:rFonts w:ascii="Tahoma" w:hAnsi="Tahoma" w:cs="Myriad Pro"/>
          <w:color w:val="auto"/>
          <w:sz w:val="20"/>
          <w:lang w:eastAsia="de-DE"/>
        </w:rPr>
        <w:t xml:space="preserve">Od 22. ožujka do 14. travnja 2020., u razdoblju od 24 dana, seizmografi su zabilježili oko 1.000 potresa, od toga 145 potresa magnitude iznad 1,3 po Richteru, te još oko 850 potresa magnituda manjih od 1,3. </w:t>
      </w:r>
    </w:p>
    <w:p w14:paraId="2B645478" w14:textId="19C7627D" w:rsidR="00760BA7" w:rsidRPr="00DA330C" w:rsidRDefault="00B8324C" w:rsidP="002278F6">
      <w:pPr>
        <w:pStyle w:val="Default"/>
        <w:rPr>
          <w:rFonts w:ascii="Tahoma" w:hAnsi="Tahoma" w:cs="Myriad Pro"/>
          <w:color w:val="auto"/>
          <w:sz w:val="20"/>
          <w:lang w:eastAsia="de-DE"/>
        </w:rPr>
      </w:pPr>
      <w:r w:rsidRPr="00DA330C">
        <w:rPr>
          <w:rFonts w:ascii="Tahoma" w:hAnsi="Tahoma" w:cs="Myriad Pro"/>
          <w:color w:val="auto"/>
          <w:sz w:val="20"/>
          <w:lang w:eastAsia="de-DE"/>
        </w:rPr>
        <w:t xml:space="preserve">Došlo je do oštećenja </w:t>
      </w:r>
      <w:r w:rsidR="00133E57">
        <w:rPr>
          <w:rFonts w:ascii="Tahoma" w:hAnsi="Tahoma" w:cs="Myriad Pro"/>
          <w:color w:val="auto"/>
          <w:sz w:val="20"/>
          <w:lang w:eastAsia="de-DE"/>
        </w:rPr>
        <w:t>više od</w:t>
      </w:r>
      <w:r w:rsidRPr="00DA330C">
        <w:rPr>
          <w:rFonts w:ascii="Tahoma" w:hAnsi="Tahoma" w:cs="Myriad Pro"/>
          <w:color w:val="auto"/>
          <w:sz w:val="20"/>
          <w:lang w:eastAsia="de-DE"/>
        </w:rPr>
        <w:t xml:space="preserve"> </w:t>
      </w:r>
      <w:r w:rsidR="00133E57">
        <w:rPr>
          <w:rFonts w:ascii="Tahoma" w:hAnsi="Tahoma" w:cs="Myriad Pro"/>
          <w:color w:val="auto"/>
          <w:sz w:val="20"/>
          <w:lang w:eastAsia="de-DE"/>
        </w:rPr>
        <w:t>24</w:t>
      </w:r>
      <w:r w:rsidR="00102C3B" w:rsidRPr="00DA330C">
        <w:rPr>
          <w:rFonts w:ascii="Tahoma" w:hAnsi="Tahoma" w:cs="Myriad Pro"/>
          <w:color w:val="auto"/>
          <w:sz w:val="20"/>
          <w:lang w:eastAsia="de-DE"/>
        </w:rPr>
        <w:t xml:space="preserve"> 000</w:t>
      </w:r>
      <w:r w:rsidRPr="00DA330C">
        <w:rPr>
          <w:rFonts w:ascii="Tahoma" w:hAnsi="Tahoma" w:cs="Myriad Pro"/>
          <w:color w:val="auto"/>
          <w:sz w:val="20"/>
          <w:lang w:eastAsia="de-DE"/>
        </w:rPr>
        <w:t xml:space="preserve"> zgrada, </w:t>
      </w:r>
      <w:r w:rsidR="00760BA7" w:rsidRPr="002278F6">
        <w:rPr>
          <w:rFonts w:ascii="Tahoma" w:hAnsi="Tahoma" w:cs="Myriad Pro"/>
          <w:color w:val="auto"/>
          <w:sz w:val="20"/>
          <w:lang w:eastAsia="de-DE"/>
        </w:rPr>
        <w:t>1</w:t>
      </w:r>
      <w:r w:rsidR="00102C3B" w:rsidRPr="00DA330C">
        <w:rPr>
          <w:rFonts w:ascii="Tahoma" w:hAnsi="Tahoma" w:cs="Myriad Pro"/>
          <w:color w:val="auto"/>
          <w:sz w:val="20"/>
          <w:lang w:eastAsia="de-DE"/>
        </w:rPr>
        <w:t xml:space="preserve"> </w:t>
      </w:r>
      <w:r w:rsidR="00760BA7" w:rsidRPr="002278F6">
        <w:rPr>
          <w:rFonts w:ascii="Tahoma" w:hAnsi="Tahoma" w:cs="Myriad Pro"/>
          <w:color w:val="auto"/>
          <w:sz w:val="20"/>
          <w:lang w:eastAsia="de-DE"/>
        </w:rPr>
        <w:t>311</w:t>
      </w:r>
      <w:r w:rsidR="00102C3B" w:rsidRPr="00DA330C">
        <w:rPr>
          <w:rFonts w:ascii="Tahoma" w:hAnsi="Tahoma" w:cs="Myriad Pro"/>
          <w:color w:val="auto"/>
          <w:sz w:val="20"/>
          <w:lang w:eastAsia="de-DE"/>
        </w:rPr>
        <w:t xml:space="preserve"> zgrada</w:t>
      </w:r>
      <w:r w:rsidR="00760BA7" w:rsidRPr="00DA330C">
        <w:rPr>
          <w:rFonts w:ascii="Tahoma" w:hAnsi="Tahoma" w:cs="Myriad Pro"/>
          <w:color w:val="auto"/>
          <w:sz w:val="20"/>
          <w:lang w:eastAsia="de-DE"/>
        </w:rPr>
        <w:t xml:space="preserve"> je </w:t>
      </w:r>
      <w:r w:rsidR="00102C3B" w:rsidRPr="00DA330C">
        <w:rPr>
          <w:rFonts w:ascii="Tahoma" w:hAnsi="Tahoma" w:cs="Myriad Pro"/>
          <w:color w:val="auto"/>
          <w:sz w:val="20"/>
          <w:lang w:eastAsia="de-DE"/>
        </w:rPr>
        <w:t>označeno kao neuporabljiv</w:t>
      </w:r>
      <w:r w:rsidR="00133E57">
        <w:rPr>
          <w:rFonts w:ascii="Tahoma" w:hAnsi="Tahoma" w:cs="Myriad Pro"/>
          <w:color w:val="auto"/>
          <w:sz w:val="20"/>
          <w:lang w:eastAsia="de-DE"/>
        </w:rPr>
        <w:t>o</w:t>
      </w:r>
      <w:r w:rsidR="00CE61F3">
        <w:rPr>
          <w:rFonts w:ascii="Tahoma" w:hAnsi="Tahoma" w:cs="Myriad Pro"/>
          <w:color w:val="auto"/>
          <w:sz w:val="20"/>
          <w:lang w:eastAsia="de-DE"/>
        </w:rPr>
        <w:t>,</w:t>
      </w:r>
      <w:r w:rsidR="00102C3B" w:rsidRPr="00DA330C">
        <w:rPr>
          <w:rFonts w:ascii="Tahoma" w:hAnsi="Tahoma" w:cs="Myriad Pro"/>
          <w:color w:val="auto"/>
          <w:sz w:val="20"/>
          <w:lang w:eastAsia="de-DE"/>
        </w:rPr>
        <w:t xml:space="preserve"> a 4 896 zgrada kao privremeno neuporabljivo. O</w:t>
      </w:r>
      <w:r w:rsidRPr="00DA330C">
        <w:rPr>
          <w:rFonts w:ascii="Tahoma" w:hAnsi="Tahoma" w:cs="Myriad Pro"/>
          <w:color w:val="auto"/>
          <w:sz w:val="20"/>
          <w:lang w:eastAsia="de-DE"/>
        </w:rPr>
        <w:t>zlijeđeno je ukupno 27 ljudi, dok je jedna osoba preminula od zadobivenih ozljeda.</w:t>
      </w:r>
      <w:r w:rsidR="002278F6" w:rsidRPr="00DA330C">
        <w:rPr>
          <w:color w:val="auto"/>
          <w:sz w:val="23"/>
          <w:szCs w:val="23"/>
        </w:rPr>
        <w:t xml:space="preserve"> </w:t>
      </w:r>
    </w:p>
    <w:p w14:paraId="304732CA" w14:textId="455662FD" w:rsidR="00B8324C" w:rsidRPr="00DA330C" w:rsidRDefault="00B8324C" w:rsidP="00CD5C12">
      <w:pPr>
        <w:pStyle w:val="Default"/>
        <w:jc w:val="both"/>
        <w:rPr>
          <w:rFonts w:ascii="Tahoma" w:hAnsi="Tahoma" w:cs="Myriad Pro"/>
          <w:color w:val="auto"/>
          <w:sz w:val="20"/>
          <w:lang w:eastAsia="de-DE"/>
        </w:rPr>
      </w:pPr>
    </w:p>
    <w:p w14:paraId="108D6116" w14:textId="7FB634D9" w:rsidR="00EB6B17" w:rsidRPr="00DA330C" w:rsidRDefault="0024602C" w:rsidP="00147904">
      <w:pPr>
        <w:pStyle w:val="StandardWeb"/>
        <w:spacing w:after="120" w:line="240" w:lineRule="auto"/>
        <w:rPr>
          <w:rFonts w:cs="Myriad Pro"/>
          <w:lang w:eastAsia="hr-HR"/>
        </w:rPr>
      </w:pPr>
      <w:r>
        <w:rPr>
          <w:rFonts w:cs="Myriad Pro"/>
          <w:lang w:eastAsia="hr-HR"/>
        </w:rPr>
        <w:t>Prema</w:t>
      </w:r>
      <w:r w:rsidR="00CF38F2" w:rsidRPr="00DA330C">
        <w:rPr>
          <w:rFonts w:cs="Myriad Pro"/>
          <w:lang w:eastAsia="hr-HR"/>
        </w:rPr>
        <w:t xml:space="preserve"> Direktivi EU </w:t>
      </w:r>
      <w:r w:rsidR="008B470E" w:rsidRPr="00DA330C">
        <w:rPr>
          <w:rFonts w:cs="Myriad Pro"/>
          <w:lang w:eastAsia="hr-HR"/>
        </w:rPr>
        <w:t xml:space="preserve">2018/844 </w:t>
      </w:r>
      <w:r w:rsidR="00CF38F2" w:rsidRPr="00DA330C">
        <w:rPr>
          <w:rFonts w:cs="Myriad Pro"/>
          <w:lang w:eastAsia="hr-HR"/>
        </w:rPr>
        <w:t>uz energetsku</w:t>
      </w:r>
      <w:r w:rsidR="00CF38F2" w:rsidRPr="00DA330C">
        <w:rPr>
          <w:rFonts w:cs="Myriad Pro"/>
        </w:rPr>
        <w:t xml:space="preserve"> obnovu država članica može poticati obnovu po pitanju zaštite požara i mehaničke otpornosti i stabilnosti uslijed seizmičkog djelovanja</w:t>
      </w:r>
      <w:r w:rsidR="007C599A" w:rsidRPr="00DA330C">
        <w:rPr>
          <w:rFonts w:cs="Myriad Pro"/>
        </w:rPr>
        <w:t xml:space="preserve">. Sukladno tome </w:t>
      </w:r>
      <w:r w:rsidR="00EB6B17" w:rsidRPr="00DA330C">
        <w:rPr>
          <w:rFonts w:cs="Myriad Pro"/>
          <w:lang w:eastAsia="hr-HR"/>
        </w:rPr>
        <w:t xml:space="preserve">u slučaju zgrada koje se podvrgavaju značajnoj obnovi </w:t>
      </w:r>
      <w:r w:rsidR="00AB6286" w:rsidRPr="00DA330C">
        <w:rPr>
          <w:rFonts w:cs="Myriad Pro"/>
          <w:lang w:eastAsia="hr-HR"/>
        </w:rPr>
        <w:t xml:space="preserve">svi </w:t>
      </w:r>
      <w:r w:rsidR="00EB6B17" w:rsidRPr="00DA330C">
        <w:rPr>
          <w:rFonts w:cs="Myriad Pro"/>
          <w:lang w:eastAsia="hr-HR"/>
        </w:rPr>
        <w:t xml:space="preserve">nacionalnim programima energetske obnove zgrada </w:t>
      </w:r>
      <w:r w:rsidR="00AB6286" w:rsidRPr="00DA330C">
        <w:rPr>
          <w:rFonts w:cs="Myriad Pro"/>
          <w:lang w:eastAsia="hr-HR"/>
        </w:rPr>
        <w:t xml:space="preserve">RH </w:t>
      </w:r>
      <w:r w:rsidR="00EB6B17" w:rsidRPr="00DA330C">
        <w:rPr>
          <w:rFonts w:cs="Myriad Pro"/>
          <w:lang w:eastAsia="hr-HR"/>
        </w:rPr>
        <w:t>za razdoblje 2021. -2030. god</w:t>
      </w:r>
      <w:r w:rsidR="00621169" w:rsidRPr="00DA330C">
        <w:rPr>
          <w:rFonts w:cs="Myriad Pro"/>
          <w:lang w:eastAsia="hr-HR"/>
        </w:rPr>
        <w:t>ina</w:t>
      </w:r>
      <w:r w:rsidR="00EB6B17" w:rsidRPr="00DA330C">
        <w:rPr>
          <w:rFonts w:cs="Myriad Pro"/>
          <w:lang w:eastAsia="hr-HR"/>
        </w:rPr>
        <w:t xml:space="preserve"> poticati će se osiguranj</w:t>
      </w:r>
      <w:r w:rsidR="00621169" w:rsidRPr="00DA330C">
        <w:rPr>
          <w:rFonts w:cs="Myriad Pro"/>
          <w:lang w:eastAsia="hr-HR"/>
        </w:rPr>
        <w:t>e</w:t>
      </w:r>
      <w:r w:rsidR="00EB6B17" w:rsidRPr="00DA330C">
        <w:rPr>
          <w:rFonts w:cs="Myriad Pro"/>
          <w:lang w:eastAsia="hr-HR"/>
        </w:rPr>
        <w:t xml:space="preserve"> zdravih unutarnjih klimatskih uvjeta, zaštiti od požara i  rizika povezanih s pojačanom seizmičkom aktivnosti.</w:t>
      </w:r>
    </w:p>
    <w:p w14:paraId="3E4A9048" w14:textId="20F59792" w:rsidR="00CC19F8" w:rsidRPr="00DA330C" w:rsidRDefault="001A4280" w:rsidP="00147904">
      <w:pPr>
        <w:spacing w:before="100" w:beforeAutospacing="1" w:afterAutospacing="1" w:line="240" w:lineRule="auto"/>
        <w:outlineLvl w:val="1"/>
        <w:rPr>
          <w:lang w:eastAsia="hr-HR"/>
        </w:rPr>
      </w:pPr>
      <w:r w:rsidRPr="00DA330C">
        <w:t>Nadalje</w:t>
      </w:r>
      <w:r w:rsidR="00DE45E1" w:rsidRPr="00DA330C">
        <w:t xml:space="preserve"> </w:t>
      </w:r>
      <w:r w:rsidR="00AB6286" w:rsidRPr="00DA330C">
        <w:t xml:space="preserve"> izmjenom </w:t>
      </w:r>
      <w:r w:rsidRPr="00DA330C">
        <w:t>Tehnič</w:t>
      </w:r>
      <w:r w:rsidRPr="00DA330C">
        <w:rPr>
          <w:lang w:eastAsia="hr-HR"/>
        </w:rPr>
        <w:t>k</w:t>
      </w:r>
      <w:r w:rsidR="00DE45E1" w:rsidRPr="00DA330C">
        <w:rPr>
          <w:lang w:eastAsia="hr-HR"/>
        </w:rPr>
        <w:t>og</w:t>
      </w:r>
      <w:r w:rsidRPr="00DA330C">
        <w:rPr>
          <w:lang w:eastAsia="hr-HR"/>
        </w:rPr>
        <w:t xml:space="preserve"> propisom</w:t>
      </w:r>
      <w:r w:rsidR="00DE45E1" w:rsidRPr="00DA330C">
        <w:rPr>
          <w:lang w:eastAsia="hr-HR"/>
        </w:rPr>
        <w:t xml:space="preserve"> o racionalnoj uporabi energije i toplinskoj zaštiti </w:t>
      </w:r>
      <w:r w:rsidR="00AB6286" w:rsidRPr="00DA330C">
        <w:rPr>
          <w:lang w:eastAsia="hr-HR"/>
        </w:rPr>
        <w:t xml:space="preserve">iz 2020. </w:t>
      </w:r>
      <w:r w:rsidR="00DE45E1" w:rsidRPr="00DA330C">
        <w:rPr>
          <w:lang w:eastAsia="hr-HR"/>
        </w:rPr>
        <w:t xml:space="preserve">propisuje se </w:t>
      </w:r>
      <w:r w:rsidR="00C401D3" w:rsidRPr="00C401D3">
        <w:rPr>
          <w:lang w:eastAsia="hr-HR"/>
        </w:rPr>
        <w:t xml:space="preserve">prilikom značajne obnove </w:t>
      </w:r>
      <w:r w:rsidR="00DE45E1" w:rsidRPr="00C401D3">
        <w:rPr>
          <w:lang w:eastAsia="hr-HR"/>
        </w:rPr>
        <w:t>obavez</w:t>
      </w:r>
      <w:r w:rsidR="00CC19F8" w:rsidRPr="00C401D3">
        <w:rPr>
          <w:lang w:eastAsia="hr-HR"/>
        </w:rPr>
        <w:t xml:space="preserve">a </w:t>
      </w:r>
      <w:r w:rsidR="00CC19F8" w:rsidRPr="00DA330C">
        <w:rPr>
          <w:lang w:eastAsia="hr-HR"/>
        </w:rPr>
        <w:t xml:space="preserve">izrade analize postojećeg stanje zgrade te izrada prikaz mjera za poboljšanje postojećeg stanja cijele zgrade s procjenom investicije po pitanju zdravih unutarnjih klimatskih uvjeta, zaštite od požara i rizika povezanih s djelovanjem potresa, od strane projektanta.  </w:t>
      </w:r>
    </w:p>
    <w:p w14:paraId="014F0850" w14:textId="2485607B" w:rsidR="00147904" w:rsidRDefault="00CC19F8" w:rsidP="00CD5C12">
      <w:pPr>
        <w:pStyle w:val="Default"/>
        <w:jc w:val="both"/>
        <w:rPr>
          <w:rFonts w:ascii="Tahoma" w:hAnsi="Tahoma" w:cs="Myriad Pro"/>
          <w:color w:val="auto"/>
          <w:sz w:val="20"/>
          <w:lang w:eastAsia="de-DE"/>
        </w:rPr>
      </w:pPr>
      <w:r w:rsidRPr="00DA330C">
        <w:rPr>
          <w:rFonts w:ascii="Tahoma" w:hAnsi="Tahoma" w:cs="Myriad Pro"/>
          <w:color w:val="auto"/>
          <w:sz w:val="20"/>
          <w:lang w:eastAsia="de-DE"/>
        </w:rPr>
        <w:t>Osim ovih mje</w:t>
      </w:r>
      <w:r w:rsidR="00147904" w:rsidRPr="00DA330C">
        <w:rPr>
          <w:rFonts w:ascii="Tahoma" w:hAnsi="Tahoma" w:cs="Myriad Pro"/>
          <w:color w:val="auto"/>
          <w:sz w:val="20"/>
          <w:lang w:eastAsia="de-DE"/>
        </w:rPr>
        <w:t>r</w:t>
      </w:r>
      <w:r w:rsidRPr="00DA330C">
        <w:rPr>
          <w:rFonts w:ascii="Tahoma" w:hAnsi="Tahoma" w:cs="Myriad Pro"/>
          <w:color w:val="auto"/>
          <w:sz w:val="20"/>
          <w:lang w:eastAsia="de-DE"/>
        </w:rPr>
        <w:t xml:space="preserve">a </w:t>
      </w:r>
      <w:r w:rsidR="00147904" w:rsidRPr="00DA330C">
        <w:rPr>
          <w:rFonts w:ascii="Tahoma" w:hAnsi="Tahoma" w:cs="Myriad Pro"/>
          <w:color w:val="auto"/>
          <w:sz w:val="20"/>
          <w:lang w:eastAsia="de-DE"/>
        </w:rPr>
        <w:t>potrebno je</w:t>
      </w:r>
      <w:r w:rsidR="00847C08" w:rsidRPr="00DA330C">
        <w:rPr>
          <w:rFonts w:ascii="Tahoma" w:hAnsi="Tahoma" w:cs="Myriad Pro"/>
          <w:color w:val="auto"/>
          <w:sz w:val="20"/>
          <w:lang w:eastAsia="de-DE"/>
        </w:rPr>
        <w:t xml:space="preserve"> </w:t>
      </w:r>
      <w:r w:rsidR="00847C08">
        <w:rPr>
          <w:rFonts w:ascii="Tahoma" w:hAnsi="Tahoma" w:cs="Myriad Pro"/>
          <w:color w:val="auto"/>
          <w:sz w:val="20"/>
          <w:lang w:eastAsia="de-DE"/>
        </w:rPr>
        <w:t xml:space="preserve">kroz model </w:t>
      </w:r>
      <w:r w:rsidR="0026648F">
        <w:rPr>
          <w:rFonts w:ascii="Tahoma" w:hAnsi="Tahoma" w:cs="Myriad Pro"/>
          <w:color w:val="auto"/>
          <w:sz w:val="20"/>
          <w:lang w:eastAsia="de-DE"/>
        </w:rPr>
        <w:t>potpora</w:t>
      </w:r>
      <w:r w:rsidR="00847C08">
        <w:rPr>
          <w:rFonts w:ascii="Tahoma" w:hAnsi="Tahoma" w:cs="Myriad Pro"/>
          <w:color w:val="auto"/>
          <w:sz w:val="20"/>
          <w:lang w:eastAsia="de-DE"/>
        </w:rPr>
        <w:t xml:space="preserve"> za projektnu dokumentaciju</w:t>
      </w:r>
      <w:r w:rsidR="0026648F">
        <w:rPr>
          <w:rFonts w:ascii="Tahoma" w:hAnsi="Tahoma" w:cs="Myriad Pro"/>
          <w:color w:val="auto"/>
          <w:sz w:val="20"/>
          <w:lang w:eastAsia="de-DE"/>
        </w:rPr>
        <w:t xml:space="preserve"> osnažiti motivaciju vlasnika zgrada za </w:t>
      </w:r>
      <w:r w:rsidR="005D7172">
        <w:rPr>
          <w:rFonts w:ascii="Tahoma" w:hAnsi="Tahoma" w:cs="Myriad Pro"/>
          <w:color w:val="auto"/>
          <w:sz w:val="20"/>
          <w:lang w:eastAsia="de-DE"/>
        </w:rPr>
        <w:t xml:space="preserve">izradom dodatnih analiza (provjera seizmičke stabilnosti, elaborati zaštite od požara). </w:t>
      </w:r>
    </w:p>
    <w:p w14:paraId="24C50F2D" w14:textId="42CB3210" w:rsidR="007E46C6" w:rsidRDefault="006E6D00" w:rsidP="007E46C6">
      <w:pPr>
        <w:pStyle w:val="Default"/>
        <w:jc w:val="both"/>
        <w:rPr>
          <w:rFonts w:ascii="Tahoma" w:hAnsi="Tahoma" w:cs="Myriad Pro"/>
          <w:color w:val="auto"/>
          <w:sz w:val="20"/>
          <w:lang w:eastAsia="de-DE"/>
        </w:rPr>
      </w:pPr>
      <w:r>
        <w:rPr>
          <w:rFonts w:ascii="Tahoma" w:hAnsi="Tahoma" w:cs="Myriad Pro"/>
          <w:color w:val="auto"/>
          <w:sz w:val="20"/>
          <w:lang w:eastAsia="de-DE"/>
        </w:rPr>
        <w:t>Dodatne analize mogu obuhvatiti niz mjera za povećanje stabilnosti na potresno opterećenje</w:t>
      </w:r>
      <w:r w:rsidR="007E46C6">
        <w:rPr>
          <w:rFonts w:ascii="Tahoma" w:hAnsi="Tahoma" w:cs="Myriad Pro"/>
          <w:color w:val="auto"/>
          <w:sz w:val="20"/>
          <w:lang w:eastAsia="de-DE"/>
        </w:rPr>
        <w:t xml:space="preserve"> koje možemo podijeliti na</w:t>
      </w:r>
      <w:r w:rsidR="00ED61D7">
        <w:rPr>
          <w:rFonts w:ascii="Tahoma" w:hAnsi="Tahoma" w:cs="Myriad Pro"/>
          <w:color w:val="auto"/>
          <w:sz w:val="20"/>
          <w:lang w:eastAsia="de-DE"/>
        </w:rPr>
        <w:t xml:space="preserve">: </w:t>
      </w:r>
    </w:p>
    <w:p w14:paraId="2D037DA2" w14:textId="2F0C9B1D" w:rsidR="007E46C6" w:rsidRDefault="007E46C6" w:rsidP="007E46C6">
      <w:pPr>
        <w:pStyle w:val="Default"/>
        <w:numPr>
          <w:ilvl w:val="0"/>
          <w:numId w:val="49"/>
        </w:numPr>
        <w:jc w:val="both"/>
        <w:rPr>
          <w:rFonts w:ascii="Tahoma" w:hAnsi="Tahoma" w:cs="Myriad Pro"/>
          <w:color w:val="auto"/>
          <w:sz w:val="20"/>
          <w:lang w:eastAsia="de-DE"/>
        </w:rPr>
      </w:pPr>
      <w:r>
        <w:rPr>
          <w:rFonts w:ascii="Tahoma" w:hAnsi="Tahoma" w:cs="Myriad Pro"/>
          <w:color w:val="auto"/>
          <w:sz w:val="20"/>
          <w:lang w:eastAsia="de-DE"/>
        </w:rPr>
        <w:t>Tehničke mjere</w:t>
      </w:r>
    </w:p>
    <w:p w14:paraId="11A780B4" w14:textId="61E396CE" w:rsidR="00973A85" w:rsidRDefault="00973A85" w:rsidP="00973A85">
      <w:pPr>
        <w:pStyle w:val="Default"/>
        <w:numPr>
          <w:ilvl w:val="1"/>
          <w:numId w:val="49"/>
        </w:numPr>
        <w:jc w:val="both"/>
        <w:rPr>
          <w:rFonts w:ascii="Tahoma" w:hAnsi="Tahoma" w:cs="Myriad Pro"/>
          <w:color w:val="auto"/>
          <w:sz w:val="20"/>
          <w:lang w:eastAsia="de-DE"/>
        </w:rPr>
      </w:pPr>
      <w:r>
        <w:rPr>
          <w:rFonts w:ascii="Tahoma" w:hAnsi="Tahoma" w:cs="Myriad Pro"/>
          <w:color w:val="auto"/>
          <w:sz w:val="20"/>
          <w:lang w:eastAsia="de-DE"/>
        </w:rPr>
        <w:t>osiguranje cjelovitosti konstrukcije</w:t>
      </w:r>
    </w:p>
    <w:p w14:paraId="0E804298" w14:textId="0A01B689" w:rsidR="001F1CFA" w:rsidRDefault="005914F1" w:rsidP="00D877C5">
      <w:pPr>
        <w:pStyle w:val="Default"/>
        <w:numPr>
          <w:ilvl w:val="2"/>
          <w:numId w:val="49"/>
        </w:numPr>
        <w:jc w:val="both"/>
        <w:rPr>
          <w:rFonts w:ascii="Tahoma" w:hAnsi="Tahoma" w:cs="Myriad Pro"/>
          <w:color w:val="auto"/>
          <w:sz w:val="20"/>
          <w:lang w:eastAsia="de-DE"/>
        </w:rPr>
      </w:pPr>
      <w:r>
        <w:rPr>
          <w:rFonts w:ascii="Tahoma" w:hAnsi="Tahoma" w:cs="Myriad Pro"/>
          <w:color w:val="auto"/>
          <w:sz w:val="20"/>
          <w:lang w:eastAsia="de-DE"/>
        </w:rPr>
        <w:t>adekvatno povezivanje zidnih i stropnih konstrukcija, osiguranje krutosti konstrukcija</w:t>
      </w:r>
    </w:p>
    <w:p w14:paraId="7EC45126" w14:textId="084C7592" w:rsidR="005914F1" w:rsidRDefault="007636A6" w:rsidP="00973A85">
      <w:pPr>
        <w:pStyle w:val="Default"/>
        <w:numPr>
          <w:ilvl w:val="2"/>
          <w:numId w:val="49"/>
        </w:numPr>
        <w:jc w:val="both"/>
        <w:rPr>
          <w:rFonts w:ascii="Tahoma" w:hAnsi="Tahoma" w:cs="Myriad Pro"/>
          <w:color w:val="auto"/>
          <w:sz w:val="20"/>
          <w:lang w:eastAsia="de-DE"/>
        </w:rPr>
      </w:pPr>
      <w:r>
        <w:rPr>
          <w:rFonts w:ascii="Tahoma" w:hAnsi="Tahoma" w:cs="Myriad Pro"/>
          <w:color w:val="auto"/>
          <w:sz w:val="20"/>
          <w:lang w:eastAsia="de-DE"/>
        </w:rPr>
        <w:t>k</w:t>
      </w:r>
      <w:r w:rsidR="004E452A" w:rsidRPr="007636A6">
        <w:rPr>
          <w:rFonts w:ascii="Tahoma" w:hAnsi="Tahoma" w:cs="Myriad Pro"/>
          <w:color w:val="auto"/>
          <w:sz w:val="20"/>
          <w:lang w:eastAsia="de-DE"/>
        </w:rPr>
        <w:t>onstrukcijski zidovi trebaju biti ravnomjerno raspoređeni u dva ortogonalna smjera zgrade</w:t>
      </w:r>
      <w:r w:rsidRPr="007636A6">
        <w:rPr>
          <w:rFonts w:ascii="Tahoma" w:hAnsi="Tahoma" w:cs="Myriad Pro"/>
          <w:color w:val="auto"/>
          <w:sz w:val="20"/>
          <w:lang w:eastAsia="de-DE"/>
        </w:rPr>
        <w:t xml:space="preserve"> </w:t>
      </w:r>
      <w:r w:rsidR="004E452A" w:rsidRPr="007636A6">
        <w:rPr>
          <w:rFonts w:ascii="Tahoma" w:hAnsi="Tahoma" w:cs="Myriad Pro"/>
          <w:color w:val="auto"/>
          <w:sz w:val="20"/>
          <w:lang w:eastAsia="de-DE"/>
        </w:rPr>
        <w:t>za uspješno pružanje otpora očekivanim seizmičkim opterećenjima</w:t>
      </w:r>
    </w:p>
    <w:p w14:paraId="784708C6" w14:textId="3EE4663B" w:rsidR="00ED61D7" w:rsidRDefault="00ED61D7" w:rsidP="00D877C5">
      <w:pPr>
        <w:pStyle w:val="Default"/>
        <w:numPr>
          <w:ilvl w:val="2"/>
          <w:numId w:val="49"/>
        </w:numPr>
        <w:jc w:val="both"/>
        <w:rPr>
          <w:rFonts w:ascii="Tahoma" w:hAnsi="Tahoma" w:cs="Myriad Pro"/>
          <w:color w:val="auto"/>
          <w:sz w:val="20"/>
          <w:lang w:eastAsia="de-DE"/>
        </w:rPr>
      </w:pPr>
      <w:r>
        <w:rPr>
          <w:rFonts w:ascii="Tahoma" w:hAnsi="Tahoma" w:cs="Myriad Pro"/>
          <w:color w:val="auto"/>
          <w:sz w:val="20"/>
          <w:lang w:eastAsia="de-DE"/>
        </w:rPr>
        <w:t>dodavanje dodatnih nosivih zidova</w:t>
      </w:r>
    </w:p>
    <w:p w14:paraId="089EE27B" w14:textId="5D9160A3" w:rsidR="00F10968" w:rsidRDefault="00F10968" w:rsidP="00F10968">
      <w:pPr>
        <w:pStyle w:val="Default"/>
        <w:numPr>
          <w:ilvl w:val="1"/>
          <w:numId w:val="49"/>
        </w:numPr>
        <w:jc w:val="both"/>
        <w:rPr>
          <w:rFonts w:ascii="Tahoma" w:hAnsi="Tahoma" w:cs="Myriad Pro"/>
          <w:color w:val="auto"/>
          <w:sz w:val="20"/>
          <w:lang w:eastAsia="de-DE"/>
        </w:rPr>
      </w:pPr>
      <w:r>
        <w:rPr>
          <w:rFonts w:ascii="Tahoma" w:hAnsi="Tahoma" w:cs="Myriad Pro"/>
          <w:color w:val="auto"/>
          <w:sz w:val="20"/>
          <w:lang w:eastAsia="de-DE"/>
        </w:rPr>
        <w:t>pojačanje zi</w:t>
      </w:r>
      <w:r w:rsidR="003F5EE9">
        <w:rPr>
          <w:rFonts w:ascii="Tahoma" w:hAnsi="Tahoma" w:cs="Myriad Pro"/>
          <w:color w:val="auto"/>
          <w:sz w:val="20"/>
          <w:lang w:eastAsia="de-DE"/>
        </w:rPr>
        <w:t xml:space="preserve">đa </w:t>
      </w:r>
    </w:p>
    <w:p w14:paraId="572F364C" w14:textId="77777777" w:rsidR="007E0C82" w:rsidRDefault="003F5EE9" w:rsidP="003F5EE9">
      <w:pPr>
        <w:pStyle w:val="Default"/>
        <w:numPr>
          <w:ilvl w:val="2"/>
          <w:numId w:val="49"/>
        </w:numPr>
        <w:jc w:val="both"/>
        <w:rPr>
          <w:rFonts w:ascii="Tahoma" w:hAnsi="Tahoma" w:cs="Myriad Pro"/>
          <w:color w:val="auto"/>
          <w:sz w:val="20"/>
          <w:lang w:eastAsia="de-DE"/>
        </w:rPr>
      </w:pPr>
      <w:r>
        <w:rPr>
          <w:rFonts w:ascii="Tahoma" w:hAnsi="Tahoma" w:cs="Myriad Pro"/>
          <w:color w:val="auto"/>
          <w:sz w:val="20"/>
          <w:lang w:eastAsia="de-DE"/>
        </w:rPr>
        <w:t xml:space="preserve">injektiranje </w:t>
      </w:r>
    </w:p>
    <w:p w14:paraId="2D353B96" w14:textId="7D699968" w:rsidR="003F5EE9" w:rsidRDefault="009037D7" w:rsidP="003F5EE9">
      <w:pPr>
        <w:pStyle w:val="Default"/>
        <w:numPr>
          <w:ilvl w:val="2"/>
          <w:numId w:val="49"/>
        </w:numPr>
        <w:jc w:val="both"/>
        <w:rPr>
          <w:rFonts w:ascii="Tahoma" w:hAnsi="Tahoma" w:cs="Myriad Pro"/>
          <w:color w:val="auto"/>
          <w:sz w:val="20"/>
          <w:lang w:eastAsia="de-DE"/>
        </w:rPr>
      </w:pPr>
      <w:r>
        <w:rPr>
          <w:rFonts w:ascii="Tahoma" w:hAnsi="Tahoma" w:cs="Myriad Pro"/>
          <w:color w:val="auto"/>
          <w:sz w:val="20"/>
          <w:lang w:eastAsia="de-DE"/>
        </w:rPr>
        <w:t xml:space="preserve">vanjsko povezivanje </w:t>
      </w:r>
      <w:r w:rsidR="00A95F49">
        <w:rPr>
          <w:rFonts w:ascii="Tahoma" w:hAnsi="Tahoma" w:cs="Myriad Pro"/>
          <w:color w:val="auto"/>
          <w:sz w:val="20"/>
          <w:lang w:eastAsia="de-DE"/>
        </w:rPr>
        <w:t>oblogama (ferocement, armatura, ugljična vlakna)</w:t>
      </w:r>
    </w:p>
    <w:p w14:paraId="08EA5016" w14:textId="773F9360" w:rsidR="007E0C82" w:rsidRDefault="007E0C82" w:rsidP="003F5EE9">
      <w:pPr>
        <w:pStyle w:val="Default"/>
        <w:numPr>
          <w:ilvl w:val="2"/>
          <w:numId w:val="49"/>
        </w:numPr>
        <w:jc w:val="both"/>
        <w:rPr>
          <w:rFonts w:ascii="Tahoma" w:hAnsi="Tahoma" w:cs="Myriad Pro"/>
          <w:color w:val="auto"/>
          <w:sz w:val="20"/>
          <w:lang w:eastAsia="de-DE"/>
        </w:rPr>
      </w:pPr>
      <w:r>
        <w:rPr>
          <w:rFonts w:ascii="Tahoma" w:hAnsi="Tahoma" w:cs="Myriad Pro"/>
          <w:color w:val="auto"/>
          <w:sz w:val="20"/>
          <w:lang w:eastAsia="de-DE"/>
        </w:rPr>
        <w:t>ponovno fugiranje</w:t>
      </w:r>
    </w:p>
    <w:p w14:paraId="5D05BF70" w14:textId="3728697B" w:rsidR="007E0C82" w:rsidRDefault="007E0C82" w:rsidP="003F5EE9">
      <w:pPr>
        <w:pStyle w:val="Default"/>
        <w:numPr>
          <w:ilvl w:val="2"/>
          <w:numId w:val="49"/>
        </w:numPr>
        <w:jc w:val="both"/>
        <w:rPr>
          <w:rFonts w:ascii="Tahoma" w:hAnsi="Tahoma" w:cs="Myriad Pro"/>
          <w:color w:val="auto"/>
          <w:sz w:val="20"/>
          <w:lang w:eastAsia="de-DE"/>
        </w:rPr>
      </w:pPr>
      <w:r>
        <w:rPr>
          <w:rFonts w:ascii="Tahoma" w:hAnsi="Tahoma" w:cs="Myriad Pro"/>
          <w:color w:val="auto"/>
          <w:sz w:val="20"/>
          <w:lang w:eastAsia="de-DE"/>
        </w:rPr>
        <w:t>prednapinjanje zidova u horizontalnom ili vertikalnom smjeru</w:t>
      </w:r>
    </w:p>
    <w:p w14:paraId="7EEBDBB9" w14:textId="7DCD61FE" w:rsidR="00786B28" w:rsidRDefault="00786B28" w:rsidP="00786B28">
      <w:pPr>
        <w:pStyle w:val="Default"/>
        <w:numPr>
          <w:ilvl w:val="1"/>
          <w:numId w:val="49"/>
        </w:numPr>
        <w:jc w:val="both"/>
        <w:rPr>
          <w:rFonts w:ascii="Tahoma" w:hAnsi="Tahoma" w:cs="Myriad Pro"/>
          <w:color w:val="auto"/>
          <w:sz w:val="20"/>
          <w:lang w:eastAsia="de-DE"/>
        </w:rPr>
      </w:pPr>
      <w:r>
        <w:rPr>
          <w:rFonts w:ascii="Tahoma" w:hAnsi="Tahoma" w:cs="Myriad Pro"/>
          <w:color w:val="auto"/>
          <w:sz w:val="20"/>
          <w:lang w:eastAsia="de-DE"/>
        </w:rPr>
        <w:t>pojačanje skeletnih i okvirnih ko</w:t>
      </w:r>
      <w:r w:rsidR="00863BA4">
        <w:rPr>
          <w:rFonts w:ascii="Tahoma" w:hAnsi="Tahoma" w:cs="Myriad Pro"/>
          <w:color w:val="auto"/>
          <w:sz w:val="20"/>
          <w:lang w:eastAsia="de-DE"/>
        </w:rPr>
        <w:t>ns</w:t>
      </w:r>
      <w:r>
        <w:rPr>
          <w:rFonts w:ascii="Tahoma" w:hAnsi="Tahoma" w:cs="Myriad Pro"/>
          <w:color w:val="auto"/>
          <w:sz w:val="20"/>
          <w:lang w:eastAsia="de-DE"/>
        </w:rPr>
        <w:t>trukcija</w:t>
      </w:r>
    </w:p>
    <w:p w14:paraId="65AEEB1D" w14:textId="15423DEB" w:rsidR="00786B28" w:rsidRDefault="00786B28" w:rsidP="00786B28">
      <w:pPr>
        <w:pStyle w:val="Default"/>
        <w:numPr>
          <w:ilvl w:val="1"/>
          <w:numId w:val="49"/>
        </w:numPr>
        <w:jc w:val="both"/>
        <w:rPr>
          <w:rFonts w:ascii="Tahoma" w:hAnsi="Tahoma" w:cs="Myriad Pro"/>
          <w:color w:val="auto"/>
          <w:sz w:val="20"/>
          <w:lang w:eastAsia="de-DE"/>
        </w:rPr>
      </w:pPr>
      <w:r>
        <w:rPr>
          <w:rFonts w:ascii="Tahoma" w:hAnsi="Tahoma" w:cs="Myriad Pro"/>
          <w:color w:val="auto"/>
          <w:sz w:val="20"/>
          <w:lang w:eastAsia="de-DE"/>
        </w:rPr>
        <w:t xml:space="preserve">olakšavanje konstrukcija zgrada i smanjivanje stalnog opterećenja </w:t>
      </w:r>
    </w:p>
    <w:p w14:paraId="3FE0BAB9" w14:textId="509C25C0" w:rsidR="007E0C82" w:rsidRDefault="0020727C" w:rsidP="007E0C82">
      <w:pPr>
        <w:pStyle w:val="Default"/>
        <w:numPr>
          <w:ilvl w:val="0"/>
          <w:numId w:val="49"/>
        </w:numPr>
        <w:jc w:val="both"/>
        <w:rPr>
          <w:rFonts w:ascii="Tahoma" w:hAnsi="Tahoma" w:cs="Myriad Pro"/>
          <w:color w:val="auto"/>
          <w:sz w:val="20"/>
          <w:lang w:eastAsia="de-DE"/>
        </w:rPr>
      </w:pPr>
      <w:r>
        <w:rPr>
          <w:rFonts w:ascii="Tahoma" w:hAnsi="Tahoma" w:cs="Myriad Pro"/>
          <w:color w:val="auto"/>
          <w:sz w:val="20"/>
          <w:lang w:eastAsia="de-DE"/>
        </w:rPr>
        <w:t>Provjera seizmičke otpornosti</w:t>
      </w:r>
    </w:p>
    <w:p w14:paraId="11610B6C" w14:textId="68DC0524" w:rsidR="0020727C" w:rsidRDefault="0020727C" w:rsidP="00D877C5">
      <w:pPr>
        <w:pStyle w:val="Default"/>
        <w:numPr>
          <w:ilvl w:val="1"/>
          <w:numId w:val="49"/>
        </w:numPr>
        <w:jc w:val="both"/>
        <w:rPr>
          <w:rFonts w:ascii="Tahoma" w:hAnsi="Tahoma" w:cs="Myriad Pro"/>
          <w:color w:val="auto"/>
          <w:sz w:val="20"/>
          <w:lang w:eastAsia="de-DE"/>
        </w:rPr>
      </w:pPr>
      <w:r>
        <w:rPr>
          <w:rFonts w:ascii="Tahoma" w:hAnsi="Tahoma" w:cs="Myriad Pro"/>
          <w:color w:val="auto"/>
          <w:sz w:val="20"/>
          <w:lang w:eastAsia="de-DE"/>
        </w:rPr>
        <w:t xml:space="preserve">proračun </w:t>
      </w:r>
    </w:p>
    <w:p w14:paraId="01AE9B0F" w14:textId="121F9E0F" w:rsidR="007E46C6" w:rsidRDefault="00460E80" w:rsidP="007E46C6">
      <w:pPr>
        <w:pStyle w:val="Default"/>
        <w:jc w:val="both"/>
        <w:rPr>
          <w:rFonts w:ascii="Tahoma" w:hAnsi="Tahoma" w:cs="Myriad Pro"/>
          <w:color w:val="auto"/>
          <w:sz w:val="20"/>
          <w:lang w:eastAsia="de-DE"/>
        </w:rPr>
      </w:pPr>
      <w:r>
        <w:rPr>
          <w:rFonts w:ascii="Tahoma" w:hAnsi="Tahoma" w:cs="Myriad Pro"/>
          <w:color w:val="auto"/>
          <w:sz w:val="20"/>
          <w:lang w:eastAsia="de-DE"/>
        </w:rPr>
        <w:t>Kod zgrada koje su pojedinačno zaštićeno kult</w:t>
      </w:r>
      <w:r w:rsidR="00636394">
        <w:rPr>
          <w:rFonts w:ascii="Tahoma" w:hAnsi="Tahoma" w:cs="Myriad Pro"/>
          <w:color w:val="auto"/>
          <w:sz w:val="20"/>
          <w:lang w:eastAsia="de-DE"/>
        </w:rPr>
        <w:t>u</w:t>
      </w:r>
      <w:r>
        <w:rPr>
          <w:rFonts w:ascii="Tahoma" w:hAnsi="Tahoma" w:cs="Myriad Pro"/>
          <w:color w:val="auto"/>
          <w:sz w:val="20"/>
          <w:lang w:eastAsia="de-DE"/>
        </w:rPr>
        <w:t xml:space="preserve">rno dobro, </w:t>
      </w:r>
      <w:r w:rsidR="00636394">
        <w:rPr>
          <w:rFonts w:ascii="Tahoma" w:hAnsi="Tahoma" w:cs="Myriad Pro"/>
          <w:color w:val="auto"/>
          <w:sz w:val="20"/>
          <w:lang w:eastAsia="de-DE"/>
        </w:rPr>
        <w:t xml:space="preserve">potrebno je na </w:t>
      </w:r>
      <w:r w:rsidR="00C2025F">
        <w:rPr>
          <w:rFonts w:ascii="Tahoma" w:hAnsi="Tahoma" w:cs="Myriad Pro"/>
          <w:color w:val="auto"/>
          <w:sz w:val="20"/>
          <w:lang w:eastAsia="de-DE"/>
        </w:rPr>
        <w:t xml:space="preserve">razmotriti da se na </w:t>
      </w:r>
      <w:r w:rsidR="00636394">
        <w:rPr>
          <w:rFonts w:ascii="Tahoma" w:hAnsi="Tahoma" w:cs="Myriad Pro"/>
          <w:color w:val="auto"/>
          <w:sz w:val="20"/>
          <w:lang w:eastAsia="de-DE"/>
        </w:rPr>
        <w:t xml:space="preserve">razini </w:t>
      </w:r>
      <w:r w:rsidR="00354513">
        <w:rPr>
          <w:rFonts w:ascii="Tahoma" w:hAnsi="Tahoma" w:cs="Myriad Pro"/>
          <w:color w:val="auto"/>
          <w:sz w:val="20"/>
          <w:lang w:eastAsia="de-DE"/>
        </w:rPr>
        <w:t>procjene ugro</w:t>
      </w:r>
      <w:r w:rsidR="000F5B66">
        <w:rPr>
          <w:rFonts w:ascii="Tahoma" w:hAnsi="Tahoma" w:cs="Myriad Pro"/>
          <w:color w:val="auto"/>
          <w:sz w:val="20"/>
          <w:lang w:eastAsia="de-DE"/>
        </w:rPr>
        <w:t>ž</w:t>
      </w:r>
      <w:r w:rsidR="00354513">
        <w:rPr>
          <w:rFonts w:ascii="Tahoma" w:hAnsi="Tahoma" w:cs="Myriad Pro"/>
          <w:color w:val="auto"/>
          <w:sz w:val="20"/>
          <w:lang w:eastAsia="de-DE"/>
        </w:rPr>
        <w:t xml:space="preserve">enosti od </w:t>
      </w:r>
      <w:r w:rsidR="000F5B66">
        <w:rPr>
          <w:rFonts w:ascii="Tahoma" w:hAnsi="Tahoma" w:cs="Myriad Pro"/>
          <w:color w:val="auto"/>
          <w:sz w:val="20"/>
          <w:lang w:eastAsia="de-DE"/>
        </w:rPr>
        <w:t>potresa</w:t>
      </w:r>
      <w:r w:rsidR="007C4D9A">
        <w:rPr>
          <w:rFonts w:ascii="Tahoma" w:hAnsi="Tahoma" w:cs="Myriad Pro"/>
          <w:color w:val="auto"/>
          <w:sz w:val="20"/>
          <w:lang w:eastAsia="de-DE"/>
        </w:rPr>
        <w:t xml:space="preserve">, a u skladu </w:t>
      </w:r>
      <w:r w:rsidR="00307CB8">
        <w:rPr>
          <w:rFonts w:ascii="Tahoma" w:hAnsi="Tahoma" w:cs="Myriad Pro"/>
          <w:color w:val="auto"/>
          <w:sz w:val="20"/>
          <w:lang w:eastAsia="de-DE"/>
        </w:rPr>
        <w:t xml:space="preserve">s rangom kulturnog dobra, </w:t>
      </w:r>
      <w:r w:rsidR="00354513">
        <w:rPr>
          <w:rFonts w:ascii="Tahoma" w:hAnsi="Tahoma" w:cs="Myriad Pro"/>
          <w:color w:val="auto"/>
          <w:sz w:val="20"/>
          <w:lang w:eastAsia="de-DE"/>
        </w:rPr>
        <w:t>ocijeni mogućnost</w:t>
      </w:r>
      <w:r w:rsidR="000F5B66">
        <w:rPr>
          <w:rFonts w:ascii="Tahoma" w:hAnsi="Tahoma" w:cs="Myriad Pro"/>
          <w:color w:val="auto"/>
          <w:sz w:val="20"/>
          <w:lang w:eastAsia="de-DE"/>
        </w:rPr>
        <w:t xml:space="preserve"> intervencije: </w:t>
      </w:r>
    </w:p>
    <w:p w14:paraId="4D2AF0AB" w14:textId="64B53F34" w:rsidR="00281CB8" w:rsidRDefault="000F5B66" w:rsidP="000F5B66">
      <w:pPr>
        <w:pStyle w:val="Default"/>
        <w:numPr>
          <w:ilvl w:val="0"/>
          <w:numId w:val="49"/>
        </w:numPr>
        <w:jc w:val="both"/>
        <w:rPr>
          <w:rFonts w:ascii="Tahoma" w:hAnsi="Tahoma" w:cs="Myriad Pro"/>
          <w:color w:val="auto"/>
          <w:sz w:val="20"/>
          <w:lang w:eastAsia="de-DE"/>
        </w:rPr>
      </w:pPr>
      <w:r>
        <w:rPr>
          <w:rFonts w:ascii="Tahoma" w:hAnsi="Tahoma" w:cs="Myriad Pro"/>
          <w:color w:val="auto"/>
          <w:sz w:val="20"/>
          <w:lang w:eastAsia="de-DE"/>
        </w:rPr>
        <w:t xml:space="preserve">bez intervencije – </w:t>
      </w:r>
      <w:r w:rsidR="00E341DE">
        <w:rPr>
          <w:rFonts w:ascii="Tahoma" w:hAnsi="Tahoma" w:cs="Myriad Pro"/>
          <w:color w:val="auto"/>
          <w:sz w:val="20"/>
          <w:lang w:eastAsia="de-DE"/>
        </w:rPr>
        <w:t>očuvanje</w:t>
      </w:r>
      <w:r>
        <w:rPr>
          <w:rFonts w:ascii="Tahoma" w:hAnsi="Tahoma" w:cs="Myriad Pro"/>
          <w:color w:val="auto"/>
          <w:sz w:val="20"/>
          <w:lang w:eastAsia="de-DE"/>
        </w:rPr>
        <w:t xml:space="preserve"> postojećeg stanja</w:t>
      </w:r>
      <w:r w:rsidR="00E341DE">
        <w:rPr>
          <w:rFonts w:ascii="Tahoma" w:hAnsi="Tahoma" w:cs="Myriad Pro"/>
          <w:color w:val="auto"/>
          <w:sz w:val="20"/>
          <w:lang w:eastAsia="de-DE"/>
        </w:rPr>
        <w:t>, uz dokumentiranje kako bi se moglo rekonstruirati</w:t>
      </w:r>
      <w:r w:rsidR="00281CB8">
        <w:rPr>
          <w:rFonts w:ascii="Tahoma" w:hAnsi="Tahoma" w:cs="Myriad Pro"/>
          <w:color w:val="auto"/>
          <w:sz w:val="20"/>
          <w:lang w:eastAsia="de-DE"/>
        </w:rPr>
        <w:t>, ograničavanje korištenja kod prevelikog rizika za ljude</w:t>
      </w:r>
    </w:p>
    <w:p w14:paraId="196E58CE" w14:textId="2115F98E" w:rsidR="000F5B66" w:rsidRDefault="00281CB8" w:rsidP="000F5B66">
      <w:pPr>
        <w:pStyle w:val="Default"/>
        <w:numPr>
          <w:ilvl w:val="0"/>
          <w:numId w:val="49"/>
        </w:numPr>
        <w:jc w:val="both"/>
        <w:rPr>
          <w:rFonts w:ascii="Tahoma" w:hAnsi="Tahoma" w:cs="Myriad Pro"/>
          <w:color w:val="auto"/>
          <w:sz w:val="20"/>
          <w:lang w:eastAsia="de-DE"/>
        </w:rPr>
      </w:pPr>
      <w:r>
        <w:rPr>
          <w:rFonts w:ascii="Tahoma" w:hAnsi="Tahoma" w:cs="Myriad Pro"/>
          <w:color w:val="auto"/>
          <w:sz w:val="20"/>
          <w:lang w:eastAsia="de-DE"/>
        </w:rPr>
        <w:t xml:space="preserve">minimalna intervencija </w:t>
      </w:r>
      <w:r w:rsidR="00435243">
        <w:rPr>
          <w:rFonts w:ascii="Tahoma" w:hAnsi="Tahoma" w:cs="Myriad Pro"/>
          <w:color w:val="auto"/>
          <w:sz w:val="20"/>
          <w:lang w:eastAsia="de-DE"/>
        </w:rPr>
        <w:t>–</w:t>
      </w:r>
      <w:r>
        <w:rPr>
          <w:rFonts w:ascii="Tahoma" w:hAnsi="Tahoma" w:cs="Myriad Pro"/>
          <w:color w:val="auto"/>
          <w:sz w:val="20"/>
          <w:lang w:eastAsia="de-DE"/>
        </w:rPr>
        <w:t xml:space="preserve"> </w:t>
      </w:r>
      <w:r w:rsidR="00435243">
        <w:rPr>
          <w:rFonts w:ascii="Tahoma" w:hAnsi="Tahoma" w:cs="Myriad Pro"/>
          <w:color w:val="auto"/>
          <w:sz w:val="20"/>
          <w:lang w:eastAsia="de-DE"/>
        </w:rPr>
        <w:t>minimalne intervencije koje omogućavaju neograničeno korištenje</w:t>
      </w:r>
      <w:r w:rsidR="00FD0A5F">
        <w:rPr>
          <w:rFonts w:ascii="Tahoma" w:hAnsi="Tahoma" w:cs="Myriad Pro"/>
          <w:color w:val="auto"/>
          <w:sz w:val="20"/>
          <w:lang w:eastAsia="de-DE"/>
        </w:rPr>
        <w:t xml:space="preserve">, dokumentiranje kako bi se moglo rekonstruirati u rijetkim potresnim </w:t>
      </w:r>
      <w:r w:rsidR="00886DA7">
        <w:rPr>
          <w:rFonts w:ascii="Tahoma" w:hAnsi="Tahoma" w:cs="Myriad Pro"/>
          <w:color w:val="auto"/>
          <w:sz w:val="20"/>
          <w:lang w:eastAsia="de-DE"/>
        </w:rPr>
        <w:t>sc</w:t>
      </w:r>
      <w:r w:rsidR="007376E2">
        <w:rPr>
          <w:rFonts w:ascii="Tahoma" w:hAnsi="Tahoma" w:cs="Myriad Pro"/>
          <w:color w:val="auto"/>
          <w:sz w:val="20"/>
          <w:lang w:eastAsia="de-DE"/>
        </w:rPr>
        <w:t>e</w:t>
      </w:r>
      <w:r w:rsidR="00886DA7">
        <w:rPr>
          <w:rFonts w:ascii="Tahoma" w:hAnsi="Tahoma" w:cs="Myriad Pro"/>
          <w:color w:val="auto"/>
          <w:sz w:val="20"/>
          <w:lang w:eastAsia="de-DE"/>
        </w:rPr>
        <w:t>narijima</w:t>
      </w:r>
    </w:p>
    <w:p w14:paraId="45930878" w14:textId="51D0DE6F" w:rsidR="00886DA7" w:rsidRDefault="00886DA7" w:rsidP="000F5B66">
      <w:pPr>
        <w:pStyle w:val="Default"/>
        <w:numPr>
          <w:ilvl w:val="0"/>
          <w:numId w:val="49"/>
        </w:numPr>
        <w:jc w:val="both"/>
        <w:rPr>
          <w:rFonts w:ascii="Tahoma" w:hAnsi="Tahoma" w:cs="Myriad Pro"/>
          <w:color w:val="auto"/>
          <w:sz w:val="20"/>
          <w:lang w:eastAsia="de-DE"/>
        </w:rPr>
      </w:pPr>
      <w:r>
        <w:rPr>
          <w:rFonts w:ascii="Tahoma" w:hAnsi="Tahoma" w:cs="Myriad Pro"/>
          <w:color w:val="auto"/>
          <w:sz w:val="20"/>
          <w:lang w:eastAsia="de-DE"/>
        </w:rPr>
        <w:t xml:space="preserve">umjerena intervencija </w:t>
      </w:r>
      <w:r w:rsidR="001D633C">
        <w:rPr>
          <w:rFonts w:ascii="Tahoma" w:hAnsi="Tahoma" w:cs="Myriad Pro"/>
          <w:color w:val="auto"/>
          <w:sz w:val="20"/>
          <w:lang w:eastAsia="de-DE"/>
        </w:rPr>
        <w:t>–</w:t>
      </w:r>
      <w:r>
        <w:rPr>
          <w:rFonts w:ascii="Tahoma" w:hAnsi="Tahoma" w:cs="Myriad Pro"/>
          <w:color w:val="auto"/>
          <w:sz w:val="20"/>
          <w:lang w:eastAsia="de-DE"/>
        </w:rPr>
        <w:t xml:space="preserve"> </w:t>
      </w:r>
      <w:r w:rsidR="001D633C">
        <w:rPr>
          <w:rFonts w:ascii="Tahoma" w:hAnsi="Tahoma" w:cs="Myriad Pro"/>
          <w:color w:val="auto"/>
          <w:sz w:val="20"/>
          <w:lang w:eastAsia="de-DE"/>
        </w:rPr>
        <w:t>osiguranje otpornosti kao za zgrade koje nisu zaštićeno kulturno dobro</w:t>
      </w:r>
    </w:p>
    <w:p w14:paraId="54F22B01" w14:textId="67786160" w:rsidR="001D633C" w:rsidRDefault="00520070" w:rsidP="000F5B66">
      <w:pPr>
        <w:pStyle w:val="Default"/>
        <w:numPr>
          <w:ilvl w:val="0"/>
          <w:numId w:val="49"/>
        </w:numPr>
        <w:jc w:val="both"/>
        <w:rPr>
          <w:rFonts w:ascii="Tahoma" w:hAnsi="Tahoma" w:cs="Myriad Pro"/>
          <w:color w:val="auto"/>
          <w:sz w:val="20"/>
          <w:lang w:eastAsia="de-DE"/>
        </w:rPr>
      </w:pPr>
      <w:r>
        <w:rPr>
          <w:rFonts w:ascii="Tahoma" w:hAnsi="Tahoma" w:cs="Myriad Pro"/>
          <w:color w:val="auto"/>
          <w:sz w:val="20"/>
          <w:lang w:eastAsia="de-DE"/>
        </w:rPr>
        <w:t xml:space="preserve">maksimalna intervencija </w:t>
      </w:r>
      <w:r w:rsidR="0020382D">
        <w:rPr>
          <w:rFonts w:ascii="Tahoma" w:hAnsi="Tahoma" w:cs="Myriad Pro"/>
          <w:color w:val="auto"/>
          <w:sz w:val="20"/>
          <w:lang w:eastAsia="de-DE"/>
        </w:rPr>
        <w:t>–</w:t>
      </w:r>
      <w:r>
        <w:rPr>
          <w:rFonts w:ascii="Tahoma" w:hAnsi="Tahoma" w:cs="Myriad Pro"/>
          <w:color w:val="auto"/>
          <w:sz w:val="20"/>
          <w:lang w:eastAsia="de-DE"/>
        </w:rPr>
        <w:t xml:space="preserve"> </w:t>
      </w:r>
      <w:r w:rsidR="0020382D">
        <w:rPr>
          <w:rFonts w:ascii="Tahoma" w:hAnsi="Tahoma" w:cs="Myriad Pro"/>
          <w:color w:val="auto"/>
          <w:sz w:val="20"/>
          <w:lang w:eastAsia="de-DE"/>
        </w:rPr>
        <w:t xml:space="preserve">osiguranje seizmičke otpornosti </w:t>
      </w:r>
      <w:r w:rsidR="00022B71">
        <w:rPr>
          <w:rFonts w:ascii="Tahoma" w:hAnsi="Tahoma" w:cs="Myriad Pro"/>
          <w:color w:val="auto"/>
          <w:sz w:val="20"/>
          <w:lang w:eastAsia="de-DE"/>
        </w:rPr>
        <w:t>prema namjeni zgrade – pun</w:t>
      </w:r>
      <w:r w:rsidR="00945B0A">
        <w:rPr>
          <w:rFonts w:ascii="Tahoma" w:hAnsi="Tahoma" w:cs="Myriad Pro"/>
          <w:color w:val="auto"/>
          <w:sz w:val="20"/>
          <w:lang w:eastAsia="de-DE"/>
        </w:rPr>
        <w:t xml:space="preserve">i </w:t>
      </w:r>
      <w:r w:rsidR="00C2025F">
        <w:rPr>
          <w:rFonts w:ascii="Tahoma" w:hAnsi="Tahoma" w:cs="Myriad Pro"/>
          <w:color w:val="auto"/>
          <w:sz w:val="20"/>
          <w:lang w:eastAsia="de-DE"/>
        </w:rPr>
        <w:t>intenzitet</w:t>
      </w:r>
      <w:r w:rsidR="00945B0A">
        <w:rPr>
          <w:rFonts w:ascii="Tahoma" w:hAnsi="Tahoma" w:cs="Myriad Pro"/>
          <w:color w:val="auto"/>
          <w:sz w:val="20"/>
          <w:lang w:eastAsia="de-DE"/>
        </w:rPr>
        <w:t xml:space="preserve"> korištenja zgrade</w:t>
      </w:r>
    </w:p>
    <w:p w14:paraId="75B5FB75" w14:textId="6F8B729E" w:rsidR="00945B0A" w:rsidRDefault="00B74907" w:rsidP="00945B0A">
      <w:pPr>
        <w:pStyle w:val="Default"/>
        <w:jc w:val="both"/>
        <w:rPr>
          <w:rFonts w:ascii="Tahoma" w:hAnsi="Tahoma" w:cs="Myriad Pro"/>
          <w:color w:val="auto"/>
          <w:sz w:val="20"/>
          <w:lang w:eastAsia="de-DE"/>
        </w:rPr>
      </w:pPr>
      <w:r>
        <w:rPr>
          <w:rFonts w:ascii="Tahoma" w:hAnsi="Tahoma" w:cs="Myriad Pro"/>
          <w:color w:val="auto"/>
          <w:sz w:val="20"/>
          <w:lang w:eastAsia="de-DE"/>
        </w:rPr>
        <w:t>Priručnik za protupotresnu obnovu postojećih zidanih zgrada</w:t>
      </w:r>
      <w:r w:rsidR="00BC7E9D">
        <w:rPr>
          <w:rFonts w:ascii="Tahoma" w:hAnsi="Tahoma" w:cs="Myriad Pro"/>
          <w:color w:val="auto"/>
          <w:sz w:val="20"/>
          <w:lang w:eastAsia="de-DE"/>
        </w:rPr>
        <w:t xml:space="preserve"> </w:t>
      </w:r>
      <w:sdt>
        <w:sdtPr>
          <w:rPr>
            <w:rFonts w:ascii="Tahoma" w:hAnsi="Tahoma" w:cs="Myriad Pro"/>
            <w:color w:val="auto"/>
            <w:sz w:val="20"/>
            <w:lang w:eastAsia="de-DE"/>
          </w:rPr>
          <w:id w:val="1832172118"/>
          <w:citation/>
        </w:sdtPr>
        <w:sdtEndPr/>
        <w:sdtContent>
          <w:r w:rsidR="00BC7E9D">
            <w:rPr>
              <w:rFonts w:ascii="Tahoma" w:hAnsi="Tahoma" w:cs="Myriad Pro"/>
              <w:color w:val="auto"/>
              <w:sz w:val="20"/>
              <w:lang w:eastAsia="de-DE"/>
            </w:rPr>
            <w:fldChar w:fldCharType="begin"/>
          </w:r>
          <w:r w:rsidR="00BC7E9D">
            <w:rPr>
              <w:rFonts w:ascii="Tahoma" w:hAnsi="Tahoma" w:cs="Myriad Pro"/>
              <w:color w:val="auto"/>
              <w:sz w:val="20"/>
              <w:lang w:eastAsia="de-DE"/>
            </w:rPr>
            <w:instrText xml:space="preserve">CITATION Drs20 \l 1050 </w:instrText>
          </w:r>
          <w:r w:rsidR="00BC7E9D">
            <w:rPr>
              <w:rFonts w:ascii="Tahoma" w:hAnsi="Tahoma" w:cs="Myriad Pro"/>
              <w:color w:val="auto"/>
              <w:sz w:val="20"/>
              <w:lang w:eastAsia="de-DE"/>
            </w:rPr>
            <w:fldChar w:fldCharType="separate"/>
          </w:r>
          <w:r w:rsidR="002D258B" w:rsidRPr="002D258B">
            <w:rPr>
              <w:rFonts w:ascii="Tahoma" w:hAnsi="Tahoma" w:cs="Myriad Pro"/>
              <w:noProof/>
              <w:color w:val="auto"/>
              <w:sz w:val="20"/>
              <w:lang w:eastAsia="de-DE"/>
            </w:rPr>
            <w:t>(Galić, i dr., 2020.)</w:t>
          </w:r>
          <w:r w:rsidR="00BC7E9D">
            <w:rPr>
              <w:rFonts w:ascii="Tahoma" w:hAnsi="Tahoma" w:cs="Myriad Pro"/>
              <w:color w:val="auto"/>
              <w:sz w:val="20"/>
              <w:lang w:eastAsia="de-DE"/>
            </w:rPr>
            <w:fldChar w:fldCharType="end"/>
          </w:r>
        </w:sdtContent>
      </w:sdt>
      <w:r w:rsidR="00AA073E">
        <w:rPr>
          <w:rFonts w:ascii="Tahoma" w:hAnsi="Tahoma" w:cs="Myriad Pro"/>
          <w:color w:val="auto"/>
          <w:sz w:val="20"/>
          <w:lang w:eastAsia="de-DE"/>
        </w:rPr>
        <w:t xml:space="preserve"> </w:t>
      </w:r>
      <w:r w:rsidR="00A80148">
        <w:rPr>
          <w:rFonts w:ascii="Tahoma" w:hAnsi="Tahoma" w:cs="Myriad Pro"/>
          <w:color w:val="auto"/>
          <w:sz w:val="20"/>
          <w:lang w:eastAsia="de-DE"/>
        </w:rPr>
        <w:t xml:space="preserve">izrađen nakon potresa u Zagrebu 22.3.2020. godine </w:t>
      </w:r>
      <w:r w:rsidR="00AA073E">
        <w:rPr>
          <w:rFonts w:ascii="Tahoma" w:hAnsi="Tahoma" w:cs="Myriad Pro"/>
          <w:color w:val="auto"/>
          <w:sz w:val="20"/>
          <w:lang w:eastAsia="de-DE"/>
        </w:rPr>
        <w:t xml:space="preserve">detaljno razrađuje četiri razine protupotresne obnove zgrada, </w:t>
      </w:r>
      <w:r w:rsidR="00260958">
        <w:rPr>
          <w:rFonts w:ascii="Tahoma" w:hAnsi="Tahoma" w:cs="Myriad Pro"/>
          <w:color w:val="auto"/>
          <w:sz w:val="20"/>
          <w:lang w:eastAsia="de-DE"/>
        </w:rPr>
        <w:t xml:space="preserve">s primjerom i okvirnim rasponom troška obnove. </w:t>
      </w:r>
    </w:p>
    <w:p w14:paraId="410954A5" w14:textId="77777777" w:rsidR="00260958" w:rsidRDefault="00260958" w:rsidP="00945B0A">
      <w:pPr>
        <w:pStyle w:val="Default"/>
        <w:jc w:val="both"/>
        <w:rPr>
          <w:rFonts w:ascii="Tahoma" w:hAnsi="Tahoma" w:cs="Myriad Pro"/>
          <w:color w:val="auto"/>
          <w:sz w:val="20"/>
          <w:lang w:eastAsia="de-DE"/>
        </w:rPr>
      </w:pPr>
    </w:p>
    <w:p w14:paraId="4EF9AB71" w14:textId="158D0DD4" w:rsidR="00D76364" w:rsidRDefault="00D76364" w:rsidP="00D877C5">
      <w:pPr>
        <w:pStyle w:val="Opisslike"/>
        <w:keepNext/>
      </w:pPr>
      <w:bookmarkStart w:id="246" w:name="_Toc40089051"/>
      <w:r>
        <w:t xml:space="preserve">Tablica </w:t>
      </w:r>
      <w:fldSimple w:instr=" SEQ Tablica \* ARABIC ">
        <w:r w:rsidR="00CE61F3">
          <w:rPr>
            <w:noProof/>
          </w:rPr>
          <w:t>4</w:t>
        </w:r>
      </w:fldSimple>
      <w:r>
        <w:t xml:space="preserve"> Mjere protupotresne obnove zidanih zgrada</w:t>
      </w:r>
      <w:bookmarkEnd w:id="246"/>
    </w:p>
    <w:tbl>
      <w:tblPr>
        <w:tblStyle w:val="Reetkatablice"/>
        <w:tblW w:w="0" w:type="auto"/>
        <w:tblLook w:val="04A0" w:firstRow="1" w:lastRow="0" w:firstColumn="1" w:lastColumn="0" w:noHBand="0" w:noVBand="1"/>
      </w:tblPr>
      <w:tblGrid>
        <w:gridCol w:w="988"/>
        <w:gridCol w:w="3684"/>
        <w:gridCol w:w="2336"/>
        <w:gridCol w:w="2336"/>
      </w:tblGrid>
      <w:tr w:rsidR="00980592" w14:paraId="7AA0F20A" w14:textId="77777777" w:rsidTr="00D877C5">
        <w:tc>
          <w:tcPr>
            <w:tcW w:w="988" w:type="dxa"/>
          </w:tcPr>
          <w:p w14:paraId="53C743F0" w14:textId="019C2F93" w:rsidR="00980592" w:rsidRDefault="008042A6" w:rsidP="000D294F">
            <w:pPr>
              <w:pStyle w:val="Default"/>
              <w:rPr>
                <w:rFonts w:ascii="Tahoma" w:hAnsi="Tahoma" w:cs="Myriad Pro"/>
                <w:color w:val="auto"/>
                <w:sz w:val="20"/>
                <w:lang w:eastAsia="de-DE"/>
              </w:rPr>
            </w:pPr>
            <w:r>
              <w:rPr>
                <w:rFonts w:ascii="Tahoma" w:hAnsi="Tahoma" w:cs="Myriad Pro"/>
                <w:color w:val="auto"/>
                <w:sz w:val="20"/>
                <w:lang w:eastAsia="de-DE"/>
              </w:rPr>
              <w:t>R</w:t>
            </w:r>
            <w:r w:rsidR="00980592">
              <w:rPr>
                <w:rFonts w:ascii="Tahoma" w:hAnsi="Tahoma" w:cs="Myriad Pro"/>
                <w:color w:val="auto"/>
                <w:sz w:val="20"/>
                <w:lang w:eastAsia="de-DE"/>
              </w:rPr>
              <w:t>azina obnove</w:t>
            </w:r>
          </w:p>
        </w:tc>
        <w:tc>
          <w:tcPr>
            <w:tcW w:w="3684" w:type="dxa"/>
          </w:tcPr>
          <w:p w14:paraId="1E863045" w14:textId="165F255D" w:rsidR="00980592" w:rsidRDefault="0004796D" w:rsidP="000D294F">
            <w:pPr>
              <w:pStyle w:val="Default"/>
              <w:rPr>
                <w:rFonts w:ascii="Tahoma" w:hAnsi="Tahoma" w:cs="Myriad Pro"/>
                <w:color w:val="auto"/>
                <w:sz w:val="20"/>
                <w:lang w:eastAsia="de-DE"/>
              </w:rPr>
            </w:pPr>
            <w:r>
              <w:rPr>
                <w:rFonts w:ascii="Tahoma" w:hAnsi="Tahoma" w:cs="Myriad Pro"/>
                <w:color w:val="auto"/>
                <w:sz w:val="20"/>
                <w:lang w:eastAsia="de-DE"/>
              </w:rPr>
              <w:t>Osnovne mjere</w:t>
            </w:r>
          </w:p>
        </w:tc>
        <w:tc>
          <w:tcPr>
            <w:tcW w:w="2336" w:type="dxa"/>
          </w:tcPr>
          <w:p w14:paraId="1CF697FE" w14:textId="6F310BD9" w:rsidR="00980592" w:rsidRDefault="00AC673F" w:rsidP="000D294F">
            <w:pPr>
              <w:pStyle w:val="Default"/>
              <w:rPr>
                <w:rFonts w:ascii="Tahoma" w:hAnsi="Tahoma" w:cs="Myriad Pro"/>
                <w:color w:val="auto"/>
                <w:sz w:val="20"/>
                <w:lang w:eastAsia="de-DE"/>
              </w:rPr>
            </w:pPr>
            <w:r>
              <w:rPr>
                <w:rFonts w:ascii="Tahoma" w:hAnsi="Tahoma" w:cs="Myriad Pro"/>
                <w:color w:val="auto"/>
                <w:sz w:val="20"/>
                <w:lang w:eastAsia="de-DE"/>
              </w:rPr>
              <w:t>Razina otpornosti na potres</w:t>
            </w:r>
          </w:p>
        </w:tc>
        <w:tc>
          <w:tcPr>
            <w:tcW w:w="2336" w:type="dxa"/>
          </w:tcPr>
          <w:p w14:paraId="3B31A558" w14:textId="145D0C11" w:rsidR="00980592" w:rsidRDefault="008042A6" w:rsidP="000D294F">
            <w:pPr>
              <w:pStyle w:val="Default"/>
              <w:rPr>
                <w:rFonts w:ascii="Tahoma" w:hAnsi="Tahoma" w:cs="Myriad Pro"/>
                <w:color w:val="auto"/>
                <w:sz w:val="20"/>
                <w:lang w:eastAsia="de-DE"/>
              </w:rPr>
            </w:pPr>
            <w:r>
              <w:rPr>
                <w:rFonts w:ascii="Tahoma" w:hAnsi="Tahoma" w:cs="Myriad Pro"/>
                <w:color w:val="auto"/>
                <w:sz w:val="20"/>
                <w:lang w:eastAsia="de-DE"/>
              </w:rPr>
              <w:t>Procjena troška</w:t>
            </w:r>
          </w:p>
        </w:tc>
      </w:tr>
      <w:tr w:rsidR="00AC673F" w14:paraId="005B3D2C" w14:textId="77777777" w:rsidTr="00D877C5">
        <w:tc>
          <w:tcPr>
            <w:tcW w:w="988" w:type="dxa"/>
          </w:tcPr>
          <w:p w14:paraId="4E6856BA" w14:textId="76E203BC" w:rsidR="00AC673F" w:rsidRDefault="00AC673F" w:rsidP="000D294F">
            <w:pPr>
              <w:pStyle w:val="Default"/>
              <w:rPr>
                <w:rFonts w:ascii="Tahoma" w:hAnsi="Tahoma" w:cs="Myriad Pro"/>
                <w:color w:val="auto"/>
                <w:sz w:val="20"/>
                <w:lang w:eastAsia="de-DE"/>
              </w:rPr>
            </w:pPr>
            <w:r>
              <w:rPr>
                <w:rFonts w:ascii="Tahoma" w:hAnsi="Tahoma" w:cs="Myriad Pro"/>
                <w:color w:val="auto"/>
                <w:sz w:val="20"/>
                <w:lang w:eastAsia="de-DE"/>
              </w:rPr>
              <w:t>Razina 1</w:t>
            </w:r>
          </w:p>
        </w:tc>
        <w:tc>
          <w:tcPr>
            <w:tcW w:w="3684" w:type="dxa"/>
          </w:tcPr>
          <w:p w14:paraId="10137868" w14:textId="77777777" w:rsidR="00AC673F" w:rsidRDefault="00AC673F" w:rsidP="000D294F">
            <w:pPr>
              <w:pStyle w:val="Default"/>
              <w:rPr>
                <w:rFonts w:ascii="Tahoma" w:hAnsi="Tahoma" w:cs="Myriad Pro"/>
                <w:color w:val="auto"/>
                <w:sz w:val="20"/>
                <w:lang w:eastAsia="de-DE"/>
              </w:rPr>
            </w:pPr>
            <w:r>
              <w:rPr>
                <w:rFonts w:ascii="Tahoma" w:hAnsi="Tahoma" w:cs="Myriad Pro"/>
                <w:color w:val="auto"/>
                <w:sz w:val="20"/>
                <w:lang w:eastAsia="de-DE"/>
              </w:rPr>
              <w:t xml:space="preserve">Rušenje zabata i dimnjaka, ponovno zidanje i </w:t>
            </w:r>
            <w:r w:rsidR="00A80148">
              <w:rPr>
                <w:rFonts w:ascii="Tahoma" w:hAnsi="Tahoma" w:cs="Myriad Pro"/>
                <w:color w:val="auto"/>
                <w:sz w:val="20"/>
                <w:lang w:eastAsia="de-DE"/>
              </w:rPr>
              <w:t>ojačanje FRCM sustavom</w:t>
            </w:r>
          </w:p>
          <w:p w14:paraId="46773DC1" w14:textId="77777777" w:rsidR="00E43C04" w:rsidRDefault="00E43C04" w:rsidP="000D294F">
            <w:pPr>
              <w:pStyle w:val="Default"/>
              <w:rPr>
                <w:rFonts w:ascii="Tahoma" w:hAnsi="Tahoma" w:cs="Myriad Pro"/>
                <w:color w:val="auto"/>
                <w:sz w:val="20"/>
                <w:lang w:eastAsia="de-DE"/>
              </w:rPr>
            </w:pPr>
            <w:r>
              <w:rPr>
                <w:rFonts w:ascii="Tahoma" w:hAnsi="Tahoma" w:cs="Myriad Pro"/>
                <w:color w:val="auto"/>
                <w:sz w:val="20"/>
                <w:lang w:eastAsia="de-DE"/>
              </w:rPr>
              <w:t>Popravak i stabilizacija krovišta</w:t>
            </w:r>
          </w:p>
          <w:p w14:paraId="76FCB365" w14:textId="6C592E9F" w:rsidR="00E43C04" w:rsidRDefault="00E7417F" w:rsidP="000D294F">
            <w:pPr>
              <w:pStyle w:val="Default"/>
              <w:rPr>
                <w:rFonts w:ascii="Tahoma" w:hAnsi="Tahoma" w:cs="Myriad Pro"/>
                <w:color w:val="auto"/>
                <w:sz w:val="20"/>
                <w:lang w:eastAsia="de-DE"/>
              </w:rPr>
            </w:pPr>
            <w:r>
              <w:rPr>
                <w:rFonts w:ascii="Tahoma" w:hAnsi="Tahoma" w:cs="Myriad Pro"/>
                <w:color w:val="auto"/>
                <w:sz w:val="20"/>
                <w:lang w:eastAsia="de-DE"/>
              </w:rPr>
              <w:t>Povezivanje stropova i zabatnih zidova</w:t>
            </w:r>
          </w:p>
          <w:p w14:paraId="345E7A9B" w14:textId="3CB62AA7" w:rsidR="00E7417F" w:rsidRDefault="00E7417F" w:rsidP="000D294F">
            <w:pPr>
              <w:pStyle w:val="Default"/>
              <w:rPr>
                <w:rFonts w:ascii="Tahoma" w:hAnsi="Tahoma" w:cs="Myriad Pro"/>
                <w:color w:val="auto"/>
                <w:sz w:val="20"/>
                <w:lang w:eastAsia="de-DE"/>
              </w:rPr>
            </w:pPr>
            <w:r>
              <w:rPr>
                <w:rFonts w:ascii="Tahoma" w:hAnsi="Tahoma" w:cs="Myriad Pro"/>
                <w:color w:val="auto"/>
                <w:sz w:val="20"/>
                <w:lang w:eastAsia="de-DE"/>
              </w:rPr>
              <w:t xml:space="preserve">Lokalna pojačanja zidova, </w:t>
            </w:r>
            <w:r w:rsidR="00CA567C">
              <w:rPr>
                <w:rFonts w:ascii="Tahoma" w:hAnsi="Tahoma" w:cs="Myriad Pro"/>
                <w:color w:val="auto"/>
                <w:sz w:val="20"/>
                <w:lang w:eastAsia="de-DE"/>
              </w:rPr>
              <w:t xml:space="preserve">nadvoja i dr. </w:t>
            </w:r>
          </w:p>
          <w:p w14:paraId="338F16D2" w14:textId="0279D8DE" w:rsidR="00CA567C" w:rsidRDefault="00CA567C" w:rsidP="000D294F">
            <w:pPr>
              <w:pStyle w:val="Default"/>
              <w:rPr>
                <w:rFonts w:ascii="Tahoma" w:hAnsi="Tahoma" w:cs="Myriad Pro"/>
                <w:color w:val="auto"/>
                <w:sz w:val="20"/>
                <w:lang w:eastAsia="de-DE"/>
              </w:rPr>
            </w:pPr>
            <w:r>
              <w:rPr>
                <w:rFonts w:ascii="Tahoma" w:hAnsi="Tahoma" w:cs="Myriad Pro"/>
                <w:color w:val="auto"/>
                <w:sz w:val="20"/>
                <w:lang w:eastAsia="de-DE"/>
              </w:rPr>
              <w:t>Lokalno povezivanje zidova</w:t>
            </w:r>
          </w:p>
          <w:p w14:paraId="13D40AD2" w14:textId="69582E7F" w:rsidR="00E7417F" w:rsidRDefault="00E7417F" w:rsidP="000D294F">
            <w:pPr>
              <w:pStyle w:val="Default"/>
              <w:rPr>
                <w:rFonts w:ascii="Tahoma" w:hAnsi="Tahoma" w:cs="Myriad Pro"/>
                <w:color w:val="auto"/>
                <w:sz w:val="20"/>
                <w:lang w:eastAsia="de-DE"/>
              </w:rPr>
            </w:pPr>
          </w:p>
        </w:tc>
        <w:tc>
          <w:tcPr>
            <w:tcW w:w="2336" w:type="dxa"/>
          </w:tcPr>
          <w:p w14:paraId="48AFC752" w14:textId="28AE8420" w:rsidR="00AC673F" w:rsidRDefault="00A80148" w:rsidP="000D294F">
            <w:pPr>
              <w:pStyle w:val="Default"/>
              <w:rPr>
                <w:rFonts w:ascii="Tahoma" w:hAnsi="Tahoma" w:cs="Myriad Pro"/>
                <w:color w:val="auto"/>
                <w:sz w:val="20"/>
                <w:lang w:eastAsia="de-DE"/>
              </w:rPr>
            </w:pPr>
            <w:r>
              <w:rPr>
                <w:rFonts w:ascii="Tahoma" w:hAnsi="Tahoma" w:cs="Myriad Pro"/>
                <w:color w:val="auto"/>
                <w:sz w:val="20"/>
                <w:lang w:eastAsia="de-DE"/>
              </w:rPr>
              <w:t>Minimalno ojačanje – vraćanje u stanje prije potresa</w:t>
            </w:r>
          </w:p>
        </w:tc>
        <w:tc>
          <w:tcPr>
            <w:tcW w:w="2336" w:type="dxa"/>
          </w:tcPr>
          <w:p w14:paraId="1A7E7500" w14:textId="4AF2B3ED" w:rsidR="00AC673F" w:rsidRDefault="000C6CF2" w:rsidP="000D294F">
            <w:pPr>
              <w:pStyle w:val="Default"/>
              <w:rPr>
                <w:rFonts w:ascii="Tahoma" w:hAnsi="Tahoma" w:cs="Myriad Pro"/>
                <w:color w:val="auto"/>
                <w:sz w:val="20"/>
                <w:lang w:eastAsia="de-DE"/>
              </w:rPr>
            </w:pPr>
            <w:r>
              <w:rPr>
                <w:rFonts w:ascii="Tahoma" w:hAnsi="Tahoma" w:cs="Myriad Pro"/>
                <w:color w:val="auto"/>
                <w:sz w:val="20"/>
                <w:lang w:eastAsia="de-DE"/>
              </w:rPr>
              <w:t>581</w:t>
            </w:r>
            <w:r w:rsidR="00CA567C">
              <w:rPr>
                <w:rFonts w:ascii="Tahoma" w:hAnsi="Tahoma" w:cs="Myriad Pro"/>
                <w:color w:val="auto"/>
                <w:sz w:val="20"/>
                <w:lang w:eastAsia="de-DE"/>
              </w:rPr>
              <w:t xml:space="preserve"> kn/m²</w:t>
            </w:r>
          </w:p>
        </w:tc>
      </w:tr>
      <w:tr w:rsidR="00CA567C" w14:paraId="117BCBB6" w14:textId="77777777" w:rsidTr="00D877C5">
        <w:tc>
          <w:tcPr>
            <w:tcW w:w="988" w:type="dxa"/>
          </w:tcPr>
          <w:p w14:paraId="00D24D24" w14:textId="6A41CAA9" w:rsidR="00CA567C" w:rsidRDefault="00CA567C" w:rsidP="000D294F">
            <w:pPr>
              <w:pStyle w:val="Default"/>
              <w:rPr>
                <w:rFonts w:ascii="Tahoma" w:hAnsi="Tahoma" w:cs="Myriad Pro"/>
                <w:color w:val="auto"/>
                <w:sz w:val="20"/>
                <w:lang w:eastAsia="de-DE"/>
              </w:rPr>
            </w:pPr>
            <w:r>
              <w:rPr>
                <w:rFonts w:ascii="Tahoma" w:hAnsi="Tahoma" w:cs="Myriad Pro"/>
                <w:color w:val="auto"/>
                <w:sz w:val="20"/>
                <w:lang w:eastAsia="de-DE"/>
              </w:rPr>
              <w:t>Razina 2</w:t>
            </w:r>
          </w:p>
        </w:tc>
        <w:tc>
          <w:tcPr>
            <w:tcW w:w="3684" w:type="dxa"/>
          </w:tcPr>
          <w:p w14:paraId="2E28EF51" w14:textId="77777777" w:rsidR="00CA567C" w:rsidRDefault="00451E8E" w:rsidP="000D294F">
            <w:pPr>
              <w:pStyle w:val="Default"/>
              <w:rPr>
                <w:rFonts w:ascii="Tahoma" w:hAnsi="Tahoma" w:cs="Myriad Pro"/>
                <w:color w:val="auto"/>
                <w:sz w:val="20"/>
                <w:lang w:eastAsia="de-DE"/>
              </w:rPr>
            </w:pPr>
            <w:r>
              <w:rPr>
                <w:rFonts w:ascii="Tahoma" w:hAnsi="Tahoma" w:cs="Myriad Pro"/>
                <w:color w:val="auto"/>
                <w:sz w:val="20"/>
                <w:lang w:eastAsia="de-DE"/>
              </w:rPr>
              <w:t>Izvođenje horizontalne rešetke u stropu i povezivanje svih zidova sa stropom</w:t>
            </w:r>
          </w:p>
          <w:p w14:paraId="297174B6" w14:textId="77777777"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Izvođenje drvene tlačne ploče u podu tavana</w:t>
            </w:r>
          </w:p>
          <w:p w14:paraId="5567F62F" w14:textId="77777777"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Parcijalno pojačanje zidova</w:t>
            </w:r>
          </w:p>
          <w:p w14:paraId="1EE61022" w14:textId="19EE20E8"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Pojačanje svodova stubišta FRCM-om</w:t>
            </w:r>
          </w:p>
        </w:tc>
        <w:tc>
          <w:tcPr>
            <w:tcW w:w="2336" w:type="dxa"/>
          </w:tcPr>
          <w:p w14:paraId="7B05A8B6" w14:textId="52B23AC4" w:rsidR="00CA567C"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Pojačanje kritičnih mjesta, postiže se otpornost na razini 50% EC</w:t>
            </w:r>
          </w:p>
        </w:tc>
        <w:tc>
          <w:tcPr>
            <w:tcW w:w="2336" w:type="dxa"/>
          </w:tcPr>
          <w:p w14:paraId="0950E185" w14:textId="54C944B3" w:rsidR="00CA567C" w:rsidRDefault="000C6CF2" w:rsidP="000D294F">
            <w:pPr>
              <w:pStyle w:val="Default"/>
              <w:rPr>
                <w:rFonts w:ascii="Tahoma" w:hAnsi="Tahoma" w:cs="Myriad Pro"/>
                <w:color w:val="auto"/>
                <w:sz w:val="20"/>
                <w:lang w:eastAsia="de-DE"/>
              </w:rPr>
            </w:pPr>
            <w:r>
              <w:rPr>
                <w:rFonts w:ascii="Tahoma" w:hAnsi="Tahoma" w:cs="Myriad Pro"/>
                <w:color w:val="auto"/>
                <w:sz w:val="20"/>
                <w:lang w:eastAsia="de-DE"/>
              </w:rPr>
              <w:t>1</w:t>
            </w:r>
            <w:r w:rsidR="007B2942">
              <w:rPr>
                <w:rFonts w:ascii="Tahoma" w:hAnsi="Tahoma" w:cs="Myriad Pro"/>
                <w:color w:val="auto"/>
                <w:sz w:val="20"/>
                <w:lang w:eastAsia="de-DE"/>
              </w:rPr>
              <w:t>.</w:t>
            </w:r>
            <w:r>
              <w:rPr>
                <w:rFonts w:ascii="Tahoma" w:hAnsi="Tahoma" w:cs="Myriad Pro"/>
                <w:color w:val="auto"/>
                <w:sz w:val="20"/>
                <w:lang w:eastAsia="de-DE"/>
              </w:rPr>
              <w:t>03</w:t>
            </w:r>
            <w:r w:rsidR="007B2942">
              <w:rPr>
                <w:rFonts w:ascii="Tahoma" w:hAnsi="Tahoma" w:cs="Myriad Pro"/>
                <w:color w:val="auto"/>
                <w:sz w:val="20"/>
                <w:lang w:eastAsia="de-DE"/>
              </w:rPr>
              <w:t>6</w:t>
            </w:r>
            <w:r w:rsidR="007E15A0">
              <w:rPr>
                <w:rFonts w:ascii="Tahoma" w:hAnsi="Tahoma" w:cs="Myriad Pro"/>
                <w:color w:val="auto"/>
                <w:sz w:val="20"/>
                <w:lang w:eastAsia="de-DE"/>
              </w:rPr>
              <w:t xml:space="preserve"> kn/m²</w:t>
            </w:r>
          </w:p>
          <w:p w14:paraId="23265AF2" w14:textId="45697A6C" w:rsidR="007B2942" w:rsidRDefault="007B2942" w:rsidP="000D294F">
            <w:pPr>
              <w:pStyle w:val="Default"/>
              <w:rPr>
                <w:rFonts w:ascii="Tahoma" w:hAnsi="Tahoma" w:cs="Myriad Pro"/>
                <w:color w:val="auto"/>
                <w:sz w:val="20"/>
                <w:lang w:eastAsia="de-DE"/>
              </w:rPr>
            </w:pPr>
            <w:r>
              <w:rPr>
                <w:rFonts w:ascii="Tahoma" w:hAnsi="Tahoma" w:cs="Myriad Pro"/>
                <w:color w:val="auto"/>
                <w:sz w:val="20"/>
                <w:lang w:eastAsia="de-DE"/>
              </w:rPr>
              <w:t>(Razina 1+2)</w:t>
            </w:r>
          </w:p>
        </w:tc>
      </w:tr>
      <w:tr w:rsidR="007E15A0" w14:paraId="4C57C2D4" w14:textId="77777777" w:rsidTr="00CA567C">
        <w:tc>
          <w:tcPr>
            <w:tcW w:w="988" w:type="dxa"/>
          </w:tcPr>
          <w:p w14:paraId="7E09F490" w14:textId="69567F8A"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Razina 3</w:t>
            </w:r>
          </w:p>
        </w:tc>
        <w:tc>
          <w:tcPr>
            <w:tcW w:w="3684" w:type="dxa"/>
          </w:tcPr>
          <w:p w14:paraId="1A1A0731" w14:textId="77777777"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Ukrućenje svih stropnih konstrukcija</w:t>
            </w:r>
          </w:p>
          <w:p w14:paraId="7E97B174" w14:textId="77777777" w:rsidR="0003220B" w:rsidRDefault="00DF3981" w:rsidP="000D294F">
            <w:pPr>
              <w:pStyle w:val="Default"/>
              <w:rPr>
                <w:rFonts w:ascii="Tahoma" w:hAnsi="Tahoma" w:cs="Myriad Pro"/>
                <w:color w:val="auto"/>
                <w:sz w:val="20"/>
                <w:lang w:eastAsia="de-DE"/>
              </w:rPr>
            </w:pPr>
            <w:r>
              <w:rPr>
                <w:rFonts w:ascii="Tahoma" w:hAnsi="Tahoma" w:cs="Myriad Pro"/>
                <w:color w:val="auto"/>
                <w:sz w:val="20"/>
                <w:lang w:eastAsia="de-DE"/>
              </w:rPr>
              <w:t>Ugradnja čeličnih profila u nadvoje</w:t>
            </w:r>
          </w:p>
          <w:p w14:paraId="5EF83BBC" w14:textId="0A6696D3" w:rsidR="00DF3981" w:rsidRDefault="00DF3981" w:rsidP="000D294F">
            <w:pPr>
              <w:pStyle w:val="Default"/>
              <w:rPr>
                <w:rFonts w:ascii="Tahoma" w:hAnsi="Tahoma" w:cs="Myriad Pro"/>
                <w:color w:val="auto"/>
                <w:sz w:val="20"/>
                <w:lang w:eastAsia="de-DE"/>
              </w:rPr>
            </w:pPr>
            <w:r>
              <w:rPr>
                <w:rFonts w:ascii="Tahoma" w:hAnsi="Tahoma" w:cs="Myriad Pro"/>
                <w:color w:val="auto"/>
                <w:sz w:val="20"/>
                <w:lang w:eastAsia="de-DE"/>
              </w:rPr>
              <w:t>Pojačanje zidova</w:t>
            </w:r>
          </w:p>
        </w:tc>
        <w:tc>
          <w:tcPr>
            <w:tcW w:w="2336" w:type="dxa"/>
          </w:tcPr>
          <w:p w14:paraId="74188C36" w14:textId="1727957F" w:rsidR="007E15A0" w:rsidRDefault="0003220B" w:rsidP="000D294F">
            <w:pPr>
              <w:pStyle w:val="Default"/>
              <w:rPr>
                <w:rFonts w:ascii="Tahoma" w:hAnsi="Tahoma" w:cs="Myriad Pro"/>
                <w:color w:val="auto"/>
                <w:sz w:val="20"/>
                <w:lang w:eastAsia="de-DE"/>
              </w:rPr>
            </w:pPr>
            <w:r>
              <w:rPr>
                <w:rFonts w:ascii="Tahoma" w:hAnsi="Tahoma" w:cs="Myriad Pro"/>
                <w:color w:val="auto"/>
                <w:sz w:val="20"/>
                <w:lang w:eastAsia="de-DE"/>
              </w:rPr>
              <w:t>Podizanje otpornosti na razinu 75-100% EC</w:t>
            </w:r>
          </w:p>
        </w:tc>
        <w:tc>
          <w:tcPr>
            <w:tcW w:w="2336" w:type="dxa"/>
          </w:tcPr>
          <w:p w14:paraId="29789234" w14:textId="5E148899" w:rsidR="007E15A0" w:rsidRDefault="007B2942" w:rsidP="000D294F">
            <w:pPr>
              <w:pStyle w:val="Default"/>
              <w:rPr>
                <w:rFonts w:ascii="Tahoma" w:hAnsi="Tahoma" w:cs="Myriad Pro"/>
                <w:color w:val="auto"/>
                <w:sz w:val="20"/>
                <w:lang w:eastAsia="de-DE"/>
              </w:rPr>
            </w:pPr>
            <w:r>
              <w:rPr>
                <w:rFonts w:ascii="Tahoma" w:hAnsi="Tahoma" w:cs="Myriad Pro"/>
                <w:color w:val="auto"/>
                <w:sz w:val="20"/>
                <w:lang w:eastAsia="de-DE"/>
              </w:rPr>
              <w:t>2.150</w:t>
            </w:r>
            <w:r w:rsidR="0003220B">
              <w:rPr>
                <w:rFonts w:ascii="Tahoma" w:hAnsi="Tahoma" w:cs="Myriad Pro"/>
                <w:color w:val="auto"/>
                <w:sz w:val="20"/>
                <w:lang w:eastAsia="de-DE"/>
              </w:rPr>
              <w:t xml:space="preserve"> kn/m²</w:t>
            </w:r>
          </w:p>
          <w:p w14:paraId="6CC7E98D" w14:textId="03AF7052" w:rsidR="007B2942" w:rsidRDefault="007B2942" w:rsidP="000D294F">
            <w:pPr>
              <w:pStyle w:val="Default"/>
              <w:rPr>
                <w:rFonts w:ascii="Tahoma" w:hAnsi="Tahoma" w:cs="Myriad Pro"/>
                <w:color w:val="auto"/>
                <w:sz w:val="20"/>
                <w:lang w:eastAsia="de-DE"/>
              </w:rPr>
            </w:pPr>
            <w:r>
              <w:rPr>
                <w:rFonts w:ascii="Tahoma" w:hAnsi="Tahoma" w:cs="Myriad Pro"/>
                <w:color w:val="auto"/>
                <w:sz w:val="20"/>
                <w:lang w:eastAsia="de-DE"/>
              </w:rPr>
              <w:t>(razina 1+2+3)</w:t>
            </w:r>
          </w:p>
        </w:tc>
      </w:tr>
      <w:tr w:rsidR="0003220B" w14:paraId="789CD368" w14:textId="77777777" w:rsidTr="00CA567C">
        <w:tc>
          <w:tcPr>
            <w:tcW w:w="988" w:type="dxa"/>
          </w:tcPr>
          <w:p w14:paraId="766BA344" w14:textId="76FCA408" w:rsidR="0003220B" w:rsidRDefault="00DF3981" w:rsidP="000D294F">
            <w:pPr>
              <w:pStyle w:val="Default"/>
              <w:rPr>
                <w:rFonts w:ascii="Tahoma" w:hAnsi="Tahoma" w:cs="Myriad Pro"/>
                <w:color w:val="auto"/>
                <w:sz w:val="20"/>
                <w:lang w:eastAsia="de-DE"/>
              </w:rPr>
            </w:pPr>
            <w:r>
              <w:rPr>
                <w:rFonts w:ascii="Tahoma" w:hAnsi="Tahoma" w:cs="Myriad Pro"/>
                <w:color w:val="auto"/>
                <w:sz w:val="20"/>
                <w:lang w:eastAsia="de-DE"/>
              </w:rPr>
              <w:t>Razina 4</w:t>
            </w:r>
          </w:p>
        </w:tc>
        <w:tc>
          <w:tcPr>
            <w:tcW w:w="3684" w:type="dxa"/>
          </w:tcPr>
          <w:p w14:paraId="0BD7AE11" w14:textId="77777777" w:rsidR="0003220B" w:rsidRDefault="00CD0366" w:rsidP="000D294F">
            <w:pPr>
              <w:pStyle w:val="Default"/>
              <w:rPr>
                <w:rFonts w:ascii="Tahoma" w:hAnsi="Tahoma" w:cs="Myriad Pro"/>
                <w:color w:val="auto"/>
                <w:sz w:val="20"/>
                <w:lang w:eastAsia="de-DE"/>
              </w:rPr>
            </w:pPr>
            <w:r>
              <w:rPr>
                <w:rFonts w:ascii="Tahoma" w:hAnsi="Tahoma" w:cs="Myriad Pro"/>
                <w:color w:val="auto"/>
                <w:sz w:val="20"/>
                <w:lang w:eastAsia="de-DE"/>
              </w:rPr>
              <w:t>Izvedba novih AB zidova uz postojeće</w:t>
            </w:r>
          </w:p>
          <w:p w14:paraId="05197524" w14:textId="77777777" w:rsidR="00CD0366" w:rsidRDefault="00CD0366" w:rsidP="000D294F">
            <w:pPr>
              <w:pStyle w:val="Default"/>
              <w:rPr>
                <w:rFonts w:ascii="Tahoma" w:hAnsi="Tahoma" w:cs="Myriad Pro"/>
                <w:color w:val="auto"/>
                <w:sz w:val="20"/>
                <w:lang w:eastAsia="de-DE"/>
              </w:rPr>
            </w:pPr>
            <w:r>
              <w:rPr>
                <w:rFonts w:ascii="Tahoma" w:hAnsi="Tahoma" w:cs="Myriad Pro"/>
                <w:color w:val="auto"/>
                <w:sz w:val="20"/>
                <w:lang w:eastAsia="de-DE"/>
              </w:rPr>
              <w:t>Izvedba AB nadvoja</w:t>
            </w:r>
          </w:p>
          <w:p w14:paraId="1A63504E" w14:textId="2FCA5794" w:rsidR="00CD0366" w:rsidRDefault="00CD0366" w:rsidP="000D294F">
            <w:pPr>
              <w:pStyle w:val="Default"/>
              <w:rPr>
                <w:rFonts w:ascii="Tahoma" w:hAnsi="Tahoma" w:cs="Myriad Pro"/>
                <w:color w:val="auto"/>
                <w:sz w:val="20"/>
                <w:lang w:eastAsia="de-DE"/>
              </w:rPr>
            </w:pPr>
            <w:r>
              <w:rPr>
                <w:rFonts w:ascii="Tahoma" w:hAnsi="Tahoma" w:cs="Myriad Pro"/>
                <w:color w:val="auto"/>
                <w:sz w:val="20"/>
                <w:lang w:eastAsia="de-DE"/>
              </w:rPr>
              <w:t>Izvedba spregnutih tlačnih ploča svih etaža</w:t>
            </w:r>
          </w:p>
        </w:tc>
        <w:tc>
          <w:tcPr>
            <w:tcW w:w="2336" w:type="dxa"/>
          </w:tcPr>
          <w:p w14:paraId="6F0C89B0" w14:textId="6F9B074A" w:rsidR="0003220B" w:rsidRDefault="002E17BB" w:rsidP="000D294F">
            <w:pPr>
              <w:pStyle w:val="Default"/>
              <w:rPr>
                <w:rFonts w:ascii="Tahoma" w:hAnsi="Tahoma" w:cs="Myriad Pro"/>
                <w:color w:val="auto"/>
                <w:sz w:val="20"/>
                <w:lang w:eastAsia="de-DE"/>
              </w:rPr>
            </w:pPr>
            <w:r>
              <w:rPr>
                <w:rFonts w:ascii="Tahoma" w:hAnsi="Tahoma" w:cs="Myriad Pro"/>
                <w:color w:val="auto"/>
                <w:sz w:val="20"/>
                <w:lang w:eastAsia="de-DE"/>
              </w:rPr>
              <w:t>Podizanje otpornosti na razinu 90-100% EC</w:t>
            </w:r>
          </w:p>
        </w:tc>
        <w:tc>
          <w:tcPr>
            <w:tcW w:w="2336" w:type="dxa"/>
          </w:tcPr>
          <w:p w14:paraId="594FE627" w14:textId="6C8F5EDD" w:rsidR="0003220B" w:rsidRDefault="002E17BB" w:rsidP="00D877C5">
            <w:pPr>
              <w:pStyle w:val="Default"/>
              <w:numPr>
                <w:ilvl w:val="1"/>
                <w:numId w:val="55"/>
              </w:numPr>
              <w:rPr>
                <w:rFonts w:ascii="Tahoma" w:hAnsi="Tahoma" w:cs="Myriad Pro"/>
                <w:color w:val="auto"/>
                <w:sz w:val="20"/>
                <w:lang w:eastAsia="de-DE"/>
              </w:rPr>
            </w:pPr>
            <w:r>
              <w:rPr>
                <w:rFonts w:ascii="Tahoma" w:hAnsi="Tahoma" w:cs="Myriad Pro"/>
                <w:color w:val="auto"/>
                <w:sz w:val="20"/>
                <w:lang w:eastAsia="de-DE"/>
              </w:rPr>
              <w:t>kn/m²</w:t>
            </w:r>
          </w:p>
          <w:p w14:paraId="4F0B1E78" w14:textId="1A463093" w:rsidR="007576A7" w:rsidRDefault="007576A7">
            <w:pPr>
              <w:pStyle w:val="Default"/>
              <w:rPr>
                <w:rFonts w:ascii="Tahoma" w:hAnsi="Tahoma" w:cs="Myriad Pro"/>
                <w:color w:val="auto"/>
                <w:sz w:val="20"/>
                <w:lang w:eastAsia="de-DE"/>
              </w:rPr>
            </w:pPr>
          </w:p>
        </w:tc>
      </w:tr>
    </w:tbl>
    <w:p w14:paraId="425399E4" w14:textId="77777777" w:rsidR="000D294F" w:rsidRDefault="000D294F" w:rsidP="000D294F">
      <w:pPr>
        <w:pStyle w:val="Default"/>
      </w:pPr>
    </w:p>
    <w:p w14:paraId="6A47AA6A" w14:textId="339AEE1B" w:rsidR="00D76364" w:rsidRDefault="00F9444E" w:rsidP="00F9444E">
      <w:r>
        <w:t>Veličina investicije kod izvedbe protupotresnih mjera i</w:t>
      </w:r>
      <w:r w:rsidR="00C11B23">
        <w:t xml:space="preserve"> mjera zaštite od požara  podupire </w:t>
      </w:r>
      <w:r w:rsidR="00EE2DBE">
        <w:t xml:space="preserve">zahtjev Direktive za istodobno razmatranje mjera zaštite od potresa i požara </w:t>
      </w:r>
      <w:r w:rsidR="004B3613">
        <w:t xml:space="preserve">kod provedbe integralne energetske obnove zgrada. Procjena vrijednosti investicije se zbog </w:t>
      </w:r>
      <w:r w:rsidR="0069680C">
        <w:t xml:space="preserve">izbjegavanja </w:t>
      </w:r>
      <w:r w:rsidR="00C242EF">
        <w:t>istovjetnih</w:t>
      </w:r>
      <w:r w:rsidR="0069680C">
        <w:t xml:space="preserve"> troškova u slučaju integralne obnove </w:t>
      </w:r>
      <w:r w:rsidR="00247275">
        <w:t xml:space="preserve">zgrada </w:t>
      </w:r>
      <w:r w:rsidR="00C242EF">
        <w:t xml:space="preserve">smanjuje, te se u procjenu potrebnih ulaganja u poglavlju  </w:t>
      </w:r>
      <w:r w:rsidR="00C242EF">
        <w:fldChar w:fldCharType="begin"/>
      </w:r>
      <w:r w:rsidR="00C242EF">
        <w:instrText xml:space="preserve"> REF _Ref38396067 \r \h </w:instrText>
      </w:r>
      <w:r w:rsidR="00C242EF">
        <w:fldChar w:fldCharType="separate"/>
      </w:r>
      <w:r w:rsidR="00CE61F3">
        <w:t>11.1</w:t>
      </w:r>
      <w:r w:rsidR="00C242EF">
        <w:fldChar w:fldCharType="end"/>
      </w:r>
      <w:r w:rsidR="00C242EF">
        <w:t xml:space="preserve"> Procjena potrebnih ulaganja </w:t>
      </w:r>
      <w:r w:rsidR="002F215D">
        <w:t xml:space="preserve">ulazi s prosječnom vrijednosti investicije od 1.500 kn/m². </w:t>
      </w:r>
    </w:p>
    <w:p w14:paraId="16B52F04" w14:textId="77777777" w:rsidR="009125F9" w:rsidRPr="00197830" w:rsidRDefault="009125F9" w:rsidP="009125F9">
      <w:pPr>
        <w:pStyle w:val="Default"/>
        <w:jc w:val="both"/>
        <w:rPr>
          <w:rFonts w:ascii="Tahoma" w:hAnsi="Tahoma" w:cs="Myriad Pro"/>
          <w:color w:val="auto"/>
          <w:sz w:val="20"/>
          <w:lang w:eastAsia="de-DE"/>
        </w:rPr>
      </w:pPr>
    </w:p>
    <w:p w14:paraId="3FD96819" w14:textId="5E54AD10" w:rsidR="009125F9" w:rsidRPr="00197830" w:rsidRDefault="009125F9" w:rsidP="009125F9">
      <w:pPr>
        <w:pStyle w:val="Default"/>
        <w:jc w:val="both"/>
        <w:rPr>
          <w:rFonts w:ascii="Tahoma" w:hAnsi="Tahoma" w:cs="Myriad Pro"/>
          <w:color w:val="auto"/>
          <w:sz w:val="20"/>
          <w:lang w:eastAsia="de-DE"/>
        </w:rPr>
      </w:pPr>
      <w:r w:rsidRPr="00197830">
        <w:rPr>
          <w:rFonts w:ascii="Tahoma" w:hAnsi="Tahoma" w:cs="Myriad Pro"/>
          <w:color w:val="auto"/>
          <w:sz w:val="20"/>
          <w:lang w:eastAsia="de-DE"/>
        </w:rPr>
        <w:t xml:space="preserve">Potrebno </w:t>
      </w:r>
      <w:r w:rsidR="00827A47">
        <w:rPr>
          <w:rFonts w:ascii="Tahoma" w:hAnsi="Tahoma" w:cs="Myriad Pro"/>
          <w:color w:val="auto"/>
          <w:sz w:val="20"/>
          <w:lang w:eastAsia="de-DE"/>
        </w:rPr>
        <w:t xml:space="preserve">je izraditi </w:t>
      </w:r>
      <w:r w:rsidRPr="00197830">
        <w:rPr>
          <w:rFonts w:ascii="Tahoma" w:hAnsi="Tahoma" w:cs="Myriad Pro"/>
          <w:color w:val="auto"/>
          <w:sz w:val="20"/>
          <w:lang w:eastAsia="de-DE"/>
        </w:rPr>
        <w:t xml:space="preserve">Smjernice za ojačanje konstrukcije zgrade na djelovanje potresa </w:t>
      </w:r>
      <w:r w:rsidR="00827A47">
        <w:rPr>
          <w:rFonts w:ascii="Tahoma" w:hAnsi="Tahoma" w:cs="Myriad Pro"/>
          <w:color w:val="auto"/>
          <w:sz w:val="20"/>
          <w:lang w:eastAsia="de-DE"/>
        </w:rPr>
        <w:t xml:space="preserve">s </w:t>
      </w:r>
      <w:r w:rsidRPr="00197830">
        <w:rPr>
          <w:rFonts w:ascii="Tahoma" w:hAnsi="Tahoma" w:cs="Myriad Pro"/>
          <w:color w:val="auto"/>
          <w:sz w:val="20"/>
          <w:lang w:eastAsia="de-DE"/>
        </w:rPr>
        <w:t xml:space="preserve"> katalog</w:t>
      </w:r>
      <w:r w:rsidR="00827A47">
        <w:rPr>
          <w:rFonts w:ascii="Tahoma" w:hAnsi="Tahoma" w:cs="Myriad Pro"/>
          <w:color w:val="auto"/>
          <w:sz w:val="20"/>
          <w:lang w:eastAsia="de-DE"/>
        </w:rPr>
        <w:t>om</w:t>
      </w:r>
      <w:r w:rsidRPr="00197830">
        <w:rPr>
          <w:rFonts w:ascii="Tahoma" w:hAnsi="Tahoma" w:cs="Myriad Pro"/>
          <w:color w:val="auto"/>
          <w:sz w:val="20"/>
          <w:lang w:eastAsia="de-DE"/>
        </w:rPr>
        <w:t xml:space="preserve"> materijala i dobrih primjera iz prakse sa području RH i EU kao pomoć projektantima. Navedene Smjernice bi treba</w:t>
      </w:r>
      <w:r w:rsidR="00827A47">
        <w:rPr>
          <w:rFonts w:ascii="Tahoma" w:hAnsi="Tahoma" w:cs="Myriad Pro"/>
          <w:color w:val="auto"/>
          <w:sz w:val="20"/>
          <w:lang w:eastAsia="de-DE"/>
        </w:rPr>
        <w:t>ju</w:t>
      </w:r>
      <w:r w:rsidRPr="00197830">
        <w:rPr>
          <w:rFonts w:ascii="Tahoma" w:hAnsi="Tahoma" w:cs="Myriad Pro"/>
          <w:color w:val="auto"/>
          <w:sz w:val="20"/>
          <w:lang w:eastAsia="de-DE"/>
        </w:rPr>
        <w:t xml:space="preserve"> biti stalno dostupne </w:t>
      </w:r>
      <w:r w:rsidRPr="00197830">
        <w:rPr>
          <w:rFonts w:ascii="Tahoma" w:hAnsi="Tahoma" w:cs="Myriad Pro"/>
          <w:i/>
          <w:color w:val="auto"/>
          <w:sz w:val="20"/>
          <w:lang w:eastAsia="de-DE"/>
        </w:rPr>
        <w:t>online</w:t>
      </w:r>
      <w:r w:rsidRPr="00197830">
        <w:rPr>
          <w:rFonts w:ascii="Tahoma" w:hAnsi="Tahoma" w:cs="Myriad Pro"/>
          <w:color w:val="auto"/>
          <w:sz w:val="20"/>
          <w:lang w:eastAsia="de-DE"/>
        </w:rPr>
        <w:t xml:space="preserve"> i ažurira</w:t>
      </w:r>
      <w:r w:rsidR="00827A47">
        <w:rPr>
          <w:rFonts w:ascii="Tahoma" w:hAnsi="Tahoma" w:cs="Myriad Pro"/>
          <w:color w:val="auto"/>
          <w:sz w:val="20"/>
          <w:lang w:eastAsia="de-DE"/>
        </w:rPr>
        <w:t xml:space="preserve">ti se </w:t>
      </w:r>
      <w:r w:rsidRPr="00197830">
        <w:rPr>
          <w:rFonts w:ascii="Tahoma" w:hAnsi="Tahoma" w:cs="Myriad Pro"/>
          <w:color w:val="auto"/>
          <w:sz w:val="20"/>
          <w:lang w:eastAsia="de-DE"/>
        </w:rPr>
        <w:t xml:space="preserve"> s novim materijalima i tehnologijama.</w:t>
      </w:r>
    </w:p>
    <w:p w14:paraId="127B510A" w14:textId="77777777" w:rsidR="009125F9" w:rsidRPr="00197830" w:rsidRDefault="009125F9" w:rsidP="009125F9">
      <w:pPr>
        <w:pStyle w:val="Default"/>
        <w:jc w:val="both"/>
        <w:rPr>
          <w:rFonts w:ascii="Tahoma" w:hAnsi="Tahoma" w:cs="Myriad Pro"/>
          <w:color w:val="auto"/>
          <w:sz w:val="20"/>
          <w:lang w:eastAsia="de-DE"/>
        </w:rPr>
      </w:pPr>
    </w:p>
    <w:p w14:paraId="1FE0AAD3" w14:textId="3E5CA446" w:rsidR="009125F9" w:rsidRPr="00197830" w:rsidRDefault="009125F9" w:rsidP="009125F9">
      <w:pPr>
        <w:pStyle w:val="Default"/>
        <w:jc w:val="both"/>
        <w:rPr>
          <w:rFonts w:ascii="Tahoma" w:hAnsi="Tahoma" w:cs="Myriad Pro"/>
          <w:color w:val="auto"/>
          <w:sz w:val="20"/>
          <w:lang w:eastAsia="de-DE"/>
        </w:rPr>
      </w:pPr>
      <w:r w:rsidRPr="00197830">
        <w:rPr>
          <w:rFonts w:ascii="Tahoma" w:hAnsi="Tahoma" w:cs="Myriad Pro"/>
          <w:color w:val="auto"/>
          <w:sz w:val="20"/>
          <w:lang w:eastAsia="de-DE"/>
        </w:rPr>
        <w:t xml:space="preserve">S obzirom na preporuke Direktive i povećani rizik od djelovanja potresa na velikom području Republike Hrvatske potrebno je u svim programima energetske obnove zgrada dodati model cjelovite obnove i cjelovite obnove do razine zahtjeva za zgrade gotovo nulte energije za obnovu (koje bi u pozivnim natječajima mogle imati prednost </w:t>
      </w:r>
      <w:r w:rsidR="00BE0404">
        <w:rPr>
          <w:rFonts w:ascii="Tahoma" w:hAnsi="Tahoma" w:cs="Myriad Pro"/>
          <w:color w:val="auto"/>
          <w:sz w:val="20"/>
          <w:lang w:eastAsia="de-DE"/>
        </w:rPr>
        <w:t xml:space="preserve"> kroz </w:t>
      </w:r>
      <w:r w:rsidRPr="00197830">
        <w:rPr>
          <w:rFonts w:ascii="Tahoma" w:hAnsi="Tahoma" w:cs="Myriad Pro"/>
          <w:color w:val="auto"/>
          <w:sz w:val="20"/>
          <w:lang w:eastAsia="de-DE"/>
        </w:rPr>
        <w:t>sustav bodovanja) te tako motivirati investitore da više ulaže u obnovu zgrade.</w:t>
      </w:r>
    </w:p>
    <w:p w14:paraId="0906315B" w14:textId="77777777" w:rsidR="009125F9" w:rsidRPr="00197830" w:rsidRDefault="009125F9" w:rsidP="009125F9">
      <w:pPr>
        <w:pStyle w:val="Default"/>
        <w:jc w:val="both"/>
        <w:rPr>
          <w:rFonts w:ascii="Tahoma" w:hAnsi="Tahoma" w:cs="Myriad Pro"/>
          <w:color w:val="auto"/>
          <w:sz w:val="20"/>
          <w:lang w:eastAsia="de-DE"/>
        </w:rPr>
      </w:pPr>
    </w:p>
    <w:p w14:paraId="4DA01539" w14:textId="77777777" w:rsidR="009125F9" w:rsidRPr="00197830" w:rsidRDefault="009125F9" w:rsidP="009125F9">
      <w:pPr>
        <w:pStyle w:val="Default"/>
        <w:jc w:val="both"/>
        <w:rPr>
          <w:rFonts w:ascii="Tahoma" w:hAnsi="Tahoma" w:cs="Myriad Pro"/>
          <w:color w:val="auto"/>
          <w:sz w:val="20"/>
          <w:lang w:eastAsia="de-DE"/>
        </w:rPr>
      </w:pPr>
      <w:r w:rsidRPr="00197830">
        <w:rPr>
          <w:rFonts w:ascii="Tahoma" w:hAnsi="Tahoma" w:cs="Myriad Pro"/>
          <w:color w:val="auto"/>
          <w:sz w:val="20"/>
          <w:lang w:eastAsia="de-DE"/>
        </w:rPr>
        <w:t>Cjelovita energetska obnova bi trebala obuhvaćati poticanje visokoučinkovitih alternativnih sustava ako je to tehnički, funkcionalno i gospodarski izvedivo, istodobno uzimajući u obzir pitanja u vezi sa zdravim unutarnjim klimatskim uvjetima (sanacija vlage, smanjenje CO</w:t>
      </w:r>
      <w:r w:rsidRPr="00197830">
        <w:rPr>
          <w:rFonts w:ascii="Tahoma" w:hAnsi="Tahoma" w:cs="Myriad Pro"/>
          <w:color w:val="auto"/>
          <w:sz w:val="20"/>
          <w:vertAlign w:val="subscript"/>
          <w:lang w:eastAsia="de-DE"/>
        </w:rPr>
        <w:t>2</w:t>
      </w:r>
      <w:r w:rsidRPr="00197830">
        <w:rPr>
          <w:rFonts w:ascii="Tahoma" w:hAnsi="Tahoma" w:cs="Myriad Pro"/>
          <w:color w:val="auto"/>
          <w:sz w:val="20"/>
          <w:lang w:eastAsia="de-DE"/>
        </w:rPr>
        <w:t xml:space="preserve"> i sl.), zaštitom od požara i rizicima povezanima s pojačanim djelovanjem potresa. Prije energetske obnove zgrade potrebno od strane projektanta provesti analizu postojeće zgrade te dati prijedlog mjera za poboljšanje navedenih uvjeta, a ako se radi o zgradi koja ima status kulturnog dobra, prijedlozi mjera bi trebali biti usklađeni s konzervatorskim uvjetima. </w:t>
      </w:r>
    </w:p>
    <w:p w14:paraId="7AB27F2E" w14:textId="34BBCD76" w:rsidR="00827B0A" w:rsidRDefault="00827B0A" w:rsidP="00F9444E">
      <w:r>
        <w:br w:type="page"/>
      </w:r>
    </w:p>
    <w:p w14:paraId="6A36F219" w14:textId="77777777" w:rsidR="000D294F" w:rsidRDefault="000D294F" w:rsidP="008129E7">
      <w:pPr>
        <w:pStyle w:val="Naslov10"/>
      </w:pPr>
      <w:bookmarkStart w:id="247" w:name="_Toc34052926"/>
      <w:bookmarkStart w:id="248" w:name="_Toc46163862"/>
      <w:r w:rsidRPr="000D294F">
        <w:t>Procjena potrebnih ulaganja i potpore mobilizaciji ulaganja u obnovu</w:t>
      </w:r>
      <w:bookmarkEnd w:id="247"/>
      <w:bookmarkEnd w:id="248"/>
      <w:r w:rsidRPr="000D294F">
        <w:t xml:space="preserve"> </w:t>
      </w:r>
    </w:p>
    <w:p w14:paraId="58F2A1A4" w14:textId="77777777" w:rsidR="006321D1" w:rsidRDefault="00620BC5" w:rsidP="007649C2">
      <w:pPr>
        <w:pStyle w:val="Naslov20"/>
      </w:pPr>
      <w:bookmarkStart w:id="249" w:name="_Toc34052927"/>
      <w:bookmarkStart w:id="250" w:name="_Ref38396067"/>
      <w:bookmarkStart w:id="251" w:name="_Toc46163863"/>
      <w:r>
        <w:t>Procjena potrebnih ulaganja</w:t>
      </w:r>
      <w:bookmarkEnd w:id="249"/>
      <w:bookmarkEnd w:id="250"/>
      <w:bookmarkEnd w:id="251"/>
    </w:p>
    <w:p w14:paraId="6F2FF461" w14:textId="77777777" w:rsidR="00E00985" w:rsidRPr="00462AD9" w:rsidRDefault="004607ED" w:rsidP="00E00985">
      <w:r>
        <w:t xml:space="preserve">Potrebna ulaganja u </w:t>
      </w:r>
      <w:r w:rsidR="00D12CFB">
        <w:t>energetsku</w:t>
      </w:r>
      <w:r>
        <w:t xml:space="preserve"> obnovu zgrada procijenjena su u Strategiji energetskog razvoja Republike Hrvatske</w:t>
      </w:r>
      <w:r w:rsidR="00D12CFB">
        <w:t xml:space="preserve"> kao i u Integriranom nacionalnom energetsko</w:t>
      </w:r>
      <w:r w:rsidR="004542F9">
        <w:t>m i</w:t>
      </w:r>
      <w:r w:rsidR="00D12CFB">
        <w:t xml:space="preserve"> klimatskom planu</w:t>
      </w:r>
      <w:r w:rsidR="00C815DC">
        <w:t>.</w:t>
      </w:r>
      <w:r w:rsidR="00D12CFB">
        <w:t xml:space="preserve"> </w:t>
      </w:r>
      <w:r w:rsidR="00E00985" w:rsidRPr="00462AD9">
        <w:t xml:space="preserve">U sektoru kućanstava, </w:t>
      </w:r>
      <w:r w:rsidR="00E00985">
        <w:t>predviđa se</w:t>
      </w:r>
      <w:r w:rsidR="00E00985" w:rsidRPr="00462AD9">
        <w:t xml:space="preserve"> obnov</w:t>
      </w:r>
      <w:r w:rsidR="001837ED">
        <w:t>a na razini od oko</w:t>
      </w:r>
      <w:r w:rsidR="00E00985" w:rsidRPr="00462AD9">
        <w:t xml:space="preserve"> 10</w:t>
      </w:r>
      <w:r w:rsidR="00E00985">
        <w:t xml:space="preserve"> </w:t>
      </w:r>
      <w:r w:rsidR="00E00985" w:rsidRPr="00462AD9">
        <w:t xml:space="preserve">000 stambenih jedinica godišnje. U sektoru usluga, predviđa </w:t>
      </w:r>
      <w:r w:rsidR="001837ED">
        <w:t xml:space="preserve">se da će prosječna potrošnja energije u 2050. godini </w:t>
      </w:r>
      <w:r w:rsidR="00E00985" w:rsidRPr="00462AD9">
        <w:t>iznositi 55</w:t>
      </w:r>
      <w:r w:rsidR="00E910EB">
        <w:t xml:space="preserve"> </w:t>
      </w:r>
      <w:r w:rsidR="00E00985" w:rsidRPr="00462AD9">
        <w:t>kWh/m</w:t>
      </w:r>
      <w:r w:rsidR="00E00985" w:rsidRPr="00462AD9">
        <w:rPr>
          <w:vertAlign w:val="superscript"/>
        </w:rPr>
        <w:t xml:space="preserve">2 </w:t>
      </w:r>
      <w:r w:rsidR="00E00985" w:rsidRPr="00462AD9">
        <w:t>godišnje. To odgovora obnovi postojećeg fonda zgrada, prikladnog za obnovu, po godišnjoj stopi od 1,6 %</w:t>
      </w:r>
      <w:r w:rsidR="00E910EB">
        <w:t xml:space="preserve">, odnosno rast od postojeće stope 0,7 na </w:t>
      </w:r>
      <w:r w:rsidR="00660459">
        <w:t xml:space="preserve">1% godišnje za 2021. i 2022., </w:t>
      </w:r>
      <w:r w:rsidR="00C722F2">
        <w:t>1,</w:t>
      </w:r>
      <w:r w:rsidR="005C02E0">
        <w:t>5</w:t>
      </w:r>
      <w:r w:rsidR="00C722F2">
        <w:t>% do do 202</w:t>
      </w:r>
      <w:r w:rsidR="005C02E0">
        <w:t xml:space="preserve">4., 2% do 2026. </w:t>
      </w:r>
      <w:r w:rsidR="00AD1742">
        <w:t>2,5% do 2028 i 3% za 20</w:t>
      </w:r>
      <w:r w:rsidR="00A800B6">
        <w:t>29. i 2030. godinu</w:t>
      </w:r>
      <w:r w:rsidR="00E00985" w:rsidRPr="00462AD9">
        <w:t>.</w:t>
      </w:r>
      <w:r w:rsidR="00C777AE">
        <w:t xml:space="preserve"> </w:t>
      </w:r>
      <w:r w:rsidR="005C02E0">
        <w:t xml:space="preserve"> </w:t>
      </w:r>
    </w:p>
    <w:p w14:paraId="1DBF2B58" w14:textId="77777777" w:rsidR="00C44ECC" w:rsidRDefault="00E00985" w:rsidP="006976B3">
      <w:r w:rsidRPr="00462AD9">
        <w:t xml:space="preserve">Ukupni investicijski trošak energetske obnove zgrada izračunat je uz sadašnje vrijednosti pretpostavljenih cijena obnove do nZEB standarda. Za stambene zgrade cijena </w:t>
      </w:r>
      <w:r>
        <w:t xml:space="preserve">je </w:t>
      </w:r>
      <w:r w:rsidRPr="00462AD9">
        <w:t>1</w:t>
      </w:r>
      <w:r w:rsidR="00463A70">
        <w:t>.</w:t>
      </w:r>
      <w:r w:rsidRPr="00462AD9">
        <w:t>500</w:t>
      </w:r>
      <w:r w:rsidR="00257E1B">
        <w:t xml:space="preserve"> </w:t>
      </w:r>
      <w:r w:rsidRPr="00462AD9">
        <w:t>kn/m</w:t>
      </w:r>
      <w:r w:rsidRPr="00462AD9">
        <w:rPr>
          <w:vertAlign w:val="superscript"/>
        </w:rPr>
        <w:t>2</w:t>
      </w:r>
      <w:r w:rsidRPr="00462AD9">
        <w:t xml:space="preserve">, dok je </w:t>
      </w:r>
      <w:r>
        <w:t>za</w:t>
      </w:r>
      <w:r w:rsidRPr="00462AD9">
        <w:t xml:space="preserve"> nestamben</w:t>
      </w:r>
      <w:r>
        <w:t>e</w:t>
      </w:r>
      <w:r w:rsidRPr="00462AD9">
        <w:t xml:space="preserve"> zgrad</w:t>
      </w:r>
      <w:r>
        <w:t>e</w:t>
      </w:r>
      <w:r w:rsidRPr="00462AD9">
        <w:t xml:space="preserve"> ona 2</w:t>
      </w:r>
      <w:r w:rsidR="00463A70">
        <w:t>.</w:t>
      </w:r>
      <w:r w:rsidRPr="00462AD9">
        <w:t>500</w:t>
      </w:r>
      <w:r w:rsidR="00257E1B">
        <w:t xml:space="preserve"> </w:t>
      </w:r>
      <w:r w:rsidRPr="00462AD9">
        <w:t>kn/m</w:t>
      </w:r>
      <w:r w:rsidRPr="00462AD9">
        <w:rPr>
          <w:vertAlign w:val="superscript"/>
        </w:rPr>
        <w:t>2</w:t>
      </w:r>
      <w:r w:rsidRPr="00462AD9">
        <w:t>, zbog postojanja složenijih tehničkih sustava u takvim zgradama</w:t>
      </w:r>
      <w:r w:rsidRPr="00462AD9">
        <w:rPr>
          <w:rStyle w:val="Referencafusnote"/>
          <w:rFonts w:cs="Myriad Pro"/>
        </w:rPr>
        <w:footnoteReference w:id="44"/>
      </w:r>
      <w:r w:rsidRPr="00462AD9">
        <w:t xml:space="preserve">. </w:t>
      </w:r>
    </w:p>
    <w:p w14:paraId="6219F287" w14:textId="1E6C2B21" w:rsidR="006976B3" w:rsidRDefault="006976B3" w:rsidP="006976B3">
      <w:r>
        <w:t xml:space="preserve">Uz troškove energetske obnove, na znatnom dijelu zgrada potrebna su dodatna ulaganja u konstruktivnu sanaciju. Promatrano na ograničenom uzorku zgrada najlošijih energetskih svojstava obuhvaćenih </w:t>
      </w:r>
      <w:r w:rsidRPr="008A5870">
        <w:t>Program</w:t>
      </w:r>
      <w:r>
        <w:t>om</w:t>
      </w:r>
      <w:r w:rsidRPr="008A5870">
        <w:t xml:space="preserve"> suzbijanja energetskog siromaštva koji uključuje korištenje obnovljivih izvora energije u stambenim zgradama na potpomognutim područjima i područjima posebne državne skrbi za razdoblje 2019. – 2021. godine</w:t>
      </w:r>
      <w:r>
        <w:t xml:space="preserve">  </w:t>
      </w:r>
      <w:r w:rsidRPr="008A5870">
        <w:fldChar w:fldCharType="begin"/>
      </w:r>
      <w:r w:rsidRPr="008A5870">
        <w:instrText xml:space="preserve"> CITATION Pro19 \l 1033 </w:instrText>
      </w:r>
      <w:r w:rsidRPr="008A5870">
        <w:fldChar w:fldCharType="separate"/>
      </w:r>
      <w:r w:rsidR="002D258B" w:rsidRPr="002D258B">
        <w:rPr>
          <w:noProof/>
        </w:rPr>
        <w:t>(2019)</w:t>
      </w:r>
      <w:r w:rsidRPr="008A5870">
        <w:fldChar w:fldCharType="end"/>
      </w:r>
      <w:r>
        <w:t xml:space="preserve">, vrijednost dodatne investicije je 1.500 kn/m². Zgrade koje zadovoljavaju važeću regulativu čine 4% fonda zgrada, ali ukupno 75% zgrada je stabilno i energetska obnova ne predstavlja značajni rizik za njih u pogledu mehaničke otpornosti i stabilnosti. </w:t>
      </w:r>
    </w:p>
    <w:p w14:paraId="187A0B06" w14:textId="77777777" w:rsidR="00202E79" w:rsidRDefault="00FD40F4" w:rsidP="006976B3">
      <w:r>
        <w:t xml:space="preserve">Troškovi za dodatne mjere zaštite od požara se </w:t>
      </w:r>
      <w:r w:rsidR="00330CA3">
        <w:t xml:space="preserve">procjenjuju na primjenu materijala </w:t>
      </w:r>
      <w:r w:rsidR="0041704E">
        <w:t xml:space="preserve">koji udovoljavaju zahtjevima za </w:t>
      </w:r>
      <w:r w:rsidR="007F2EC7">
        <w:t xml:space="preserve">zaštitu od požara prema </w:t>
      </w:r>
      <w:r w:rsidR="007F2EC7" w:rsidRPr="007F2EC7">
        <w:t>Pravilniku o otpornosti na požar</w:t>
      </w:r>
      <w:r w:rsidR="004E71EE">
        <w:t xml:space="preserve">, </w:t>
      </w:r>
      <w:r w:rsidR="001D3BDC">
        <w:t xml:space="preserve">koji povećavaju vrijednost investicije u </w:t>
      </w:r>
      <w:r w:rsidR="00430B03">
        <w:t xml:space="preserve">povećanje </w:t>
      </w:r>
      <w:r w:rsidR="00282187">
        <w:t xml:space="preserve">kvalitete vanjske ovojnice za cca 10%. Dodatne mjere zaštite od požara kojima se može reducirati </w:t>
      </w:r>
      <w:r w:rsidR="009A3142">
        <w:t xml:space="preserve">rizik za zgradu, </w:t>
      </w:r>
      <w:r w:rsidR="004675C3">
        <w:t xml:space="preserve">vezane su uz projektna rješenja </w:t>
      </w:r>
      <w:r w:rsidR="0093698C">
        <w:t>energetske obnove i postojeću procjenu rizika zgrade. Kod zgrada nestambene namjene minimalne mjere za smanjenje rizika od požara su uključene</w:t>
      </w:r>
      <w:r w:rsidR="0079655E">
        <w:t xml:space="preserve"> u same zgrade, dok</w:t>
      </w:r>
      <w:r w:rsidR="008E08AE">
        <w:t xml:space="preserve"> kod stambenih zgrada u pravilu dolazi do ograničenja obuhvata mjera </w:t>
      </w:r>
      <w:r w:rsidR="004A3D89">
        <w:t xml:space="preserve">poboljšanja vanjske ovojnice zbog minimalnih zahtjeva u pogledu evakuacije </w:t>
      </w:r>
      <w:r w:rsidR="00260981">
        <w:t xml:space="preserve">zgrada. </w:t>
      </w:r>
    </w:p>
    <w:p w14:paraId="1D05A0D3" w14:textId="77777777" w:rsidR="006976B3" w:rsidRPr="00087D10" w:rsidRDefault="006976B3" w:rsidP="006976B3">
      <w:r w:rsidRPr="00087D10">
        <w:t xml:space="preserve">Zbog visoke stope demolacije obuhvaćene u predviđanju kretanja fonda zgrada do 2050. godine, uz iskazane direktne troškove energetske obnove postoji </w:t>
      </w:r>
      <w:r>
        <w:t xml:space="preserve">neiskazana vrijednost novogradnje koja de facto predstavlja energetsku obnovu uz premještanje fonda zgrada u prostoru. Ovaj trošak je znatno veći od troška energetske obnove, budući da dolazi do trajnog napuštanja prostora, čime se narušava njegov gospodarski potencijal i održivost aktivnosti u tom prostoru, ali taj proces je već godinama prisutan i u trenutnim makroekonomskim i demografskim okvirima nepovratan. </w:t>
      </w:r>
    </w:p>
    <w:p w14:paraId="7BF7889A" w14:textId="6FD9B3A6" w:rsidR="008F2F7C" w:rsidRDefault="008F2F7C" w:rsidP="008F2F7C">
      <w:pPr>
        <w:pStyle w:val="Opisslike"/>
        <w:keepNext/>
      </w:pPr>
      <w:bookmarkStart w:id="252" w:name="_Toc40089052"/>
      <w:r>
        <w:t xml:space="preserve">Tablica </w:t>
      </w:r>
      <w:fldSimple w:instr=" SEQ Tablica \* ARABIC ">
        <w:r w:rsidR="00CE61F3">
          <w:rPr>
            <w:noProof/>
          </w:rPr>
          <w:t>5</w:t>
        </w:r>
      </w:fldSimple>
      <w:r>
        <w:t xml:space="preserve"> </w:t>
      </w:r>
      <w:r w:rsidRPr="00881E8A">
        <w:t>Procjena ulaganja u energetsku obnovu zgrada</w:t>
      </w:r>
      <w:bookmarkEnd w:id="252"/>
    </w:p>
    <w:tbl>
      <w:tblPr>
        <w:tblW w:w="5000" w:type="pct"/>
        <w:tblLook w:val="04A0" w:firstRow="1" w:lastRow="0" w:firstColumn="1" w:lastColumn="0" w:noHBand="0" w:noVBand="1"/>
      </w:tblPr>
      <w:tblGrid>
        <w:gridCol w:w="3351"/>
        <w:gridCol w:w="2169"/>
        <w:gridCol w:w="1907"/>
        <w:gridCol w:w="1907"/>
      </w:tblGrid>
      <w:tr w:rsidR="005C6566" w:rsidRPr="005C6566" w14:paraId="2B1DE1E5" w14:textId="77777777" w:rsidTr="005C6566">
        <w:trPr>
          <w:trHeight w:val="270"/>
        </w:trPr>
        <w:tc>
          <w:tcPr>
            <w:tcW w:w="3560" w:type="dxa"/>
            <w:tcBorders>
              <w:top w:val="single" w:sz="8" w:space="0" w:color="999999"/>
              <w:left w:val="single" w:sz="8" w:space="0" w:color="999999"/>
              <w:bottom w:val="single" w:sz="12" w:space="0" w:color="666666"/>
              <w:right w:val="single" w:sz="8" w:space="0" w:color="999999"/>
            </w:tcBorders>
            <w:vAlign w:val="center"/>
            <w:hideMark/>
          </w:tcPr>
          <w:p w14:paraId="624086DC"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Razdoblje</w:t>
            </w:r>
          </w:p>
        </w:tc>
        <w:tc>
          <w:tcPr>
            <w:tcW w:w="2300" w:type="dxa"/>
            <w:tcBorders>
              <w:top w:val="single" w:sz="8" w:space="0" w:color="999999"/>
              <w:left w:val="nil"/>
              <w:bottom w:val="single" w:sz="12" w:space="0" w:color="666666"/>
              <w:right w:val="single" w:sz="8" w:space="0" w:color="999999"/>
            </w:tcBorders>
            <w:vAlign w:val="center"/>
            <w:hideMark/>
          </w:tcPr>
          <w:p w14:paraId="60829D22"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2021. – 2030.</w:t>
            </w:r>
          </w:p>
        </w:tc>
        <w:tc>
          <w:tcPr>
            <w:tcW w:w="2020" w:type="dxa"/>
            <w:tcBorders>
              <w:top w:val="single" w:sz="8" w:space="0" w:color="999999"/>
              <w:left w:val="nil"/>
              <w:bottom w:val="single" w:sz="12" w:space="0" w:color="666666"/>
              <w:right w:val="single" w:sz="8" w:space="0" w:color="999999"/>
            </w:tcBorders>
            <w:vAlign w:val="center"/>
            <w:hideMark/>
          </w:tcPr>
          <w:p w14:paraId="0DD2FAD2"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2031. – 2040.</w:t>
            </w:r>
          </w:p>
        </w:tc>
        <w:tc>
          <w:tcPr>
            <w:tcW w:w="2020" w:type="dxa"/>
            <w:tcBorders>
              <w:top w:val="single" w:sz="8" w:space="0" w:color="999999"/>
              <w:left w:val="nil"/>
              <w:bottom w:val="single" w:sz="12" w:space="0" w:color="666666"/>
              <w:right w:val="single" w:sz="8" w:space="0" w:color="999999"/>
            </w:tcBorders>
            <w:vAlign w:val="center"/>
            <w:hideMark/>
          </w:tcPr>
          <w:p w14:paraId="71ECF91E"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2041. – 2050.</w:t>
            </w:r>
          </w:p>
        </w:tc>
      </w:tr>
      <w:tr w:rsidR="005C6566" w:rsidRPr="005C6566" w14:paraId="6CE49940" w14:textId="77777777" w:rsidTr="005C6566">
        <w:trPr>
          <w:trHeight w:val="270"/>
        </w:trPr>
        <w:tc>
          <w:tcPr>
            <w:tcW w:w="3560" w:type="dxa"/>
            <w:tcBorders>
              <w:top w:val="nil"/>
              <w:left w:val="single" w:sz="8" w:space="0" w:color="999999"/>
              <w:bottom w:val="nil"/>
              <w:right w:val="single" w:sz="8" w:space="0" w:color="999999"/>
            </w:tcBorders>
            <w:hideMark/>
          </w:tcPr>
          <w:p w14:paraId="346FDA8B"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Obuhvat obnove – stambene</w:t>
            </w:r>
          </w:p>
        </w:tc>
        <w:tc>
          <w:tcPr>
            <w:tcW w:w="2300" w:type="dxa"/>
            <w:vMerge w:val="restart"/>
            <w:tcBorders>
              <w:top w:val="nil"/>
              <w:left w:val="single" w:sz="8" w:space="0" w:color="999999"/>
              <w:bottom w:val="single" w:sz="8" w:space="0" w:color="999999"/>
              <w:right w:val="single" w:sz="8" w:space="0" w:color="999999"/>
            </w:tcBorders>
            <w:vAlign w:val="center"/>
            <w:hideMark/>
          </w:tcPr>
          <w:p w14:paraId="421FE3DB"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8,71</w:t>
            </w:r>
          </w:p>
        </w:tc>
        <w:tc>
          <w:tcPr>
            <w:tcW w:w="2020" w:type="dxa"/>
            <w:vMerge w:val="restart"/>
            <w:tcBorders>
              <w:top w:val="nil"/>
              <w:left w:val="single" w:sz="8" w:space="0" w:color="999999"/>
              <w:bottom w:val="single" w:sz="8" w:space="0" w:color="999999"/>
              <w:right w:val="single" w:sz="8" w:space="0" w:color="999999"/>
            </w:tcBorders>
            <w:vAlign w:val="center"/>
            <w:hideMark/>
          </w:tcPr>
          <w:p w14:paraId="16929F43"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9,11</w:t>
            </w:r>
          </w:p>
        </w:tc>
        <w:tc>
          <w:tcPr>
            <w:tcW w:w="2020" w:type="dxa"/>
            <w:vMerge w:val="restart"/>
            <w:tcBorders>
              <w:top w:val="nil"/>
              <w:left w:val="single" w:sz="8" w:space="0" w:color="999999"/>
              <w:bottom w:val="single" w:sz="8" w:space="0" w:color="999999"/>
              <w:right w:val="single" w:sz="8" w:space="0" w:color="999999"/>
            </w:tcBorders>
            <w:vAlign w:val="center"/>
            <w:hideMark/>
          </w:tcPr>
          <w:p w14:paraId="11F486D0"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9,5</w:t>
            </w:r>
          </w:p>
        </w:tc>
      </w:tr>
      <w:tr w:rsidR="005C6566" w:rsidRPr="005C6566" w14:paraId="07BAC938" w14:textId="77777777" w:rsidTr="005C6566">
        <w:trPr>
          <w:trHeight w:val="315"/>
        </w:trPr>
        <w:tc>
          <w:tcPr>
            <w:tcW w:w="3560" w:type="dxa"/>
            <w:tcBorders>
              <w:top w:val="nil"/>
              <w:left w:val="single" w:sz="8" w:space="0" w:color="999999"/>
              <w:bottom w:val="single" w:sz="8" w:space="0" w:color="999999"/>
              <w:right w:val="single" w:sz="8" w:space="0" w:color="999999"/>
            </w:tcBorders>
            <w:hideMark/>
          </w:tcPr>
          <w:p w14:paraId="18D8153A"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300" w:type="dxa"/>
            <w:vMerge/>
            <w:tcBorders>
              <w:top w:val="nil"/>
              <w:left w:val="single" w:sz="8" w:space="0" w:color="999999"/>
              <w:bottom w:val="single" w:sz="8" w:space="0" w:color="999999"/>
              <w:right w:val="single" w:sz="8" w:space="0" w:color="999999"/>
            </w:tcBorders>
            <w:vAlign w:val="center"/>
            <w:hideMark/>
          </w:tcPr>
          <w:p w14:paraId="34B317FB"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2020" w:type="dxa"/>
            <w:vMerge/>
            <w:tcBorders>
              <w:top w:val="nil"/>
              <w:left w:val="single" w:sz="8" w:space="0" w:color="999999"/>
              <w:bottom w:val="single" w:sz="8" w:space="0" w:color="999999"/>
              <w:right w:val="single" w:sz="8" w:space="0" w:color="999999"/>
            </w:tcBorders>
            <w:vAlign w:val="center"/>
            <w:hideMark/>
          </w:tcPr>
          <w:p w14:paraId="55ABBDB7"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2020" w:type="dxa"/>
            <w:vMerge/>
            <w:tcBorders>
              <w:top w:val="nil"/>
              <w:left w:val="single" w:sz="8" w:space="0" w:color="999999"/>
              <w:bottom w:val="single" w:sz="8" w:space="0" w:color="999999"/>
              <w:right w:val="single" w:sz="8" w:space="0" w:color="999999"/>
            </w:tcBorders>
            <w:vAlign w:val="center"/>
            <w:hideMark/>
          </w:tcPr>
          <w:p w14:paraId="389A04E6"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r>
      <w:tr w:rsidR="005C6566" w:rsidRPr="005C6566" w14:paraId="3F82FF27" w14:textId="77777777" w:rsidTr="005C6566">
        <w:trPr>
          <w:trHeight w:val="255"/>
        </w:trPr>
        <w:tc>
          <w:tcPr>
            <w:tcW w:w="3560" w:type="dxa"/>
            <w:tcBorders>
              <w:top w:val="nil"/>
              <w:left w:val="single" w:sz="8" w:space="0" w:color="999999"/>
              <w:bottom w:val="nil"/>
              <w:right w:val="single" w:sz="8" w:space="0" w:color="999999"/>
            </w:tcBorders>
            <w:hideMark/>
          </w:tcPr>
          <w:p w14:paraId="23C61EC5"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Obuhvat obnove – nestambene</w:t>
            </w:r>
          </w:p>
        </w:tc>
        <w:tc>
          <w:tcPr>
            <w:tcW w:w="2300" w:type="dxa"/>
            <w:vMerge w:val="restart"/>
            <w:tcBorders>
              <w:top w:val="nil"/>
              <w:left w:val="single" w:sz="8" w:space="0" w:color="999999"/>
              <w:bottom w:val="single" w:sz="8" w:space="0" w:color="999999"/>
              <w:right w:val="single" w:sz="8" w:space="0" w:color="999999"/>
            </w:tcBorders>
            <w:vAlign w:val="center"/>
            <w:hideMark/>
          </w:tcPr>
          <w:p w14:paraId="0297329A"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4,88</w:t>
            </w:r>
          </w:p>
        </w:tc>
        <w:tc>
          <w:tcPr>
            <w:tcW w:w="2020" w:type="dxa"/>
            <w:vMerge w:val="restart"/>
            <w:tcBorders>
              <w:top w:val="nil"/>
              <w:left w:val="single" w:sz="8" w:space="0" w:color="999999"/>
              <w:bottom w:val="single" w:sz="8" w:space="0" w:color="999999"/>
              <w:right w:val="single" w:sz="8" w:space="0" w:color="999999"/>
            </w:tcBorders>
            <w:vAlign w:val="center"/>
            <w:hideMark/>
          </w:tcPr>
          <w:p w14:paraId="3E6600FA"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4,88</w:t>
            </w:r>
          </w:p>
        </w:tc>
        <w:tc>
          <w:tcPr>
            <w:tcW w:w="2020" w:type="dxa"/>
            <w:vMerge w:val="restart"/>
            <w:tcBorders>
              <w:top w:val="nil"/>
              <w:left w:val="single" w:sz="8" w:space="0" w:color="999999"/>
              <w:bottom w:val="single" w:sz="8" w:space="0" w:color="999999"/>
              <w:right w:val="single" w:sz="8" w:space="0" w:color="999999"/>
            </w:tcBorders>
            <w:vAlign w:val="center"/>
            <w:hideMark/>
          </w:tcPr>
          <w:p w14:paraId="6A404AD0"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4,88</w:t>
            </w:r>
          </w:p>
        </w:tc>
      </w:tr>
      <w:tr w:rsidR="005C6566" w:rsidRPr="005C6566" w14:paraId="611EACB3" w14:textId="77777777" w:rsidTr="005C6566">
        <w:trPr>
          <w:trHeight w:val="315"/>
        </w:trPr>
        <w:tc>
          <w:tcPr>
            <w:tcW w:w="3560" w:type="dxa"/>
            <w:tcBorders>
              <w:top w:val="nil"/>
              <w:left w:val="single" w:sz="8" w:space="0" w:color="999999"/>
              <w:bottom w:val="single" w:sz="8" w:space="0" w:color="999999"/>
              <w:right w:val="single" w:sz="8" w:space="0" w:color="999999"/>
            </w:tcBorders>
            <w:hideMark/>
          </w:tcPr>
          <w:p w14:paraId="1F836319"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300" w:type="dxa"/>
            <w:vMerge/>
            <w:tcBorders>
              <w:top w:val="nil"/>
              <w:left w:val="single" w:sz="8" w:space="0" w:color="999999"/>
              <w:bottom w:val="single" w:sz="8" w:space="0" w:color="999999"/>
              <w:right w:val="single" w:sz="8" w:space="0" w:color="999999"/>
            </w:tcBorders>
            <w:vAlign w:val="center"/>
            <w:hideMark/>
          </w:tcPr>
          <w:p w14:paraId="0E7D6717"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2020" w:type="dxa"/>
            <w:vMerge/>
            <w:tcBorders>
              <w:top w:val="nil"/>
              <w:left w:val="single" w:sz="8" w:space="0" w:color="999999"/>
              <w:bottom w:val="single" w:sz="8" w:space="0" w:color="999999"/>
              <w:right w:val="single" w:sz="8" w:space="0" w:color="999999"/>
            </w:tcBorders>
            <w:vAlign w:val="center"/>
            <w:hideMark/>
          </w:tcPr>
          <w:p w14:paraId="7BE888E3"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2020" w:type="dxa"/>
            <w:vMerge/>
            <w:tcBorders>
              <w:top w:val="nil"/>
              <w:left w:val="single" w:sz="8" w:space="0" w:color="999999"/>
              <w:bottom w:val="single" w:sz="8" w:space="0" w:color="999999"/>
              <w:right w:val="single" w:sz="8" w:space="0" w:color="999999"/>
            </w:tcBorders>
            <w:vAlign w:val="center"/>
            <w:hideMark/>
          </w:tcPr>
          <w:p w14:paraId="22D85AC3"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r>
      <w:tr w:rsidR="005C6566" w:rsidRPr="005C6566" w14:paraId="2763BC04" w14:textId="77777777" w:rsidTr="005C6566">
        <w:trPr>
          <w:trHeight w:val="525"/>
        </w:trPr>
        <w:tc>
          <w:tcPr>
            <w:tcW w:w="3560" w:type="dxa"/>
            <w:tcBorders>
              <w:top w:val="nil"/>
              <w:left w:val="single" w:sz="8" w:space="0" w:color="999999"/>
              <w:bottom w:val="single" w:sz="8" w:space="0" w:color="999999"/>
              <w:right w:val="single" w:sz="8" w:space="0" w:color="999999"/>
            </w:tcBorders>
            <w:hideMark/>
          </w:tcPr>
          <w:p w14:paraId="70D44244"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Investicijski trošak obnove – stambene i nestambene  (milijardi kn)</w:t>
            </w:r>
          </w:p>
        </w:tc>
        <w:tc>
          <w:tcPr>
            <w:tcW w:w="2300" w:type="dxa"/>
            <w:tcBorders>
              <w:top w:val="nil"/>
              <w:left w:val="nil"/>
              <w:bottom w:val="single" w:sz="8" w:space="0" w:color="999999"/>
              <w:right w:val="single" w:sz="8" w:space="0" w:color="999999"/>
            </w:tcBorders>
            <w:vAlign w:val="center"/>
            <w:hideMark/>
          </w:tcPr>
          <w:p w14:paraId="19FF127B"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30,4</w:t>
            </w:r>
          </w:p>
        </w:tc>
        <w:tc>
          <w:tcPr>
            <w:tcW w:w="2020" w:type="dxa"/>
            <w:tcBorders>
              <w:top w:val="nil"/>
              <w:left w:val="nil"/>
              <w:bottom w:val="single" w:sz="8" w:space="0" w:color="999999"/>
              <w:right w:val="single" w:sz="8" w:space="0" w:color="999999"/>
            </w:tcBorders>
            <w:vAlign w:val="center"/>
            <w:hideMark/>
          </w:tcPr>
          <w:p w14:paraId="3F4A8C8C"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31,1</w:t>
            </w:r>
          </w:p>
        </w:tc>
        <w:tc>
          <w:tcPr>
            <w:tcW w:w="2020" w:type="dxa"/>
            <w:tcBorders>
              <w:top w:val="nil"/>
              <w:left w:val="nil"/>
              <w:bottom w:val="single" w:sz="8" w:space="0" w:color="999999"/>
              <w:right w:val="single" w:sz="8" w:space="0" w:color="999999"/>
            </w:tcBorders>
            <w:vAlign w:val="center"/>
            <w:hideMark/>
          </w:tcPr>
          <w:p w14:paraId="29FE99EC"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31,8</w:t>
            </w:r>
          </w:p>
        </w:tc>
      </w:tr>
      <w:tr w:rsidR="005C6566" w:rsidRPr="005C6566" w14:paraId="3B3AD5A9" w14:textId="77777777" w:rsidTr="005C6566">
        <w:trPr>
          <w:trHeight w:val="270"/>
        </w:trPr>
        <w:tc>
          <w:tcPr>
            <w:tcW w:w="3560" w:type="dxa"/>
            <w:tcBorders>
              <w:top w:val="nil"/>
              <w:left w:val="single" w:sz="8" w:space="0" w:color="999999"/>
              <w:bottom w:val="single" w:sz="8" w:space="0" w:color="999999"/>
              <w:right w:val="single" w:sz="8" w:space="0" w:color="999999"/>
            </w:tcBorders>
            <w:hideMark/>
          </w:tcPr>
          <w:p w14:paraId="3830B1A8"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Ukupni investicijski trošak (milijardi kn)</w:t>
            </w:r>
          </w:p>
        </w:tc>
        <w:tc>
          <w:tcPr>
            <w:tcW w:w="6340" w:type="dxa"/>
            <w:gridSpan w:val="3"/>
            <w:tcBorders>
              <w:top w:val="single" w:sz="8" w:space="0" w:color="999999"/>
              <w:left w:val="nil"/>
              <w:bottom w:val="single" w:sz="8" w:space="0" w:color="999999"/>
              <w:right w:val="nil"/>
            </w:tcBorders>
            <w:vAlign w:val="center"/>
            <w:hideMark/>
          </w:tcPr>
          <w:p w14:paraId="3F1C4975"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93,31</w:t>
            </w:r>
          </w:p>
        </w:tc>
      </w:tr>
      <w:tr w:rsidR="005C6566" w:rsidRPr="005C6566" w14:paraId="4C53138E" w14:textId="77777777" w:rsidTr="005C6566">
        <w:trPr>
          <w:trHeight w:val="270"/>
        </w:trPr>
        <w:tc>
          <w:tcPr>
            <w:tcW w:w="3560" w:type="dxa"/>
            <w:tcBorders>
              <w:top w:val="nil"/>
              <w:left w:val="nil"/>
              <w:bottom w:val="nil"/>
              <w:right w:val="nil"/>
            </w:tcBorders>
            <w:noWrap/>
            <w:hideMark/>
          </w:tcPr>
          <w:p w14:paraId="5B238B29"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p>
        </w:tc>
        <w:tc>
          <w:tcPr>
            <w:tcW w:w="2300" w:type="dxa"/>
            <w:tcBorders>
              <w:top w:val="nil"/>
              <w:left w:val="nil"/>
              <w:bottom w:val="nil"/>
              <w:right w:val="nil"/>
            </w:tcBorders>
            <w:noWrap/>
            <w:vAlign w:val="bottom"/>
            <w:hideMark/>
          </w:tcPr>
          <w:p w14:paraId="7D9E8AC5" w14:textId="77777777" w:rsidR="005C6566" w:rsidRPr="005C6566" w:rsidRDefault="005C6566" w:rsidP="005C6566">
            <w:pPr>
              <w:tabs>
                <w:tab w:val="clear" w:pos="431"/>
              </w:tabs>
              <w:spacing w:after="0" w:line="240" w:lineRule="auto"/>
              <w:ind w:left="0"/>
              <w:jc w:val="left"/>
              <w:rPr>
                <w:rFonts w:ascii="Times New Roman" w:hAnsi="Times New Roman" w:cs="Times New Roman"/>
                <w:szCs w:val="20"/>
                <w:lang w:eastAsia="hr-HR"/>
              </w:rPr>
            </w:pPr>
          </w:p>
        </w:tc>
        <w:tc>
          <w:tcPr>
            <w:tcW w:w="2020" w:type="dxa"/>
            <w:tcBorders>
              <w:top w:val="nil"/>
              <w:left w:val="nil"/>
              <w:bottom w:val="nil"/>
              <w:right w:val="nil"/>
            </w:tcBorders>
            <w:noWrap/>
            <w:vAlign w:val="bottom"/>
            <w:hideMark/>
          </w:tcPr>
          <w:p w14:paraId="463E9077" w14:textId="77777777" w:rsidR="005C6566" w:rsidRPr="005C6566" w:rsidRDefault="005C6566" w:rsidP="005C6566">
            <w:pPr>
              <w:tabs>
                <w:tab w:val="clear" w:pos="431"/>
              </w:tabs>
              <w:spacing w:after="0" w:line="240" w:lineRule="auto"/>
              <w:ind w:left="0"/>
              <w:jc w:val="left"/>
              <w:rPr>
                <w:rFonts w:ascii="Times New Roman" w:hAnsi="Times New Roman" w:cs="Times New Roman"/>
                <w:szCs w:val="20"/>
                <w:lang w:eastAsia="hr-HR"/>
              </w:rPr>
            </w:pPr>
          </w:p>
        </w:tc>
        <w:tc>
          <w:tcPr>
            <w:tcW w:w="2020" w:type="dxa"/>
            <w:tcBorders>
              <w:top w:val="nil"/>
              <w:left w:val="nil"/>
              <w:bottom w:val="nil"/>
              <w:right w:val="nil"/>
            </w:tcBorders>
            <w:noWrap/>
            <w:vAlign w:val="bottom"/>
            <w:hideMark/>
          </w:tcPr>
          <w:p w14:paraId="69390A75" w14:textId="77777777" w:rsidR="005C6566" w:rsidRPr="005C6566" w:rsidRDefault="005C6566" w:rsidP="005C6566">
            <w:pPr>
              <w:tabs>
                <w:tab w:val="clear" w:pos="431"/>
              </w:tabs>
              <w:spacing w:after="0" w:line="240" w:lineRule="auto"/>
              <w:ind w:left="0"/>
              <w:jc w:val="left"/>
              <w:rPr>
                <w:rFonts w:ascii="Times New Roman" w:hAnsi="Times New Roman" w:cs="Times New Roman"/>
                <w:szCs w:val="20"/>
                <w:lang w:eastAsia="hr-HR"/>
              </w:rPr>
            </w:pPr>
          </w:p>
        </w:tc>
      </w:tr>
      <w:tr w:rsidR="005C6566" w:rsidRPr="005C6566" w14:paraId="3251885B" w14:textId="77777777" w:rsidTr="005C6566">
        <w:trPr>
          <w:trHeight w:val="270"/>
        </w:trPr>
        <w:tc>
          <w:tcPr>
            <w:tcW w:w="3560" w:type="dxa"/>
            <w:tcBorders>
              <w:top w:val="single" w:sz="8" w:space="0" w:color="999999"/>
              <w:left w:val="single" w:sz="8" w:space="0" w:color="999999"/>
              <w:bottom w:val="single" w:sz="12" w:space="0" w:color="666666"/>
              <w:right w:val="single" w:sz="8" w:space="0" w:color="999999"/>
            </w:tcBorders>
            <w:hideMark/>
          </w:tcPr>
          <w:p w14:paraId="2A21FB64"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Razdoblje</w:t>
            </w:r>
          </w:p>
        </w:tc>
        <w:tc>
          <w:tcPr>
            <w:tcW w:w="2300" w:type="dxa"/>
            <w:tcBorders>
              <w:top w:val="single" w:sz="8" w:space="0" w:color="999999"/>
              <w:left w:val="nil"/>
              <w:bottom w:val="single" w:sz="12" w:space="0" w:color="666666"/>
              <w:right w:val="single" w:sz="8" w:space="0" w:color="999999"/>
            </w:tcBorders>
            <w:vAlign w:val="center"/>
            <w:hideMark/>
          </w:tcPr>
          <w:p w14:paraId="74B5E5C5"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2021. – 2030.</w:t>
            </w:r>
          </w:p>
        </w:tc>
        <w:tc>
          <w:tcPr>
            <w:tcW w:w="2020" w:type="dxa"/>
            <w:tcBorders>
              <w:top w:val="single" w:sz="8" w:space="0" w:color="999999"/>
              <w:left w:val="nil"/>
              <w:bottom w:val="single" w:sz="12" w:space="0" w:color="666666"/>
              <w:right w:val="single" w:sz="8" w:space="0" w:color="999999"/>
            </w:tcBorders>
            <w:vAlign w:val="center"/>
            <w:hideMark/>
          </w:tcPr>
          <w:p w14:paraId="013CAA7C"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2031. – 2040.</w:t>
            </w:r>
          </w:p>
        </w:tc>
        <w:tc>
          <w:tcPr>
            <w:tcW w:w="2020" w:type="dxa"/>
            <w:tcBorders>
              <w:top w:val="single" w:sz="8" w:space="0" w:color="999999"/>
              <w:left w:val="nil"/>
              <w:bottom w:val="single" w:sz="12" w:space="0" w:color="666666"/>
              <w:right w:val="single" w:sz="8" w:space="0" w:color="999999"/>
            </w:tcBorders>
            <w:vAlign w:val="center"/>
            <w:hideMark/>
          </w:tcPr>
          <w:p w14:paraId="0F650A87"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2041. – 2050.</w:t>
            </w:r>
          </w:p>
        </w:tc>
      </w:tr>
      <w:tr w:rsidR="005C6566" w:rsidRPr="005C6566" w14:paraId="3570476B" w14:textId="77777777" w:rsidTr="005C6566">
        <w:trPr>
          <w:trHeight w:val="270"/>
        </w:trPr>
        <w:tc>
          <w:tcPr>
            <w:tcW w:w="3560" w:type="dxa"/>
            <w:tcBorders>
              <w:top w:val="nil"/>
              <w:left w:val="single" w:sz="8" w:space="0" w:color="999999"/>
              <w:bottom w:val="nil"/>
              <w:right w:val="single" w:sz="8" w:space="0" w:color="999999"/>
            </w:tcBorders>
            <w:hideMark/>
          </w:tcPr>
          <w:p w14:paraId="7CE8C995"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Zamjena demoliranog - stambena</w:t>
            </w:r>
          </w:p>
        </w:tc>
        <w:tc>
          <w:tcPr>
            <w:tcW w:w="2300" w:type="dxa"/>
            <w:vMerge w:val="restart"/>
            <w:tcBorders>
              <w:top w:val="nil"/>
              <w:left w:val="single" w:sz="8" w:space="0" w:color="999999"/>
              <w:bottom w:val="single" w:sz="8" w:space="0" w:color="999999"/>
              <w:right w:val="single" w:sz="8" w:space="0" w:color="999999"/>
            </w:tcBorders>
            <w:vAlign w:val="center"/>
            <w:hideMark/>
          </w:tcPr>
          <w:p w14:paraId="098A5C5F"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5,8</w:t>
            </w:r>
          </w:p>
        </w:tc>
        <w:tc>
          <w:tcPr>
            <w:tcW w:w="2020" w:type="dxa"/>
            <w:vMerge w:val="restart"/>
            <w:tcBorders>
              <w:top w:val="nil"/>
              <w:left w:val="single" w:sz="8" w:space="0" w:color="999999"/>
              <w:bottom w:val="single" w:sz="8" w:space="0" w:color="999999"/>
              <w:right w:val="single" w:sz="8" w:space="0" w:color="999999"/>
            </w:tcBorders>
            <w:vAlign w:val="center"/>
            <w:hideMark/>
          </w:tcPr>
          <w:p w14:paraId="1C064E5A"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7,26</w:t>
            </w:r>
          </w:p>
        </w:tc>
        <w:tc>
          <w:tcPr>
            <w:tcW w:w="2020" w:type="dxa"/>
            <w:vMerge w:val="restart"/>
            <w:tcBorders>
              <w:top w:val="nil"/>
              <w:left w:val="single" w:sz="8" w:space="0" w:color="999999"/>
              <w:bottom w:val="single" w:sz="8" w:space="0" w:color="999999"/>
              <w:right w:val="single" w:sz="8" w:space="0" w:color="999999"/>
            </w:tcBorders>
            <w:vAlign w:val="center"/>
            <w:hideMark/>
          </w:tcPr>
          <w:p w14:paraId="38F8A21F"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7,11</w:t>
            </w:r>
          </w:p>
        </w:tc>
      </w:tr>
      <w:tr w:rsidR="005C6566" w:rsidRPr="005C6566" w14:paraId="4333DC28" w14:textId="77777777" w:rsidTr="005C6566">
        <w:trPr>
          <w:trHeight w:val="315"/>
        </w:trPr>
        <w:tc>
          <w:tcPr>
            <w:tcW w:w="3560" w:type="dxa"/>
            <w:tcBorders>
              <w:top w:val="nil"/>
              <w:left w:val="single" w:sz="8" w:space="0" w:color="999999"/>
              <w:bottom w:val="single" w:sz="8" w:space="0" w:color="999999"/>
              <w:right w:val="single" w:sz="8" w:space="0" w:color="999999"/>
            </w:tcBorders>
            <w:hideMark/>
          </w:tcPr>
          <w:p w14:paraId="2F70AAA4"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300" w:type="dxa"/>
            <w:vMerge/>
            <w:tcBorders>
              <w:top w:val="nil"/>
              <w:left w:val="single" w:sz="8" w:space="0" w:color="999999"/>
              <w:bottom w:val="single" w:sz="8" w:space="0" w:color="999999"/>
              <w:right w:val="single" w:sz="8" w:space="0" w:color="999999"/>
            </w:tcBorders>
            <w:vAlign w:val="center"/>
            <w:hideMark/>
          </w:tcPr>
          <w:p w14:paraId="104F1618"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2020" w:type="dxa"/>
            <w:vMerge/>
            <w:tcBorders>
              <w:top w:val="nil"/>
              <w:left w:val="single" w:sz="8" w:space="0" w:color="999999"/>
              <w:bottom w:val="single" w:sz="8" w:space="0" w:color="999999"/>
              <w:right w:val="single" w:sz="8" w:space="0" w:color="999999"/>
            </w:tcBorders>
            <w:vAlign w:val="center"/>
            <w:hideMark/>
          </w:tcPr>
          <w:p w14:paraId="450F5941"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2020" w:type="dxa"/>
            <w:vMerge/>
            <w:tcBorders>
              <w:top w:val="nil"/>
              <w:left w:val="single" w:sz="8" w:space="0" w:color="999999"/>
              <w:bottom w:val="single" w:sz="8" w:space="0" w:color="999999"/>
              <w:right w:val="single" w:sz="8" w:space="0" w:color="999999"/>
            </w:tcBorders>
            <w:vAlign w:val="center"/>
            <w:hideMark/>
          </w:tcPr>
          <w:p w14:paraId="78DFF7D7"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r>
      <w:tr w:rsidR="005C6566" w:rsidRPr="005C6566" w14:paraId="53AA05A9" w14:textId="77777777" w:rsidTr="005C6566">
        <w:trPr>
          <w:trHeight w:val="255"/>
        </w:trPr>
        <w:tc>
          <w:tcPr>
            <w:tcW w:w="3560" w:type="dxa"/>
            <w:tcBorders>
              <w:top w:val="nil"/>
              <w:left w:val="single" w:sz="8" w:space="0" w:color="999999"/>
              <w:bottom w:val="nil"/>
              <w:right w:val="single" w:sz="8" w:space="0" w:color="999999"/>
            </w:tcBorders>
            <w:hideMark/>
          </w:tcPr>
          <w:p w14:paraId="3791B77C"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Zamjena demoliranog  - nestambena</w:t>
            </w:r>
          </w:p>
        </w:tc>
        <w:tc>
          <w:tcPr>
            <w:tcW w:w="2300" w:type="dxa"/>
            <w:vMerge w:val="restart"/>
            <w:tcBorders>
              <w:top w:val="nil"/>
              <w:left w:val="single" w:sz="8" w:space="0" w:color="999999"/>
              <w:bottom w:val="single" w:sz="8" w:space="0" w:color="999999"/>
              <w:right w:val="single" w:sz="8" w:space="0" w:color="999999"/>
            </w:tcBorders>
            <w:vAlign w:val="center"/>
            <w:hideMark/>
          </w:tcPr>
          <w:p w14:paraId="6C38D86D"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3,27</w:t>
            </w:r>
          </w:p>
        </w:tc>
        <w:tc>
          <w:tcPr>
            <w:tcW w:w="2020" w:type="dxa"/>
            <w:vMerge w:val="restart"/>
            <w:tcBorders>
              <w:top w:val="nil"/>
              <w:left w:val="single" w:sz="8" w:space="0" w:color="999999"/>
              <w:bottom w:val="single" w:sz="8" w:space="0" w:color="999999"/>
              <w:right w:val="single" w:sz="8" w:space="0" w:color="999999"/>
            </w:tcBorders>
            <w:vAlign w:val="center"/>
            <w:hideMark/>
          </w:tcPr>
          <w:p w14:paraId="5BD3B945"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2,49</w:t>
            </w:r>
          </w:p>
        </w:tc>
        <w:tc>
          <w:tcPr>
            <w:tcW w:w="2020" w:type="dxa"/>
            <w:vMerge w:val="restart"/>
            <w:tcBorders>
              <w:top w:val="nil"/>
              <w:left w:val="single" w:sz="8" w:space="0" w:color="999999"/>
              <w:bottom w:val="single" w:sz="8" w:space="0" w:color="999999"/>
              <w:right w:val="single" w:sz="8" w:space="0" w:color="999999"/>
            </w:tcBorders>
            <w:vAlign w:val="center"/>
            <w:hideMark/>
          </w:tcPr>
          <w:p w14:paraId="647766A7"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1,694</w:t>
            </w:r>
          </w:p>
        </w:tc>
      </w:tr>
      <w:tr w:rsidR="005C6566" w:rsidRPr="005C6566" w14:paraId="1E9FFD73" w14:textId="77777777" w:rsidTr="005C6566">
        <w:trPr>
          <w:trHeight w:val="315"/>
        </w:trPr>
        <w:tc>
          <w:tcPr>
            <w:tcW w:w="3560" w:type="dxa"/>
            <w:tcBorders>
              <w:top w:val="nil"/>
              <w:left w:val="single" w:sz="8" w:space="0" w:color="999999"/>
              <w:bottom w:val="single" w:sz="8" w:space="0" w:color="999999"/>
              <w:right w:val="single" w:sz="8" w:space="0" w:color="999999"/>
            </w:tcBorders>
            <w:hideMark/>
          </w:tcPr>
          <w:p w14:paraId="3CA7FAF0"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300" w:type="dxa"/>
            <w:vMerge/>
            <w:tcBorders>
              <w:top w:val="nil"/>
              <w:left w:val="single" w:sz="8" w:space="0" w:color="999999"/>
              <w:bottom w:val="single" w:sz="8" w:space="0" w:color="999999"/>
              <w:right w:val="single" w:sz="8" w:space="0" w:color="999999"/>
            </w:tcBorders>
            <w:vAlign w:val="center"/>
            <w:hideMark/>
          </w:tcPr>
          <w:p w14:paraId="13529B29"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2020" w:type="dxa"/>
            <w:vMerge/>
            <w:tcBorders>
              <w:top w:val="nil"/>
              <w:left w:val="single" w:sz="8" w:space="0" w:color="999999"/>
              <w:bottom w:val="single" w:sz="8" w:space="0" w:color="999999"/>
              <w:right w:val="single" w:sz="8" w:space="0" w:color="999999"/>
            </w:tcBorders>
            <w:vAlign w:val="center"/>
            <w:hideMark/>
          </w:tcPr>
          <w:p w14:paraId="631742CB"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2020" w:type="dxa"/>
            <w:vMerge/>
            <w:tcBorders>
              <w:top w:val="nil"/>
              <w:left w:val="single" w:sz="8" w:space="0" w:color="999999"/>
              <w:bottom w:val="single" w:sz="8" w:space="0" w:color="999999"/>
              <w:right w:val="single" w:sz="8" w:space="0" w:color="999999"/>
            </w:tcBorders>
            <w:vAlign w:val="center"/>
            <w:hideMark/>
          </w:tcPr>
          <w:p w14:paraId="0E6A49DB"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r>
      <w:tr w:rsidR="005C6566" w:rsidRPr="005C6566" w14:paraId="452C5CF2" w14:textId="77777777" w:rsidTr="005C6566">
        <w:trPr>
          <w:trHeight w:val="525"/>
        </w:trPr>
        <w:tc>
          <w:tcPr>
            <w:tcW w:w="3560" w:type="dxa"/>
            <w:tcBorders>
              <w:top w:val="nil"/>
              <w:left w:val="single" w:sz="8" w:space="0" w:color="999999"/>
              <w:bottom w:val="single" w:sz="8" w:space="0" w:color="999999"/>
              <w:right w:val="single" w:sz="8" w:space="0" w:color="999999"/>
            </w:tcBorders>
            <w:hideMark/>
          </w:tcPr>
          <w:p w14:paraId="7ACAE2AA"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Investicijski trošak napuštanja prostora i premještanja fonda</w:t>
            </w:r>
          </w:p>
        </w:tc>
        <w:tc>
          <w:tcPr>
            <w:tcW w:w="2300" w:type="dxa"/>
            <w:tcBorders>
              <w:top w:val="nil"/>
              <w:left w:val="nil"/>
              <w:bottom w:val="single" w:sz="8" w:space="0" w:color="999999"/>
              <w:right w:val="single" w:sz="8" w:space="0" w:color="999999"/>
            </w:tcBorders>
            <w:vAlign w:val="center"/>
            <w:hideMark/>
          </w:tcPr>
          <w:p w14:paraId="5466954F"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79,83</w:t>
            </w:r>
          </w:p>
        </w:tc>
        <w:tc>
          <w:tcPr>
            <w:tcW w:w="2020" w:type="dxa"/>
            <w:tcBorders>
              <w:top w:val="nil"/>
              <w:left w:val="nil"/>
              <w:bottom w:val="single" w:sz="8" w:space="0" w:color="999999"/>
              <w:right w:val="single" w:sz="8" w:space="0" w:color="999999"/>
            </w:tcBorders>
            <w:vAlign w:val="center"/>
            <w:hideMark/>
          </w:tcPr>
          <w:p w14:paraId="7E7AD3C8"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83,89</w:t>
            </w:r>
          </w:p>
        </w:tc>
        <w:tc>
          <w:tcPr>
            <w:tcW w:w="2020" w:type="dxa"/>
            <w:tcBorders>
              <w:top w:val="nil"/>
              <w:left w:val="nil"/>
              <w:bottom w:val="single" w:sz="8" w:space="0" w:color="999999"/>
              <w:right w:val="single" w:sz="8" w:space="0" w:color="999999"/>
            </w:tcBorders>
            <w:vAlign w:val="center"/>
            <w:hideMark/>
          </w:tcPr>
          <w:p w14:paraId="491BA8ED" w14:textId="77777777" w:rsidR="005C6566" w:rsidRPr="005C6566" w:rsidRDefault="005C6566" w:rsidP="005C6566">
            <w:pPr>
              <w:tabs>
                <w:tab w:val="clear" w:pos="431"/>
              </w:tabs>
              <w:spacing w:after="0" w:line="240" w:lineRule="auto"/>
              <w:ind w:left="0"/>
              <w:jc w:val="center"/>
              <w:rPr>
                <w:rFonts w:ascii="Calibri" w:hAnsi="Calibri" w:cs="Calibri"/>
                <w:color w:val="000000"/>
                <w:szCs w:val="20"/>
                <w:lang w:eastAsia="hr-HR"/>
              </w:rPr>
            </w:pPr>
            <w:r w:rsidRPr="005C6566">
              <w:rPr>
                <w:rFonts w:ascii="Calibri" w:hAnsi="Calibri" w:cs="Tahoma"/>
                <w:color w:val="000000"/>
                <w:szCs w:val="20"/>
                <w:lang w:eastAsia="hr-HR"/>
              </w:rPr>
              <w:t>74,71</w:t>
            </w:r>
          </w:p>
        </w:tc>
      </w:tr>
      <w:tr w:rsidR="005C6566" w:rsidRPr="005C6566" w14:paraId="18B920F5" w14:textId="77777777" w:rsidTr="005C6566">
        <w:trPr>
          <w:trHeight w:val="270"/>
        </w:trPr>
        <w:tc>
          <w:tcPr>
            <w:tcW w:w="3560" w:type="dxa"/>
            <w:tcBorders>
              <w:top w:val="nil"/>
              <w:left w:val="single" w:sz="8" w:space="0" w:color="999999"/>
              <w:bottom w:val="single" w:sz="8" w:space="0" w:color="999999"/>
              <w:right w:val="single" w:sz="8" w:space="0" w:color="999999"/>
            </w:tcBorders>
            <w:hideMark/>
          </w:tcPr>
          <w:p w14:paraId="51F68961"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Ukupni investicijski trošak (milijardi kn)</w:t>
            </w:r>
          </w:p>
        </w:tc>
        <w:tc>
          <w:tcPr>
            <w:tcW w:w="6340" w:type="dxa"/>
            <w:gridSpan w:val="3"/>
            <w:tcBorders>
              <w:top w:val="single" w:sz="8" w:space="0" w:color="999999"/>
              <w:left w:val="nil"/>
              <w:bottom w:val="single" w:sz="8" w:space="0" w:color="999999"/>
              <w:right w:val="nil"/>
            </w:tcBorders>
            <w:vAlign w:val="center"/>
            <w:hideMark/>
          </w:tcPr>
          <w:p w14:paraId="7A01236E"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238,42</w:t>
            </w:r>
          </w:p>
        </w:tc>
      </w:tr>
    </w:tbl>
    <w:p w14:paraId="1132235C" w14:textId="77777777" w:rsidR="008F2F7C" w:rsidRPr="00A87D5E" w:rsidRDefault="008F2F7C" w:rsidP="00A87D5E">
      <w:pPr>
        <w:rPr>
          <w:lang w:eastAsia="hr-HR"/>
        </w:rPr>
      </w:pPr>
    </w:p>
    <w:p w14:paraId="4B83376B" w14:textId="77777777" w:rsidR="00031FD5" w:rsidRDefault="00031FD5" w:rsidP="007649C2">
      <w:pPr>
        <w:pStyle w:val="Naslov20"/>
      </w:pPr>
      <w:bookmarkStart w:id="253" w:name="_Toc34052928"/>
      <w:bookmarkStart w:id="254" w:name="_Toc46163864"/>
      <w:r w:rsidRPr="0062016B">
        <w:t>Identifikacija izvora financiranja</w:t>
      </w:r>
      <w:bookmarkEnd w:id="253"/>
      <w:bookmarkEnd w:id="254"/>
    </w:p>
    <w:p w14:paraId="03F1EA27" w14:textId="77777777" w:rsidR="00DE7253" w:rsidRDefault="00DE7253" w:rsidP="00DE7253">
      <w:r>
        <w:t>Dugoročna strategija za poticanje ulaganja u obnovu nacionalnog fonda zgrada Republike Hrvatske zahtijeva cjelovit i sustavan pristup kojim će se dugoročno osigurati najprikladniji mehanizmi financiranja za investitore iz javnog i privatnog sektora. Primarna uloga države ne nalazi se u pružanju financijskih izvora za energetsku obnovu, već u stvaranju i unaprjeđenju uvjeta kako bi se među investitorima stvorila povoljna investicijska klima za realizaciju potrebnih ulaganja definiranih u sklopu Dugoročne strategije za poticanje ulaganja u obnovu nacionalnog fonda zgrada Republike Hrvatske. Povoljni uvjeti podrazumijevaju makroekonomsku stabilnost, učinkovitu državnu upravu, konkurentnu razinu poreznog opterećenja, pravnu sigurnost, zaštitu tržišnog natjecanja i postojanje odgovarajućih financijskih poticaja za ulaganja. U nastavku je dan pregled postojećih izvora financiranja, ograničenja i barijera u njihovoj provedbi te dugoročna strategija financiranja projekata obnove u sektoru zgradarstva.</w:t>
      </w:r>
    </w:p>
    <w:p w14:paraId="72B08B51" w14:textId="77777777" w:rsidR="0057783A" w:rsidRPr="005F048D" w:rsidRDefault="0057783A" w:rsidP="005F048D">
      <w:pPr>
        <w:pStyle w:val="Naslov3"/>
      </w:pPr>
      <w:bookmarkStart w:id="255" w:name="_Toc3277928"/>
      <w:bookmarkStart w:id="256" w:name="_Toc34052929"/>
      <w:bookmarkStart w:id="257" w:name="_Toc46163865"/>
      <w:r w:rsidRPr="005F048D">
        <w:t>Postojeći izvori financiranja</w:t>
      </w:r>
      <w:bookmarkEnd w:id="255"/>
      <w:bookmarkEnd w:id="256"/>
      <w:bookmarkEnd w:id="257"/>
    </w:p>
    <w:p w14:paraId="79DDA89F" w14:textId="77777777" w:rsidR="0057783A" w:rsidRPr="002C457A" w:rsidRDefault="0057783A" w:rsidP="002C457A">
      <w:r w:rsidRPr="002C457A">
        <w:t>Projekti energetske obnove u sektoru zgradarstva zahtjevne su kapitalne investicije čija uspješna realizacija u velikoj mjeri ovisi o izvorima financiranja. U dosadašnjoj praksi pojavio se niz različitih financijskih instrumenata i modela od kojih najznačajniji uključuju bespovratna sredstva, povlaštene zajmove, garancije, porezne instrumente i ESCO model.</w:t>
      </w:r>
    </w:p>
    <w:p w14:paraId="479AC1E4" w14:textId="5A510544" w:rsidR="0057783A" w:rsidRDefault="0057783A" w:rsidP="0057783A">
      <w:r w:rsidRPr="002C457A">
        <w:t xml:space="preserve">Investitori u Hrvatskoj dosad su se pretežno oslanjali na javna bespovratna sredstva, odnosno razne oblike </w:t>
      </w:r>
      <w:r w:rsidR="00F61EDB">
        <w:t>subvencija</w:t>
      </w:r>
      <w:r w:rsidRPr="002C457A">
        <w:t>. Dulja razdoblja povrata i vrlo visoki iznosi investicija u povećanje energetske učinkovitosti razlog su zbog kojih se u većini zemalja članica EU-a uveo ovaj oblik financijske potpore te investitorima omogućila viša razina isplativosti investicije. Iako su financijske institucije razvile tržišne modele povoljnijih uvjeta kreditiranja projekata energetske učinkovitosti, uloga države u ovom sektoru i dalje je ključna za uspješnost njihove provedbe. Razlog je to zbog kojeg je Ministarstvo graditeljstva i prostornoga uređenja izradilo programe energetske obnove za četiri identificirane namjene zgrada (javne, komercijalne, višestambene zgrade i obiteljske kuće)</w:t>
      </w:r>
      <w:r w:rsidR="0013555D">
        <w:t xml:space="preserve"> za razdoblje do 2020. godine</w:t>
      </w:r>
      <w:r w:rsidRPr="002C457A">
        <w:t xml:space="preserve">. </w:t>
      </w:r>
      <w:r w:rsidR="00AD21CD">
        <w:t xml:space="preserve">Postojeće izvore financiranja ovih programa prikazuje </w:t>
      </w:r>
      <w:r w:rsidR="00243C21">
        <w:fldChar w:fldCharType="begin"/>
      </w:r>
      <w:r w:rsidR="00243C21">
        <w:instrText xml:space="preserve"> REF _Ref24115150 \h </w:instrText>
      </w:r>
      <w:r w:rsidR="00243C21">
        <w:fldChar w:fldCharType="separate"/>
      </w:r>
      <w:r w:rsidR="00CE61F3">
        <w:t xml:space="preserve">Tablica </w:t>
      </w:r>
      <w:r w:rsidR="00CE61F3">
        <w:rPr>
          <w:noProof/>
        </w:rPr>
        <w:t>11</w:t>
      </w:r>
      <w:r w:rsidR="00CE61F3">
        <w:t>.</w:t>
      </w:r>
      <w:r w:rsidR="00CE61F3">
        <w:rPr>
          <w:noProof/>
        </w:rPr>
        <w:t>6</w:t>
      </w:r>
      <w:r w:rsidR="00243C21">
        <w:fldChar w:fldCharType="end"/>
      </w:r>
      <w:r w:rsidRPr="002C457A">
        <w:t xml:space="preserve">. </w:t>
      </w:r>
    </w:p>
    <w:p w14:paraId="170D117C" w14:textId="78F8946B" w:rsidR="0057783A" w:rsidRDefault="00AD21CD" w:rsidP="00AD21CD">
      <w:pPr>
        <w:pStyle w:val="Opisslike"/>
        <w:rPr>
          <w:rFonts w:ascii="Times New Roman" w:hAnsi="Times New Roman" w:cs="Times New Roman"/>
          <w:b/>
          <w:sz w:val="24"/>
          <w:szCs w:val="24"/>
        </w:rPr>
      </w:pPr>
      <w:bookmarkStart w:id="258" w:name="_Ref24115150"/>
      <w:bookmarkStart w:id="259" w:name="_Toc40089053"/>
      <w:bookmarkStart w:id="260" w:name="_Ref483404374"/>
      <w:bookmarkStart w:id="261" w:name="_Toc2681326"/>
      <w:r>
        <w:t xml:space="preserve">Tablica </w:t>
      </w:r>
      <w:fldSimple w:instr=" STYLEREF 1 \s ">
        <w:r w:rsidR="00CE61F3">
          <w:rPr>
            <w:noProof/>
          </w:rPr>
          <w:t>11</w:t>
        </w:r>
      </w:fldSimple>
      <w:r w:rsidR="0046545B">
        <w:t>.</w:t>
      </w:r>
      <w:fldSimple w:instr=" SEQ Tablica \* ARABIC \s 1 ">
        <w:r w:rsidR="00CE61F3">
          <w:rPr>
            <w:noProof/>
          </w:rPr>
          <w:t>6</w:t>
        </w:r>
      </w:fldSimple>
      <w:bookmarkEnd w:id="258"/>
      <w:r>
        <w:t xml:space="preserve"> Pregled postojećih izvora financiranja </w:t>
      </w:r>
      <w:r w:rsidR="00243C21">
        <w:t>programa energetske obnove zgrada u Republic</w:t>
      </w:r>
      <w:r w:rsidR="00D8487E">
        <w:t>i</w:t>
      </w:r>
      <w:r w:rsidR="00243C21">
        <w:t xml:space="preserve"> Hrvatskoj do 2020. godine</w:t>
      </w:r>
      <w:bookmarkEnd w:id="259"/>
      <w:r w:rsidR="00243C21">
        <w:t xml:space="preserve"> </w:t>
      </w:r>
      <w:bookmarkEnd w:id="260"/>
      <w:bookmarkEnd w:id="261"/>
    </w:p>
    <w:tbl>
      <w:tblPr>
        <w:tblStyle w:val="Svijetlatablicareetke11"/>
        <w:tblW w:w="0" w:type="auto"/>
        <w:tblLook w:val="04A0" w:firstRow="1" w:lastRow="0" w:firstColumn="1" w:lastColumn="0" w:noHBand="0" w:noVBand="1"/>
      </w:tblPr>
      <w:tblGrid>
        <w:gridCol w:w="4672"/>
        <w:gridCol w:w="4672"/>
      </w:tblGrid>
      <w:tr w:rsidR="00404F8B" w:rsidRPr="00F16FD7" w14:paraId="0749D039" w14:textId="77777777" w:rsidTr="008B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shd w:val="clear" w:color="auto" w:fill="D0CECE" w:themeFill="background2" w:themeFillShade="E6"/>
          </w:tcPr>
          <w:p w14:paraId="6B648ABA" w14:textId="77777777" w:rsidR="00404F8B" w:rsidRPr="00F16FD7" w:rsidRDefault="00404F8B" w:rsidP="00F16FD7">
            <w:pPr>
              <w:ind w:left="0"/>
              <w:jc w:val="center"/>
              <w:rPr>
                <w:b w:val="0"/>
                <w:bCs w:val="0"/>
                <w:sz w:val="18"/>
                <w:szCs w:val="18"/>
              </w:rPr>
            </w:pPr>
            <w:r>
              <w:rPr>
                <w:sz w:val="18"/>
                <w:szCs w:val="18"/>
              </w:rPr>
              <w:t>Nacionalni program</w:t>
            </w:r>
          </w:p>
        </w:tc>
        <w:tc>
          <w:tcPr>
            <w:tcW w:w="4672" w:type="dxa"/>
            <w:shd w:val="clear" w:color="auto" w:fill="D0CECE" w:themeFill="background2" w:themeFillShade="E6"/>
          </w:tcPr>
          <w:p w14:paraId="0B2AE2C2" w14:textId="77777777" w:rsidR="00404F8B" w:rsidRPr="00F16FD7" w:rsidRDefault="00404F8B" w:rsidP="00F16FD7">
            <w:pPr>
              <w:ind w:left="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Izvori financiranja</w:t>
            </w:r>
          </w:p>
        </w:tc>
      </w:tr>
      <w:tr w:rsidR="00446CC9" w:rsidRPr="00446CC9" w14:paraId="2532574A" w14:textId="77777777" w:rsidTr="00446CC9">
        <w:tc>
          <w:tcPr>
            <w:cnfStyle w:val="001000000000" w:firstRow="0" w:lastRow="0" w:firstColumn="1" w:lastColumn="0" w:oddVBand="0" w:evenVBand="0" w:oddHBand="0" w:evenHBand="0" w:firstRowFirstColumn="0" w:firstRowLastColumn="0" w:lastRowFirstColumn="0" w:lastRowLastColumn="0"/>
            <w:tcW w:w="4672" w:type="dxa"/>
          </w:tcPr>
          <w:p w14:paraId="35C5C079" w14:textId="77777777" w:rsidR="00446CC9" w:rsidRPr="00446CC9" w:rsidRDefault="00446CC9" w:rsidP="00446CC9">
            <w:pPr>
              <w:ind w:left="0"/>
              <w:rPr>
                <w:rFonts w:cs="Tahoma"/>
                <w:sz w:val="18"/>
                <w:szCs w:val="18"/>
              </w:rPr>
            </w:pPr>
            <w:r w:rsidRPr="00161E36">
              <w:rPr>
                <w:rFonts w:cs="Tahoma"/>
                <w:sz w:val="18"/>
                <w:szCs w:val="18"/>
              </w:rPr>
              <w:t xml:space="preserve">Program energetske obnove zgrada javnog sektora za razdoblje od </w:t>
            </w:r>
            <w:r>
              <w:rPr>
                <w:rFonts w:cs="Tahoma"/>
                <w:sz w:val="18"/>
                <w:szCs w:val="18"/>
              </w:rPr>
              <w:t>2014</w:t>
            </w:r>
            <w:r w:rsidRPr="00161E36">
              <w:rPr>
                <w:rFonts w:cs="Tahoma"/>
                <w:sz w:val="18"/>
                <w:szCs w:val="18"/>
              </w:rPr>
              <w:t xml:space="preserve">. do </w:t>
            </w:r>
            <w:r>
              <w:rPr>
                <w:rFonts w:cs="Tahoma"/>
                <w:sz w:val="18"/>
                <w:szCs w:val="18"/>
              </w:rPr>
              <w:t>2015</w:t>
            </w:r>
            <w:r w:rsidRPr="00161E36">
              <w:rPr>
                <w:rFonts w:cs="Tahoma"/>
                <w:sz w:val="18"/>
                <w:szCs w:val="18"/>
              </w:rPr>
              <w:t>.</w:t>
            </w:r>
          </w:p>
        </w:tc>
        <w:tc>
          <w:tcPr>
            <w:tcW w:w="4672" w:type="dxa"/>
          </w:tcPr>
          <w:p w14:paraId="7E75AA69" w14:textId="77777777" w:rsidR="00275BAA" w:rsidRDefault="00275BAA" w:rsidP="00853D9C">
            <w:pPr>
              <w:numPr>
                <w:ilvl w:val="0"/>
                <w:numId w:val="37"/>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Pružatelj</w:t>
            </w:r>
            <w:r>
              <w:rPr>
                <w:rFonts w:cs="Tahoma"/>
                <w:sz w:val="18"/>
                <w:szCs w:val="18"/>
              </w:rPr>
              <w:t xml:space="preserve">i energetskih usluga </w:t>
            </w:r>
            <w:r w:rsidRPr="00161E36">
              <w:rPr>
                <w:rFonts w:cs="Tahoma"/>
                <w:sz w:val="18"/>
                <w:szCs w:val="18"/>
              </w:rPr>
              <w:t xml:space="preserve">(ESCO) </w:t>
            </w:r>
          </w:p>
          <w:p w14:paraId="031770CA" w14:textId="77777777" w:rsidR="00275BAA" w:rsidRPr="00161E36" w:rsidRDefault="00275BAA" w:rsidP="00853D9C">
            <w:pPr>
              <w:numPr>
                <w:ilvl w:val="0"/>
                <w:numId w:val="37"/>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 xml:space="preserve">Fond za zaštitu okoliša i energetsku učinkovitost </w:t>
            </w:r>
            <w:r w:rsidR="009C7911">
              <w:rPr>
                <w:rFonts w:cs="Tahoma"/>
                <w:sz w:val="18"/>
                <w:szCs w:val="18"/>
              </w:rPr>
              <w:t>–</w:t>
            </w:r>
            <w:r>
              <w:rPr>
                <w:rFonts w:cs="Tahoma"/>
                <w:sz w:val="18"/>
                <w:szCs w:val="18"/>
              </w:rPr>
              <w:t xml:space="preserve"> </w:t>
            </w:r>
            <w:r w:rsidR="009C7911">
              <w:rPr>
                <w:rFonts w:cs="Tahoma"/>
                <w:sz w:val="18"/>
                <w:szCs w:val="18"/>
              </w:rPr>
              <w:t>bespovratna sredstva</w:t>
            </w:r>
          </w:p>
          <w:p w14:paraId="354EA590" w14:textId="77777777" w:rsidR="00446CC9" w:rsidRPr="00446CC9" w:rsidRDefault="00446CC9" w:rsidP="00446CC9">
            <w:pPr>
              <w:ind w:left="0"/>
              <w:cnfStyle w:val="000000000000" w:firstRow="0" w:lastRow="0" w:firstColumn="0" w:lastColumn="0" w:oddVBand="0" w:evenVBand="0" w:oddHBand="0" w:evenHBand="0" w:firstRowFirstColumn="0" w:firstRowLastColumn="0" w:lastRowFirstColumn="0" w:lastRowLastColumn="0"/>
              <w:rPr>
                <w:rFonts w:cs="Tahoma"/>
                <w:sz w:val="18"/>
                <w:szCs w:val="18"/>
              </w:rPr>
            </w:pPr>
          </w:p>
        </w:tc>
      </w:tr>
      <w:tr w:rsidR="00F16FD7" w:rsidRPr="00F16FD7" w14:paraId="1F518538" w14:textId="77777777" w:rsidTr="000D5A65">
        <w:trPr>
          <w:trHeight w:val="2510"/>
        </w:trPr>
        <w:tc>
          <w:tcPr>
            <w:cnfStyle w:val="001000000000" w:firstRow="0" w:lastRow="0" w:firstColumn="1" w:lastColumn="0" w:oddVBand="0" w:evenVBand="0" w:oddHBand="0" w:evenHBand="0" w:firstRowFirstColumn="0" w:firstRowLastColumn="0" w:lastRowFirstColumn="0" w:lastRowLastColumn="0"/>
            <w:tcW w:w="4672" w:type="dxa"/>
          </w:tcPr>
          <w:p w14:paraId="174B716D" w14:textId="77777777" w:rsidR="00F16FD7" w:rsidRPr="00F16FD7" w:rsidRDefault="00F16FD7" w:rsidP="00F16FD7">
            <w:pPr>
              <w:ind w:left="0"/>
              <w:rPr>
                <w:sz w:val="18"/>
                <w:szCs w:val="18"/>
              </w:rPr>
            </w:pPr>
            <w:r w:rsidRPr="00161E36">
              <w:rPr>
                <w:rFonts w:cs="Tahoma"/>
                <w:sz w:val="18"/>
                <w:szCs w:val="18"/>
              </w:rPr>
              <w:t>Program energetske obnove zgrada javnog sektora za razdoblje od 2016. do 2020.</w:t>
            </w:r>
          </w:p>
        </w:tc>
        <w:tc>
          <w:tcPr>
            <w:tcW w:w="4672" w:type="dxa"/>
          </w:tcPr>
          <w:p w14:paraId="444B1746" w14:textId="77777777" w:rsidR="00F16FD7" w:rsidRPr="00446CC9" w:rsidRDefault="00446CC9" w:rsidP="00853D9C">
            <w:pPr>
              <w:numPr>
                <w:ilvl w:val="0"/>
                <w:numId w:val="37"/>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 xml:space="preserve">Sufinanciranje iz </w:t>
            </w:r>
            <w:r w:rsidR="00404F8B" w:rsidRPr="00446CC9">
              <w:rPr>
                <w:rFonts w:cs="Tahoma"/>
                <w:sz w:val="18"/>
                <w:szCs w:val="18"/>
              </w:rPr>
              <w:t>ESI fondov</w:t>
            </w:r>
            <w:r w:rsidR="00275BAA">
              <w:rPr>
                <w:rFonts w:cs="Tahoma"/>
                <w:sz w:val="18"/>
                <w:szCs w:val="18"/>
              </w:rPr>
              <w:t xml:space="preserve">a </w:t>
            </w:r>
            <w:r w:rsidR="00404F8B" w:rsidRPr="00446CC9">
              <w:rPr>
                <w:rFonts w:cs="Tahoma"/>
                <w:sz w:val="18"/>
                <w:szCs w:val="18"/>
              </w:rPr>
              <w:t>(EFRR</w:t>
            </w:r>
            <w:r w:rsidR="004E3D28" w:rsidRPr="00446CC9">
              <w:rPr>
                <w:rFonts w:cs="Tahoma"/>
                <w:sz w:val="18"/>
                <w:szCs w:val="18"/>
              </w:rPr>
              <w:t>)</w:t>
            </w:r>
            <w:r w:rsidR="00275BAA">
              <w:rPr>
                <w:rFonts w:cs="Tahoma"/>
                <w:sz w:val="18"/>
                <w:szCs w:val="18"/>
              </w:rPr>
              <w:t xml:space="preserve"> temeljem OPKK</w:t>
            </w:r>
            <w:r w:rsidR="009C7911">
              <w:rPr>
                <w:rFonts w:cs="Tahoma"/>
                <w:sz w:val="18"/>
                <w:szCs w:val="18"/>
              </w:rPr>
              <w:t xml:space="preserve"> – bespovratna sredstva</w:t>
            </w:r>
          </w:p>
          <w:p w14:paraId="0FC8A682" w14:textId="77777777" w:rsidR="00F16FD7" w:rsidRPr="00161E36" w:rsidRDefault="009C7911" w:rsidP="00853D9C">
            <w:pPr>
              <w:numPr>
                <w:ilvl w:val="0"/>
                <w:numId w:val="37"/>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S</w:t>
            </w:r>
            <w:r w:rsidR="00F16FD7" w:rsidRPr="00161E36">
              <w:rPr>
                <w:rFonts w:cs="Tahoma"/>
                <w:sz w:val="18"/>
                <w:szCs w:val="18"/>
              </w:rPr>
              <w:t>pecijaliziran</w:t>
            </w:r>
            <w:r>
              <w:rPr>
                <w:rFonts w:cs="Tahoma"/>
                <w:sz w:val="18"/>
                <w:szCs w:val="18"/>
              </w:rPr>
              <w:t xml:space="preserve">a </w:t>
            </w:r>
            <w:r w:rsidR="00F16FD7" w:rsidRPr="00161E36">
              <w:rPr>
                <w:rFonts w:cs="Tahoma"/>
                <w:sz w:val="18"/>
                <w:szCs w:val="18"/>
              </w:rPr>
              <w:t>kreditn</w:t>
            </w:r>
            <w:r>
              <w:rPr>
                <w:rFonts w:cs="Tahoma"/>
                <w:sz w:val="18"/>
                <w:szCs w:val="18"/>
              </w:rPr>
              <w:t xml:space="preserve">a </w:t>
            </w:r>
            <w:r w:rsidR="00F16FD7" w:rsidRPr="00161E36">
              <w:rPr>
                <w:rFonts w:cs="Tahoma"/>
                <w:sz w:val="18"/>
                <w:szCs w:val="18"/>
              </w:rPr>
              <w:t xml:space="preserve"> linij</w:t>
            </w:r>
            <w:r>
              <w:rPr>
                <w:rFonts w:cs="Tahoma"/>
                <w:sz w:val="18"/>
                <w:szCs w:val="18"/>
              </w:rPr>
              <w:t>a HBOR-a</w:t>
            </w:r>
            <w:r w:rsidR="00341355">
              <w:rPr>
                <w:rFonts w:cs="Tahoma"/>
                <w:sz w:val="18"/>
                <w:szCs w:val="18"/>
              </w:rPr>
              <w:t xml:space="preserve"> (iz ESI fondova)</w:t>
            </w:r>
            <w:r w:rsidR="00F16FD7" w:rsidRPr="00161E36">
              <w:rPr>
                <w:rFonts w:cs="Tahoma"/>
                <w:sz w:val="18"/>
                <w:szCs w:val="18"/>
              </w:rPr>
              <w:t xml:space="preserve"> s povoljnom kamatnom stopom i odgodom plaćanja do završetka obnove</w:t>
            </w:r>
          </w:p>
          <w:p w14:paraId="1FA8870B" w14:textId="77777777" w:rsidR="00F16FD7" w:rsidRPr="00FB2271" w:rsidRDefault="00341355" w:rsidP="00853D9C">
            <w:pPr>
              <w:numPr>
                <w:ilvl w:val="0"/>
                <w:numId w:val="37"/>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cs="Tahoma"/>
                <w:sz w:val="18"/>
                <w:szCs w:val="18"/>
              </w:rPr>
              <w:t>S</w:t>
            </w:r>
            <w:r w:rsidR="00F16FD7" w:rsidRPr="00161E36">
              <w:rPr>
                <w:rFonts w:cs="Tahoma"/>
                <w:sz w:val="18"/>
                <w:szCs w:val="18"/>
              </w:rPr>
              <w:t>redstv</w:t>
            </w:r>
            <w:r w:rsidR="004E3D28">
              <w:rPr>
                <w:rFonts w:cs="Tahoma"/>
                <w:sz w:val="18"/>
                <w:szCs w:val="18"/>
              </w:rPr>
              <w:t>a</w:t>
            </w:r>
            <w:r w:rsidR="00F16FD7" w:rsidRPr="00161E36">
              <w:rPr>
                <w:rFonts w:cs="Tahoma"/>
                <w:sz w:val="18"/>
                <w:szCs w:val="18"/>
              </w:rPr>
              <w:t xml:space="preserve"> Fonda za sufinanciranje provedbe EU projekata osiguranih od strane Ministarstva regionalnoga razvoja i fondova Europske unije za sufinanciranje provedbe EU projekata na regionalnoj i lokalnoj razini</w:t>
            </w:r>
          </w:p>
        </w:tc>
      </w:tr>
      <w:tr w:rsidR="00F16FD7" w:rsidRPr="00F16FD7" w14:paraId="2642A293" w14:textId="77777777" w:rsidTr="00070BEF">
        <w:trPr>
          <w:trHeight w:val="690"/>
        </w:trPr>
        <w:tc>
          <w:tcPr>
            <w:cnfStyle w:val="001000000000" w:firstRow="0" w:lastRow="0" w:firstColumn="1" w:lastColumn="0" w:oddVBand="0" w:evenVBand="0" w:oddHBand="0" w:evenHBand="0" w:firstRowFirstColumn="0" w:firstRowLastColumn="0" w:lastRowFirstColumn="0" w:lastRowLastColumn="0"/>
            <w:tcW w:w="4672" w:type="dxa"/>
          </w:tcPr>
          <w:p w14:paraId="15706F1E" w14:textId="77777777" w:rsidR="00F16FD7" w:rsidRPr="00F16FD7" w:rsidRDefault="00F16FD7" w:rsidP="00F16FD7">
            <w:pPr>
              <w:ind w:left="0"/>
              <w:rPr>
                <w:sz w:val="18"/>
                <w:szCs w:val="18"/>
              </w:rPr>
            </w:pPr>
            <w:r w:rsidRPr="00161E36">
              <w:rPr>
                <w:rFonts w:cs="Tahoma"/>
                <w:sz w:val="18"/>
                <w:szCs w:val="18"/>
              </w:rPr>
              <w:t>Program energetske obnove obiteljskih kuća za razdoblje od 2014. do 2020. godine</w:t>
            </w:r>
          </w:p>
        </w:tc>
        <w:tc>
          <w:tcPr>
            <w:tcW w:w="4672" w:type="dxa"/>
          </w:tcPr>
          <w:p w14:paraId="1563871A" w14:textId="77777777" w:rsidR="00F16FD7" w:rsidRPr="00F16FD7" w:rsidRDefault="00E672F0" w:rsidP="00853D9C">
            <w:pPr>
              <w:numPr>
                <w:ilvl w:val="0"/>
                <w:numId w:val="37"/>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cs="Tahoma"/>
                <w:sz w:val="18"/>
                <w:szCs w:val="18"/>
              </w:rPr>
              <w:t>Fond</w:t>
            </w:r>
            <w:r w:rsidR="000D5A65">
              <w:rPr>
                <w:rFonts w:cs="Tahoma"/>
                <w:sz w:val="18"/>
                <w:szCs w:val="18"/>
              </w:rPr>
              <w:t xml:space="preserve"> </w:t>
            </w:r>
            <w:r>
              <w:rPr>
                <w:rFonts w:cs="Tahoma"/>
                <w:sz w:val="18"/>
                <w:szCs w:val="18"/>
              </w:rPr>
              <w:t>za zaštitu okoliša i energetsk</w:t>
            </w:r>
            <w:r w:rsidR="000D5A65">
              <w:rPr>
                <w:rFonts w:cs="Tahoma"/>
                <w:sz w:val="18"/>
                <w:szCs w:val="18"/>
              </w:rPr>
              <w:t>u</w:t>
            </w:r>
            <w:r>
              <w:rPr>
                <w:rFonts w:cs="Tahoma"/>
                <w:sz w:val="18"/>
                <w:szCs w:val="18"/>
              </w:rPr>
              <w:t xml:space="preserve"> učinkovitost</w:t>
            </w:r>
            <w:r w:rsidR="000D5A65">
              <w:rPr>
                <w:rFonts w:cs="Tahoma"/>
                <w:sz w:val="18"/>
                <w:szCs w:val="18"/>
              </w:rPr>
              <w:t xml:space="preserve"> - sredstva </w:t>
            </w:r>
            <w:r w:rsidR="000D5A65" w:rsidRPr="000D5A65">
              <w:rPr>
                <w:rFonts w:cs="Tahoma"/>
                <w:sz w:val="18"/>
                <w:szCs w:val="18"/>
              </w:rPr>
              <w:t>dobivena od prodaje emisijskih jedinica putem dražbi</w:t>
            </w:r>
            <w:r w:rsidR="00FB2271">
              <w:rPr>
                <w:rFonts w:cs="Tahoma"/>
                <w:sz w:val="18"/>
                <w:szCs w:val="18"/>
              </w:rPr>
              <w:t xml:space="preserve"> – bespovratna sredstva</w:t>
            </w:r>
          </w:p>
        </w:tc>
      </w:tr>
      <w:tr w:rsidR="00F16FD7" w:rsidRPr="00F16FD7" w14:paraId="15B12B90" w14:textId="77777777" w:rsidTr="00F16FD7">
        <w:tc>
          <w:tcPr>
            <w:cnfStyle w:val="001000000000" w:firstRow="0" w:lastRow="0" w:firstColumn="1" w:lastColumn="0" w:oddVBand="0" w:evenVBand="0" w:oddHBand="0" w:evenHBand="0" w:firstRowFirstColumn="0" w:firstRowLastColumn="0" w:lastRowFirstColumn="0" w:lastRowLastColumn="0"/>
            <w:tcW w:w="4672" w:type="dxa"/>
          </w:tcPr>
          <w:p w14:paraId="6563A8BB" w14:textId="77777777" w:rsidR="00F16FD7" w:rsidRPr="00F16FD7" w:rsidRDefault="00F16FD7" w:rsidP="00F16FD7">
            <w:pPr>
              <w:ind w:left="0"/>
              <w:rPr>
                <w:sz w:val="18"/>
                <w:szCs w:val="18"/>
              </w:rPr>
            </w:pPr>
            <w:r w:rsidRPr="00161E36">
              <w:rPr>
                <w:rFonts w:cs="Tahoma"/>
                <w:sz w:val="18"/>
                <w:szCs w:val="18"/>
              </w:rPr>
              <w:t>Program energetske obnove višestambenih zgrada za razdoblje od 2014. do 2020. godine</w:t>
            </w:r>
          </w:p>
        </w:tc>
        <w:tc>
          <w:tcPr>
            <w:tcW w:w="4672" w:type="dxa"/>
          </w:tcPr>
          <w:p w14:paraId="3B4D0B24" w14:textId="77777777" w:rsidR="00F16FD7" w:rsidRPr="00070BEF" w:rsidRDefault="00FB2271" w:rsidP="00853D9C">
            <w:pPr>
              <w:numPr>
                <w:ilvl w:val="0"/>
                <w:numId w:val="37"/>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 xml:space="preserve">Sufinanciranje iz </w:t>
            </w:r>
            <w:r w:rsidRPr="00446CC9">
              <w:rPr>
                <w:rFonts w:cs="Tahoma"/>
                <w:sz w:val="18"/>
                <w:szCs w:val="18"/>
              </w:rPr>
              <w:t>ESI fondov</w:t>
            </w:r>
            <w:r>
              <w:rPr>
                <w:rFonts w:cs="Tahoma"/>
                <w:sz w:val="18"/>
                <w:szCs w:val="18"/>
              </w:rPr>
              <w:t xml:space="preserve">a </w:t>
            </w:r>
            <w:r w:rsidRPr="00446CC9">
              <w:rPr>
                <w:rFonts w:cs="Tahoma"/>
                <w:sz w:val="18"/>
                <w:szCs w:val="18"/>
              </w:rPr>
              <w:t>(EFRR)</w:t>
            </w:r>
            <w:r>
              <w:rPr>
                <w:rFonts w:cs="Tahoma"/>
                <w:sz w:val="18"/>
                <w:szCs w:val="18"/>
              </w:rPr>
              <w:t xml:space="preserve"> temeljem OPKK – bespovratna sredstva</w:t>
            </w:r>
          </w:p>
        </w:tc>
      </w:tr>
      <w:tr w:rsidR="00F16FD7" w:rsidRPr="00F16FD7" w14:paraId="12C9B35C" w14:textId="77777777" w:rsidTr="00F16FD7">
        <w:tc>
          <w:tcPr>
            <w:cnfStyle w:val="001000000000" w:firstRow="0" w:lastRow="0" w:firstColumn="1" w:lastColumn="0" w:oddVBand="0" w:evenVBand="0" w:oddHBand="0" w:evenHBand="0" w:firstRowFirstColumn="0" w:firstRowLastColumn="0" w:lastRowFirstColumn="0" w:lastRowLastColumn="0"/>
            <w:tcW w:w="4672" w:type="dxa"/>
          </w:tcPr>
          <w:p w14:paraId="48E0F1BA" w14:textId="77777777" w:rsidR="00F16FD7" w:rsidRPr="00F16FD7" w:rsidRDefault="00F16FD7" w:rsidP="00F16FD7">
            <w:pPr>
              <w:ind w:left="0"/>
              <w:rPr>
                <w:sz w:val="18"/>
                <w:szCs w:val="18"/>
              </w:rPr>
            </w:pPr>
            <w:r w:rsidRPr="00161E36">
              <w:rPr>
                <w:rFonts w:cs="Tahoma"/>
                <w:sz w:val="18"/>
                <w:szCs w:val="18"/>
              </w:rPr>
              <w:t>Program energetske obnove komercijalnih nestambenih zgrada za razdoblje od 2014. do 2020. godine s detaljnim planom energetske obnove komercijalnih nestambenih zgrada za razdoblje od 2014. do 2016.</w:t>
            </w:r>
          </w:p>
        </w:tc>
        <w:tc>
          <w:tcPr>
            <w:tcW w:w="4672" w:type="dxa"/>
          </w:tcPr>
          <w:p w14:paraId="78A6522C" w14:textId="77777777" w:rsidR="00AF4276" w:rsidRDefault="00AF4276" w:rsidP="00853D9C">
            <w:pPr>
              <w:pStyle w:val="Odlomakpopisa"/>
              <w:keepLines w:val="0"/>
              <w:numPr>
                <w:ilvl w:val="0"/>
                <w:numId w:val="37"/>
              </w:numPr>
              <w:tabs>
                <w:tab w:val="clear" w:pos="431"/>
              </w:tabs>
              <w:suppressAutoHyphens w:val="0"/>
              <w:spacing w:before="0"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Fond za zaštitu okoliša i energetsku učinkovitost – bespovratna sredstva</w:t>
            </w:r>
            <w:r w:rsidRPr="00161E36">
              <w:rPr>
                <w:rFonts w:cs="Tahoma"/>
                <w:sz w:val="18"/>
                <w:szCs w:val="18"/>
              </w:rPr>
              <w:t xml:space="preserve"> </w:t>
            </w:r>
          </w:p>
          <w:p w14:paraId="1FAB4784" w14:textId="77777777" w:rsidR="00094732" w:rsidRPr="00446CC9" w:rsidRDefault="00094732" w:rsidP="00853D9C">
            <w:pPr>
              <w:numPr>
                <w:ilvl w:val="0"/>
                <w:numId w:val="37"/>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 xml:space="preserve">Sufinanciranje iz </w:t>
            </w:r>
            <w:r w:rsidRPr="00446CC9">
              <w:rPr>
                <w:rFonts w:cs="Tahoma"/>
                <w:sz w:val="18"/>
                <w:szCs w:val="18"/>
              </w:rPr>
              <w:t>ESI fondov</w:t>
            </w:r>
            <w:r>
              <w:rPr>
                <w:rFonts w:cs="Tahoma"/>
                <w:sz w:val="18"/>
                <w:szCs w:val="18"/>
              </w:rPr>
              <w:t xml:space="preserve">a </w:t>
            </w:r>
            <w:r w:rsidRPr="00446CC9">
              <w:rPr>
                <w:rFonts w:cs="Tahoma"/>
                <w:sz w:val="18"/>
                <w:szCs w:val="18"/>
              </w:rPr>
              <w:t>(EFRR)</w:t>
            </w:r>
            <w:r>
              <w:rPr>
                <w:rFonts w:cs="Tahoma"/>
                <w:sz w:val="18"/>
                <w:szCs w:val="18"/>
              </w:rPr>
              <w:t xml:space="preserve"> temeljem OPKK – bespovratna sredstva za zgrade iz sektora turizma i trgovine</w:t>
            </w:r>
          </w:p>
          <w:p w14:paraId="08E34B3A" w14:textId="77777777" w:rsidR="00F16FD7" w:rsidRPr="00F16FD7" w:rsidRDefault="00F16FD7" w:rsidP="00853D9C">
            <w:pPr>
              <w:numPr>
                <w:ilvl w:val="0"/>
                <w:numId w:val="37"/>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sz w:val="18"/>
                <w:szCs w:val="18"/>
              </w:rPr>
            </w:pPr>
          </w:p>
        </w:tc>
      </w:tr>
    </w:tbl>
    <w:p w14:paraId="5EF2883E" w14:textId="77777777" w:rsidR="007136B0" w:rsidRDefault="007136B0" w:rsidP="00F16FD7"/>
    <w:p w14:paraId="196198BA" w14:textId="051DD7DC" w:rsidR="00F16FD7" w:rsidRDefault="001755E0" w:rsidP="00F16FD7">
      <w:r>
        <w:t>Osta</w:t>
      </w:r>
      <w:r w:rsidR="001F3D49">
        <w:t>le</w:t>
      </w:r>
      <w:r>
        <w:t xml:space="preserve"> postojeć</w:t>
      </w:r>
      <w:r w:rsidR="001F3D49">
        <w:t xml:space="preserve">e </w:t>
      </w:r>
      <w:r>
        <w:t>izvor</w:t>
      </w:r>
      <w:r w:rsidR="001F3D49">
        <w:t>e</w:t>
      </w:r>
      <w:r>
        <w:t xml:space="preserve"> financiranja prikaz</w:t>
      </w:r>
      <w:r w:rsidR="001F3D49">
        <w:t xml:space="preserve">uje </w:t>
      </w:r>
      <w:r w:rsidR="00D8487E">
        <w:fldChar w:fldCharType="begin"/>
      </w:r>
      <w:r w:rsidR="00D8487E">
        <w:instrText xml:space="preserve"> REF _Ref24115741 \h </w:instrText>
      </w:r>
      <w:r w:rsidR="00D8487E">
        <w:fldChar w:fldCharType="separate"/>
      </w:r>
      <w:r w:rsidR="00CE61F3">
        <w:t xml:space="preserve">Tablica </w:t>
      </w:r>
      <w:r w:rsidR="00CE61F3">
        <w:rPr>
          <w:noProof/>
        </w:rPr>
        <w:t>11</w:t>
      </w:r>
      <w:r w:rsidR="00CE61F3">
        <w:t>.</w:t>
      </w:r>
      <w:r w:rsidR="00CE61F3">
        <w:rPr>
          <w:noProof/>
        </w:rPr>
        <w:t>7</w:t>
      </w:r>
      <w:r w:rsidR="00D8487E">
        <w:fldChar w:fldCharType="end"/>
      </w:r>
      <w:r w:rsidR="00D8487E">
        <w:t>.</w:t>
      </w:r>
    </w:p>
    <w:p w14:paraId="502CE81E" w14:textId="0552210D" w:rsidR="001F3D49" w:rsidRDefault="001F3D49" w:rsidP="001F3D49">
      <w:pPr>
        <w:pStyle w:val="Opisslike"/>
        <w:rPr>
          <w:rFonts w:ascii="Times New Roman" w:hAnsi="Times New Roman" w:cs="Times New Roman"/>
          <w:b/>
          <w:sz w:val="24"/>
          <w:szCs w:val="24"/>
        </w:rPr>
      </w:pPr>
      <w:bookmarkStart w:id="262" w:name="_Ref24115741"/>
      <w:bookmarkStart w:id="263" w:name="_Toc40089054"/>
      <w:r>
        <w:t xml:space="preserve">Tablica </w:t>
      </w:r>
      <w:fldSimple w:instr=" STYLEREF 1 \s ">
        <w:r w:rsidR="00CE61F3">
          <w:rPr>
            <w:noProof/>
          </w:rPr>
          <w:t>11</w:t>
        </w:r>
      </w:fldSimple>
      <w:r w:rsidR="0046545B">
        <w:t>.</w:t>
      </w:r>
      <w:fldSimple w:instr=" SEQ Tablica \* ARABIC \s 1 ">
        <w:r w:rsidR="00CE61F3">
          <w:rPr>
            <w:noProof/>
          </w:rPr>
          <w:t>7</w:t>
        </w:r>
      </w:fldSimple>
      <w:bookmarkEnd w:id="262"/>
      <w:r>
        <w:t xml:space="preserve"> Pregled ostalih postojećih izvora financiranja </w:t>
      </w:r>
      <w:r w:rsidR="00D8487E">
        <w:t>energetske učinkovitosti u Republici Hrvatskoj</w:t>
      </w:r>
      <w:bookmarkEnd w:id="263"/>
      <w:r>
        <w:t xml:space="preserve"> </w:t>
      </w:r>
    </w:p>
    <w:tbl>
      <w:tblPr>
        <w:tblStyle w:val="Svijetlatablicareetke11"/>
        <w:tblW w:w="0" w:type="auto"/>
        <w:tblLook w:val="04A0" w:firstRow="1" w:lastRow="0" w:firstColumn="1" w:lastColumn="0" w:noHBand="0" w:noVBand="1"/>
      </w:tblPr>
      <w:tblGrid>
        <w:gridCol w:w="4671"/>
        <w:gridCol w:w="4670"/>
      </w:tblGrid>
      <w:tr w:rsidR="004353A5" w:rsidRPr="004353A5" w14:paraId="379452E0" w14:textId="77777777" w:rsidTr="00435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1" w:type="dxa"/>
            <w:gridSpan w:val="2"/>
            <w:shd w:val="clear" w:color="auto" w:fill="D0CECE" w:themeFill="background2" w:themeFillShade="E6"/>
          </w:tcPr>
          <w:p w14:paraId="65D1AADA" w14:textId="77777777" w:rsidR="004353A5" w:rsidRPr="004353A5" w:rsidRDefault="004353A5" w:rsidP="004353A5">
            <w:pPr>
              <w:ind w:left="0"/>
              <w:jc w:val="center"/>
              <w:rPr>
                <w:sz w:val="18"/>
                <w:szCs w:val="18"/>
              </w:rPr>
            </w:pPr>
            <w:r w:rsidRPr="004353A5">
              <w:rPr>
                <w:rFonts w:cs="Tahoma"/>
                <w:sz w:val="18"/>
                <w:szCs w:val="18"/>
              </w:rPr>
              <w:t>Razvojne banke, fondovi i kreditne linije</w:t>
            </w:r>
          </w:p>
        </w:tc>
      </w:tr>
      <w:tr w:rsidR="004353A5" w:rsidRPr="004353A5" w14:paraId="451626D0"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503C2182" w14:textId="77777777" w:rsidR="004353A5" w:rsidRPr="004353A5" w:rsidRDefault="004353A5" w:rsidP="004353A5">
            <w:pPr>
              <w:ind w:left="0"/>
              <w:rPr>
                <w:sz w:val="18"/>
                <w:szCs w:val="18"/>
              </w:rPr>
            </w:pPr>
            <w:r w:rsidRPr="004353A5">
              <w:rPr>
                <w:rFonts w:cs="Tahoma"/>
                <w:sz w:val="18"/>
                <w:szCs w:val="18"/>
              </w:rPr>
              <w:t>Hrvatska banka za obnovu i razvitak (HBOR)</w:t>
            </w:r>
          </w:p>
        </w:tc>
        <w:tc>
          <w:tcPr>
            <w:tcW w:w="4670" w:type="dxa"/>
          </w:tcPr>
          <w:p w14:paraId="2DDE52AB"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Povlašteni zajmovi i garancije nude se u sklopu nekoliko programa povećanja energetske učinkovitosti za investitore iz javnog i privatnog sektora</w:t>
            </w:r>
          </w:p>
        </w:tc>
      </w:tr>
      <w:tr w:rsidR="004353A5" w:rsidRPr="004353A5" w14:paraId="1D80E088"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7DDBD858" w14:textId="77777777" w:rsidR="004353A5" w:rsidRPr="004353A5" w:rsidRDefault="004353A5" w:rsidP="004353A5">
            <w:pPr>
              <w:ind w:left="0"/>
              <w:rPr>
                <w:sz w:val="18"/>
                <w:szCs w:val="18"/>
              </w:rPr>
            </w:pPr>
            <w:r w:rsidRPr="004353A5">
              <w:rPr>
                <w:rFonts w:cs="Tahoma"/>
                <w:sz w:val="18"/>
                <w:szCs w:val="18"/>
              </w:rPr>
              <w:t>Hrvatska agencija za malo gospodarstvo, inovacije i investicije (HAMAG-BICRO)</w:t>
            </w:r>
          </w:p>
        </w:tc>
        <w:tc>
          <w:tcPr>
            <w:tcW w:w="4670" w:type="dxa"/>
          </w:tcPr>
          <w:p w14:paraId="76079F8D"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 xml:space="preserve">Financijski instrumenti pružaju podršku ulaganjima putem kredita, jamstava uz mogućnost kombiniranja sa subvencioniranjem kamatne stope i za energetsku obnovu poslovnih objekata </w:t>
            </w:r>
          </w:p>
        </w:tc>
      </w:tr>
      <w:tr w:rsidR="004353A5" w:rsidRPr="004353A5" w14:paraId="40C3F93A"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74328211" w14:textId="77777777" w:rsidR="004353A5" w:rsidRPr="004353A5" w:rsidRDefault="004353A5" w:rsidP="004353A5">
            <w:pPr>
              <w:ind w:left="0"/>
              <w:rPr>
                <w:sz w:val="18"/>
                <w:szCs w:val="18"/>
              </w:rPr>
            </w:pPr>
            <w:r w:rsidRPr="004353A5">
              <w:rPr>
                <w:rFonts w:cs="Tahoma"/>
                <w:sz w:val="18"/>
                <w:szCs w:val="18"/>
              </w:rPr>
              <w:t>Europske razvojne banke i fondovi (EIB Grupa, EBRD, Europski fond za energetsku učinkovitost, Europski fond za strateška ulaganja)</w:t>
            </w:r>
          </w:p>
        </w:tc>
        <w:tc>
          <w:tcPr>
            <w:tcW w:w="4670" w:type="dxa"/>
          </w:tcPr>
          <w:p w14:paraId="50B4BD03"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Direktni i indirektni povlašteni zajmovi i garancije nude se investitorima iz javnog i privatnog sektora za velike projekte energetske obnove</w:t>
            </w:r>
          </w:p>
        </w:tc>
      </w:tr>
      <w:tr w:rsidR="004353A5" w:rsidRPr="004353A5" w14:paraId="1E6AC22C"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393CF771" w14:textId="77777777" w:rsidR="004353A5" w:rsidRPr="004353A5" w:rsidRDefault="004353A5" w:rsidP="004353A5">
            <w:pPr>
              <w:ind w:left="0"/>
              <w:rPr>
                <w:sz w:val="18"/>
                <w:szCs w:val="18"/>
              </w:rPr>
            </w:pPr>
            <w:r w:rsidRPr="004353A5">
              <w:rPr>
                <w:rFonts w:cs="Tahoma"/>
                <w:sz w:val="18"/>
                <w:szCs w:val="18"/>
              </w:rPr>
              <w:t>Program EBRD za potporu privatnog sektora Hrvatske (REENOVA+)</w:t>
            </w:r>
          </w:p>
        </w:tc>
        <w:tc>
          <w:tcPr>
            <w:tcW w:w="4670" w:type="dxa"/>
          </w:tcPr>
          <w:p w14:paraId="72ED8DED"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Program dodjele zajmova EBRD-a namijenjen građanima i poduzetnicima</w:t>
            </w:r>
          </w:p>
        </w:tc>
      </w:tr>
      <w:tr w:rsidR="00A51F0D" w:rsidRPr="004353A5" w14:paraId="4AFE7349"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00A7DC3E" w14:textId="77777777" w:rsidR="00A51F0D" w:rsidRPr="004353A5" w:rsidRDefault="00A51F0D" w:rsidP="004353A5">
            <w:pPr>
              <w:ind w:left="0"/>
              <w:rPr>
                <w:rFonts w:cs="Tahoma"/>
                <w:sz w:val="18"/>
                <w:szCs w:val="18"/>
              </w:rPr>
            </w:pPr>
            <w:r>
              <w:rPr>
                <w:rFonts w:cs="Tahoma"/>
                <w:sz w:val="18"/>
                <w:szCs w:val="18"/>
              </w:rPr>
              <w:t xml:space="preserve">Program EIB za financiranje energetske učinkovitosti u privatnom sektoru </w:t>
            </w:r>
            <w:r w:rsidR="003F3336">
              <w:rPr>
                <w:rFonts w:cs="Tahoma"/>
                <w:sz w:val="18"/>
                <w:szCs w:val="18"/>
              </w:rPr>
              <w:t>(</w:t>
            </w:r>
            <w:r>
              <w:rPr>
                <w:rFonts w:cs="Tahoma"/>
                <w:sz w:val="18"/>
                <w:szCs w:val="18"/>
              </w:rPr>
              <w:t>PF</w:t>
            </w:r>
            <w:r w:rsidR="004B2CA4">
              <w:rPr>
                <w:rFonts w:cs="Tahoma"/>
                <w:sz w:val="18"/>
                <w:szCs w:val="18"/>
              </w:rPr>
              <w:t>4EE</w:t>
            </w:r>
            <w:r w:rsidR="003F3336">
              <w:rPr>
                <w:rFonts w:cs="Tahoma"/>
                <w:sz w:val="18"/>
                <w:szCs w:val="18"/>
              </w:rPr>
              <w:t>)</w:t>
            </w:r>
          </w:p>
        </w:tc>
        <w:tc>
          <w:tcPr>
            <w:tcW w:w="4670" w:type="dxa"/>
          </w:tcPr>
          <w:p w14:paraId="42B8EA39" w14:textId="77777777" w:rsidR="00A51F0D" w:rsidRPr="004353A5" w:rsidRDefault="004B2CA4" w:rsidP="004353A5">
            <w:pPr>
              <w:ind w:left="0"/>
              <w:cnfStyle w:val="000000000000" w:firstRow="0" w:lastRow="0" w:firstColumn="0" w:lastColumn="0" w:oddVBand="0" w:evenVBand="0" w:oddHBand="0" w:evenHBand="0" w:firstRowFirstColumn="0" w:firstRowLastColumn="0" w:lastRowFirstColumn="0" w:lastRowLastColumn="0"/>
              <w:rPr>
                <w:rFonts w:cs="Tahoma"/>
                <w:sz w:val="18"/>
                <w:szCs w:val="18"/>
              </w:rPr>
            </w:pPr>
            <w:r w:rsidRPr="004353A5">
              <w:rPr>
                <w:rFonts w:cs="Tahoma"/>
                <w:sz w:val="18"/>
                <w:szCs w:val="18"/>
              </w:rPr>
              <w:t xml:space="preserve">Program dodjele zajmova </w:t>
            </w:r>
            <w:r>
              <w:rPr>
                <w:rFonts w:cs="Tahoma"/>
                <w:sz w:val="18"/>
                <w:szCs w:val="18"/>
              </w:rPr>
              <w:t>EIB</w:t>
            </w:r>
            <w:r w:rsidRPr="004353A5">
              <w:rPr>
                <w:rFonts w:cs="Tahoma"/>
                <w:sz w:val="18"/>
                <w:szCs w:val="18"/>
              </w:rPr>
              <w:t>-a</w:t>
            </w:r>
            <w:r>
              <w:rPr>
                <w:rFonts w:cs="Tahoma"/>
                <w:sz w:val="18"/>
                <w:szCs w:val="18"/>
              </w:rPr>
              <w:t xml:space="preserve"> namijenjen je poduzetnicima</w:t>
            </w:r>
          </w:p>
        </w:tc>
      </w:tr>
      <w:tr w:rsidR="004353A5" w:rsidRPr="004353A5" w14:paraId="04368A6D" w14:textId="77777777" w:rsidTr="00A24A49">
        <w:tc>
          <w:tcPr>
            <w:cnfStyle w:val="001000000000" w:firstRow="0" w:lastRow="0" w:firstColumn="1" w:lastColumn="0" w:oddVBand="0" w:evenVBand="0" w:oddHBand="0" w:evenHBand="0" w:firstRowFirstColumn="0" w:firstRowLastColumn="0" w:lastRowFirstColumn="0" w:lastRowLastColumn="0"/>
            <w:tcW w:w="9341" w:type="dxa"/>
            <w:gridSpan w:val="2"/>
            <w:shd w:val="clear" w:color="auto" w:fill="D0CECE" w:themeFill="background2" w:themeFillShade="E6"/>
          </w:tcPr>
          <w:p w14:paraId="1E999003" w14:textId="77777777" w:rsidR="004353A5" w:rsidRPr="004353A5" w:rsidRDefault="004353A5" w:rsidP="004353A5">
            <w:pPr>
              <w:ind w:left="0"/>
              <w:jc w:val="center"/>
              <w:rPr>
                <w:rFonts w:cs="Tahoma"/>
                <w:sz w:val="18"/>
                <w:szCs w:val="18"/>
              </w:rPr>
            </w:pPr>
            <w:r w:rsidRPr="004353A5">
              <w:rPr>
                <w:rFonts w:cs="Tahoma"/>
                <w:sz w:val="18"/>
                <w:szCs w:val="18"/>
              </w:rPr>
              <w:t>Programi tehničke pomoći</w:t>
            </w:r>
          </w:p>
        </w:tc>
      </w:tr>
      <w:tr w:rsidR="004353A5" w:rsidRPr="004353A5" w14:paraId="6760DA2A"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3B692814" w14:textId="77777777" w:rsidR="004353A5" w:rsidRPr="004353A5" w:rsidRDefault="004353A5" w:rsidP="004353A5">
            <w:pPr>
              <w:ind w:left="0"/>
              <w:rPr>
                <w:sz w:val="18"/>
                <w:szCs w:val="18"/>
              </w:rPr>
            </w:pPr>
            <w:r w:rsidRPr="004353A5">
              <w:rPr>
                <w:rFonts w:cs="Tahoma"/>
                <w:sz w:val="18"/>
                <w:szCs w:val="18"/>
              </w:rPr>
              <w:t>Europski programi tehničke pomoći (ELENA, JASPERS, Horizon2020)</w:t>
            </w:r>
          </w:p>
        </w:tc>
        <w:tc>
          <w:tcPr>
            <w:tcW w:w="4670" w:type="dxa"/>
          </w:tcPr>
          <w:p w14:paraId="4C334EBF"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Programi sufinanciranja i tehničke podrške za pripremu velikih projekata javnog sektora</w:t>
            </w:r>
          </w:p>
        </w:tc>
      </w:tr>
      <w:tr w:rsidR="00A24A49" w:rsidRPr="004353A5" w14:paraId="1C437774" w14:textId="77777777" w:rsidTr="00A24A49">
        <w:tc>
          <w:tcPr>
            <w:cnfStyle w:val="001000000000" w:firstRow="0" w:lastRow="0" w:firstColumn="1" w:lastColumn="0" w:oddVBand="0" w:evenVBand="0" w:oddHBand="0" w:evenHBand="0" w:firstRowFirstColumn="0" w:firstRowLastColumn="0" w:lastRowFirstColumn="0" w:lastRowLastColumn="0"/>
            <w:tcW w:w="9341" w:type="dxa"/>
            <w:gridSpan w:val="2"/>
            <w:shd w:val="clear" w:color="auto" w:fill="D0CECE" w:themeFill="background2" w:themeFillShade="E6"/>
          </w:tcPr>
          <w:p w14:paraId="099E62DD" w14:textId="77777777" w:rsidR="00A24A49" w:rsidRPr="004353A5" w:rsidRDefault="00A24A49" w:rsidP="00A24A49">
            <w:pPr>
              <w:ind w:left="0"/>
              <w:jc w:val="center"/>
              <w:rPr>
                <w:rFonts w:cs="Tahoma"/>
                <w:sz w:val="18"/>
                <w:szCs w:val="18"/>
              </w:rPr>
            </w:pPr>
            <w:r>
              <w:rPr>
                <w:rFonts w:cs="Tahoma"/>
                <w:sz w:val="18"/>
                <w:szCs w:val="18"/>
              </w:rPr>
              <w:t>Sustav obveza energetske učinkovitosti</w:t>
            </w:r>
          </w:p>
        </w:tc>
      </w:tr>
      <w:tr w:rsidR="00A24A49" w:rsidRPr="004353A5" w14:paraId="07E88E0B"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634A5556" w14:textId="77777777" w:rsidR="00A24A49" w:rsidRPr="004353A5" w:rsidRDefault="00100425" w:rsidP="004353A5">
            <w:pPr>
              <w:ind w:left="0"/>
              <w:rPr>
                <w:rFonts w:cs="Tahoma"/>
                <w:sz w:val="18"/>
                <w:szCs w:val="18"/>
              </w:rPr>
            </w:pPr>
            <w:r>
              <w:rPr>
                <w:rFonts w:cs="Tahoma"/>
                <w:sz w:val="18"/>
                <w:szCs w:val="18"/>
              </w:rPr>
              <w:t>Opskrbljivači energijom</w:t>
            </w:r>
          </w:p>
        </w:tc>
        <w:tc>
          <w:tcPr>
            <w:tcW w:w="4670" w:type="dxa"/>
          </w:tcPr>
          <w:p w14:paraId="35B8A6EC" w14:textId="77777777" w:rsidR="00A24A49" w:rsidRPr="004353A5" w:rsidRDefault="00100425" w:rsidP="004353A5">
            <w:pPr>
              <w:ind w:left="0"/>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Od 2019. godine u Republic</w:t>
            </w:r>
            <w:r w:rsidR="00FA5972">
              <w:rPr>
                <w:rFonts w:cs="Tahoma"/>
                <w:sz w:val="18"/>
                <w:szCs w:val="18"/>
              </w:rPr>
              <w:t>i</w:t>
            </w:r>
            <w:r>
              <w:rPr>
                <w:rFonts w:cs="Tahoma"/>
                <w:sz w:val="18"/>
                <w:szCs w:val="18"/>
              </w:rPr>
              <w:t xml:space="preserve"> Hrvatskoj opskrbljivači energije dužni su prema Zakonu o energetskoj učinkovitosti (NN</w:t>
            </w:r>
            <w:r w:rsidR="006F6168" w:rsidRPr="006F6168">
              <w:rPr>
                <w:rFonts w:cs="Tahoma"/>
                <w:sz w:val="18"/>
                <w:szCs w:val="18"/>
              </w:rPr>
              <w:t xml:space="preserve"> 127/14, 116/18</w:t>
            </w:r>
            <w:r w:rsidR="006F6168">
              <w:rPr>
                <w:rFonts w:cs="Tahoma"/>
                <w:sz w:val="18"/>
                <w:szCs w:val="18"/>
              </w:rPr>
              <w:t>) vlastitim ulaganjem, kupnjom ušteda ili plaćanjem naknade Fondu za zaštitu okoliša i energetsku učinkovitost ostvarivati uštede energije kod krajnjih kupaca</w:t>
            </w:r>
          </w:p>
        </w:tc>
      </w:tr>
    </w:tbl>
    <w:p w14:paraId="7F9DFB75" w14:textId="77777777" w:rsidR="0057783A" w:rsidRPr="001755E0" w:rsidRDefault="0057783A" w:rsidP="0057783A">
      <w:r w:rsidRPr="001755E0">
        <w:t>Izvor: REGEA, 2017</w:t>
      </w:r>
      <w:r w:rsidR="00F14039">
        <w:t>, EIHP 2019</w:t>
      </w:r>
    </w:p>
    <w:p w14:paraId="6AC4B1EF" w14:textId="77777777" w:rsidR="0057783A" w:rsidRPr="001369AF" w:rsidRDefault="0057783A" w:rsidP="001369AF">
      <w:pPr>
        <w:pStyle w:val="Naslov3"/>
      </w:pPr>
      <w:bookmarkStart w:id="264" w:name="h.pkwqa1"/>
      <w:bookmarkStart w:id="265" w:name="_Toc3277929"/>
      <w:bookmarkStart w:id="266" w:name="_Toc34052930"/>
      <w:bookmarkStart w:id="267" w:name="_Toc46163866"/>
      <w:bookmarkEnd w:id="264"/>
      <w:r w:rsidRPr="001369AF">
        <w:t>Financijske barijere i ograničenja</w:t>
      </w:r>
      <w:bookmarkEnd w:id="265"/>
      <w:bookmarkEnd w:id="266"/>
      <w:bookmarkEnd w:id="267"/>
      <w:r w:rsidRPr="001369AF">
        <w:t xml:space="preserve"> </w:t>
      </w:r>
    </w:p>
    <w:p w14:paraId="16EB1689" w14:textId="77777777" w:rsidR="0057783A" w:rsidRDefault="0057783A" w:rsidP="00161E36">
      <w:r>
        <w:t>Direktiva 2012/27/EU nalaže potporu razvoja tržišta energetskih usluga, razvoj novih financijskih mehanizama i poticaja te institucionalnih, financijskih i pravnih okvira za uklanjanje postojećih tržišnih prepreka i nedostataka koji sprječavaju učinkovitu krajnju potrošnju energije. Barijere financijske prirode koje trenutno koče razvoj projekata energetske obnove, a čijem uklanjanju treba doprinijeti Dugoročna strategija za poticanje ulaganja u obnovu nacionalnog fonda zgrada Republike Hrvatske uključuju:</w:t>
      </w:r>
    </w:p>
    <w:p w14:paraId="53CC5139" w14:textId="77777777" w:rsidR="0057783A" w:rsidRDefault="0057783A" w:rsidP="00853D9C">
      <w:pPr>
        <w:pStyle w:val="Odlomakpopisa"/>
        <w:numPr>
          <w:ilvl w:val="0"/>
          <w:numId w:val="39"/>
        </w:numPr>
      </w:pPr>
      <w:r>
        <w:t>vrlo ograničena raspoloživa sredstva javnih potpora</w:t>
      </w:r>
      <w:r w:rsidR="00F14039">
        <w:t>;</w:t>
      </w:r>
    </w:p>
    <w:p w14:paraId="6054CE2C" w14:textId="77777777" w:rsidR="00BB7770" w:rsidRDefault="00BB7770" w:rsidP="00853D9C">
      <w:pPr>
        <w:pStyle w:val="Odlomakpopisa"/>
        <w:numPr>
          <w:ilvl w:val="0"/>
          <w:numId w:val="39"/>
        </w:numPr>
      </w:pPr>
      <w:r>
        <w:t xml:space="preserve">nedostatak kontinuiteta u programima javnih potpora; </w:t>
      </w:r>
    </w:p>
    <w:p w14:paraId="30765F5A" w14:textId="77777777" w:rsidR="0057783A" w:rsidRDefault="0057783A" w:rsidP="00853D9C">
      <w:pPr>
        <w:pStyle w:val="Odlomakpopisa"/>
        <w:numPr>
          <w:ilvl w:val="0"/>
          <w:numId w:val="39"/>
        </w:numPr>
      </w:pPr>
      <w:r>
        <w:t>nedostatak financijske sposobnosti i visok stupanj zaduženosti javnog sektora</w:t>
      </w:r>
      <w:r w:rsidR="00F14039">
        <w:t>;</w:t>
      </w:r>
    </w:p>
    <w:p w14:paraId="4834D2B7" w14:textId="77777777" w:rsidR="0057783A" w:rsidRDefault="0057783A" w:rsidP="00853D9C">
      <w:pPr>
        <w:pStyle w:val="Odlomakpopisa"/>
        <w:numPr>
          <w:ilvl w:val="0"/>
          <w:numId w:val="39"/>
        </w:numPr>
      </w:pPr>
      <w:r>
        <w:t>porezni (PDV) i statistički (EUROSTAT) tretman ugovora o energetskom učinku;</w:t>
      </w:r>
    </w:p>
    <w:p w14:paraId="2D849A36" w14:textId="77777777" w:rsidR="0057783A" w:rsidRDefault="0057783A" w:rsidP="00853D9C">
      <w:pPr>
        <w:pStyle w:val="Odlomakpopisa"/>
        <w:numPr>
          <w:ilvl w:val="0"/>
          <w:numId w:val="39"/>
        </w:numPr>
      </w:pPr>
      <w:r>
        <w:t>manjak adekvatnih, obnovljivih financijskih instrumenata</w:t>
      </w:r>
      <w:r w:rsidR="00F14039">
        <w:t>;</w:t>
      </w:r>
    </w:p>
    <w:p w14:paraId="531CDA64" w14:textId="77777777" w:rsidR="0057783A" w:rsidRDefault="0057783A" w:rsidP="00853D9C">
      <w:pPr>
        <w:pStyle w:val="Odlomakpopisa"/>
        <w:numPr>
          <w:ilvl w:val="0"/>
          <w:numId w:val="39"/>
        </w:numPr>
      </w:pPr>
      <w:r>
        <w:t>visok trošak kapitala zbog rizične percepcije projekata energetske obnove te manjak financijskih proizvoda namijenjenih projektnom financiranju</w:t>
      </w:r>
      <w:r w:rsidR="00F14039">
        <w:t>;</w:t>
      </w:r>
    </w:p>
    <w:p w14:paraId="14F300D4" w14:textId="77777777" w:rsidR="0057783A" w:rsidRDefault="0057783A" w:rsidP="00853D9C">
      <w:pPr>
        <w:pStyle w:val="Odlomakpopisa"/>
        <w:numPr>
          <w:ilvl w:val="0"/>
          <w:numId w:val="39"/>
        </w:numPr>
      </w:pPr>
      <w:r>
        <w:t>nepostojanje posebnih programa potpore za energetsku obnovu zgrada kulturne baštine</w:t>
      </w:r>
      <w:r w:rsidR="00F14039">
        <w:t>;</w:t>
      </w:r>
    </w:p>
    <w:p w14:paraId="497377F7" w14:textId="77777777" w:rsidR="0057783A" w:rsidRDefault="0057783A" w:rsidP="00853D9C">
      <w:pPr>
        <w:pStyle w:val="Odlomakpopisa"/>
        <w:numPr>
          <w:ilvl w:val="0"/>
          <w:numId w:val="39"/>
        </w:numPr>
      </w:pPr>
      <w:r>
        <w:t>manjak potpornih instrumenata za velike poduzetnike</w:t>
      </w:r>
      <w:r w:rsidR="00F14039">
        <w:t>;</w:t>
      </w:r>
    </w:p>
    <w:p w14:paraId="6DCE2C59" w14:textId="77777777" w:rsidR="0057783A" w:rsidRDefault="0057783A" w:rsidP="00853D9C">
      <w:pPr>
        <w:pStyle w:val="Odlomakpopisa"/>
        <w:numPr>
          <w:ilvl w:val="0"/>
          <w:numId w:val="39"/>
        </w:numPr>
      </w:pPr>
      <w:r>
        <w:t>nepostojanje poreznih olakšica za projekte energetske obnove</w:t>
      </w:r>
      <w:r w:rsidR="00F14039">
        <w:t>;</w:t>
      </w:r>
    </w:p>
    <w:p w14:paraId="19884892" w14:textId="77777777" w:rsidR="0057783A" w:rsidRDefault="0057783A" w:rsidP="00853D9C">
      <w:pPr>
        <w:pStyle w:val="Odlomakpopisa"/>
        <w:numPr>
          <w:ilvl w:val="0"/>
          <w:numId w:val="39"/>
        </w:numPr>
      </w:pPr>
      <w:r>
        <w:t>nerazvijeno ESCO tržište</w:t>
      </w:r>
      <w:r w:rsidR="00F14039">
        <w:t>;</w:t>
      </w:r>
    </w:p>
    <w:p w14:paraId="1C54D4CB" w14:textId="77777777" w:rsidR="0057783A" w:rsidRDefault="0057783A" w:rsidP="00853D9C">
      <w:pPr>
        <w:pStyle w:val="Odlomakpopisa"/>
        <w:numPr>
          <w:ilvl w:val="0"/>
          <w:numId w:val="39"/>
        </w:numPr>
      </w:pPr>
      <w:r>
        <w:t xml:space="preserve">netržišne cijene energenata </w:t>
      </w:r>
      <w:r w:rsidR="00F14039">
        <w:t>i</w:t>
      </w:r>
    </w:p>
    <w:p w14:paraId="7D743BB8" w14:textId="77777777" w:rsidR="0057783A" w:rsidRDefault="0057783A" w:rsidP="00853D9C">
      <w:pPr>
        <w:pStyle w:val="Odlomakpopisa"/>
        <w:numPr>
          <w:ilvl w:val="0"/>
          <w:numId w:val="39"/>
        </w:numPr>
      </w:pPr>
      <w:r>
        <w:t>visoka minimalna veličina projekata za korištenje EU programa tehničke pomoći za investitore iz Republike Hrvatske</w:t>
      </w:r>
      <w:r w:rsidR="00E272BD">
        <w:t>.</w:t>
      </w:r>
    </w:p>
    <w:p w14:paraId="6F240916" w14:textId="77777777" w:rsidR="0057783A" w:rsidRDefault="0057783A" w:rsidP="00161E36">
      <w:r>
        <w:t xml:space="preserve">Postojeće institucije i pripadajući izvori financiranja u Hrvatskoj trenutno ne posjeduju dovoljnu financijsku snagu kako bi iznijeli cjelokupnu investiciju predviđenu ovom Dugoročnom strategijom za poticanje ulaganja u obnovu nacionalnog fonda zgrada Republike Hrvatske. Ovo posebno vrijedi za ograničena proračunska sredstva države i jedinica regionalne i lokalne samouprave koje je novim i inovativnim mehanizmima financiranja nužno rasteretiti. </w:t>
      </w:r>
    </w:p>
    <w:p w14:paraId="547D8BF3" w14:textId="77777777" w:rsidR="0057783A" w:rsidRDefault="0057783A" w:rsidP="00161E36">
      <w:r>
        <w:t>Komercijalni sektor vođen je načelom maksimizacije profita i konstantnim smanjenjem operativnih troškova zbog čega svoj interes u energetskoj učinkovitosti pronalazi u slučajevima kada investicije rezultiraju značajnim smanjenjem izdataka i omogućuju povrat uloženih sredstava u kratkom vremenskom okviru. Poduzetnici su u kontekstu javnih financijskih poticaja podložni ograničenjima za korištenje državnih potpora, a koje Europska komisija uvjetuje zemljama članicama Europske unije kako bi se spriječilo narušavanje konkurencije na tržištu stavljanjem u povoljniji položaj određenih gospodarskih subjekata</w:t>
      </w:r>
      <w:r>
        <w:rPr>
          <w:vertAlign w:val="superscript"/>
        </w:rPr>
        <w:footnoteReference w:id="45"/>
      </w:r>
      <w:r>
        <w:t xml:space="preserve">. Kako bi se ovom sektoru omogućilo korištenje javnih potpora iznad razina potpora male vrijednosti, Ministarstvo zaštite okoliša i energetike za energetsku obnovu komercijalnih zgrada </w:t>
      </w:r>
      <w:r w:rsidR="00997D2B">
        <w:t>razradilo je</w:t>
      </w:r>
      <w:r>
        <w:t xml:space="preserve"> model dodjele državne potpore usklađen s pravilima o državnim potporama uz pretpostavku da su primjenjiva pravila o općem skupnom izuzeću (engl. </w:t>
      </w:r>
      <w:r>
        <w:rPr>
          <w:i/>
        </w:rPr>
        <w:t>GBER - General Block Exemption Regulation</w:t>
      </w:r>
      <w:r>
        <w:t>).</w:t>
      </w:r>
    </w:p>
    <w:p w14:paraId="07AD62A9" w14:textId="46B15ED1" w:rsidR="0057783A" w:rsidRPr="00CB283E" w:rsidRDefault="0057783A" w:rsidP="00161E36">
      <w:pPr>
        <w:rPr>
          <w:strike/>
        </w:rPr>
      </w:pPr>
      <w:r>
        <w:t>Građani su posebno osjetljiva skupina krajnjih potrošača za koju je</w:t>
      </w:r>
      <w:r w:rsidR="007E60FF">
        <w:t>,</w:t>
      </w:r>
      <w:r>
        <w:t xml:space="preserve"> osim posebnih financijskih modela</w:t>
      </w:r>
      <w:r w:rsidR="007E60FF">
        <w:t xml:space="preserve">, </w:t>
      </w:r>
      <w:r>
        <w:t xml:space="preserve">potrebno </w:t>
      </w:r>
      <w:r w:rsidR="007E60FF">
        <w:t>provoditi</w:t>
      </w:r>
      <w:r>
        <w:t xml:space="preserve"> i promotivne kampanje kako bi se podigla razina svijesti i informiranost o potrebi i koristima od investiranja u energetsku obnovu njihovih domova. Energetskom obnovom u sektoru obiteljskih kuća i višestambenih zgrada moguće se učinkovito boriti protiv rastuće opasnosti energetskog siromaštva građana </w:t>
      </w:r>
      <w:r w:rsidRPr="002E1B48">
        <w:t>zbog čega je donesen Program suzbijanja energetskog siromaštva koji uključuje korištenje obnovljivih izvora energije u stambenim zgradama na potpomognutim područjima i područjima posebne državne skrbi za razdoblje 2019. – 2021. godine</w:t>
      </w:r>
      <w:r w:rsidR="002E1B48" w:rsidRPr="002E1B48">
        <w:fldChar w:fldCharType="begin"/>
      </w:r>
      <w:r w:rsidR="002E1B48" w:rsidRPr="002E1B48">
        <w:instrText xml:space="preserve"> CITATION Pro19 \l 1033 </w:instrText>
      </w:r>
      <w:r w:rsidR="002E1B48" w:rsidRPr="002E1B48">
        <w:fldChar w:fldCharType="separate"/>
      </w:r>
      <w:r w:rsidR="002D258B">
        <w:rPr>
          <w:noProof/>
        </w:rPr>
        <w:t xml:space="preserve"> </w:t>
      </w:r>
      <w:r w:rsidR="002D258B" w:rsidRPr="002D258B">
        <w:rPr>
          <w:noProof/>
        </w:rPr>
        <w:t>(2019)</w:t>
      </w:r>
      <w:r w:rsidR="002E1B48" w:rsidRPr="002E1B48">
        <w:fldChar w:fldCharType="end"/>
      </w:r>
      <w:r w:rsidR="003F653B" w:rsidRPr="002E1B48">
        <w:t xml:space="preserve">, </w:t>
      </w:r>
      <w:r w:rsidR="003F653B" w:rsidRPr="00CB283E">
        <w:t xml:space="preserve">a kriteriji </w:t>
      </w:r>
      <w:r w:rsidR="009B2830" w:rsidRPr="00CB283E">
        <w:t>energetskog</w:t>
      </w:r>
      <w:r w:rsidR="003F653B" w:rsidRPr="00CB283E">
        <w:t xml:space="preserve"> siromaštva </w:t>
      </w:r>
      <w:r w:rsidR="009B2830" w:rsidRPr="00CB283E">
        <w:t>integrirani</w:t>
      </w:r>
      <w:r w:rsidR="003F653B" w:rsidRPr="00CB283E">
        <w:t xml:space="preserve"> </w:t>
      </w:r>
      <w:r w:rsidR="00152A74" w:rsidRPr="00CB283E">
        <w:t xml:space="preserve">su u nacrte sljedećih programa </w:t>
      </w:r>
      <w:r w:rsidR="009B2830" w:rsidRPr="00CB283E">
        <w:t xml:space="preserve">energetske obnove obiteljskih kuća </w:t>
      </w:r>
      <w:r w:rsidR="00152A74" w:rsidRPr="00CB283E">
        <w:t>i višestambenih zgrada.</w:t>
      </w:r>
    </w:p>
    <w:p w14:paraId="21AE9D47" w14:textId="77777777" w:rsidR="0057783A" w:rsidRPr="001369AF" w:rsidRDefault="0057783A" w:rsidP="001369AF">
      <w:pPr>
        <w:pStyle w:val="Naslov3"/>
      </w:pPr>
      <w:bookmarkStart w:id="268" w:name="h.39kk8xu"/>
      <w:bookmarkStart w:id="269" w:name="_Toc3277930"/>
      <w:bookmarkStart w:id="270" w:name="_Toc34052931"/>
      <w:bookmarkStart w:id="271" w:name="_Toc46163867"/>
      <w:bookmarkEnd w:id="268"/>
      <w:r w:rsidRPr="001369AF">
        <w:t>Dugoročni model financiranja energetske obnove</w:t>
      </w:r>
      <w:bookmarkEnd w:id="269"/>
      <w:r w:rsidR="000D31A3">
        <w:t xml:space="preserve"> i izvori financiranja</w:t>
      </w:r>
      <w:bookmarkEnd w:id="270"/>
      <w:bookmarkEnd w:id="271"/>
    </w:p>
    <w:p w14:paraId="42D462E4" w14:textId="77777777" w:rsidR="0057783A" w:rsidRDefault="0057783A" w:rsidP="00161E36">
      <w:r>
        <w:t xml:space="preserve">Nedostatak povoljnih i stalno raspoloživih izvora financiranja dovodi do provedbe isključivo komercijalno isplativih projekata povećanja energetske učinkovitosti u sektoru zgradarstva. </w:t>
      </w:r>
      <w:r w:rsidR="00776D97">
        <w:t>Uspostavom</w:t>
      </w:r>
      <w:r>
        <w:t xml:space="preserve"> posebnih programa, fondova i kreditnih linija u suradnji s europskim razvojnim bankama Republika Hrvatska je prepoznala važnost financijske potpore prema investitorima. Nedostatak financijskih sredstava javnog sektora uslijed nepovoljnih makroekonomskih kretanja pritom je bila ključna prepreka u široj provedbi projekata energetske učinkovitosti. Republika Hrvatska u dosadašnjoj provedbi programa poticanja energetske obnove nije na raspolaganju imala fondove Kohezijske politike i Europskih strukturnih i investicijskih fondova</w:t>
      </w:r>
      <w:r>
        <w:rPr>
          <w:vertAlign w:val="superscript"/>
        </w:rPr>
        <w:footnoteReference w:id="46"/>
      </w:r>
      <w:r>
        <w:t xml:space="preserve"> što je uvelike ograničavalo mogućnosti potpore investitora u ovom sektoru. Europska unija istodobno nalaže i omogućava zemljama članicama da provedbu svojih programa energetske obnove u sektoru zgradarstva financiraju putem ovih instrumenata. Ovo je posebno naglašeno u članku 20. Direktive 2012/27/EU kojom se zemlje članice poziva na osnivanje nacionalnih fondova za poticanje energetske učinkovitosti ukoliko ne postoje dovoljno snažni tržišni instrumenti za provedbu planiranih ciljeva. </w:t>
      </w:r>
    </w:p>
    <w:p w14:paraId="59C28E39" w14:textId="77777777" w:rsidR="0057783A" w:rsidRDefault="00367A19" w:rsidP="00161E36">
      <w:r>
        <w:t>S</w:t>
      </w:r>
      <w:r w:rsidR="0057783A">
        <w:t>redstva ESI Fondova primarni</w:t>
      </w:r>
      <w:r>
        <w:t xml:space="preserve"> su</w:t>
      </w:r>
      <w:r w:rsidR="0057783A">
        <w:t xml:space="preserve"> izvor većine nacionalnih programa energetske obnove. Europska komisija postavila je minimalnu alokaciju sredstava iz Europskog fonda za regionalni razvoj za ostvarenje Tematskog cilja 4 - Podrška prijelazu prema ekonomiji temeljenoj na niskoj razini emisije CO</w:t>
      </w:r>
      <w:r w:rsidR="0057783A">
        <w:rPr>
          <w:vertAlign w:val="subscript"/>
        </w:rPr>
        <w:t>2</w:t>
      </w:r>
      <w:r w:rsidR="0057783A">
        <w:t xml:space="preserve"> u svim sektorima, za manje razvijene članice poput Hrvatske na 12%</w:t>
      </w:r>
      <w:r w:rsidR="0057783A">
        <w:rPr>
          <w:vertAlign w:val="superscript"/>
        </w:rPr>
        <w:footnoteReference w:id="47"/>
      </w:r>
      <w:r w:rsidR="0057783A">
        <w:t>. Sredstva se putem operativnih programa moraju iskoristiti za poticanje ulaganja u energetsku obnovu fonda zgrada u javnom i privatnom sektoru, poticanje korištenja obnovljivih izvora energije, napredne energetske mreže i urbanu mobilnost. Ova sredstva predstavljaju znatan iskorak i priliku za potporu cjelovite energetske obnove nacionalnog fonda zgrada stoga se financijski mehanizmi dugoročne strategije pretežno temelje na sredstvima europskih fondova.</w:t>
      </w:r>
      <w:r w:rsidR="007E7553">
        <w:t xml:space="preserve"> </w:t>
      </w:r>
      <w:r w:rsidR="00690425">
        <w:t xml:space="preserve">ESI sredstva koja su Republici Hrvatskoj bila na raspolaganju </w:t>
      </w:r>
      <w:r w:rsidR="00B63FC7">
        <w:t xml:space="preserve">u razdoblju 2014. do 2020. za energetsku obnovu zgrada su </w:t>
      </w:r>
      <w:r w:rsidR="00F8350E">
        <w:t>sljedeće</w:t>
      </w:r>
      <w:r w:rsidR="00B63FC7">
        <w:t>:</w:t>
      </w:r>
    </w:p>
    <w:p w14:paraId="2D901BF2" w14:textId="77777777" w:rsidR="00B63FC7" w:rsidRDefault="00B63FC7" w:rsidP="00853D9C">
      <w:pPr>
        <w:pStyle w:val="Odlomakpopisa"/>
        <w:numPr>
          <w:ilvl w:val="0"/>
          <w:numId w:val="42"/>
        </w:numPr>
      </w:pPr>
      <w:r>
        <w:t>211 milijuna € za energetsku obnovu zgrada javnog sektora</w:t>
      </w:r>
      <w:r w:rsidR="00F8350E">
        <w:t>;</w:t>
      </w:r>
    </w:p>
    <w:p w14:paraId="0C8CE69D" w14:textId="77777777" w:rsidR="00B63FC7" w:rsidRDefault="00B63FC7" w:rsidP="00853D9C">
      <w:pPr>
        <w:pStyle w:val="Odlomakpopisa"/>
        <w:numPr>
          <w:ilvl w:val="0"/>
          <w:numId w:val="42"/>
        </w:numPr>
      </w:pPr>
      <w:r>
        <w:t xml:space="preserve">100 milijuna € za </w:t>
      </w:r>
      <w:r w:rsidR="00F8350E">
        <w:t>energetsku</w:t>
      </w:r>
      <w:r>
        <w:t xml:space="preserve"> obnovu stambenih zgrada i</w:t>
      </w:r>
    </w:p>
    <w:p w14:paraId="1477C465" w14:textId="77777777" w:rsidR="00B63FC7" w:rsidRDefault="00B63FC7" w:rsidP="00853D9C">
      <w:pPr>
        <w:pStyle w:val="Odlomakpopisa"/>
        <w:numPr>
          <w:ilvl w:val="0"/>
          <w:numId w:val="42"/>
        </w:numPr>
      </w:pPr>
      <w:r>
        <w:t xml:space="preserve">40 milijuna € za </w:t>
      </w:r>
      <w:r w:rsidR="00F8350E">
        <w:t>energetsku</w:t>
      </w:r>
      <w:r>
        <w:t xml:space="preserve"> obnovu zgrada </w:t>
      </w:r>
      <w:r w:rsidR="00F8350E" w:rsidRPr="00F8350E">
        <w:t>u komercijalnom uslužnom sektoru (turizam i trgovina)</w:t>
      </w:r>
      <w:r w:rsidR="00F8350E">
        <w:t>.</w:t>
      </w:r>
    </w:p>
    <w:p w14:paraId="51B60260" w14:textId="77777777" w:rsidR="0057783A" w:rsidRDefault="007136B0" w:rsidP="00161E36">
      <w:r>
        <w:t>U sljedećem</w:t>
      </w:r>
      <w:r w:rsidR="0057783A">
        <w:t xml:space="preserve"> financijsko</w:t>
      </w:r>
      <w:r w:rsidR="009F5D0C">
        <w:t>m</w:t>
      </w:r>
      <w:r w:rsidR="0057783A">
        <w:t xml:space="preserve"> okvir</w:t>
      </w:r>
      <w:r w:rsidR="009F5D0C">
        <w:t>u</w:t>
      </w:r>
      <w:r w:rsidR="0057783A">
        <w:t xml:space="preserve"> za korištenje ESI fondova</w:t>
      </w:r>
      <w:r w:rsidR="00C26E76">
        <w:t xml:space="preserve"> od 2021. do 2027. godine </w:t>
      </w:r>
      <w:r w:rsidR="00650D49">
        <w:t>također je potrebno predvidjeti značajna sredstva iz ESI fondova, kako bi se ostvarili ciljevi ove Dugoročne stra</w:t>
      </w:r>
      <w:r w:rsidR="00513CAC">
        <w:t xml:space="preserve">tegije. Pri tome je potrebno uvažiti </w:t>
      </w:r>
      <w:r w:rsidR="0057783A">
        <w:t xml:space="preserve">tri </w:t>
      </w:r>
      <w:r w:rsidR="00513CAC">
        <w:t xml:space="preserve">načela </w:t>
      </w:r>
      <w:r w:rsidR="000F7D81">
        <w:t>korištenja ESI fondova, a to su</w:t>
      </w:r>
      <w:r w:rsidR="0057783A">
        <w:t>:</w:t>
      </w:r>
    </w:p>
    <w:p w14:paraId="4E85F2BE" w14:textId="77777777" w:rsidR="0057783A" w:rsidRDefault="0057783A" w:rsidP="00853D9C">
      <w:pPr>
        <w:pStyle w:val="Odlomakpopisa"/>
        <w:numPr>
          <w:ilvl w:val="0"/>
          <w:numId w:val="40"/>
        </w:numPr>
      </w:pPr>
      <w:r>
        <w:t>financijska održivost</w:t>
      </w:r>
      <w:r w:rsidR="006E6259">
        <w:t>;</w:t>
      </w:r>
    </w:p>
    <w:p w14:paraId="03BE4303" w14:textId="77777777" w:rsidR="0057783A" w:rsidRDefault="0057783A" w:rsidP="00853D9C">
      <w:pPr>
        <w:pStyle w:val="Odlomakpopisa"/>
        <w:numPr>
          <w:ilvl w:val="0"/>
          <w:numId w:val="40"/>
        </w:numPr>
      </w:pPr>
      <w:r>
        <w:t>racionalnost pri dodjeli bespovratnih sredstava s ciljem poticanja projekata sveobuhvatne energetske obnove, a koji ostvaruju ambiciozne energetske uštede</w:t>
      </w:r>
      <w:r w:rsidR="006E6259">
        <w:t xml:space="preserve"> i</w:t>
      </w:r>
    </w:p>
    <w:p w14:paraId="351D715A" w14:textId="77777777" w:rsidR="0057783A" w:rsidRDefault="0057783A" w:rsidP="00853D9C">
      <w:pPr>
        <w:pStyle w:val="Odlomakpopisa"/>
        <w:numPr>
          <w:ilvl w:val="0"/>
          <w:numId w:val="40"/>
        </w:numPr>
      </w:pPr>
      <w:r>
        <w:t>uključenost privatnog sektora i tržišnih mehanizama u financiranje projekata</w:t>
      </w:r>
      <w:r w:rsidR="006E6259">
        <w:t>.</w:t>
      </w:r>
    </w:p>
    <w:p w14:paraId="45926A6D" w14:textId="71723684" w:rsidR="0057783A" w:rsidRDefault="0057783A" w:rsidP="00161E36">
      <w:r>
        <w:t xml:space="preserve">Uz poštivanje zahtjeva za uvođenje inovativnih i održivih financijskih instrumenata, a uzevši u obzir barijere identificirane u poglavlju </w:t>
      </w:r>
      <w:r w:rsidR="00FC528D">
        <w:t>11</w:t>
      </w:r>
      <w:r>
        <w:t>.2.2. napravljen je pregled financijskih mjera kojima bi se pospješila provedba obnove nacionalnog fonda zgrada u razdoblju do 2050. godine (</w:t>
      </w:r>
      <w:r w:rsidR="00087BD4">
        <w:fldChar w:fldCharType="begin"/>
      </w:r>
      <w:r w:rsidR="00087BD4">
        <w:instrText xml:space="preserve"> REF _Ref24276290 \h </w:instrText>
      </w:r>
      <w:r w:rsidR="00087BD4">
        <w:fldChar w:fldCharType="separate"/>
      </w:r>
      <w:r w:rsidR="00CE61F3">
        <w:t xml:space="preserve">Tablica </w:t>
      </w:r>
      <w:r w:rsidR="00CE61F3">
        <w:rPr>
          <w:noProof/>
        </w:rPr>
        <w:t>11</w:t>
      </w:r>
      <w:r w:rsidR="00CE61F3">
        <w:t>.</w:t>
      </w:r>
      <w:r w:rsidR="00CE61F3">
        <w:rPr>
          <w:noProof/>
        </w:rPr>
        <w:t>8</w:t>
      </w:r>
      <w:r w:rsidR="00087BD4">
        <w:fldChar w:fldCharType="end"/>
      </w:r>
      <w:r>
        <w:t>).</w:t>
      </w:r>
    </w:p>
    <w:p w14:paraId="1D09C48C" w14:textId="5D2B63E0" w:rsidR="0057783A" w:rsidRDefault="00DB5D94" w:rsidP="00DB5D94">
      <w:pPr>
        <w:pStyle w:val="Opisslike"/>
        <w:ind w:left="0"/>
      </w:pPr>
      <w:bookmarkStart w:id="272" w:name="h.1opuj5n"/>
      <w:bookmarkStart w:id="273" w:name="_Ref24276290"/>
      <w:bookmarkStart w:id="274" w:name="_Ref483404407"/>
      <w:bookmarkStart w:id="275" w:name="_Toc2681327"/>
      <w:bookmarkStart w:id="276" w:name="_Toc40089055"/>
      <w:bookmarkEnd w:id="272"/>
      <w:r>
        <w:t xml:space="preserve">Tablica </w:t>
      </w:r>
      <w:fldSimple w:instr=" STYLEREF 1 \s ">
        <w:r w:rsidR="00CE61F3">
          <w:rPr>
            <w:noProof/>
          </w:rPr>
          <w:t>11</w:t>
        </w:r>
      </w:fldSimple>
      <w:r w:rsidR="0046545B">
        <w:t>.</w:t>
      </w:r>
      <w:fldSimple w:instr=" SEQ Tablica \* ARABIC \s 1 ">
        <w:r w:rsidR="00CE61F3">
          <w:rPr>
            <w:noProof/>
          </w:rPr>
          <w:t>8</w:t>
        </w:r>
      </w:fldSimple>
      <w:bookmarkEnd w:id="273"/>
      <w:r>
        <w:t xml:space="preserve"> </w:t>
      </w:r>
      <w:bookmarkEnd w:id="274"/>
      <w:r w:rsidR="0057783A" w:rsidRPr="000F7D81">
        <w:t>Dugoročne financijsko-fiskalne mjere za poticanje energetske obnove zgrada</w:t>
      </w:r>
      <w:bookmarkEnd w:id="275"/>
      <w:bookmarkEnd w:id="276"/>
    </w:p>
    <w:tbl>
      <w:tblPr>
        <w:tblStyle w:val="Svijetlatablicareetke11"/>
        <w:tblW w:w="0" w:type="auto"/>
        <w:tblLook w:val="04A0" w:firstRow="1" w:lastRow="0" w:firstColumn="1" w:lastColumn="0" w:noHBand="0" w:noVBand="1"/>
      </w:tblPr>
      <w:tblGrid>
        <w:gridCol w:w="3681"/>
        <w:gridCol w:w="5663"/>
      </w:tblGrid>
      <w:tr w:rsidR="008B0262" w14:paraId="4251167E" w14:textId="77777777" w:rsidTr="008B0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AC5E662" w14:textId="77777777" w:rsidR="008B0262" w:rsidRDefault="008B0262" w:rsidP="008B0262">
            <w:pPr>
              <w:ind w:left="0"/>
            </w:pPr>
            <w:r w:rsidRPr="00161E36">
              <w:rPr>
                <w:rFonts w:cs="Tahoma"/>
                <w:sz w:val="18"/>
                <w:szCs w:val="18"/>
              </w:rPr>
              <w:t>Financijske mjere</w:t>
            </w:r>
          </w:p>
        </w:tc>
        <w:tc>
          <w:tcPr>
            <w:tcW w:w="5663" w:type="dxa"/>
            <w:vAlign w:val="center"/>
          </w:tcPr>
          <w:p w14:paraId="352407EE" w14:textId="77777777" w:rsidR="008B0262" w:rsidRDefault="008B0262" w:rsidP="008B0262">
            <w:pPr>
              <w:ind w:left="0"/>
              <w:cnfStyle w:val="100000000000" w:firstRow="1" w:lastRow="0" w:firstColumn="0" w:lastColumn="0" w:oddVBand="0" w:evenVBand="0" w:oddHBand="0" w:evenHBand="0" w:firstRowFirstColumn="0" w:firstRowLastColumn="0" w:lastRowFirstColumn="0" w:lastRowLastColumn="0"/>
            </w:pPr>
            <w:r w:rsidRPr="00161E36">
              <w:rPr>
                <w:rFonts w:cs="Tahoma"/>
                <w:sz w:val="18"/>
                <w:szCs w:val="18"/>
              </w:rPr>
              <w:t>Učinci na identificirane barijere</w:t>
            </w:r>
          </w:p>
        </w:tc>
      </w:tr>
      <w:tr w:rsidR="008B0262" w14:paraId="5DF6743B" w14:textId="77777777" w:rsidTr="008B0262">
        <w:trPr>
          <w:trHeight w:val="2500"/>
        </w:trPr>
        <w:tc>
          <w:tcPr>
            <w:cnfStyle w:val="001000000000" w:firstRow="0" w:lastRow="0" w:firstColumn="1" w:lastColumn="0" w:oddVBand="0" w:evenVBand="0" w:oddHBand="0" w:evenHBand="0" w:firstRowFirstColumn="0" w:firstRowLastColumn="0" w:lastRowFirstColumn="0" w:lastRowLastColumn="0"/>
            <w:tcW w:w="3681" w:type="dxa"/>
          </w:tcPr>
          <w:p w14:paraId="3BD8C23B" w14:textId="77777777" w:rsidR="008B0262" w:rsidRDefault="008B0262" w:rsidP="008B0262">
            <w:pPr>
              <w:ind w:left="0"/>
            </w:pPr>
            <w:r w:rsidRPr="00161E36">
              <w:rPr>
                <w:rFonts w:cs="Tahoma"/>
                <w:sz w:val="18"/>
                <w:szCs w:val="18"/>
              </w:rPr>
              <w:t>Uspostava financijskih instrumenata – fonda za urbanu obnovu za projekte energetske obnove putem sredstava Europskih strukturnih i investicijskih fondova i razvojnih banaka kojima bi se ponudili dugoročni i održivi mehanizmi financiranja (zajmovi, garancije, equity) za korisnike iz javnog i privatnog sektora</w:t>
            </w:r>
          </w:p>
        </w:tc>
        <w:tc>
          <w:tcPr>
            <w:tcW w:w="5663" w:type="dxa"/>
          </w:tcPr>
          <w:p w14:paraId="05A01ED7" w14:textId="77777777" w:rsidR="008B0262" w:rsidRPr="00161E36"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Osigurana stalna raspoloživost sredstava neovisno o proračunskim sredstvima države i jedinica lokalne i područne (regionalne) samouprave</w:t>
            </w:r>
          </w:p>
          <w:p w14:paraId="6ACBC391" w14:textId="77777777" w:rsidR="008B0262" w:rsidRPr="00161E36"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Uključivanje komercijalnih financijskih institucija i mobilizacija većeg obujma privatnog kapitala</w:t>
            </w:r>
          </w:p>
          <w:p w14:paraId="261A8AFD" w14:textId="77777777" w:rsidR="008B0262" w:rsidRPr="00161E36"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Smanjenje rizika plasmana sredstava u projekte energetske obnove za financijske institucije.</w:t>
            </w:r>
          </w:p>
          <w:p w14:paraId="6352C262" w14:textId="77777777" w:rsidR="008B0262" w:rsidRPr="00161E36"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Mogućnost ostvarivanja bespovratnih sredstava za povećanje isplativosti ambicioznih i inovativnih projekata</w:t>
            </w:r>
          </w:p>
          <w:p w14:paraId="78F80576" w14:textId="77777777" w:rsidR="008B0262"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Olakšani pristup kapitalu i niži troškovi financiranja za pružatelje energetskih usluga i projekte javno-privatnog partnerstva</w:t>
            </w:r>
          </w:p>
        </w:tc>
      </w:tr>
      <w:tr w:rsidR="008B0262" w14:paraId="566029B1" w14:textId="77777777" w:rsidTr="008B0262">
        <w:trPr>
          <w:trHeight w:val="939"/>
        </w:trPr>
        <w:tc>
          <w:tcPr>
            <w:cnfStyle w:val="001000000000" w:firstRow="0" w:lastRow="0" w:firstColumn="1" w:lastColumn="0" w:oddVBand="0" w:evenVBand="0" w:oddHBand="0" w:evenHBand="0" w:firstRowFirstColumn="0" w:firstRowLastColumn="0" w:lastRowFirstColumn="0" w:lastRowLastColumn="0"/>
            <w:tcW w:w="3681" w:type="dxa"/>
          </w:tcPr>
          <w:p w14:paraId="52D5D8B8" w14:textId="77777777" w:rsidR="008B0262" w:rsidRDefault="008B0262" w:rsidP="008B0262">
            <w:pPr>
              <w:ind w:left="0"/>
            </w:pPr>
            <w:r w:rsidRPr="00161E36">
              <w:rPr>
                <w:rFonts w:cs="Tahoma"/>
                <w:sz w:val="18"/>
                <w:szCs w:val="18"/>
              </w:rPr>
              <w:t xml:space="preserve">Daljnja provedba Programa energetske obnove zgrada javnog sektora </w:t>
            </w:r>
          </w:p>
        </w:tc>
        <w:tc>
          <w:tcPr>
            <w:tcW w:w="5663" w:type="dxa"/>
          </w:tcPr>
          <w:p w14:paraId="70E7EA26" w14:textId="77777777" w:rsidR="008B0262" w:rsidRPr="00161E36"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Poticanje razvoja tržišta energetskih usluga</w:t>
            </w:r>
          </w:p>
          <w:p w14:paraId="0C0EB5CF" w14:textId="77777777" w:rsidR="008B0262" w:rsidRPr="00161E36"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Smanjenje opterećenja proračuna korisnika iz javnog sektora uslijed izbjegavanja dodatnog kreditnog zaduživanja</w:t>
            </w:r>
          </w:p>
          <w:p w14:paraId="2B617F5F" w14:textId="77777777" w:rsidR="008B0262"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Angažman financijskih sredstava i kapaciteta privatnog sektora</w:t>
            </w:r>
          </w:p>
        </w:tc>
      </w:tr>
      <w:tr w:rsidR="008B0262" w14:paraId="7EBD2FFA" w14:textId="77777777" w:rsidTr="008B0262">
        <w:tc>
          <w:tcPr>
            <w:cnfStyle w:val="001000000000" w:firstRow="0" w:lastRow="0" w:firstColumn="1" w:lastColumn="0" w:oddVBand="0" w:evenVBand="0" w:oddHBand="0" w:evenHBand="0" w:firstRowFirstColumn="0" w:firstRowLastColumn="0" w:lastRowFirstColumn="0" w:lastRowLastColumn="0"/>
            <w:tcW w:w="3681" w:type="dxa"/>
          </w:tcPr>
          <w:p w14:paraId="422C3E65" w14:textId="77777777" w:rsidR="008B0262" w:rsidRDefault="008B0262" w:rsidP="008B0262">
            <w:pPr>
              <w:ind w:left="0"/>
            </w:pPr>
            <w:r w:rsidRPr="00161E36">
              <w:rPr>
                <w:rFonts w:cs="Tahoma"/>
                <w:sz w:val="18"/>
                <w:szCs w:val="18"/>
              </w:rPr>
              <w:t>Uspostava posebnog potpornog programa za sufinanciranje energetske obnove zgrada zaštićene kulturne baštine</w:t>
            </w:r>
          </w:p>
        </w:tc>
        <w:tc>
          <w:tcPr>
            <w:tcW w:w="5663" w:type="dxa"/>
          </w:tcPr>
          <w:p w14:paraId="36629364" w14:textId="77777777" w:rsidR="008B0262"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Poticanje energetske obnove zgrada kulturne baštine koje ostvaruju visok ekonomski povrat (ERR) i nizak financijski povrat (IRR)</w:t>
            </w:r>
          </w:p>
        </w:tc>
      </w:tr>
      <w:tr w:rsidR="008B0262" w14:paraId="4D484EA4" w14:textId="77777777" w:rsidTr="008B0262">
        <w:tc>
          <w:tcPr>
            <w:cnfStyle w:val="001000000000" w:firstRow="0" w:lastRow="0" w:firstColumn="1" w:lastColumn="0" w:oddVBand="0" w:evenVBand="0" w:oddHBand="0" w:evenHBand="0" w:firstRowFirstColumn="0" w:firstRowLastColumn="0" w:lastRowFirstColumn="0" w:lastRowLastColumn="0"/>
            <w:tcW w:w="3681" w:type="dxa"/>
          </w:tcPr>
          <w:p w14:paraId="3AE6830E" w14:textId="77777777" w:rsidR="008B0262" w:rsidRDefault="008B0262" w:rsidP="008B0262">
            <w:pPr>
              <w:ind w:left="0"/>
            </w:pPr>
            <w:r w:rsidRPr="00161E36">
              <w:rPr>
                <w:rFonts w:cs="Tahoma"/>
                <w:sz w:val="18"/>
                <w:szCs w:val="18"/>
              </w:rPr>
              <w:t xml:space="preserve">Uspostava posebnog instrumenta za sufinanciranje tehničke pripreme projekata </w:t>
            </w:r>
          </w:p>
        </w:tc>
        <w:tc>
          <w:tcPr>
            <w:tcW w:w="5663" w:type="dxa"/>
          </w:tcPr>
          <w:p w14:paraId="383E8608" w14:textId="77777777" w:rsidR="008B0262" w:rsidRPr="00161E36"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Izbjegavanje visokih razvojnih troškova projekata</w:t>
            </w:r>
          </w:p>
          <w:p w14:paraId="51A8A17E" w14:textId="77777777" w:rsidR="008B0262" w:rsidRDefault="008B0262" w:rsidP="008B0262">
            <w:pPr>
              <w:ind w:left="0"/>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Stvaranje baze projekata spremnih za financiranje i provedbu</w:t>
            </w:r>
          </w:p>
        </w:tc>
      </w:tr>
      <w:tr w:rsidR="008B0262" w14:paraId="6FF280D8" w14:textId="77777777" w:rsidTr="008B0262">
        <w:trPr>
          <w:trHeight w:val="1005"/>
        </w:trPr>
        <w:tc>
          <w:tcPr>
            <w:cnfStyle w:val="001000000000" w:firstRow="0" w:lastRow="0" w:firstColumn="1" w:lastColumn="0" w:oddVBand="0" w:evenVBand="0" w:oddHBand="0" w:evenHBand="0" w:firstRowFirstColumn="0" w:firstRowLastColumn="0" w:lastRowFirstColumn="0" w:lastRowLastColumn="0"/>
            <w:tcW w:w="3681" w:type="dxa"/>
          </w:tcPr>
          <w:p w14:paraId="69FDCAAF" w14:textId="77777777" w:rsidR="008B0262" w:rsidRDefault="008B0262" w:rsidP="008B0262">
            <w:pPr>
              <w:ind w:left="0"/>
            </w:pPr>
            <w:r>
              <w:rPr>
                <w:rFonts w:cs="Tahoma"/>
                <w:sz w:val="18"/>
                <w:szCs w:val="18"/>
              </w:rPr>
              <w:t>Sustav obveze energetske učinkovitosti za opskrbljivače energijom</w:t>
            </w:r>
          </w:p>
        </w:tc>
        <w:tc>
          <w:tcPr>
            <w:tcW w:w="5663" w:type="dxa"/>
          </w:tcPr>
          <w:p w14:paraId="48558500" w14:textId="77777777" w:rsidR="008B0262"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 xml:space="preserve">Osigurani </w:t>
            </w:r>
            <w:r>
              <w:rPr>
                <w:rFonts w:cs="Tahoma"/>
                <w:sz w:val="18"/>
                <w:szCs w:val="18"/>
              </w:rPr>
              <w:t xml:space="preserve">dodatni </w:t>
            </w:r>
            <w:r w:rsidRPr="00161E36">
              <w:rPr>
                <w:rFonts w:cs="Tahoma"/>
                <w:sz w:val="18"/>
                <w:szCs w:val="18"/>
              </w:rPr>
              <w:t xml:space="preserve">izvori bespovratnih sredstava </w:t>
            </w:r>
            <w:r>
              <w:rPr>
                <w:rFonts w:cs="Tahoma"/>
                <w:sz w:val="18"/>
                <w:szCs w:val="18"/>
              </w:rPr>
              <w:t>izvan državnog proračuna i javih fondova , uključujući ESI fondove</w:t>
            </w:r>
          </w:p>
          <w:p w14:paraId="13DC1A48" w14:textId="77777777" w:rsidR="008B0262"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Poticanje razvoja tržišta energetskih usluga</w:t>
            </w:r>
          </w:p>
          <w:p w14:paraId="7DE9085B" w14:textId="77777777" w:rsidR="008B0262"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Rasterećenje financijskih i ljudskih kapaciteta javnih institucija</w:t>
            </w:r>
          </w:p>
        </w:tc>
      </w:tr>
      <w:tr w:rsidR="008B0262" w14:paraId="24829F99" w14:textId="77777777" w:rsidTr="008B0262">
        <w:tc>
          <w:tcPr>
            <w:cnfStyle w:val="001000000000" w:firstRow="0" w:lastRow="0" w:firstColumn="1" w:lastColumn="0" w:oddVBand="0" w:evenVBand="0" w:oddHBand="0" w:evenHBand="0" w:firstRowFirstColumn="0" w:firstRowLastColumn="0" w:lastRowFirstColumn="0" w:lastRowLastColumn="0"/>
            <w:tcW w:w="3681" w:type="dxa"/>
          </w:tcPr>
          <w:p w14:paraId="4545CCFD" w14:textId="5CAB04DA" w:rsidR="008B0262" w:rsidRDefault="008B0262" w:rsidP="008B0262">
            <w:pPr>
              <w:ind w:left="0"/>
            </w:pPr>
            <w:r w:rsidRPr="00161E36">
              <w:rPr>
                <w:rFonts w:cs="Tahoma"/>
                <w:sz w:val="18"/>
                <w:szCs w:val="18"/>
              </w:rPr>
              <w:t xml:space="preserve">Uspostava sustava poreznih olakšica za ulaganja u energetsku obnovu </w:t>
            </w:r>
          </w:p>
        </w:tc>
        <w:tc>
          <w:tcPr>
            <w:tcW w:w="5663" w:type="dxa"/>
          </w:tcPr>
          <w:p w14:paraId="21D5DCC1" w14:textId="77777777" w:rsidR="008B0262" w:rsidRDefault="008B0262" w:rsidP="00853D9C">
            <w:pPr>
              <w:numPr>
                <w:ilvl w:val="0"/>
                <w:numId w:val="38"/>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Poticanje ulaganja u obnovu neučinkovitih zgrada</w:t>
            </w:r>
          </w:p>
        </w:tc>
      </w:tr>
    </w:tbl>
    <w:p w14:paraId="42316EFF" w14:textId="77777777" w:rsidR="008B0262" w:rsidRDefault="008B0262" w:rsidP="008B0262"/>
    <w:p w14:paraId="7D7C123C" w14:textId="48BE99DE" w:rsidR="0057783A" w:rsidRDefault="0057783A" w:rsidP="004B3DC6">
      <w:r>
        <w:t>Optimalni financijski model kojim će se poduprijeti provedba Dugoročne strategije za poticanje ulaganja u obnovu nacionalnog fonda zgrada Republike Hrvatske složeni je paket financijskih i fiskalnih mehanizama koji kombinira tržišne i javne instrumente. Država pritom svojim djelovanjem mora osigurati maksimalnu učinkovitost korištenja javnih sredstava na način da se dodjelom bespovratnih sredstava izbjegne istiskivanje privatnih investicija kod projekata komercijalne prirode.</w:t>
      </w:r>
    </w:p>
    <w:p w14:paraId="1BD493B1" w14:textId="77777777" w:rsidR="0062016B" w:rsidRDefault="0062016B" w:rsidP="007649C2">
      <w:pPr>
        <w:pStyle w:val="Naslov20"/>
      </w:pPr>
      <w:bookmarkStart w:id="277" w:name="_Toc34052932"/>
      <w:bookmarkStart w:id="278" w:name="_Toc46163868"/>
      <w:r>
        <w:t>Aktivnosti za mobilizaciju ulaganja</w:t>
      </w:r>
      <w:bookmarkEnd w:id="277"/>
      <w:bookmarkEnd w:id="278"/>
    </w:p>
    <w:p w14:paraId="4532A592" w14:textId="77777777" w:rsidR="006C51DB" w:rsidRDefault="00A94D42" w:rsidP="004B3DC6">
      <w:r>
        <w:t xml:space="preserve">Dugoročna strategija za poticanje ulaganja u obnovu nacionalnog fonda zgrada Republike Hrvatske ima za cilj osigurati dugoročno uklanjanje prepreka privatnom investiranju u energetski sektor i to naputcima za stvaranje jasnog, nedvosmislenog i stabilnog zakonskog i administrativnog okvira koji će biti poticajan za poduzimanje ulaganja u energetsku obnovu zgrada i koji će smanjivati stupanj neizvjesnosti s kojom se privatni ulagači suočavaju. Ulaganja u energetski sektor potrebno je zbog visine ulaganja, dugoročnog karaktera i osjetljivosti ishoda kod značajnih kretanja tržišnih cijena energije dodatno ohrabrivati kako bi se ova ulaganja učinila atraktivnima za investitore. </w:t>
      </w:r>
    </w:p>
    <w:p w14:paraId="4306BBB0" w14:textId="77777777" w:rsidR="00A94D42" w:rsidRDefault="00A94D42" w:rsidP="004B3DC6">
      <w:r>
        <w:t>To može uključivati i pravodobno informiranje svih relevantnih dionika o financijskim i pravnim okvirima te široku razmjenu najbolje prakse na svim razinama.</w:t>
      </w:r>
      <w:r w:rsidR="00AF415A">
        <w:t xml:space="preserve"> Jedan od </w:t>
      </w:r>
      <w:r w:rsidR="00CA39C2">
        <w:t xml:space="preserve">djelotvornih alata za razmjenu iskustava svakako je „Otvoreni dijalog partnera“ (vidjeti poglavlje 12.1). </w:t>
      </w:r>
      <w:r w:rsidR="00F93E3C">
        <w:t>Osim toga, u programima financiranja energetske obnove uvijek je bitno osigurati</w:t>
      </w:r>
      <w:r w:rsidR="009D597F">
        <w:t xml:space="preserve"> savjetodavnu potporu korisnicima, kako be se raspoloživa sredstva iskoristila na najbolji mogući način.  </w:t>
      </w:r>
      <w:r>
        <w:t xml:space="preserve"> </w:t>
      </w:r>
    </w:p>
    <w:p w14:paraId="745B2D1F" w14:textId="77777777" w:rsidR="00A94D42" w:rsidRDefault="00AD1462" w:rsidP="004B3DC6">
      <w:r>
        <w:t xml:space="preserve">Poticanje privatnih investicija u energetsku obnovu ključno je za ostvarenje ciljeva ove Dugoročne strategije. </w:t>
      </w:r>
      <w:r w:rsidR="00A94D42">
        <w:t xml:space="preserve">Financijske institucije ključan su dionik u strateškoj obnovi nacionalnog fonda zgrada iz razloga što javni sektor nema financijsku snagu da sam podrži provedbu svih planiranih mjera. Angažman privatnih investitora i banaka u projektima energetske učinkovitosti u prošlosti je bio minimalan i ograničen na komercijalne projekte. Projekti energetske obnove ne stvaraju direktne novčane primitke već utječu na smanjenje postojećih troškova. Ove financijske koristi podložnije su tehničkom riziku i ponašanju korisnika te su razlog zbog kojeg su banke bile manje sklone financirati ovaj tip projekata ili uz zahtijevanje visokih kamatnih stopa i velikih jamstava. Uklanjanje i premošćivanje ovih rizika, kao i nepovjerenja prema ESCO modelu financiranja ključan je preduvjet za intenzivnije uključivanje financijskih institucija, pri čemu država posjeduje mehanizme kojima se to može omogućiti. Određeni napredak u dosadašnjem radu ipak je postignut intervencijom europskih razvojnih banaka (EBRD i EIB) kojom su u suradnji s domaćim razvojnim i komercijalnim bankama uspostavljene linije kreditiranja za projekte održive energije te jačanje kapaciteta financijskih institucija prilikom ocjenjivanja i strukturiranja projekata. </w:t>
      </w:r>
    </w:p>
    <w:p w14:paraId="68DEE476" w14:textId="77777777" w:rsidR="00A94D42" w:rsidRDefault="00A94D42" w:rsidP="004B3DC6">
      <w:r>
        <w:t>Privatnim investitorima, odnosno pružateljima energetskih usluga najveću barijeru predstavlja ograničen pristup povoljnim izvorima financiranja. Nedostatak podrške financijskih institucija u obliku dugoročnih povlaštenih zajmova, garancija i projektnog financiranja uzrokovao je vrlo visoku cijenu ESCO projekata i posljedičnu nesklonost investitora za odabir ovoga modela. Kohezijska politika Europske unije nalaže da se provedba projekata održive energije provede s većim sudjelovanjem privatnih investitora. Javne potpore pritom moraju zauzeti ulogu komplementarnih financijskih sredstava koja će mobilizirati sredstva privatnih investitora na način da ih učini atraktivnijima za njihovo uključivanje u financiranje obnove. Ovaj cilj moguće je postići uvođenjem sljedećih financijskih i regulatornih mehanizama:</w:t>
      </w:r>
    </w:p>
    <w:p w14:paraId="49EF79C7" w14:textId="77777777" w:rsidR="00A94D42" w:rsidRDefault="00A94D42" w:rsidP="00853D9C">
      <w:pPr>
        <w:pStyle w:val="Odlomakpopisa"/>
        <w:numPr>
          <w:ilvl w:val="0"/>
          <w:numId w:val="41"/>
        </w:numPr>
      </w:pPr>
      <w:r>
        <w:t xml:space="preserve">osnivanjem nacionalnog revolving fonda </w:t>
      </w:r>
      <w:r w:rsidR="00032AF4">
        <w:t>sredstvima</w:t>
      </w:r>
      <w:r>
        <w:t xml:space="preserve"> ESI fondova, pružateljima energetske usluge omogućit će se pristup dugoročnom izvoru financiranja uz tržišno povoljnije uvjete, a bankama mogućnost plasiranja sredstava kroz fond</w:t>
      </w:r>
      <w:r w:rsidR="00032AF4">
        <w:t>;</w:t>
      </w:r>
    </w:p>
    <w:p w14:paraId="031FAB40" w14:textId="77777777" w:rsidR="00A94D42" w:rsidRPr="004B3DC6" w:rsidRDefault="00A94D42" w:rsidP="00853D9C">
      <w:pPr>
        <w:pStyle w:val="Odlomakpopisa"/>
        <w:numPr>
          <w:ilvl w:val="0"/>
          <w:numId w:val="41"/>
        </w:numPr>
        <w:rPr>
          <w:color w:val="000000"/>
        </w:rPr>
      </w:pPr>
      <w:r>
        <w:t xml:space="preserve">uvođenjem posebnih </w:t>
      </w:r>
      <w:r w:rsidR="00032AF4">
        <w:t>garancijskih</w:t>
      </w:r>
      <w:r>
        <w:t xml:space="preserve"> instrumenata smanjit će se rizičnost plasmana sredstava privatnih investitora</w:t>
      </w:r>
      <w:r w:rsidR="00032AF4">
        <w:t>;</w:t>
      </w:r>
    </w:p>
    <w:p w14:paraId="70F97590" w14:textId="77777777" w:rsidR="00A94D42" w:rsidRDefault="00A94D42" w:rsidP="00853D9C">
      <w:pPr>
        <w:pStyle w:val="Odlomakpopisa"/>
        <w:numPr>
          <w:ilvl w:val="0"/>
          <w:numId w:val="41"/>
        </w:numPr>
      </w:pPr>
      <w:r>
        <w:t>subvencioniranjem kamata komercijalnih kredita omogućit će se plasman financijskih sredstava komercijalnih banaka u energetsku obnovu zgrada</w:t>
      </w:r>
      <w:r w:rsidR="00032AF4">
        <w:t>;</w:t>
      </w:r>
    </w:p>
    <w:p w14:paraId="2D2001D0" w14:textId="77777777" w:rsidR="00A94D42" w:rsidRDefault="00A94D42" w:rsidP="00853D9C">
      <w:pPr>
        <w:pStyle w:val="Odlomakpopisa"/>
        <w:numPr>
          <w:ilvl w:val="0"/>
          <w:numId w:val="41"/>
        </w:numPr>
      </w:pPr>
      <w:r>
        <w:t>promicanje razvoja tržišta energetskih usluga putem provedbe Programa obnove zgrada javne namjene</w:t>
      </w:r>
      <w:r w:rsidR="00786FDF">
        <w:t xml:space="preserve"> – u ovom segmentu potrebno je razmotriti i agregiranje projekata u javnom sektoru kako bi postali financijski atraktivniji privatnim investitorima</w:t>
      </w:r>
      <w:r w:rsidR="003A5ECE">
        <w:t>;</w:t>
      </w:r>
    </w:p>
    <w:p w14:paraId="3FF253B7" w14:textId="77777777" w:rsidR="00A94D42" w:rsidRDefault="00A94D42" w:rsidP="00853D9C">
      <w:pPr>
        <w:pStyle w:val="Odlomakpopisa"/>
        <w:numPr>
          <w:ilvl w:val="0"/>
          <w:numId w:val="41"/>
        </w:numPr>
      </w:pPr>
      <w:r>
        <w:t>razvoj tipiziranih ugovora o energetskom učinku te standardiziranih metoda za mjerenje i verifikaciju energetskih ušteda koje će povećati povjerenje korisnika i financijskih institucija u ESCO model</w:t>
      </w:r>
      <w:r w:rsidR="003A5ECE">
        <w:t>.</w:t>
      </w:r>
    </w:p>
    <w:p w14:paraId="4E827470" w14:textId="154CF3EB" w:rsidR="002D1E78" w:rsidRDefault="00A94D42" w:rsidP="004B3DC6">
      <w:r>
        <w:t>Osim intervencija na strani ponude važno je poraditi i na strani povećanja potražnje za uslugama financiranja projekata energetske učinkovitosti putem promotivnih i informativnih kampanja kako bi se povećala svijest korisnika o postojanju povoljnih izvora financiranja. Mnoge banke u Hrvatskoj prepoznale su važnost ovoga elementa kojim osim plasmana svojih sredstava izgrađuju i imidž društveno i ekološki odgovornih institucija.</w:t>
      </w:r>
    </w:p>
    <w:p w14:paraId="443646FA" w14:textId="03939812" w:rsidR="00827B0A" w:rsidRDefault="00827B0A" w:rsidP="004B3DC6">
      <w:r>
        <w:br w:type="page"/>
      </w:r>
    </w:p>
    <w:p w14:paraId="5B4137DE" w14:textId="77777777" w:rsidR="006321D1" w:rsidRPr="008129E7" w:rsidRDefault="006321D1" w:rsidP="008129E7">
      <w:pPr>
        <w:pStyle w:val="Naslov10"/>
      </w:pPr>
      <w:bookmarkStart w:id="279" w:name="_Toc34052933"/>
      <w:bookmarkStart w:id="280" w:name="_Toc46163869"/>
      <w:r w:rsidRPr="008129E7">
        <w:t>Sažetak rezultata javnog savjetovanja o dugoročnoj strategiji</w:t>
      </w:r>
      <w:bookmarkEnd w:id="279"/>
      <w:bookmarkEnd w:id="280"/>
      <w:r w:rsidRPr="008129E7">
        <w:t xml:space="preserve"> </w:t>
      </w:r>
    </w:p>
    <w:p w14:paraId="70093176" w14:textId="77777777" w:rsidR="00A24B2A" w:rsidRDefault="00A24B2A" w:rsidP="007649C2">
      <w:pPr>
        <w:pStyle w:val="Naslov20"/>
      </w:pPr>
      <w:bookmarkStart w:id="281" w:name="_Toc34052934"/>
      <w:bookmarkStart w:id="282" w:name="_Toc46163870"/>
      <w:r w:rsidRPr="006922AA">
        <w:t>Modali</w:t>
      </w:r>
      <w:r w:rsidR="006922AA" w:rsidRPr="006922AA">
        <w:t xml:space="preserve">teti </w:t>
      </w:r>
      <w:r w:rsidR="007F1041">
        <w:t>javnog savjetovanja</w:t>
      </w:r>
      <w:bookmarkEnd w:id="281"/>
      <w:bookmarkEnd w:id="282"/>
      <w:r w:rsidR="007F1041">
        <w:t xml:space="preserve"> </w:t>
      </w:r>
    </w:p>
    <w:p w14:paraId="2BBB78B3" w14:textId="77777777" w:rsidR="00ED5478" w:rsidRDefault="00ED5478" w:rsidP="00ED5478">
      <w:pPr>
        <w:pStyle w:val="Naslov3"/>
      </w:pPr>
      <w:bookmarkStart w:id="283" w:name="_Toc34052935"/>
      <w:bookmarkStart w:id="284" w:name="_Toc46163871"/>
      <w:r w:rsidRPr="00ED5478">
        <w:t>Otvoreni dijalog partnera</w:t>
      </w:r>
      <w:bookmarkEnd w:id="283"/>
      <w:bookmarkEnd w:id="284"/>
      <w:r w:rsidRPr="00ED5478">
        <w:t xml:space="preserve"> </w:t>
      </w:r>
    </w:p>
    <w:p w14:paraId="5212362E" w14:textId="1B95A112" w:rsidR="001C1A25" w:rsidRDefault="00826841" w:rsidP="001C1A25">
      <w:r>
        <w:rPr>
          <w:lang w:eastAsia="hr-HR"/>
        </w:rPr>
        <w:t xml:space="preserve">S ciljem </w:t>
      </w:r>
      <w:r>
        <w:t>jačanja međuresorne komunikacije i suradnje između tijela državne uprave i realnog sektora, Ministarstvo graditeljstva i prostornoga uređenja</w:t>
      </w:r>
      <w:r w:rsidR="001D004F">
        <w:t xml:space="preserve"> pokrenulo je inicijativu „Otvoreni dijalog partnera“.</w:t>
      </w:r>
      <w:r>
        <w:t xml:space="preserve"> </w:t>
      </w:r>
      <w:r w:rsidR="001C1A25">
        <w:t xml:space="preserve">Uspostavom Otvorenog dijaloga partnera </w:t>
      </w:r>
      <w:r w:rsidR="005050DE">
        <w:t>ćeli se</w:t>
      </w:r>
      <w:r w:rsidR="001C1A25">
        <w:t xml:space="preserve"> stvoriti širok</w:t>
      </w:r>
      <w:r w:rsidR="005050DE">
        <w:t>a</w:t>
      </w:r>
      <w:r w:rsidR="001C1A25">
        <w:t xml:space="preserve"> mrež</w:t>
      </w:r>
      <w:r w:rsidR="005050DE">
        <w:t xml:space="preserve">a </w:t>
      </w:r>
      <w:r w:rsidR="001C1A25">
        <w:t>povezanih stručnjaka koji su spremni na zajednički dijalog i doprinos dekarbonizaciji fonda zgrada do 2050. godine. Otvoreni dijalozi partnera okupljaju predstavnike državne i lokalne uprave, akademske zajednice i stručne javnosti, građevinskog i energetskog sektora te pratećih industrija na tematskim radionicama koje organizira Ministarstva graditeljstva i prostornoga uređenja.</w:t>
      </w:r>
    </w:p>
    <w:p w14:paraId="3E3A8BC9" w14:textId="77777777" w:rsidR="002028BF" w:rsidRDefault="002028BF" w:rsidP="002028BF">
      <w:pPr>
        <w:rPr>
          <w:rFonts w:asciiTheme="minorHAnsi" w:hAnsiTheme="minorHAnsi" w:cstheme="minorHAnsi"/>
          <w:b/>
          <w:bCs/>
          <w:szCs w:val="22"/>
          <w:lang w:eastAsia="en-US"/>
        </w:rPr>
      </w:pPr>
    </w:p>
    <w:p w14:paraId="6711747C" w14:textId="77777777" w:rsidR="002028BF" w:rsidRDefault="002028BF" w:rsidP="002028BF">
      <w:pPr>
        <w:rPr>
          <w:rFonts w:cstheme="minorHAnsi"/>
          <w:b/>
          <w:bCs/>
          <w:lang w:eastAsia="hr-HR"/>
        </w:rPr>
      </w:pPr>
      <w:r>
        <w:rPr>
          <w:rFonts w:cstheme="minorHAnsi"/>
          <w:b/>
          <w:bCs/>
          <w:lang w:eastAsia="hr-HR"/>
        </w:rPr>
        <w:t>PRVI OTVORENI DIJALOG PARTNERA</w:t>
      </w:r>
    </w:p>
    <w:p w14:paraId="23AEAA6A" w14:textId="77777777" w:rsidR="002028BF" w:rsidRDefault="002028BF" w:rsidP="002028BF">
      <w:pPr>
        <w:rPr>
          <w:rFonts w:cstheme="minorHAnsi"/>
          <w:lang w:eastAsia="hr-HR"/>
        </w:rPr>
      </w:pPr>
      <w:r>
        <w:rPr>
          <w:rFonts w:cstheme="minorHAnsi"/>
          <w:lang w:eastAsia="hr-HR"/>
        </w:rPr>
        <w:t>Održan: 27. rujna 2018. godine, u organizaciji MGIPU-a, u Hotelu Westin u Zagrebu</w:t>
      </w:r>
    </w:p>
    <w:p w14:paraId="7ECC7786" w14:textId="77777777" w:rsidR="002028BF" w:rsidRDefault="002028BF" w:rsidP="002028BF">
      <w:pPr>
        <w:pBdr>
          <w:bottom w:val="single" w:sz="4" w:space="1" w:color="auto"/>
        </w:pBdr>
        <w:rPr>
          <w:rFonts w:cstheme="minorHAnsi"/>
          <w:b/>
          <w:bCs/>
          <w:lang w:eastAsia="hr-HR"/>
        </w:rPr>
      </w:pPr>
      <w:r>
        <w:rPr>
          <w:rFonts w:cstheme="minorHAnsi"/>
          <w:lang w:eastAsia="hr-HR"/>
        </w:rPr>
        <w:t>Tema: ,,Implementacija standarda zgrade gotovo nulte energije i nacionalne Dugoročne strategije energetske obnove zgrada do 2050.“</w:t>
      </w:r>
    </w:p>
    <w:p w14:paraId="051259C7" w14:textId="77777777" w:rsidR="002028BF" w:rsidRDefault="002028BF" w:rsidP="002028BF">
      <w:pPr>
        <w:rPr>
          <w:rFonts w:cstheme="minorHAnsi"/>
          <w:lang w:eastAsia="hr-HR"/>
        </w:rPr>
      </w:pPr>
      <w:r>
        <w:rPr>
          <w:rFonts w:cstheme="minorHAnsi"/>
          <w:lang w:eastAsia="hr-HR"/>
        </w:rPr>
        <w:t xml:space="preserve">Održan je  u organizaciji </w:t>
      </w:r>
      <w:r>
        <w:rPr>
          <w:rFonts w:cstheme="minorHAnsi"/>
        </w:rPr>
        <w:t>Ministarstva graditeljstva i prostornoga uređenja</w:t>
      </w:r>
      <w:r>
        <w:rPr>
          <w:rFonts w:cstheme="minorHAnsi"/>
          <w:lang w:eastAsia="hr-HR"/>
        </w:rPr>
        <w:t xml:space="preserve"> kao prateći događaj međunarodne konferencije “Energetska učinkovitost u zgradarstvu – za bolje sutra”,  sa prezentacijama i tematskim</w:t>
      </w:r>
      <w:r>
        <w:rPr>
          <w:rFonts w:cstheme="minorHAnsi"/>
        </w:rPr>
        <w:t xml:space="preserve"> radionicama u grupama, </w:t>
      </w:r>
      <w:r>
        <w:rPr>
          <w:rFonts w:cstheme="minorHAnsi"/>
          <w:lang w:eastAsia="hr-HR"/>
        </w:rPr>
        <w:t xml:space="preserve">uz sudjelovanje do 100-tinjak sudionika. Aktivni sudionici bili su </w:t>
      </w:r>
      <w:r>
        <w:rPr>
          <w:rFonts w:cstheme="minorHAnsi"/>
        </w:rPr>
        <w:t>predstavnici državne i lokalne uprave, akademske zajednice i stručne javnosti, građevinskog i energetskog sektora.</w:t>
      </w:r>
    </w:p>
    <w:p w14:paraId="2C0AD1C7" w14:textId="77777777" w:rsidR="002028BF" w:rsidRDefault="002028BF" w:rsidP="002028BF">
      <w:pPr>
        <w:rPr>
          <w:rFonts w:cstheme="minorHAnsi"/>
          <w:lang w:eastAsia="hr-HR"/>
        </w:rPr>
      </w:pPr>
      <w:r>
        <w:rPr>
          <w:rFonts w:cstheme="minorHAnsi"/>
          <w:lang w:eastAsia="hr-HR"/>
        </w:rPr>
        <w:t xml:space="preserve">Tematske radionice održane su sa temama bitnim za izradu dugoročne strategije energetske obnove zgrada do 2050. godine, kao što su : dekarbonizacija fonda zgrada do 2050. godine, pametno  financiranje i smanjivanje rizika investicija, elektromobilnost, osnivanje jedinstvenih kontaktnih točaka (one-stop shops), regulacija i automatizacija u zgradama, seizmika i zaštita od požara u obnovi zgrada </w:t>
      </w:r>
    </w:p>
    <w:p w14:paraId="361E98C2" w14:textId="77777777" w:rsidR="002028BF" w:rsidRDefault="002028BF" w:rsidP="002028BF">
      <w:pPr>
        <w:rPr>
          <w:rFonts w:cstheme="minorHAnsi"/>
          <w:lang w:eastAsia="en-US"/>
        </w:rPr>
      </w:pPr>
      <w:r>
        <w:rPr>
          <w:rFonts w:cstheme="minorHAnsi"/>
          <w:lang w:eastAsia="hr-HR"/>
        </w:rPr>
        <w:t>Osviješteni su neki od problema na čijim rješavanjima bismo dalje trebali raditi, kao npr: problemi projektiranja (svi zajednički surađuju na nZEB-u već u ranoj fazi projektiranja, kontrola projekta) , međunarodni nZEB kriteriji ne postoje, implementacija visokog udjela OIE in situ na postojećim zgradama, problemi izvođenja (neophodna kontrola izvođenja, i postignutih performansi, destimulacija primjene fosilnih goriva ne postoji, potreban je konsenzus svih političkih opcija za stabilnu i dugoročnu strategiju, izuzetna dotrajalost postojećeg fonda zgrada, pozicije za ugradnju PV sustava (parkirališta, neiskorišteni ravni krovovi,  balasiranje električne mreže i skladištenje energije, obrazovanje za nove discipline djelatnosti, edukacija korisnika novih/novo obnovljenih kuća, izazovi low technology, izazovi umrežavanja, energetska neovisnost RH, uvođenje energetski umreženih naselja (Smart-grid), eliminacija fosilnih goriva, p</w:t>
      </w:r>
      <w:r>
        <w:rPr>
          <w:rFonts w:cstheme="minorHAnsi"/>
        </w:rPr>
        <w:t>otrebno realociranje sredstava iz OPKK 2014.-2020., pravovremeno informiranje o budućim pozivima i količini sredstava , razvoj novih usluga financijskog sektora u energetskoj učinkovitosti, Poseban naglasak na energetsko siromaštvo.</w:t>
      </w:r>
    </w:p>
    <w:p w14:paraId="4ED71FAB" w14:textId="15443D48" w:rsidR="002028BF" w:rsidRDefault="002028BF" w:rsidP="002028BF">
      <w:pPr>
        <w:rPr>
          <w:rFonts w:cstheme="minorHAnsi"/>
          <w:lang w:eastAsia="hr-HR"/>
        </w:rPr>
      </w:pPr>
      <w:r>
        <w:rPr>
          <w:rFonts w:cstheme="minorHAnsi"/>
        </w:rPr>
        <w:t>Također, po pitanju elektromobilnosti:  k</w:t>
      </w:r>
      <w:r>
        <w:rPr>
          <w:rFonts w:cstheme="minorHAnsi"/>
          <w:lang w:eastAsia="hr-HR"/>
        </w:rPr>
        <w:t xml:space="preserve">od izgradnje novih zgrada ne očekuju se veći problemi vezani za projektiranje e-parkirnih mjesta, ali kod postojećih zgrada moguć je problem vlasništva e-parkirnih mjesta, režima korištenja, upravljanja, održavanja sposobnosti (kapaciteta) distribucijske mreže za priključenja na nju. Suradnja u izgradnji e-mobilnosti će biti potrebna iz područja graditeljstva, energetike, ekonomije, pravosuđa i gospodarstva. </w:t>
      </w:r>
    </w:p>
    <w:p w14:paraId="2DE6D11E" w14:textId="77777777" w:rsidR="002028BF" w:rsidRDefault="002028BF" w:rsidP="002028BF">
      <w:pPr>
        <w:rPr>
          <w:rFonts w:cstheme="minorHAnsi"/>
          <w:lang w:eastAsia="hr-HR"/>
        </w:rPr>
      </w:pPr>
      <w:r>
        <w:rPr>
          <w:rFonts w:cstheme="minorHAnsi"/>
          <w:lang w:eastAsia="hr-HR"/>
        </w:rPr>
        <w:t>Dalje je zaključeno da bi osnivanje jedinstvenih kontaktnih točaka (one-stop shops) bilo vrlo korisno kao mjesto gdje bi se dobile sve relevantne informacije vezane za energetsku učinkovitost u zgradarstvu kao osnivanje posebnih ureda  ili preko posebnih „bibliobusa“.</w:t>
      </w:r>
    </w:p>
    <w:p w14:paraId="0AF13841" w14:textId="77777777" w:rsidR="002028BF" w:rsidRDefault="002028BF" w:rsidP="002028BF">
      <w:pPr>
        <w:rPr>
          <w:rFonts w:cstheme="minorHAnsi"/>
          <w:lang w:eastAsia="hr-HR"/>
        </w:rPr>
      </w:pPr>
      <w:r>
        <w:rPr>
          <w:rFonts w:cstheme="minorHAnsi"/>
          <w:lang w:eastAsia="hr-HR"/>
        </w:rPr>
        <w:t>Regulacija i automatizacija u zgradama je podržana, ali je problematično financiranje regulacija i automatizacija u zgradama, motivacija za ugradnju regulacija i automatizacija u zgradama, održavanje regulacija i automatizacija u zgradama, primopredaja objekata i edukacija korisnika</w:t>
      </w:r>
    </w:p>
    <w:p w14:paraId="6307CC9C" w14:textId="77777777" w:rsidR="002028BF" w:rsidRDefault="002028BF" w:rsidP="002028BF">
      <w:pPr>
        <w:rPr>
          <w:rFonts w:cstheme="minorHAnsi"/>
          <w:lang w:eastAsia="hr-HR"/>
        </w:rPr>
      </w:pPr>
      <w:r>
        <w:rPr>
          <w:rFonts w:cstheme="minorHAnsi"/>
          <w:lang w:eastAsia="hr-HR"/>
        </w:rPr>
        <w:t>Nova EPBD direktiva prilikom energetske obnove zgrada uvodi i posebnu pozornost na rješenja za rizike od pojačane seizmičke aktivnosti, te zaštitu od požara. Potaknuta su pitanja financiranja statičke obnove kod energetske obnove zgrada, odgovornost projektanta je da se prilikom obnove zgrade ne smije povećati rizik od požara ili statičko opterećenje u odnosu na postojeće stanje zgrade, a u isto vrijeme  kako postići da energetska obnova ostane i financijski interesantna vlasnicima.</w:t>
      </w:r>
    </w:p>
    <w:p w14:paraId="3D4162F3" w14:textId="77777777" w:rsidR="002028BF" w:rsidRDefault="002028BF" w:rsidP="002028BF">
      <w:pPr>
        <w:rPr>
          <w:rFonts w:cstheme="minorHAnsi"/>
          <w:lang w:eastAsia="hr-HR"/>
        </w:rPr>
      </w:pPr>
      <w:r>
        <w:rPr>
          <w:rFonts w:cstheme="minorHAnsi"/>
          <w:lang w:eastAsia="hr-HR"/>
        </w:rPr>
        <w:t>Što se zaštite od požara tiče: materijale je nemoguće zabraniti (ne može se pojedinačno zabranjivati) a propisi nisu usklađeni u kontekstu primjene materijala, pravila o sufinanciranju energetske obnove ne rješavaju odnos prema zaštiti od požara…..</w:t>
      </w:r>
    </w:p>
    <w:p w14:paraId="107DDBCC" w14:textId="52891DDC" w:rsidR="002028BF" w:rsidRDefault="002028BF" w:rsidP="002028BF">
      <w:pPr>
        <w:rPr>
          <w:rFonts w:cstheme="minorHAnsi"/>
          <w:lang w:eastAsia="hr-HR"/>
        </w:rPr>
      </w:pPr>
      <w:r>
        <w:rPr>
          <w:rFonts w:cstheme="minorHAnsi"/>
          <w:lang w:eastAsia="hr-HR"/>
        </w:rPr>
        <w:t>Dakle, otvorene su brojne teme iz ovog područja, te je zaključeno kako je neophodna daljnja suradnja i dijalog svih sudionika u gradnji, zakonodavaca i šire stručne javnosti, što je i cilj Otvorenog dijaloga partnera.</w:t>
      </w:r>
    </w:p>
    <w:p w14:paraId="714B5CDB" w14:textId="77777777" w:rsidR="002028BF" w:rsidRDefault="002028BF" w:rsidP="002028BF">
      <w:pPr>
        <w:rPr>
          <w:rFonts w:cstheme="minorHAnsi"/>
          <w:lang w:eastAsia="hr-HR"/>
        </w:rPr>
      </w:pPr>
    </w:p>
    <w:p w14:paraId="630284AD" w14:textId="765268BD" w:rsidR="002028BF" w:rsidRDefault="002028BF" w:rsidP="002028BF">
      <w:pPr>
        <w:rPr>
          <w:rFonts w:cstheme="minorHAnsi"/>
          <w:b/>
          <w:bCs/>
          <w:lang w:eastAsia="hr-HR"/>
        </w:rPr>
      </w:pPr>
      <w:r>
        <w:rPr>
          <w:rFonts w:cstheme="minorHAnsi"/>
          <w:b/>
          <w:bCs/>
          <w:lang w:eastAsia="hr-HR"/>
        </w:rPr>
        <w:t>DRUGI OTVORENI DIJALOG PARTNERA</w:t>
      </w:r>
    </w:p>
    <w:p w14:paraId="72A8D462" w14:textId="77777777" w:rsidR="002028BF" w:rsidRDefault="002028BF" w:rsidP="002028BF">
      <w:pPr>
        <w:rPr>
          <w:rFonts w:cstheme="minorHAnsi"/>
          <w:lang w:eastAsia="hr-HR"/>
        </w:rPr>
      </w:pPr>
      <w:r>
        <w:rPr>
          <w:rFonts w:cstheme="minorHAnsi"/>
          <w:lang w:eastAsia="hr-HR"/>
        </w:rPr>
        <w:t>Održan: 1. veljače 2019. godine u Hotelu Panorama u Zagrebu</w:t>
      </w:r>
    </w:p>
    <w:p w14:paraId="51E8B740" w14:textId="77777777" w:rsidR="002028BF" w:rsidRDefault="002028BF" w:rsidP="002028BF">
      <w:pPr>
        <w:pBdr>
          <w:bottom w:val="single" w:sz="4" w:space="1" w:color="auto"/>
        </w:pBdr>
        <w:rPr>
          <w:rFonts w:cstheme="minorHAnsi"/>
          <w:b/>
          <w:bCs/>
          <w:lang w:eastAsia="hr-HR"/>
        </w:rPr>
      </w:pPr>
      <w:r>
        <w:rPr>
          <w:rFonts w:cstheme="minorHAnsi"/>
          <w:lang w:eastAsia="hr-HR"/>
        </w:rPr>
        <w:t>Tema: „Energetsko siromaštvo"</w:t>
      </w:r>
    </w:p>
    <w:p w14:paraId="67CAF1A2" w14:textId="77777777" w:rsidR="002028BF" w:rsidRDefault="002028BF" w:rsidP="002028BF">
      <w:pPr>
        <w:pStyle w:val="Bodytext20"/>
        <w:shd w:val="clear" w:color="auto" w:fill="auto"/>
        <w:spacing w:line="259" w:lineRule="exact"/>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lang w:eastAsia="hr-HR"/>
        </w:rPr>
        <w:t>Cilj je bio definiranje kriterija energetskog siromaštva koji će se zatim implementirati u javne pozive za energetsku obnovu stambenih zgrada, prvenstveno obiteljskih kuća dakle za privatne korisnike, te zgrade najlošijih energetskih svojstava na potpomognutim područjima i područjima od posebne državne skrbi.</w:t>
      </w:r>
    </w:p>
    <w:p w14:paraId="6FA4B674" w14:textId="77777777" w:rsidR="002028BF" w:rsidRDefault="002028BF" w:rsidP="002028BF">
      <w:pPr>
        <w:rPr>
          <w:rFonts w:asciiTheme="minorHAnsi" w:eastAsiaTheme="minorHAnsi" w:hAnsiTheme="minorHAnsi" w:cstheme="minorHAnsi"/>
          <w:sz w:val="22"/>
          <w:szCs w:val="22"/>
          <w:lang w:eastAsia="hr-HR"/>
        </w:rPr>
      </w:pPr>
      <w:r>
        <w:rPr>
          <w:rFonts w:cstheme="minorHAnsi"/>
          <w:lang w:eastAsia="hr-HR"/>
        </w:rPr>
        <w:t>U uvodu održana je prezentacija Društva za oblikovanje održivog razvoja (DOOR). Energetsko siromaštvo predstavlja situaciju u kojoj pojedinci ili kućanstva nisu u mogućnosti primjereno zagrijati svoje domove ili koristiti druge energetske usluge po pristupačnoj cijeni. Istraživanja pokazuju da čak 54 milijuna građana EU 2012. godine nije bilo u mogućnosti održavati domove adekvatno zagrijanima (10,8 % europske populacije). Srednjoistočna i južna Europa posebno su pogođene energetskim siromaštvom uključujući i Republiku Hrvatsku.</w:t>
      </w:r>
    </w:p>
    <w:p w14:paraId="1CF881D8" w14:textId="77777777" w:rsidR="002028BF" w:rsidRDefault="002028BF" w:rsidP="002028BF">
      <w:pPr>
        <w:rPr>
          <w:rFonts w:cstheme="minorHAnsi"/>
          <w:lang w:eastAsia="hr-HR"/>
        </w:rPr>
      </w:pPr>
      <w:r>
        <w:rPr>
          <w:rFonts w:cstheme="minorHAnsi"/>
          <w:lang w:eastAsia="hr-HR"/>
        </w:rPr>
        <w:t>Svi okupljeni stručnjaci Drugog otvorenog dijaloga aktivno su sudjelovali na radionici (diskusije po okruglim stolovima gdje su kroz konstruktivnu i sadržajnu raspravu definirani kriteriji energetskog siromaštva.</w:t>
      </w:r>
    </w:p>
    <w:p w14:paraId="0499FF22" w14:textId="77777777" w:rsidR="002028BF" w:rsidRDefault="002028BF" w:rsidP="002028BF">
      <w:pPr>
        <w:ind w:left="720"/>
        <w:rPr>
          <w:rFonts w:cstheme="minorHAnsi"/>
          <w:lang w:eastAsia="hr-HR"/>
        </w:rPr>
      </w:pPr>
    </w:p>
    <w:p w14:paraId="22DD6FA7" w14:textId="77777777" w:rsidR="002028BF" w:rsidRDefault="002028BF" w:rsidP="002028BF">
      <w:pPr>
        <w:rPr>
          <w:rFonts w:cstheme="minorHAnsi"/>
          <w:b/>
          <w:bCs/>
          <w:lang w:eastAsia="en-US"/>
        </w:rPr>
      </w:pPr>
      <w:r>
        <w:rPr>
          <w:rFonts w:cstheme="minorHAnsi"/>
          <w:b/>
          <w:bCs/>
        </w:rPr>
        <w:t xml:space="preserve">Zaključci </w:t>
      </w:r>
      <w:r>
        <w:rPr>
          <w:rFonts w:cstheme="minorHAnsi"/>
          <w:b/>
          <w:bCs/>
          <w:lang w:eastAsia="hr-HR"/>
        </w:rPr>
        <w:t>Drugog otvorenog dijaloga partnera</w:t>
      </w:r>
      <w:r>
        <w:rPr>
          <w:rFonts w:cstheme="minorHAnsi"/>
          <w:b/>
          <w:bCs/>
        </w:rPr>
        <w:t>:</w:t>
      </w:r>
    </w:p>
    <w:p w14:paraId="24112B44" w14:textId="77777777" w:rsidR="002028BF" w:rsidRDefault="002028BF" w:rsidP="002028BF">
      <w:pPr>
        <w:rPr>
          <w:rFonts w:cstheme="minorHAnsi"/>
          <w:lang w:eastAsia="hr-HR"/>
        </w:rPr>
      </w:pPr>
      <w:r>
        <w:rPr>
          <w:rFonts w:cstheme="minorHAnsi"/>
          <w:lang w:eastAsia="hr-HR"/>
        </w:rPr>
        <w:t>Odabrani su slijedeći kriteriji za određivanje ranjivih skupina građana/kućanstava pogođenih energetskim siromaštvom (bodovanjem kriterija i predlaganjem novih kriterija), a  prema kriterijima energetskog siromaštva:</w:t>
      </w:r>
    </w:p>
    <w:tbl>
      <w:tblPr>
        <w:tblW w:w="9330" w:type="dxa"/>
        <w:tblLayout w:type="fixed"/>
        <w:tblCellMar>
          <w:left w:w="10" w:type="dxa"/>
          <w:right w:w="10" w:type="dxa"/>
        </w:tblCellMar>
        <w:tblLook w:val="04A0" w:firstRow="1" w:lastRow="0" w:firstColumn="1" w:lastColumn="0" w:noHBand="0" w:noVBand="1"/>
      </w:tblPr>
      <w:tblGrid>
        <w:gridCol w:w="8473"/>
        <w:gridCol w:w="857"/>
      </w:tblGrid>
      <w:tr w:rsidR="002028BF" w14:paraId="063C1F65" w14:textId="77777777" w:rsidTr="002028BF">
        <w:trPr>
          <w:trHeight w:hRule="exact" w:val="519"/>
        </w:trPr>
        <w:tc>
          <w:tcPr>
            <w:tcW w:w="8478" w:type="dxa"/>
            <w:tcBorders>
              <w:top w:val="single" w:sz="4" w:space="0" w:color="auto"/>
              <w:left w:val="single" w:sz="4" w:space="0" w:color="auto"/>
              <w:bottom w:val="nil"/>
              <w:right w:val="nil"/>
            </w:tcBorders>
            <w:shd w:val="clear" w:color="auto" w:fill="FFFFFF"/>
            <w:hideMark/>
          </w:tcPr>
          <w:p w14:paraId="41B5A220"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KRITERIJ:</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701977F8"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BROJ</w:t>
            </w:r>
          </w:p>
          <w:p w14:paraId="1C1C56D6"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BODOVA</w:t>
            </w:r>
          </w:p>
        </w:tc>
      </w:tr>
      <w:tr w:rsidR="002028BF" w14:paraId="771AD7EE" w14:textId="77777777" w:rsidTr="002028BF">
        <w:trPr>
          <w:trHeight w:hRule="exact" w:val="253"/>
        </w:trPr>
        <w:tc>
          <w:tcPr>
            <w:tcW w:w="8478" w:type="dxa"/>
            <w:tcBorders>
              <w:top w:val="single" w:sz="4" w:space="0" w:color="auto"/>
              <w:left w:val="single" w:sz="4" w:space="0" w:color="auto"/>
              <w:bottom w:val="nil"/>
              <w:right w:val="nil"/>
            </w:tcBorders>
            <w:shd w:val="clear" w:color="auto" w:fill="FFFFFF"/>
            <w:vAlign w:val="bottom"/>
            <w:hideMark/>
          </w:tcPr>
          <w:p w14:paraId="4B8D1C64"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Niski prihodi kućanstva /dohodak po kućanstvu</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7F86F2BA"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37</w:t>
            </w:r>
          </w:p>
        </w:tc>
      </w:tr>
      <w:tr w:rsidR="002028BF" w14:paraId="1CE1F2AA" w14:textId="77777777" w:rsidTr="002028BF">
        <w:trPr>
          <w:trHeight w:hRule="exact" w:val="246"/>
        </w:trPr>
        <w:tc>
          <w:tcPr>
            <w:tcW w:w="8478" w:type="dxa"/>
            <w:tcBorders>
              <w:top w:val="single" w:sz="4" w:space="0" w:color="auto"/>
              <w:left w:val="single" w:sz="4" w:space="0" w:color="auto"/>
              <w:bottom w:val="nil"/>
              <w:right w:val="nil"/>
            </w:tcBorders>
            <w:shd w:val="clear" w:color="auto" w:fill="FFFFFF"/>
            <w:vAlign w:val="bottom"/>
            <w:hideMark/>
          </w:tcPr>
          <w:p w14:paraId="5BDACA28"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Energetski razred zgrade (QHnd tj. potrebe za grijanje)</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738A54BE"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25</w:t>
            </w:r>
          </w:p>
        </w:tc>
      </w:tr>
      <w:tr w:rsidR="002028BF" w14:paraId="6EBF24EC" w14:textId="77777777" w:rsidTr="002028BF">
        <w:trPr>
          <w:trHeight w:hRule="exact" w:val="246"/>
        </w:trPr>
        <w:tc>
          <w:tcPr>
            <w:tcW w:w="8478" w:type="dxa"/>
            <w:tcBorders>
              <w:top w:val="single" w:sz="4" w:space="0" w:color="auto"/>
              <w:left w:val="single" w:sz="4" w:space="0" w:color="auto"/>
              <w:bottom w:val="nil"/>
              <w:right w:val="nil"/>
            </w:tcBorders>
            <w:shd w:val="clear" w:color="auto" w:fill="FFFFFF"/>
            <w:vAlign w:val="bottom"/>
            <w:hideMark/>
          </w:tcPr>
          <w:p w14:paraId="23271E21"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Zajamčena minimalna naknada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2EBB9E92"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24</w:t>
            </w:r>
          </w:p>
        </w:tc>
      </w:tr>
      <w:tr w:rsidR="002028BF" w14:paraId="292492F2" w14:textId="77777777" w:rsidTr="002028BF">
        <w:trPr>
          <w:trHeight w:hRule="exact" w:val="259"/>
        </w:trPr>
        <w:tc>
          <w:tcPr>
            <w:tcW w:w="8478" w:type="dxa"/>
            <w:tcBorders>
              <w:top w:val="single" w:sz="4" w:space="0" w:color="auto"/>
              <w:left w:val="single" w:sz="4" w:space="0" w:color="auto"/>
              <w:bottom w:val="nil"/>
              <w:right w:val="nil"/>
            </w:tcBorders>
            <w:shd w:val="clear" w:color="auto" w:fill="FFFFFF"/>
            <w:vAlign w:val="bottom"/>
            <w:hideMark/>
          </w:tcPr>
          <w:p w14:paraId="35F8626D"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Kvadratura po članu domaćinstva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14E4D0A2"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13</w:t>
            </w:r>
          </w:p>
        </w:tc>
      </w:tr>
      <w:tr w:rsidR="002028BF" w14:paraId="1E799690" w14:textId="77777777" w:rsidTr="002028BF">
        <w:trPr>
          <w:trHeight w:hRule="exact" w:val="240"/>
        </w:trPr>
        <w:tc>
          <w:tcPr>
            <w:tcW w:w="8478" w:type="dxa"/>
            <w:tcBorders>
              <w:top w:val="single" w:sz="4" w:space="0" w:color="auto"/>
              <w:left w:val="single" w:sz="4" w:space="0" w:color="auto"/>
              <w:bottom w:val="nil"/>
              <w:right w:val="nil"/>
            </w:tcBorders>
            <w:shd w:val="clear" w:color="auto" w:fill="FFFFFF"/>
            <w:hideMark/>
          </w:tcPr>
          <w:p w14:paraId="7B261B50"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Ukupni troškovi kućanstva za energiju u odnosu na ukupni dohodak kućanstva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7FF2BE40"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12</w:t>
            </w:r>
          </w:p>
        </w:tc>
      </w:tr>
      <w:tr w:rsidR="002028BF" w14:paraId="6705861A" w14:textId="77777777" w:rsidTr="002028BF">
        <w:trPr>
          <w:trHeight w:hRule="exact" w:val="259"/>
        </w:trPr>
        <w:tc>
          <w:tcPr>
            <w:tcW w:w="8478" w:type="dxa"/>
            <w:tcBorders>
              <w:top w:val="single" w:sz="4" w:space="0" w:color="auto"/>
              <w:left w:val="single" w:sz="4" w:space="0" w:color="auto"/>
              <w:bottom w:val="nil"/>
              <w:right w:val="nil"/>
            </w:tcBorders>
            <w:shd w:val="clear" w:color="auto" w:fill="FFFFFF"/>
            <w:vAlign w:val="bottom"/>
            <w:hideMark/>
          </w:tcPr>
          <w:p w14:paraId="3991C8C9"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Udio energetske košarice po primanju domaćinstva (grijanje, potrošnja tople vode, rasvjeta, potrošnja električne energije)</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28D0A2E2"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ii</w:t>
            </w:r>
          </w:p>
        </w:tc>
      </w:tr>
      <w:tr w:rsidR="002028BF" w14:paraId="3FD6DD45" w14:textId="77777777" w:rsidTr="002028BF">
        <w:trPr>
          <w:trHeight w:hRule="exact" w:val="246"/>
        </w:trPr>
        <w:tc>
          <w:tcPr>
            <w:tcW w:w="8478" w:type="dxa"/>
            <w:tcBorders>
              <w:top w:val="single" w:sz="4" w:space="0" w:color="auto"/>
              <w:left w:val="single" w:sz="4" w:space="0" w:color="auto"/>
              <w:bottom w:val="nil"/>
              <w:right w:val="nil"/>
            </w:tcBorders>
            <w:shd w:val="clear" w:color="auto" w:fill="FFFFFF"/>
            <w:hideMark/>
          </w:tcPr>
          <w:p w14:paraId="59F670A8"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Osobna invalidnina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5E4CB55F"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8</w:t>
            </w:r>
          </w:p>
        </w:tc>
      </w:tr>
      <w:tr w:rsidR="002028BF" w14:paraId="29588061" w14:textId="77777777" w:rsidTr="002028BF">
        <w:trPr>
          <w:trHeight w:hRule="exact" w:val="246"/>
        </w:trPr>
        <w:tc>
          <w:tcPr>
            <w:tcW w:w="8478" w:type="dxa"/>
            <w:tcBorders>
              <w:top w:val="single" w:sz="4" w:space="0" w:color="auto"/>
              <w:left w:val="single" w:sz="4" w:space="0" w:color="auto"/>
              <w:bottom w:val="nil"/>
              <w:right w:val="nil"/>
            </w:tcBorders>
            <w:shd w:val="clear" w:color="auto" w:fill="FFFFFF"/>
            <w:vAlign w:val="bottom"/>
            <w:hideMark/>
          </w:tcPr>
          <w:p w14:paraId="30F37F27"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Primatelji dječjeg doplatka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0861C1E7"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7</w:t>
            </w:r>
          </w:p>
        </w:tc>
      </w:tr>
      <w:tr w:rsidR="002028BF" w14:paraId="0BF07C3E" w14:textId="77777777" w:rsidTr="002028BF">
        <w:trPr>
          <w:trHeight w:hRule="exact" w:val="253"/>
        </w:trPr>
        <w:tc>
          <w:tcPr>
            <w:tcW w:w="8478" w:type="dxa"/>
            <w:tcBorders>
              <w:top w:val="single" w:sz="4" w:space="0" w:color="auto"/>
              <w:left w:val="single" w:sz="4" w:space="0" w:color="auto"/>
              <w:bottom w:val="nil"/>
              <w:right w:val="nil"/>
            </w:tcBorders>
            <w:shd w:val="clear" w:color="auto" w:fill="FFFFFF"/>
            <w:vAlign w:val="bottom"/>
            <w:hideMark/>
          </w:tcPr>
          <w:p w14:paraId="4341CB53"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Umirovljenici s mirovinom manjom od ...</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4E2210EF"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5</w:t>
            </w:r>
          </w:p>
        </w:tc>
      </w:tr>
      <w:tr w:rsidR="002028BF" w14:paraId="4915052E" w14:textId="77777777" w:rsidTr="002028BF">
        <w:trPr>
          <w:trHeight w:hRule="exact" w:val="253"/>
        </w:trPr>
        <w:tc>
          <w:tcPr>
            <w:tcW w:w="8478" w:type="dxa"/>
            <w:tcBorders>
              <w:top w:val="single" w:sz="4" w:space="0" w:color="auto"/>
              <w:left w:val="single" w:sz="4" w:space="0" w:color="auto"/>
              <w:bottom w:val="nil"/>
              <w:right w:val="nil"/>
            </w:tcBorders>
            <w:shd w:val="clear" w:color="auto" w:fill="FFFFFF"/>
            <w:vAlign w:val="bottom"/>
            <w:hideMark/>
          </w:tcPr>
          <w:p w14:paraId="23DAFAB7"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Stopa indeksa razvijenosti područja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22D10E0E"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4</w:t>
            </w:r>
          </w:p>
        </w:tc>
      </w:tr>
      <w:tr w:rsidR="002028BF" w14:paraId="04FEE618" w14:textId="77777777" w:rsidTr="002028BF">
        <w:trPr>
          <w:trHeight w:hRule="exact" w:val="246"/>
        </w:trPr>
        <w:tc>
          <w:tcPr>
            <w:tcW w:w="8478" w:type="dxa"/>
            <w:tcBorders>
              <w:top w:val="single" w:sz="4" w:space="0" w:color="auto"/>
              <w:left w:val="single" w:sz="4" w:space="0" w:color="auto"/>
              <w:bottom w:val="nil"/>
              <w:right w:val="nil"/>
            </w:tcBorders>
            <w:shd w:val="clear" w:color="auto" w:fill="FFFFFF"/>
            <w:vAlign w:val="bottom"/>
            <w:hideMark/>
          </w:tcPr>
          <w:p w14:paraId="4674843C"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Socijalno zdravstveni cenzus</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7F01D96B"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3</w:t>
            </w:r>
          </w:p>
        </w:tc>
      </w:tr>
      <w:tr w:rsidR="002028BF" w14:paraId="37C1C373" w14:textId="77777777" w:rsidTr="002028BF">
        <w:trPr>
          <w:trHeight w:hRule="exact" w:val="246"/>
        </w:trPr>
        <w:tc>
          <w:tcPr>
            <w:tcW w:w="8478" w:type="dxa"/>
            <w:tcBorders>
              <w:top w:val="single" w:sz="4" w:space="0" w:color="auto"/>
              <w:left w:val="single" w:sz="4" w:space="0" w:color="auto"/>
              <w:bottom w:val="nil"/>
              <w:right w:val="nil"/>
            </w:tcBorders>
            <w:shd w:val="clear" w:color="auto" w:fill="FFFFFF"/>
            <w:vAlign w:val="bottom"/>
            <w:hideMark/>
          </w:tcPr>
          <w:p w14:paraId="41CDE2E3"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Samohrani roditelji</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1285F2D6"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2</w:t>
            </w:r>
          </w:p>
        </w:tc>
      </w:tr>
      <w:tr w:rsidR="002028BF" w14:paraId="437DFE71" w14:textId="77777777" w:rsidTr="002028BF">
        <w:trPr>
          <w:trHeight w:hRule="exact" w:val="253"/>
        </w:trPr>
        <w:tc>
          <w:tcPr>
            <w:tcW w:w="8478" w:type="dxa"/>
            <w:tcBorders>
              <w:top w:val="single" w:sz="4" w:space="0" w:color="auto"/>
              <w:left w:val="single" w:sz="4" w:space="0" w:color="auto"/>
              <w:bottom w:val="nil"/>
              <w:right w:val="nil"/>
            </w:tcBorders>
            <w:shd w:val="clear" w:color="auto" w:fill="FFFFFF"/>
            <w:vAlign w:val="bottom"/>
            <w:hideMark/>
          </w:tcPr>
          <w:p w14:paraId="1F73E61A"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Ukupni troškovi grijanja u odnosu na ukupni dohodak kućanstva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3C4F2652"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2</w:t>
            </w:r>
          </w:p>
        </w:tc>
      </w:tr>
      <w:tr w:rsidR="002028BF" w14:paraId="74154E6A" w14:textId="77777777" w:rsidTr="002028BF">
        <w:trPr>
          <w:trHeight w:hRule="exact" w:val="253"/>
        </w:trPr>
        <w:tc>
          <w:tcPr>
            <w:tcW w:w="8478" w:type="dxa"/>
            <w:tcBorders>
              <w:top w:val="single" w:sz="4" w:space="0" w:color="auto"/>
              <w:left w:val="single" w:sz="4" w:space="0" w:color="auto"/>
              <w:bottom w:val="nil"/>
              <w:right w:val="nil"/>
            </w:tcBorders>
            <w:shd w:val="clear" w:color="auto" w:fill="FFFFFF"/>
            <w:hideMark/>
          </w:tcPr>
          <w:p w14:paraId="5397090B"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Imovinsko vlasnički cenzus</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6442DC96"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2</w:t>
            </w:r>
          </w:p>
        </w:tc>
      </w:tr>
      <w:tr w:rsidR="002028BF" w14:paraId="22F98B33" w14:textId="77777777" w:rsidTr="002028BF">
        <w:trPr>
          <w:trHeight w:hRule="exact" w:val="246"/>
        </w:trPr>
        <w:tc>
          <w:tcPr>
            <w:tcW w:w="8478" w:type="dxa"/>
            <w:tcBorders>
              <w:top w:val="single" w:sz="4" w:space="0" w:color="auto"/>
              <w:left w:val="single" w:sz="4" w:space="0" w:color="auto"/>
              <w:bottom w:val="nil"/>
              <w:right w:val="nil"/>
            </w:tcBorders>
            <w:shd w:val="clear" w:color="auto" w:fill="FFFFFF"/>
            <w:vAlign w:val="bottom"/>
            <w:hideMark/>
          </w:tcPr>
          <w:p w14:paraId="706E363C"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Potvrda da nema druge nekretnine</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4F239435"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2</w:t>
            </w:r>
          </w:p>
        </w:tc>
      </w:tr>
      <w:tr w:rsidR="002028BF" w14:paraId="621F7C86" w14:textId="77777777" w:rsidTr="002028BF">
        <w:trPr>
          <w:trHeight w:hRule="exact" w:val="253"/>
        </w:trPr>
        <w:tc>
          <w:tcPr>
            <w:tcW w:w="8478" w:type="dxa"/>
            <w:tcBorders>
              <w:top w:val="single" w:sz="4" w:space="0" w:color="auto"/>
              <w:left w:val="single" w:sz="4" w:space="0" w:color="auto"/>
              <w:bottom w:val="nil"/>
              <w:right w:val="nil"/>
            </w:tcBorders>
            <w:shd w:val="clear" w:color="auto" w:fill="FFFFFF"/>
            <w:vAlign w:val="bottom"/>
            <w:hideMark/>
          </w:tcPr>
          <w:p w14:paraId="5A5DE41D"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Procjena zdravstvenog rizika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5F051C67"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1</w:t>
            </w:r>
          </w:p>
        </w:tc>
      </w:tr>
      <w:tr w:rsidR="002028BF" w14:paraId="51B679B5" w14:textId="77777777" w:rsidTr="002028BF">
        <w:trPr>
          <w:trHeight w:hRule="exact" w:val="246"/>
        </w:trPr>
        <w:tc>
          <w:tcPr>
            <w:tcW w:w="8478" w:type="dxa"/>
            <w:tcBorders>
              <w:top w:val="single" w:sz="4" w:space="0" w:color="auto"/>
              <w:left w:val="single" w:sz="4" w:space="0" w:color="auto"/>
              <w:bottom w:val="nil"/>
              <w:right w:val="nil"/>
            </w:tcBorders>
            <w:shd w:val="clear" w:color="auto" w:fill="FFFFFF"/>
            <w:hideMark/>
          </w:tcPr>
          <w:p w14:paraId="6CF90A1A"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Vlasništvo</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29057717"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1</w:t>
            </w:r>
          </w:p>
        </w:tc>
      </w:tr>
      <w:tr w:rsidR="002028BF" w14:paraId="7CEA8B13" w14:textId="77777777" w:rsidTr="002028BF">
        <w:trPr>
          <w:trHeight w:hRule="exact" w:val="266"/>
        </w:trPr>
        <w:tc>
          <w:tcPr>
            <w:tcW w:w="8478" w:type="dxa"/>
            <w:tcBorders>
              <w:top w:val="single" w:sz="4" w:space="0" w:color="auto"/>
              <w:left w:val="single" w:sz="4" w:space="0" w:color="auto"/>
              <w:bottom w:val="single" w:sz="4" w:space="0" w:color="auto"/>
              <w:right w:val="nil"/>
            </w:tcBorders>
            <w:shd w:val="clear" w:color="auto" w:fill="FFFFFF"/>
            <w:hideMark/>
          </w:tcPr>
          <w:p w14:paraId="6067F21D"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Stvarna potrošnja energenata koja se dokazuje računima (po m2}</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C028D1" w14:textId="77777777" w:rsidR="002028BF" w:rsidRDefault="002028BF">
            <w:pPr>
              <w:pStyle w:val="Bodytext20"/>
              <w:shd w:val="clear" w:color="auto" w:fill="auto"/>
              <w:spacing w:line="256" w:lineRule="auto"/>
              <w:jc w:val="both"/>
              <w:rPr>
                <w:rFonts w:asciiTheme="minorHAnsi" w:eastAsiaTheme="minorHAnsi" w:hAnsiTheme="minorHAnsi" w:cstheme="minorHAnsi"/>
                <w:sz w:val="22"/>
                <w:szCs w:val="22"/>
                <w:lang w:eastAsia="hr-HR"/>
              </w:rPr>
            </w:pPr>
            <w:r>
              <w:rPr>
                <w:rFonts w:asciiTheme="minorHAnsi" w:eastAsiaTheme="minorHAnsi" w:hAnsiTheme="minorHAnsi" w:cstheme="minorHAnsi"/>
                <w:sz w:val="22"/>
                <w:szCs w:val="22"/>
              </w:rPr>
              <w:t>0</w:t>
            </w:r>
          </w:p>
        </w:tc>
      </w:tr>
    </w:tbl>
    <w:p w14:paraId="2D318C88" w14:textId="77777777" w:rsidR="002028BF" w:rsidRDefault="002028BF" w:rsidP="002028BF">
      <w:pPr>
        <w:rPr>
          <w:rFonts w:cstheme="minorHAnsi"/>
          <w:lang w:eastAsia="hr-HR"/>
        </w:rPr>
      </w:pPr>
    </w:p>
    <w:p w14:paraId="7EE4A031" w14:textId="5BAD94C7" w:rsidR="002028BF" w:rsidRDefault="002028BF" w:rsidP="002028BF">
      <w:pPr>
        <w:rPr>
          <w:rFonts w:cstheme="minorHAnsi"/>
          <w:lang w:eastAsia="hr-HR"/>
        </w:rPr>
      </w:pPr>
      <w:r>
        <w:rPr>
          <w:rFonts w:cstheme="minorHAnsi"/>
          <w:lang w:eastAsia="hr-HR"/>
        </w:rPr>
        <w:t>Sudionici su sami dodali još i kriterije:</w:t>
      </w:r>
    </w:p>
    <w:p w14:paraId="23E2863E" w14:textId="77777777" w:rsidR="002028BF" w:rsidRDefault="002028BF" w:rsidP="007D44EF">
      <w:pPr>
        <w:numPr>
          <w:ilvl w:val="0"/>
          <w:numId w:val="58"/>
        </w:numPr>
        <w:tabs>
          <w:tab w:val="clear" w:pos="431"/>
        </w:tabs>
        <w:spacing w:after="160" w:line="256" w:lineRule="auto"/>
        <w:ind w:left="714" w:hanging="357"/>
        <w:rPr>
          <w:rFonts w:cstheme="minorHAnsi"/>
          <w:lang w:eastAsia="hr-HR"/>
        </w:rPr>
      </w:pPr>
      <w:r>
        <w:rPr>
          <w:rFonts w:cstheme="minorHAnsi"/>
          <w:lang w:eastAsia="hr-HR"/>
        </w:rPr>
        <w:t>broj ukućana * min. površina po osobi * Qhnd * kn/kWh;</w:t>
      </w:r>
    </w:p>
    <w:p w14:paraId="4444B78A" w14:textId="77777777" w:rsidR="002028BF" w:rsidRDefault="002028BF" w:rsidP="007D44EF">
      <w:pPr>
        <w:numPr>
          <w:ilvl w:val="0"/>
          <w:numId w:val="58"/>
        </w:numPr>
        <w:tabs>
          <w:tab w:val="clear" w:pos="431"/>
        </w:tabs>
        <w:spacing w:after="160" w:line="256" w:lineRule="auto"/>
        <w:ind w:left="714" w:hanging="357"/>
        <w:rPr>
          <w:rFonts w:cstheme="minorHAnsi"/>
          <w:lang w:eastAsia="hr-HR"/>
        </w:rPr>
      </w:pPr>
      <w:r>
        <w:rPr>
          <w:rFonts w:cstheme="minorHAnsi"/>
          <w:lang w:eastAsia="hr-HR"/>
        </w:rPr>
        <w:t>15m2/ po članu kućanstva;</w:t>
      </w:r>
    </w:p>
    <w:p w14:paraId="1B41F9C2" w14:textId="77777777" w:rsidR="002028BF" w:rsidRDefault="002028BF" w:rsidP="007D44EF">
      <w:pPr>
        <w:numPr>
          <w:ilvl w:val="0"/>
          <w:numId w:val="58"/>
        </w:numPr>
        <w:tabs>
          <w:tab w:val="clear" w:pos="431"/>
        </w:tabs>
        <w:spacing w:after="160" w:line="256" w:lineRule="auto"/>
        <w:ind w:left="714" w:hanging="357"/>
        <w:rPr>
          <w:rFonts w:cstheme="minorHAnsi"/>
          <w:lang w:eastAsia="hr-HR"/>
        </w:rPr>
      </w:pPr>
      <w:r>
        <w:rPr>
          <w:rFonts w:cstheme="minorHAnsi"/>
          <w:lang w:eastAsia="hr-HR"/>
        </w:rPr>
        <w:t>70 m2 + po 20m2 za svakog člana kućanstva.</w:t>
      </w:r>
    </w:p>
    <w:p w14:paraId="4D174C09" w14:textId="77777777" w:rsidR="002028BF" w:rsidRDefault="002028BF" w:rsidP="002028BF">
      <w:pPr>
        <w:rPr>
          <w:rFonts w:cstheme="minorHAnsi"/>
          <w:lang w:eastAsia="hr-HR"/>
        </w:rPr>
      </w:pPr>
      <w:r>
        <w:rPr>
          <w:rFonts w:cstheme="minorHAnsi"/>
          <w:lang w:eastAsia="hr-HR"/>
        </w:rPr>
        <w:t xml:space="preserve">Odabrani kriteriji energetskog siromaštva koristit će se i za izradu Programa suzbijanja energetskog siromaštva koji uključuje korištenje obnovljivih izvora energije u stambenim zgradama na potpomognutim područjima posebne državne skrbi za razdoblje 2019. – 2021. godine za koji je Vlada Republike Hrvatske na sjednici održanoj 23. siječnja 2019. godine, donijela Zaključak kojim podržava njegovu izradu jer se: </w:t>
      </w:r>
    </w:p>
    <w:p w14:paraId="11CCD6D4" w14:textId="77777777" w:rsidR="002028BF" w:rsidRDefault="002028BF" w:rsidP="007D44EF">
      <w:pPr>
        <w:numPr>
          <w:ilvl w:val="0"/>
          <w:numId w:val="59"/>
        </w:numPr>
        <w:tabs>
          <w:tab w:val="clear" w:pos="431"/>
        </w:tabs>
        <w:spacing w:after="160" w:line="256" w:lineRule="auto"/>
        <w:ind w:left="714" w:hanging="357"/>
        <w:rPr>
          <w:rFonts w:cstheme="minorHAnsi"/>
          <w:lang w:eastAsia="hr-HR"/>
        </w:rPr>
      </w:pPr>
      <w:r>
        <w:rPr>
          <w:rFonts w:cstheme="minorHAnsi"/>
          <w:lang w:eastAsia="hr-HR"/>
        </w:rPr>
        <w:t>Posebno osjetljiva kategorija stambenih zgrada nalazi se u područjima posebne državne skrbi, tj. potpomognutim područjima RH, a stanari u tim zgradama imaju vrlo skromne ili nikakve prihode;</w:t>
      </w:r>
    </w:p>
    <w:p w14:paraId="7A5A4985" w14:textId="733638E3" w:rsidR="002028BF" w:rsidRDefault="002028BF" w:rsidP="007D44EF">
      <w:pPr>
        <w:numPr>
          <w:ilvl w:val="0"/>
          <w:numId w:val="59"/>
        </w:numPr>
        <w:tabs>
          <w:tab w:val="clear" w:pos="431"/>
        </w:tabs>
        <w:spacing w:after="160" w:line="256" w:lineRule="auto"/>
        <w:ind w:left="714" w:hanging="357"/>
        <w:rPr>
          <w:rFonts w:cstheme="minorHAnsi"/>
          <w:lang w:eastAsia="hr-HR"/>
        </w:rPr>
      </w:pPr>
      <w:r>
        <w:rPr>
          <w:rFonts w:cstheme="minorHAnsi"/>
          <w:lang w:eastAsia="hr-HR"/>
        </w:rPr>
        <w:t>Potpomognuto područje je područje Republike Hrvatske koje je na temelju indeksa razvijenosti ocijenjeno kao takvo područje koje prema stupnju razvijenosti zaostaje za nacionalnim prosjekom i čiji je razvoj potrebno dodatno poticati.</w:t>
      </w:r>
    </w:p>
    <w:p w14:paraId="02315C12" w14:textId="77777777" w:rsidR="002028BF" w:rsidRDefault="002028BF" w:rsidP="007D44EF">
      <w:pPr>
        <w:numPr>
          <w:ilvl w:val="0"/>
          <w:numId w:val="59"/>
        </w:numPr>
        <w:tabs>
          <w:tab w:val="clear" w:pos="431"/>
        </w:tabs>
        <w:spacing w:after="160" w:line="256" w:lineRule="auto"/>
        <w:ind w:left="714" w:hanging="357"/>
        <w:rPr>
          <w:rFonts w:cstheme="minorHAnsi"/>
          <w:lang w:eastAsia="hr-HR"/>
        </w:rPr>
      </w:pPr>
    </w:p>
    <w:p w14:paraId="42400D29" w14:textId="77777777" w:rsidR="002028BF" w:rsidRDefault="002028BF" w:rsidP="002028BF">
      <w:pPr>
        <w:rPr>
          <w:rFonts w:cstheme="minorHAnsi"/>
          <w:b/>
          <w:bCs/>
          <w:lang w:eastAsia="hr-HR"/>
        </w:rPr>
      </w:pPr>
      <w:r>
        <w:rPr>
          <w:rFonts w:cstheme="minorHAnsi"/>
          <w:b/>
          <w:bCs/>
          <w:lang w:eastAsia="hr-HR"/>
        </w:rPr>
        <w:t>TREĆI OTVORENI DIJALOG PARTNERA</w:t>
      </w:r>
    </w:p>
    <w:p w14:paraId="2E45BBC8" w14:textId="77777777" w:rsidR="002028BF" w:rsidRDefault="002028BF" w:rsidP="002028BF">
      <w:pPr>
        <w:rPr>
          <w:rFonts w:cstheme="minorHAnsi"/>
          <w:lang w:eastAsia="hr-HR"/>
        </w:rPr>
      </w:pPr>
      <w:r>
        <w:rPr>
          <w:rFonts w:cstheme="minorHAnsi"/>
          <w:lang w:eastAsia="hr-HR"/>
        </w:rPr>
        <w:t>Održan:  29. travnja 2019. u Hotelu Sheraton</w:t>
      </w:r>
    </w:p>
    <w:p w14:paraId="4441B1FC" w14:textId="77777777" w:rsidR="002028BF" w:rsidRDefault="002028BF" w:rsidP="002028BF">
      <w:pPr>
        <w:pBdr>
          <w:bottom w:val="single" w:sz="4" w:space="1" w:color="auto"/>
        </w:pBdr>
        <w:ind w:left="709" w:hanging="709"/>
        <w:rPr>
          <w:rFonts w:cstheme="minorHAnsi"/>
          <w:b/>
          <w:bCs/>
          <w:lang w:eastAsia="hr-HR"/>
        </w:rPr>
      </w:pPr>
      <w:r>
        <w:rPr>
          <w:rFonts w:cstheme="minorHAnsi"/>
          <w:lang w:eastAsia="hr-HR"/>
        </w:rPr>
        <w:t>Tema: „Primjena suvremenih rješenja i pravila zaštite od požara i rizika od pojačane seizmičke aktivnosti prilikom energetske obnove zgrada“</w:t>
      </w:r>
    </w:p>
    <w:p w14:paraId="2755F195" w14:textId="77777777" w:rsidR="002028BF" w:rsidRDefault="002028BF" w:rsidP="002028BF">
      <w:pPr>
        <w:rPr>
          <w:rFonts w:cstheme="minorHAnsi"/>
          <w:lang w:eastAsia="hr-HR"/>
        </w:rPr>
      </w:pPr>
      <w:r>
        <w:rPr>
          <w:rFonts w:cstheme="minorHAnsi"/>
          <w:lang w:eastAsia="hr-HR"/>
        </w:rPr>
        <w:t xml:space="preserve">Cilj:  usmjeren na primjenu suvremenih rješenja i pravila zaštite od požara i rizika od pojačane seizmičke aktivnosti prilikom energetske obnove zgrada </w:t>
      </w:r>
    </w:p>
    <w:p w14:paraId="27219D39" w14:textId="77777777" w:rsidR="002028BF" w:rsidRDefault="002028BF" w:rsidP="002028BF">
      <w:pPr>
        <w:rPr>
          <w:rFonts w:cstheme="minorHAnsi"/>
          <w:lang w:eastAsia="hr-HR"/>
        </w:rPr>
      </w:pPr>
      <w:r>
        <w:rPr>
          <w:rFonts w:cstheme="minorHAnsi"/>
          <w:lang w:eastAsia="hr-HR"/>
        </w:rPr>
        <w:t xml:space="preserve">Održane su prezentacije nakon kojih je slijedila panel diskusija na kojoj su panelisti bili prezenteri tj. predstavnici Građevinskog fakulteta u Zagrebu, Prirodno-matematičkog fakulteta u Zagrebu, predstavnica Hrvatske u EU parlamentu uključena u pitanja zaštite od požara, te drugi stručnjaci iz ovog područja. Pitanja o kojima se razgovaralo bavila su se time </w:t>
      </w:r>
      <w:r>
        <w:rPr>
          <w:rFonts w:cstheme="minorHAnsi"/>
        </w:rPr>
        <w:t>kako poboljšati postojeće zgrade obzirom na zaštitu od potresa, ko će i kada odlučiti kada je pregled konstruktivnih dijelova zgrade potreban pri energetskoj obnovi, itd.</w:t>
      </w:r>
    </w:p>
    <w:p w14:paraId="4F99611B" w14:textId="77777777" w:rsidR="002028BF" w:rsidRDefault="002028BF" w:rsidP="002028BF">
      <w:pPr>
        <w:rPr>
          <w:rFonts w:cstheme="minorHAnsi"/>
          <w:lang w:eastAsia="en-US"/>
        </w:rPr>
      </w:pPr>
      <w:r>
        <w:rPr>
          <w:rFonts w:cstheme="minorHAnsi"/>
          <w:lang w:eastAsia="hr-HR"/>
        </w:rPr>
        <w:t xml:space="preserve">Stotinjak sudionika - </w:t>
      </w:r>
      <w:r>
        <w:rPr>
          <w:rFonts w:cstheme="minorHAnsi"/>
        </w:rPr>
        <w:t>predstavnici državne i lokalne uprave, akademske zajednice i stručne javnosti, građevinskog i energetskog sektora te pratećih industrija bili su uključeni u panel diskusiju putem pitanja i odgovora panelista.</w:t>
      </w:r>
    </w:p>
    <w:p w14:paraId="4A2F3B00" w14:textId="77777777" w:rsidR="002028BF" w:rsidRDefault="002028BF" w:rsidP="002028BF">
      <w:pPr>
        <w:rPr>
          <w:rFonts w:cstheme="minorHAnsi"/>
          <w:lang w:eastAsia="hr-HR"/>
        </w:rPr>
      </w:pPr>
      <w:r>
        <w:rPr>
          <w:rFonts w:cstheme="minorHAnsi"/>
          <w:lang w:eastAsia="hr-HR"/>
        </w:rPr>
        <w:t>Neki od zaključaka i problema koje bi trebalo riješiti po ovom pitanju su sljedeći:</w:t>
      </w:r>
    </w:p>
    <w:p w14:paraId="10F741F3" w14:textId="77777777" w:rsidR="002028BF" w:rsidRDefault="002028BF" w:rsidP="007D44EF">
      <w:pPr>
        <w:pStyle w:val="Odlomakpopisa"/>
        <w:keepLines w:val="0"/>
        <w:numPr>
          <w:ilvl w:val="0"/>
          <w:numId w:val="60"/>
        </w:numPr>
        <w:tabs>
          <w:tab w:val="clear" w:pos="431"/>
        </w:tabs>
        <w:suppressAutoHyphens w:val="0"/>
        <w:spacing w:before="0" w:after="160" w:line="256" w:lineRule="auto"/>
        <w:contextualSpacing/>
        <w:rPr>
          <w:rFonts w:cstheme="minorHAnsi"/>
        </w:rPr>
      </w:pPr>
      <w:r>
        <w:rPr>
          <w:rFonts w:cstheme="minorHAnsi"/>
        </w:rPr>
        <w:t>Nemamo (EU) harmoniziranu normu za fasadne sustave s obzirom na zaštitu od požara,</w:t>
      </w:r>
    </w:p>
    <w:p w14:paraId="78A9BDAC" w14:textId="77777777" w:rsidR="002028BF" w:rsidRDefault="002028BF" w:rsidP="007D44EF">
      <w:pPr>
        <w:pStyle w:val="Odlomakpopisa"/>
        <w:keepLines w:val="0"/>
        <w:numPr>
          <w:ilvl w:val="0"/>
          <w:numId w:val="60"/>
        </w:numPr>
        <w:tabs>
          <w:tab w:val="clear" w:pos="431"/>
        </w:tabs>
        <w:suppressAutoHyphens w:val="0"/>
        <w:spacing w:before="0" w:after="160" w:line="256" w:lineRule="auto"/>
        <w:contextualSpacing/>
        <w:rPr>
          <w:rFonts w:cstheme="minorHAnsi"/>
        </w:rPr>
      </w:pPr>
      <w:r>
        <w:rPr>
          <w:rFonts w:cstheme="minorHAnsi"/>
        </w:rPr>
        <w:t>Propisi su usklađeni sa zakonodavstvom EU (pravilnik iz 2013., ID 2015. godine),</w:t>
      </w:r>
    </w:p>
    <w:p w14:paraId="22DE6ABE" w14:textId="77777777" w:rsidR="002028BF" w:rsidRDefault="002028BF" w:rsidP="007D44EF">
      <w:pPr>
        <w:pStyle w:val="Odlomakpopisa"/>
        <w:keepLines w:val="0"/>
        <w:numPr>
          <w:ilvl w:val="0"/>
          <w:numId w:val="60"/>
        </w:numPr>
        <w:tabs>
          <w:tab w:val="clear" w:pos="431"/>
        </w:tabs>
        <w:suppressAutoHyphens w:val="0"/>
        <w:spacing w:before="0" w:after="160" w:line="256" w:lineRule="auto"/>
        <w:contextualSpacing/>
        <w:rPr>
          <w:rFonts w:cstheme="minorHAnsi"/>
        </w:rPr>
      </w:pPr>
      <w:r>
        <w:rPr>
          <w:rFonts w:cstheme="minorHAnsi"/>
        </w:rPr>
        <w:t>Pravilnik o otpornosti zgrada na požar je bio u donošenju početkom 2019. godine i obuhvaća i stare zgrade tj. i potencijalnu energetsku obnovu,</w:t>
      </w:r>
    </w:p>
    <w:p w14:paraId="49B1CD38" w14:textId="77777777" w:rsidR="002028BF" w:rsidRDefault="002028BF" w:rsidP="007D44EF">
      <w:pPr>
        <w:pStyle w:val="Odlomakpopisa"/>
        <w:keepLines w:val="0"/>
        <w:numPr>
          <w:ilvl w:val="0"/>
          <w:numId w:val="60"/>
        </w:numPr>
        <w:tabs>
          <w:tab w:val="clear" w:pos="431"/>
        </w:tabs>
        <w:suppressAutoHyphens w:val="0"/>
        <w:spacing w:before="0" w:after="160" w:line="256" w:lineRule="auto"/>
        <w:contextualSpacing/>
        <w:rPr>
          <w:rFonts w:cstheme="minorHAnsi"/>
          <w:lang w:eastAsia="en-US"/>
        </w:rPr>
      </w:pPr>
      <w:r>
        <w:rPr>
          <w:rFonts w:cstheme="minorHAnsi"/>
        </w:rPr>
        <w:t>Kazna je vrlo mala (cca 100€) za štetu nastalu korištenjem neadekvatne toplinske izolacije kod obnova i izgradnji zgrada. Etics i Demit su često korištene, a opasne fasade sa velikim  rizikom nastanka požara. Posebno je velik rizik širenja požara kod visokih zgrada,</w:t>
      </w:r>
    </w:p>
    <w:p w14:paraId="451AC126" w14:textId="77777777" w:rsidR="002028BF" w:rsidRDefault="002028BF" w:rsidP="007D44EF">
      <w:pPr>
        <w:pStyle w:val="Odlomakpopisa"/>
        <w:keepLines w:val="0"/>
        <w:numPr>
          <w:ilvl w:val="0"/>
          <w:numId w:val="60"/>
        </w:numPr>
        <w:tabs>
          <w:tab w:val="clear" w:pos="431"/>
        </w:tabs>
        <w:suppressAutoHyphens w:val="0"/>
        <w:spacing w:before="0" w:after="160" w:line="256" w:lineRule="auto"/>
        <w:contextualSpacing/>
        <w:rPr>
          <w:rFonts w:cstheme="minorHAnsi"/>
        </w:rPr>
      </w:pPr>
      <w:r>
        <w:rPr>
          <w:rFonts w:cstheme="minorHAnsi"/>
        </w:rPr>
        <w:t>Sustav nadzora gradnje treba poboljšati.</w:t>
      </w:r>
    </w:p>
    <w:p w14:paraId="2E70A68C" w14:textId="77777777" w:rsidR="002028BF" w:rsidRDefault="002028BF" w:rsidP="002028BF">
      <w:pPr>
        <w:rPr>
          <w:rFonts w:cstheme="minorHAnsi"/>
        </w:rPr>
      </w:pPr>
    </w:p>
    <w:p w14:paraId="77020417" w14:textId="77777777" w:rsidR="002028BF" w:rsidRDefault="002028BF" w:rsidP="002028BF">
      <w:pPr>
        <w:rPr>
          <w:rFonts w:cstheme="minorHAnsi"/>
          <w:b/>
          <w:bCs/>
          <w:lang w:eastAsia="hr-HR"/>
        </w:rPr>
      </w:pPr>
      <w:r>
        <w:rPr>
          <w:rFonts w:cstheme="minorHAnsi"/>
          <w:b/>
          <w:bCs/>
          <w:lang w:eastAsia="hr-HR"/>
        </w:rPr>
        <w:t>ČETVRTI OTVORENI DIJALOG PARTNERA</w:t>
      </w:r>
    </w:p>
    <w:p w14:paraId="2363E9DB" w14:textId="2888AF6F" w:rsidR="002028BF" w:rsidRDefault="002028BF" w:rsidP="002028BF">
      <w:pPr>
        <w:rPr>
          <w:rFonts w:cstheme="minorHAnsi"/>
          <w:lang w:eastAsia="hr-HR"/>
        </w:rPr>
      </w:pPr>
      <w:r>
        <w:rPr>
          <w:rFonts w:cstheme="minorHAnsi"/>
          <w:lang w:eastAsia="hr-HR"/>
        </w:rPr>
        <w:t>Održan: 24. 10. 2019. godine u Hotelu Panorama u Zagrebu</w:t>
      </w:r>
    </w:p>
    <w:p w14:paraId="4B0F4801" w14:textId="1DDEA7AC" w:rsidR="002028BF" w:rsidRDefault="002028BF" w:rsidP="002028BF">
      <w:pPr>
        <w:pBdr>
          <w:bottom w:val="single" w:sz="4" w:space="1" w:color="auto"/>
        </w:pBdr>
        <w:rPr>
          <w:rFonts w:cstheme="minorHAnsi"/>
          <w:lang w:eastAsia="hr-HR"/>
        </w:rPr>
      </w:pPr>
      <w:r>
        <w:rPr>
          <w:rFonts w:cstheme="minorHAnsi"/>
          <w:lang w:eastAsia="hr-HR"/>
        </w:rPr>
        <w:t>Tema:</w:t>
      </w:r>
      <w:r w:rsidR="00C00BB3">
        <w:rPr>
          <w:rFonts w:cstheme="minorHAnsi"/>
          <w:lang w:eastAsia="hr-HR"/>
        </w:rPr>
        <w:t xml:space="preserve"> </w:t>
      </w:r>
      <w:r>
        <w:rPr>
          <w:rFonts w:cstheme="minorHAnsi"/>
          <w:lang w:eastAsia="hr-HR"/>
        </w:rPr>
        <w:t xml:space="preserve"> „IZMJENE ZAKONA O GRADNJI“</w:t>
      </w:r>
    </w:p>
    <w:p w14:paraId="244A3937" w14:textId="794B0041" w:rsidR="002028BF" w:rsidRDefault="002028BF" w:rsidP="002028BF">
      <w:pPr>
        <w:rPr>
          <w:rFonts w:cstheme="minorHAnsi"/>
          <w:lang w:eastAsia="hr-HR"/>
        </w:rPr>
      </w:pPr>
      <w:r>
        <w:rPr>
          <w:rFonts w:cstheme="minorHAnsi"/>
          <w:lang w:eastAsia="hr-HR"/>
        </w:rPr>
        <w:t xml:space="preserve"> U fokusu ovog Dijaloga partnera bile su izmjene Zakona o gradnji vezane uz donošenje i provođenje nove Dugoročne strategije obnove nacionalnog fonda zgrada do 2050. godine, promicanje elektromobilnosti kroz postavljanje infrastrukture za punjenje električnih vozila u zgradama i na parkiralištima uz zgrade, pojednostavljenja redovitih pregleda sustava grijanja i sustava hlađenja ili klimatizacija u zgradama, podešavanja i nadzori tehničkih sustava zgrada, definiranja zahtjeva vezanih na postavljanje uređaja za samoregulaciju, te sustave automatizacija i upravljanja zgradama, kao i izmjene u sustavu izdavanja ovlaštenja za energetsko certificiranje zgrada.</w:t>
      </w:r>
    </w:p>
    <w:p w14:paraId="4E81A734" w14:textId="16BE95E2" w:rsidR="002028BF" w:rsidRDefault="002028BF" w:rsidP="002028BF">
      <w:pPr>
        <w:tabs>
          <w:tab w:val="left" w:pos="9072"/>
        </w:tabs>
        <w:rPr>
          <w:rFonts w:cstheme="minorHAnsi"/>
          <w:lang w:eastAsia="en-US"/>
        </w:rPr>
      </w:pPr>
      <w:r>
        <w:rPr>
          <w:rFonts w:cstheme="minorHAnsi"/>
          <w:lang w:eastAsia="hr-HR"/>
        </w:rPr>
        <w:t>Iz</w:t>
      </w:r>
      <w:r>
        <w:rPr>
          <w:rFonts w:cstheme="minorHAnsi"/>
        </w:rPr>
        <w:t>mjene</w:t>
      </w:r>
      <w:r w:rsidR="00C00BB3">
        <w:rPr>
          <w:rFonts w:cstheme="minorHAnsi"/>
        </w:rPr>
        <w:t xml:space="preserve"> Z</w:t>
      </w:r>
      <w:r>
        <w:rPr>
          <w:rFonts w:cstheme="minorHAnsi"/>
        </w:rPr>
        <w:t>akona</w:t>
      </w:r>
      <w:r w:rsidR="00C00BB3">
        <w:rPr>
          <w:rFonts w:cstheme="minorHAnsi"/>
        </w:rPr>
        <w:t xml:space="preserve"> </w:t>
      </w:r>
      <w:r>
        <w:rPr>
          <w:rFonts w:cstheme="minorHAnsi"/>
        </w:rPr>
        <w:t>o</w:t>
      </w:r>
      <w:r w:rsidR="00C00BB3">
        <w:rPr>
          <w:rFonts w:cstheme="minorHAnsi"/>
        </w:rPr>
        <w:t xml:space="preserve"> </w:t>
      </w:r>
      <w:r>
        <w:rPr>
          <w:rFonts w:cstheme="minorHAnsi"/>
        </w:rPr>
        <w:t>gradnji nužne su radi</w:t>
      </w:r>
      <w:r w:rsidR="00C00BB3">
        <w:rPr>
          <w:rFonts w:cstheme="minorHAnsi"/>
        </w:rPr>
        <w:t xml:space="preserve"> </w:t>
      </w:r>
      <w:r>
        <w:rPr>
          <w:rFonts w:cstheme="minorHAnsi"/>
        </w:rPr>
        <w:t>usklađivanja</w:t>
      </w:r>
      <w:r w:rsidR="00C00BB3">
        <w:rPr>
          <w:rFonts w:cstheme="minorHAnsi"/>
        </w:rPr>
        <w:t xml:space="preserve"> </w:t>
      </w:r>
      <w:r>
        <w:rPr>
          <w:rFonts w:cstheme="minorHAnsi"/>
        </w:rPr>
        <w:t>nacionalnog</w:t>
      </w:r>
      <w:r w:rsidR="00C00BB3">
        <w:rPr>
          <w:rFonts w:cstheme="minorHAnsi"/>
        </w:rPr>
        <w:t xml:space="preserve"> </w:t>
      </w:r>
      <w:r>
        <w:rPr>
          <w:rFonts w:cstheme="minorHAnsi"/>
        </w:rPr>
        <w:t>zakonodavstva</w:t>
      </w:r>
      <w:r w:rsidR="00C00BB3">
        <w:rPr>
          <w:rFonts w:cstheme="minorHAnsi"/>
        </w:rPr>
        <w:t xml:space="preserve"> </w:t>
      </w:r>
      <w:r>
        <w:rPr>
          <w:rFonts w:cstheme="minorHAnsi"/>
        </w:rPr>
        <w:t>iz područja</w:t>
      </w:r>
      <w:r w:rsidR="00C00BB3">
        <w:rPr>
          <w:rFonts w:cstheme="minorHAnsi"/>
        </w:rPr>
        <w:t xml:space="preserve"> </w:t>
      </w:r>
      <w:r>
        <w:rPr>
          <w:rFonts w:cstheme="minorHAnsi"/>
        </w:rPr>
        <w:t>energetske učinkovitosti</w:t>
      </w:r>
      <w:r w:rsidR="00C00BB3">
        <w:rPr>
          <w:rFonts w:cstheme="minorHAnsi"/>
        </w:rPr>
        <w:t xml:space="preserve"> </w:t>
      </w:r>
      <w:r>
        <w:rPr>
          <w:rFonts w:cstheme="minorHAnsi"/>
        </w:rPr>
        <w:t>u</w:t>
      </w:r>
      <w:r w:rsidR="00C00BB3">
        <w:rPr>
          <w:rFonts w:cstheme="minorHAnsi"/>
        </w:rPr>
        <w:t xml:space="preserve"> </w:t>
      </w:r>
      <w:r>
        <w:rPr>
          <w:rFonts w:cstheme="minorHAnsi"/>
        </w:rPr>
        <w:t>zgradarstvu</w:t>
      </w:r>
      <w:r w:rsidR="00C00BB3">
        <w:rPr>
          <w:rFonts w:cstheme="minorHAnsi"/>
        </w:rPr>
        <w:t xml:space="preserve"> </w:t>
      </w:r>
      <w:r>
        <w:rPr>
          <w:rFonts w:cstheme="minorHAnsi"/>
        </w:rPr>
        <w:t>sa</w:t>
      </w:r>
      <w:r w:rsidR="00C00BB3">
        <w:rPr>
          <w:rFonts w:cstheme="minorHAnsi"/>
        </w:rPr>
        <w:t xml:space="preserve"> </w:t>
      </w:r>
      <w:r>
        <w:rPr>
          <w:rFonts w:cstheme="minorHAnsi"/>
        </w:rPr>
        <w:t>zakonodavstvom</w:t>
      </w:r>
      <w:r w:rsidR="00C00BB3">
        <w:rPr>
          <w:rFonts w:cstheme="minorHAnsi"/>
        </w:rPr>
        <w:t xml:space="preserve"> </w:t>
      </w:r>
      <w:r>
        <w:rPr>
          <w:rFonts w:cstheme="minorHAnsi"/>
        </w:rPr>
        <w:t>Europske</w:t>
      </w:r>
      <w:r w:rsidR="00C00BB3">
        <w:rPr>
          <w:rFonts w:cstheme="minorHAnsi"/>
        </w:rPr>
        <w:t xml:space="preserve"> </w:t>
      </w:r>
      <w:r>
        <w:rPr>
          <w:rFonts w:cstheme="minorHAnsi"/>
        </w:rPr>
        <w:t>unije.</w:t>
      </w:r>
    </w:p>
    <w:p w14:paraId="5EF866E2" w14:textId="1DE45008" w:rsidR="002028BF" w:rsidRDefault="002028BF" w:rsidP="002028BF">
      <w:pPr>
        <w:tabs>
          <w:tab w:val="left" w:pos="9072"/>
        </w:tabs>
        <w:rPr>
          <w:rFonts w:cstheme="minorHAnsi"/>
        </w:rPr>
      </w:pPr>
      <w:r>
        <w:rPr>
          <w:rFonts w:cstheme="minorHAnsi"/>
        </w:rPr>
        <w:t>Nakon prezentacije načelnice Sektora za energetsku učinkovitost u zgradarstvu i zgrade gotovo nulte energije kojom su predstavljene izmjene održane su diskusije - radionica za stolovima prema navedenim temama</w:t>
      </w:r>
      <w:r w:rsidR="00C00BB3">
        <w:rPr>
          <w:rFonts w:cstheme="minorHAnsi"/>
        </w:rPr>
        <w:t>:</w:t>
      </w:r>
    </w:p>
    <w:p w14:paraId="7A8FC2A4" w14:textId="77777777" w:rsidR="002028BF" w:rsidRDefault="002028BF" w:rsidP="007D44EF">
      <w:pPr>
        <w:pStyle w:val="Odlomakpopisa"/>
        <w:keepLines w:val="0"/>
        <w:numPr>
          <w:ilvl w:val="0"/>
          <w:numId w:val="61"/>
        </w:numPr>
        <w:tabs>
          <w:tab w:val="clear" w:pos="431"/>
          <w:tab w:val="left" w:pos="9072"/>
        </w:tabs>
        <w:suppressAutoHyphens w:val="0"/>
        <w:spacing w:before="0" w:after="160" w:line="256" w:lineRule="auto"/>
        <w:contextualSpacing/>
        <w:rPr>
          <w:rFonts w:cstheme="minorHAnsi"/>
        </w:rPr>
      </w:pPr>
      <w:r>
        <w:rPr>
          <w:rFonts w:cstheme="minorHAnsi"/>
        </w:rPr>
        <w:t>Dugoročna strategije obnove nacionalnog fonda zgrado 2050. godine – obuhvat strategije, politike i mjere, odabir mjerljivih  pokazatelja napretka za 2030., 2040. i 2050.</w:t>
      </w:r>
    </w:p>
    <w:p w14:paraId="782B05E9" w14:textId="77777777" w:rsidR="002028BF" w:rsidRDefault="002028BF" w:rsidP="007D44EF">
      <w:pPr>
        <w:pStyle w:val="Odlomakpopisa"/>
        <w:keepLines w:val="0"/>
        <w:numPr>
          <w:ilvl w:val="0"/>
          <w:numId w:val="61"/>
        </w:numPr>
        <w:tabs>
          <w:tab w:val="clear" w:pos="431"/>
          <w:tab w:val="left" w:pos="9072"/>
        </w:tabs>
        <w:suppressAutoHyphens w:val="0"/>
        <w:spacing w:before="0" w:after="160" w:line="256" w:lineRule="auto"/>
        <w:contextualSpacing/>
        <w:rPr>
          <w:rFonts w:cstheme="minorHAnsi"/>
        </w:rPr>
      </w:pPr>
      <w:r>
        <w:rPr>
          <w:rFonts w:cstheme="minorHAnsi"/>
        </w:rPr>
        <w:t>Promicanje elektromobilnosti kroz postavljanje infrastrukture za punjenje električnih vozila u zgradama i na parkiralištima uz zgrade</w:t>
      </w:r>
    </w:p>
    <w:p w14:paraId="258EB10F" w14:textId="77777777" w:rsidR="002028BF" w:rsidRDefault="002028BF" w:rsidP="007D44EF">
      <w:pPr>
        <w:pStyle w:val="Odlomakpopisa"/>
        <w:keepLines w:val="0"/>
        <w:numPr>
          <w:ilvl w:val="0"/>
          <w:numId w:val="61"/>
        </w:numPr>
        <w:tabs>
          <w:tab w:val="clear" w:pos="431"/>
          <w:tab w:val="left" w:pos="9072"/>
        </w:tabs>
        <w:suppressAutoHyphens w:val="0"/>
        <w:spacing w:before="0" w:after="160" w:line="256" w:lineRule="auto"/>
        <w:contextualSpacing/>
        <w:rPr>
          <w:rFonts w:cstheme="minorHAnsi"/>
        </w:rPr>
      </w:pPr>
      <w:r>
        <w:rPr>
          <w:rFonts w:cstheme="minorHAnsi"/>
        </w:rPr>
        <w:t>Pojednostavljenja redovitih pregleda sustava grijanja i sustava hlađenja ili klimatizacija u zgradama</w:t>
      </w:r>
    </w:p>
    <w:p w14:paraId="6E2B5833" w14:textId="77777777" w:rsidR="002028BF" w:rsidRDefault="002028BF" w:rsidP="007D44EF">
      <w:pPr>
        <w:pStyle w:val="Odlomakpopisa"/>
        <w:keepLines w:val="0"/>
        <w:numPr>
          <w:ilvl w:val="0"/>
          <w:numId w:val="61"/>
        </w:numPr>
        <w:tabs>
          <w:tab w:val="clear" w:pos="431"/>
          <w:tab w:val="left" w:pos="9072"/>
        </w:tabs>
        <w:suppressAutoHyphens w:val="0"/>
        <w:spacing w:before="0" w:after="160" w:line="256" w:lineRule="auto"/>
        <w:contextualSpacing/>
        <w:rPr>
          <w:rFonts w:cstheme="minorHAnsi"/>
        </w:rPr>
      </w:pPr>
      <w:r>
        <w:rPr>
          <w:rFonts w:cstheme="minorHAnsi"/>
        </w:rPr>
        <w:t>Uvođenje sustava automatizacija i upravljanja zgradama, uređaji za samoregulaciju</w:t>
      </w:r>
    </w:p>
    <w:p w14:paraId="0FE38EDF" w14:textId="77777777" w:rsidR="002028BF" w:rsidRDefault="002028BF" w:rsidP="007D44EF">
      <w:pPr>
        <w:pStyle w:val="Odlomakpopisa"/>
        <w:keepLines w:val="0"/>
        <w:numPr>
          <w:ilvl w:val="0"/>
          <w:numId w:val="61"/>
        </w:numPr>
        <w:tabs>
          <w:tab w:val="clear" w:pos="431"/>
          <w:tab w:val="left" w:pos="9072"/>
        </w:tabs>
        <w:suppressAutoHyphens w:val="0"/>
        <w:spacing w:before="0" w:after="160" w:line="256" w:lineRule="auto"/>
        <w:contextualSpacing/>
        <w:rPr>
          <w:rFonts w:cstheme="minorHAnsi"/>
        </w:rPr>
      </w:pPr>
      <w:r>
        <w:rPr>
          <w:rFonts w:cstheme="minorHAnsi"/>
        </w:rPr>
        <w:t>Izmjene u uvjetima za izdavanja ovlaštenja za energetsko certificiranje zgrada</w:t>
      </w:r>
    </w:p>
    <w:p w14:paraId="27ECBBAF" w14:textId="77777777" w:rsidR="002028BF" w:rsidRDefault="002028BF" w:rsidP="002028BF">
      <w:pPr>
        <w:tabs>
          <w:tab w:val="left" w:pos="9072"/>
        </w:tabs>
        <w:rPr>
          <w:rFonts w:cstheme="minorHAnsi"/>
        </w:rPr>
      </w:pPr>
      <w:r>
        <w:rPr>
          <w:rFonts w:cstheme="minorHAnsi"/>
        </w:rPr>
        <w:t>Ukratko zaključci Četvrtog otvorenog dijaloga partnera su:</w:t>
      </w:r>
    </w:p>
    <w:p w14:paraId="3FE8E4AB" w14:textId="47F32F2E" w:rsidR="002028BF" w:rsidRDefault="002028BF" w:rsidP="007D44EF">
      <w:pPr>
        <w:pStyle w:val="Odlomakpopisa"/>
        <w:keepLines w:val="0"/>
        <w:numPr>
          <w:ilvl w:val="0"/>
          <w:numId w:val="62"/>
        </w:numPr>
        <w:tabs>
          <w:tab w:val="clear" w:pos="431"/>
          <w:tab w:val="left" w:pos="9072"/>
        </w:tabs>
        <w:suppressAutoHyphens w:val="0"/>
        <w:spacing w:before="0" w:after="160" w:line="254" w:lineRule="auto"/>
        <w:contextualSpacing/>
        <w:rPr>
          <w:rFonts w:cstheme="minorHAnsi"/>
        </w:rPr>
      </w:pPr>
      <w:r>
        <w:rPr>
          <w:rFonts w:cstheme="minorHAnsi"/>
        </w:rPr>
        <w:t>ne</w:t>
      </w:r>
      <w:r w:rsidR="003523D0">
        <w:rPr>
          <w:rFonts w:cstheme="minorHAnsi"/>
        </w:rPr>
        <w:t>dostaje</w:t>
      </w:r>
      <w:r>
        <w:rPr>
          <w:rFonts w:cstheme="minorHAnsi"/>
        </w:rPr>
        <w:t xml:space="preserve"> pregled nacionalnog fonda zgrada, dostupnosti i relevantnosti podataka ( ne</w:t>
      </w:r>
      <w:r w:rsidR="003523D0">
        <w:rPr>
          <w:rFonts w:cstheme="minorHAnsi"/>
        </w:rPr>
        <w:t>dostaje</w:t>
      </w:r>
      <w:r>
        <w:rPr>
          <w:rFonts w:cstheme="minorHAnsi"/>
        </w:rPr>
        <w:t xml:space="preserve"> registra zgrada)</w:t>
      </w:r>
    </w:p>
    <w:p w14:paraId="235BF493" w14:textId="6727E5F2" w:rsidR="002028BF" w:rsidRDefault="002028BF" w:rsidP="007D44EF">
      <w:pPr>
        <w:pStyle w:val="Odlomakpopisa"/>
        <w:keepLines w:val="0"/>
        <w:numPr>
          <w:ilvl w:val="0"/>
          <w:numId w:val="62"/>
        </w:numPr>
        <w:tabs>
          <w:tab w:val="clear" w:pos="431"/>
          <w:tab w:val="left" w:pos="9072"/>
        </w:tabs>
        <w:suppressAutoHyphens w:val="0"/>
        <w:spacing w:before="0" w:after="160" w:line="254" w:lineRule="auto"/>
        <w:contextualSpacing/>
        <w:rPr>
          <w:rFonts w:cstheme="minorHAnsi"/>
        </w:rPr>
      </w:pPr>
      <w:r w:rsidRPr="002028BF">
        <w:rPr>
          <w:rFonts w:cstheme="minorHAnsi"/>
        </w:rPr>
        <w:t xml:space="preserve">problem su stalno i privremeno prazni stanovi </w:t>
      </w:r>
      <w:r w:rsidR="003523D0">
        <w:rPr>
          <w:rFonts w:cstheme="minorHAnsi"/>
        </w:rPr>
        <w:t xml:space="preserve">(o kojima </w:t>
      </w:r>
      <w:r w:rsidRPr="002028BF">
        <w:rPr>
          <w:rFonts w:cstheme="minorHAnsi"/>
        </w:rPr>
        <w:t>nema podataka</w:t>
      </w:r>
      <w:r w:rsidR="003523D0">
        <w:rPr>
          <w:rFonts w:cstheme="minorHAnsi"/>
        </w:rPr>
        <w:t>), a koji</w:t>
      </w:r>
      <w:r w:rsidRPr="002028BF">
        <w:rPr>
          <w:rFonts w:cstheme="minorHAnsi"/>
        </w:rPr>
        <w:t xml:space="preserve">  ulaze u površinu fonda zgrada, pa se postavlja pitanje potrebe za obnovom takvih stanova.</w:t>
      </w:r>
    </w:p>
    <w:p w14:paraId="66737D81" w14:textId="06FC97E6" w:rsidR="002028BF" w:rsidRPr="00D877C5" w:rsidRDefault="002028BF" w:rsidP="007D44EF">
      <w:pPr>
        <w:pStyle w:val="Odlomakpopisa"/>
        <w:keepLines w:val="0"/>
        <w:numPr>
          <w:ilvl w:val="0"/>
          <w:numId w:val="62"/>
        </w:numPr>
        <w:tabs>
          <w:tab w:val="clear" w:pos="431"/>
          <w:tab w:val="left" w:pos="9072"/>
        </w:tabs>
        <w:suppressAutoHyphens w:val="0"/>
        <w:spacing w:before="0" w:after="160" w:line="254" w:lineRule="auto"/>
        <w:contextualSpacing/>
        <w:rPr>
          <w:rFonts w:cstheme="minorHAnsi"/>
        </w:rPr>
      </w:pPr>
      <w:r w:rsidRPr="00D877C5">
        <w:rPr>
          <w:rFonts w:cstheme="minorHAnsi"/>
        </w:rPr>
        <w:t xml:space="preserve"> Čl. 5.1. EED direktive traži 3% ukupne površine poda grijanih i/ili hlađenih zgrada u vlasništvu i uporabi središnje vlasti obnoviti svake godine, dok je prihvaćeni cilj iz Strategije energetskog razvoja RH do 2030 s pogledom na 2015.godinu</w:t>
      </w:r>
      <w:r w:rsidRPr="00D877C5">
        <w:rPr>
          <w:rFonts w:cstheme="minorHAnsi"/>
          <w:b/>
        </w:rPr>
        <w:t xml:space="preserve"> </w:t>
      </w:r>
      <w:r w:rsidRPr="00D877C5">
        <w:rPr>
          <w:rFonts w:cstheme="minorHAnsi"/>
        </w:rPr>
        <w:t xml:space="preserve"> ( scenarij S2 umjereni) 1.6% godišnje (energetska obnova fonda zgrada). </w:t>
      </w:r>
    </w:p>
    <w:p w14:paraId="77A2B72B" w14:textId="77777777" w:rsidR="002028BF" w:rsidRDefault="002028BF" w:rsidP="007D44EF">
      <w:pPr>
        <w:pStyle w:val="Odlomakpopisa"/>
        <w:keepLines w:val="0"/>
        <w:numPr>
          <w:ilvl w:val="0"/>
          <w:numId w:val="62"/>
        </w:numPr>
        <w:tabs>
          <w:tab w:val="clear" w:pos="431"/>
          <w:tab w:val="left" w:pos="9072"/>
        </w:tabs>
        <w:suppressAutoHyphens w:val="0"/>
        <w:spacing w:before="0" w:after="160" w:line="254" w:lineRule="auto"/>
        <w:contextualSpacing/>
        <w:rPr>
          <w:rFonts w:cstheme="minorHAnsi"/>
        </w:rPr>
      </w:pPr>
      <w:r>
        <w:rPr>
          <w:rFonts w:cstheme="minorHAnsi"/>
        </w:rPr>
        <w:t xml:space="preserve">Problem su privatne obnove koje se ne sufinanciraju, tj. ne bilježe se rezultati u jedinstvenoj bazi ušteda, te se tako ne vide ukupne uštede (naročito kod obiteljskih kuća) </w:t>
      </w:r>
    </w:p>
    <w:p w14:paraId="3859EFBF" w14:textId="2207309C" w:rsidR="002028BF" w:rsidRDefault="002028BF" w:rsidP="007D44EF">
      <w:pPr>
        <w:pStyle w:val="Odlomakpopisa"/>
        <w:keepLines w:val="0"/>
        <w:numPr>
          <w:ilvl w:val="0"/>
          <w:numId w:val="62"/>
        </w:numPr>
        <w:tabs>
          <w:tab w:val="clear" w:pos="431"/>
          <w:tab w:val="left" w:pos="9072"/>
        </w:tabs>
        <w:suppressAutoHyphens w:val="0"/>
        <w:spacing w:before="0" w:after="160" w:line="254" w:lineRule="auto"/>
        <w:contextualSpacing/>
        <w:rPr>
          <w:rFonts w:cstheme="minorHAnsi"/>
        </w:rPr>
      </w:pPr>
      <w:r>
        <w:rPr>
          <w:rFonts w:cstheme="minorHAnsi"/>
        </w:rPr>
        <w:t>Potrebno pdrediti koje su to relevantne pokretačke točke u životnim ciklusima zgrade</w:t>
      </w:r>
      <w:r w:rsidR="003523D0">
        <w:rPr>
          <w:rFonts w:cstheme="minorHAnsi"/>
        </w:rPr>
        <w:t>, n</w:t>
      </w:r>
      <w:r>
        <w:rPr>
          <w:rFonts w:cstheme="minorHAnsi"/>
        </w:rPr>
        <w:t>pr. transakcije nekretninom (prodaja, zakup, refinanciranje, promjena namjen</w:t>
      </w:r>
      <w:r w:rsidR="003523D0">
        <w:rPr>
          <w:rFonts w:cstheme="minorHAnsi"/>
        </w:rPr>
        <w:t>e</w:t>
      </w:r>
      <w:r>
        <w:rPr>
          <w:rFonts w:cstheme="minorHAnsi"/>
        </w:rPr>
        <w:t>), ranije planirana obnova koja nije povezana s energijom, katastrofe (požar, potres, poplava).</w:t>
      </w:r>
    </w:p>
    <w:p w14:paraId="15742706" w14:textId="66DAB6CB" w:rsidR="002028BF" w:rsidRPr="000B380A" w:rsidRDefault="002028BF" w:rsidP="000B380A">
      <w:pPr>
        <w:pStyle w:val="Odlomakpopisa"/>
        <w:keepLines w:val="0"/>
        <w:numPr>
          <w:ilvl w:val="0"/>
          <w:numId w:val="62"/>
        </w:numPr>
        <w:tabs>
          <w:tab w:val="clear" w:pos="431"/>
          <w:tab w:val="left" w:pos="9072"/>
        </w:tabs>
        <w:suppressAutoHyphens w:val="0"/>
        <w:spacing w:before="0" w:after="160" w:line="254" w:lineRule="auto"/>
        <w:contextualSpacing/>
        <w:rPr>
          <w:rFonts w:cstheme="minorHAnsi"/>
        </w:rPr>
      </w:pPr>
      <w:r>
        <w:rPr>
          <w:rFonts w:cstheme="minorHAnsi"/>
        </w:rPr>
        <w:t>Dileme suprotstavljenih interesa,  najmodavac – najmoprimac, nedostaci tržišta ( suvlasnik zgrade koji nije motiviran za energetsku obnovu, nije financijski sposoban, nije zainteresiran…stanodavci moraju biti svjesni svojih obveza i održavanja zgrade te ju učiniti sigurnom).</w:t>
      </w:r>
    </w:p>
    <w:p w14:paraId="2506BB80" w14:textId="54DE3FE5" w:rsidR="002028BF" w:rsidRPr="000B380A" w:rsidRDefault="002028BF" w:rsidP="000B380A">
      <w:pPr>
        <w:pStyle w:val="Odlomakpopisa"/>
        <w:keepLines w:val="0"/>
        <w:numPr>
          <w:ilvl w:val="0"/>
          <w:numId w:val="62"/>
        </w:numPr>
        <w:tabs>
          <w:tab w:val="clear" w:pos="431"/>
          <w:tab w:val="left" w:pos="9072"/>
        </w:tabs>
        <w:suppressAutoHyphens w:val="0"/>
        <w:spacing w:before="0" w:after="160" w:line="254" w:lineRule="auto"/>
        <w:contextualSpacing/>
        <w:rPr>
          <w:rFonts w:cstheme="minorHAnsi"/>
        </w:rPr>
      </w:pPr>
      <w:r>
        <w:rPr>
          <w:rFonts w:cstheme="minorHAnsi"/>
        </w:rPr>
        <w:t xml:space="preserve">Na koji način uključiti pitanja zaštite od požara i potresa, osim u hitnim i izvanrednim situacijama kad se već dogodi katastrofa (pokretačke točke) znači planirana energetska obnova koja uključuje zaštitu od požara i potresa, poplave? </w:t>
      </w:r>
    </w:p>
    <w:p w14:paraId="0E53DC38" w14:textId="0E52DF07" w:rsidR="002028BF" w:rsidRDefault="002028BF" w:rsidP="007D44EF">
      <w:pPr>
        <w:pStyle w:val="Odlomakpopisa"/>
        <w:keepLines w:val="0"/>
        <w:numPr>
          <w:ilvl w:val="0"/>
          <w:numId w:val="62"/>
        </w:numPr>
        <w:tabs>
          <w:tab w:val="clear" w:pos="431"/>
          <w:tab w:val="left" w:pos="9072"/>
        </w:tabs>
        <w:suppressAutoHyphens w:val="0"/>
        <w:spacing w:before="0" w:after="160" w:line="254" w:lineRule="auto"/>
        <w:contextualSpacing/>
        <w:rPr>
          <w:rFonts w:cstheme="minorHAnsi"/>
        </w:rPr>
      </w:pPr>
      <w:r>
        <w:rPr>
          <w:rFonts w:cstheme="minorHAnsi"/>
        </w:rPr>
        <w:t>Koji su to modaliteti uključivog savjetovanja tijekom provedbe strategije obnove vezano za trogodišnje izvješćivanje EK o napretku, osim e-savjetovanja i Otvorenog dijaloga partner</w:t>
      </w:r>
      <w:r w:rsidR="003523D0">
        <w:rPr>
          <w:rFonts w:cstheme="minorHAnsi"/>
        </w:rPr>
        <w:t>a</w:t>
      </w:r>
      <w:r>
        <w:rPr>
          <w:rFonts w:cstheme="minorHAnsi"/>
        </w:rPr>
        <w:t xml:space="preserve">? Koji su </w:t>
      </w:r>
      <w:r w:rsidR="006A7B80">
        <w:rPr>
          <w:rFonts w:cstheme="minorHAnsi"/>
        </w:rPr>
        <w:t xml:space="preserve">pokazatelji </w:t>
      </w:r>
      <w:r>
        <w:rPr>
          <w:rFonts w:cstheme="minorHAnsi"/>
        </w:rPr>
        <w:t>i kako ih pratitit? Statističko istraživanje strukture fonda zgrada na statistički relevantnom uzorku? Web na MGIPU LTRS?</w:t>
      </w:r>
    </w:p>
    <w:p w14:paraId="42340518" w14:textId="4D3EF795" w:rsidR="002028BF" w:rsidRDefault="002028BF" w:rsidP="007D44EF">
      <w:pPr>
        <w:pStyle w:val="Odlomakpopisa"/>
        <w:keepLines w:val="0"/>
        <w:numPr>
          <w:ilvl w:val="0"/>
          <w:numId w:val="62"/>
        </w:numPr>
        <w:tabs>
          <w:tab w:val="clear" w:pos="431"/>
        </w:tabs>
        <w:suppressAutoHyphens w:val="0"/>
        <w:spacing w:before="0" w:after="160" w:line="254" w:lineRule="auto"/>
        <w:contextualSpacing/>
        <w:rPr>
          <w:rFonts w:cstheme="minorHAnsi"/>
        </w:rPr>
      </w:pPr>
      <w:r>
        <w:rPr>
          <w:rFonts w:cstheme="minorHAnsi"/>
        </w:rPr>
        <w:t xml:space="preserve">Praćenje realizacije dugoročne strategije obnove zgrada, na koji način? </w:t>
      </w:r>
      <w:r w:rsidR="006A7B80">
        <w:rPr>
          <w:rFonts w:cstheme="minorHAnsi"/>
        </w:rPr>
        <w:t>Pokazatelji</w:t>
      </w:r>
      <w:r>
        <w:rPr>
          <w:rFonts w:cstheme="minorHAnsi"/>
        </w:rPr>
        <w:t>, koji?</w:t>
      </w:r>
    </w:p>
    <w:p w14:paraId="60B43EC3" w14:textId="47911061" w:rsidR="002028BF" w:rsidRDefault="002028BF" w:rsidP="007D44EF">
      <w:pPr>
        <w:pStyle w:val="Odlomakpopisa"/>
        <w:keepLines w:val="0"/>
        <w:numPr>
          <w:ilvl w:val="0"/>
          <w:numId w:val="62"/>
        </w:numPr>
        <w:tabs>
          <w:tab w:val="clear" w:pos="431"/>
        </w:tabs>
        <w:suppressAutoHyphens w:val="0"/>
        <w:spacing w:before="0" w:after="160" w:line="254" w:lineRule="auto"/>
        <w:contextualSpacing/>
        <w:rPr>
          <w:rFonts w:cstheme="minorHAnsi"/>
        </w:rPr>
      </w:pPr>
      <w:r>
        <w:rPr>
          <w:rFonts w:cstheme="minorHAnsi"/>
        </w:rPr>
        <w:t>Promicanje pametnih tehnologija, koje su to nacionalne inicijative za njihovo promicanje na koji način ih približiti korisnicima i učiniti poželjnim i pristupačnim? Promicanje vještina i obrazovanja u građevinskom sektoru.</w:t>
      </w:r>
    </w:p>
    <w:p w14:paraId="7DD89EE5" w14:textId="77777777" w:rsidR="002028BF" w:rsidRDefault="002028BF" w:rsidP="002028BF">
      <w:pPr>
        <w:rPr>
          <w:rFonts w:cstheme="minorHAnsi"/>
        </w:rPr>
      </w:pPr>
    </w:p>
    <w:p w14:paraId="7A54B225" w14:textId="77777777" w:rsidR="002028BF" w:rsidRDefault="002028BF" w:rsidP="002028BF">
      <w:pPr>
        <w:rPr>
          <w:rFonts w:cstheme="minorHAnsi"/>
        </w:rPr>
      </w:pPr>
      <w:r>
        <w:rPr>
          <w:rFonts w:cstheme="minorHAnsi"/>
        </w:rPr>
        <w:t xml:space="preserve">Promicanje elektromobilnosti kroz postavljanje infrastrukture za punjenje električnih vozila u zgradama i na parkiralištima uz zgrade </w:t>
      </w:r>
    </w:p>
    <w:p w14:paraId="1E43387E" w14:textId="77777777" w:rsidR="002028BF" w:rsidRDefault="002028BF" w:rsidP="002028BF">
      <w:pPr>
        <w:pStyle w:val="clanak-"/>
        <w:spacing w:before="0" w:beforeAutospacing="0" w:after="0" w:afterAutospacing="0" w:line="280" w:lineRule="atLeast"/>
        <w:jc w:val="both"/>
        <w:rPr>
          <w:rFonts w:asciiTheme="minorHAnsi" w:hAnsiTheme="minorHAnsi" w:cstheme="minorHAnsi"/>
          <w:sz w:val="22"/>
          <w:szCs w:val="22"/>
        </w:rPr>
      </w:pPr>
      <w:r>
        <w:rPr>
          <w:rFonts w:asciiTheme="minorHAnsi" w:hAnsiTheme="minorHAnsi" w:cstheme="minorHAnsi"/>
          <w:sz w:val="22"/>
          <w:szCs w:val="22"/>
        </w:rPr>
        <w:t>Dugoročna strategija sadrži analizu  mjera za pojednostavnjenje uspostave mjesta za punjenje u novim i postojećim stambenim i nestambenim zgradama usredotočujući se na moguće regulatorne prepreke, uključujući postupke za izdavanje dozvola i suglasnosti, ne dovodeći u pitanje pravo u području vlasništva i najma nekretnina.</w:t>
      </w:r>
    </w:p>
    <w:p w14:paraId="13DB07C7" w14:textId="77777777" w:rsidR="002028BF" w:rsidRDefault="002028BF" w:rsidP="002028BF">
      <w:pPr>
        <w:rPr>
          <w:rFonts w:asciiTheme="minorHAnsi" w:hAnsiTheme="minorHAnsi" w:cstheme="minorHAnsi"/>
          <w:sz w:val="22"/>
          <w:szCs w:val="22"/>
        </w:rPr>
      </w:pPr>
      <w:r>
        <w:rPr>
          <w:rFonts w:cstheme="minorHAnsi"/>
        </w:rPr>
        <w:t xml:space="preserve">Sudionici ovog Otvorenog dijaloga smatraju da je uvođenje emobilnosti za nove zgrade opravdana i dobra investicija, te bi trebala biti izvedena kabelska infrastruktura za SVA parkirna mjesta (umjesto 1 PM iznad 10PM, kako je prijedlog ZOGa). </w:t>
      </w:r>
    </w:p>
    <w:p w14:paraId="54C61424" w14:textId="77777777" w:rsidR="002028BF" w:rsidRDefault="002028BF" w:rsidP="002028BF">
      <w:pPr>
        <w:rPr>
          <w:rFonts w:cstheme="minorHAnsi"/>
        </w:rPr>
      </w:pPr>
      <w:r>
        <w:rPr>
          <w:rFonts w:cstheme="minorHAnsi"/>
        </w:rPr>
        <w:t>Također kod projektiranja i izvođenja novih zgrada treba predvidjeti instalacije i prostorije za  smještaj novih elemenata kao što su  prostorije za akumulatore, brojila, instalacijska okna, kabelske trase i slično.</w:t>
      </w:r>
    </w:p>
    <w:p w14:paraId="4DFF816B" w14:textId="77777777" w:rsidR="002028BF" w:rsidRDefault="002028BF" w:rsidP="002028BF">
      <w:pPr>
        <w:rPr>
          <w:rFonts w:cstheme="minorHAnsi"/>
        </w:rPr>
      </w:pPr>
      <w:r>
        <w:rPr>
          <w:rFonts w:cstheme="minorHAnsi"/>
        </w:rPr>
        <w:t>Za nestambene zgrade prijedlog je da se također predvidi kanalska infrastruktura za svako parkirno mjesto- kad god je to moguće. To bi mogla biti i dobra prilika za sufinanciranje sredstvima EU (zahtjev je viši od propisanog) u  budućim pozivima energetskih obnova. (Ovo bi se također moglo primijeniti i za stambene zgrade.)</w:t>
      </w:r>
    </w:p>
    <w:p w14:paraId="5E14C5A1" w14:textId="77777777" w:rsidR="002028BF" w:rsidRDefault="002028BF" w:rsidP="002028BF">
      <w:pPr>
        <w:rPr>
          <w:rFonts w:cstheme="minorHAnsi"/>
        </w:rPr>
      </w:pPr>
    </w:p>
    <w:p w14:paraId="5DEE9092" w14:textId="77777777" w:rsidR="002028BF" w:rsidRDefault="002028BF" w:rsidP="002028BF">
      <w:pPr>
        <w:rPr>
          <w:rFonts w:cstheme="minorHAnsi"/>
        </w:rPr>
      </w:pPr>
      <w:r>
        <w:rPr>
          <w:rFonts w:cstheme="minorHAnsi"/>
        </w:rPr>
        <w:t>Problemi koji bi mogli nastati iz zahtjeva emobilnosti:</w:t>
      </w:r>
    </w:p>
    <w:p w14:paraId="242D1E23" w14:textId="77777777" w:rsidR="002028BF" w:rsidRDefault="002028BF" w:rsidP="002028BF">
      <w:pPr>
        <w:rPr>
          <w:rFonts w:cstheme="minorHAnsi"/>
        </w:rPr>
      </w:pPr>
      <w:r>
        <w:rPr>
          <w:rFonts w:cstheme="minorHAnsi"/>
        </w:rPr>
        <w:t>-značajna promjena koja će utjecati na javnu infrastrukturu (koja je stara i vjerojatno podkapacitirana)</w:t>
      </w:r>
    </w:p>
    <w:p w14:paraId="71E9EA2C" w14:textId="77777777" w:rsidR="002028BF" w:rsidRDefault="002028BF" w:rsidP="002028BF">
      <w:pPr>
        <w:rPr>
          <w:rFonts w:cstheme="minorHAnsi"/>
        </w:rPr>
      </w:pPr>
      <w:r>
        <w:rPr>
          <w:rFonts w:cstheme="minorHAnsi"/>
        </w:rPr>
        <w:t>-eventualni problemi sa priključcima i traženom vršnom snagom (ima li HEP snage za sve potrebe u skoroj budućnosti?)</w:t>
      </w:r>
    </w:p>
    <w:p w14:paraId="35C9826F" w14:textId="77777777" w:rsidR="002028BF" w:rsidRDefault="002028BF" w:rsidP="002028BF">
      <w:pPr>
        <w:rPr>
          <w:rFonts w:cstheme="minorHAnsi"/>
        </w:rPr>
      </w:pPr>
      <w:r>
        <w:rPr>
          <w:rFonts w:cstheme="minorHAnsi"/>
        </w:rPr>
        <w:t>-gradnja će evidentno poskupiti</w:t>
      </w:r>
    </w:p>
    <w:p w14:paraId="0E9DBE42" w14:textId="77777777" w:rsidR="002028BF" w:rsidRDefault="002028BF" w:rsidP="002028BF">
      <w:pPr>
        <w:rPr>
          <w:rFonts w:cstheme="minorHAnsi"/>
        </w:rPr>
      </w:pPr>
      <w:r>
        <w:rPr>
          <w:rFonts w:cstheme="minorHAnsi"/>
        </w:rPr>
        <w:t>-kod postojećih zgrada sa više parkirnih mjesta ili mjestima koja nisu etažirana- pitanje vlasništva i vremena korištenja, te plaćanja</w:t>
      </w:r>
    </w:p>
    <w:p w14:paraId="5498ACF6" w14:textId="77777777" w:rsidR="002028BF" w:rsidRDefault="002028BF" w:rsidP="002028BF">
      <w:pPr>
        <w:rPr>
          <w:rFonts w:cstheme="minorHAnsi"/>
        </w:rPr>
      </w:pPr>
      <w:r>
        <w:rPr>
          <w:rFonts w:cstheme="minorHAnsi"/>
        </w:rPr>
        <w:t>-kod izuzetka: mala i srednja poduzeća – problem će biti kod projektiranja novih zgrada, kada se ne zna tko će biti korisnik - potrebno je dodatno pojasniti ili zakonodavno riješiti.</w:t>
      </w:r>
    </w:p>
    <w:p w14:paraId="0030420C" w14:textId="77777777" w:rsidR="002028BF" w:rsidRDefault="002028BF" w:rsidP="002028BF">
      <w:pPr>
        <w:rPr>
          <w:rFonts w:cstheme="minorHAnsi"/>
        </w:rPr>
      </w:pPr>
    </w:p>
    <w:p w14:paraId="56627051" w14:textId="77777777" w:rsidR="002028BF" w:rsidRDefault="002028BF" w:rsidP="002028BF">
      <w:pPr>
        <w:rPr>
          <w:rFonts w:cstheme="minorHAnsi"/>
          <w:b/>
          <w:bCs/>
          <w:lang w:eastAsia="hr-HR"/>
        </w:rPr>
      </w:pPr>
      <w:r>
        <w:rPr>
          <w:rFonts w:cstheme="minorHAnsi"/>
          <w:b/>
          <w:bCs/>
          <w:lang w:eastAsia="hr-HR"/>
        </w:rPr>
        <w:t>PETI OTVORENI DIJALOG PARTNERA</w:t>
      </w:r>
    </w:p>
    <w:p w14:paraId="197BC8D8" w14:textId="77777777" w:rsidR="002028BF" w:rsidRDefault="002028BF" w:rsidP="002028BF">
      <w:pPr>
        <w:rPr>
          <w:rFonts w:cstheme="minorHAnsi"/>
          <w:lang w:eastAsia="hr-HR"/>
        </w:rPr>
      </w:pPr>
      <w:r>
        <w:rPr>
          <w:rFonts w:cstheme="minorHAnsi"/>
          <w:lang w:eastAsia="hr-HR"/>
        </w:rPr>
        <w:t>Održan:  05.02.2020. godine u  Ilirskoj dvorani Narodnog doma u Zagrebu</w:t>
      </w:r>
    </w:p>
    <w:p w14:paraId="3CD4BA2B" w14:textId="3988A1CC" w:rsidR="002028BF" w:rsidRDefault="002028BF" w:rsidP="002028BF">
      <w:pPr>
        <w:pBdr>
          <w:bottom w:val="single" w:sz="4" w:space="1" w:color="auto"/>
        </w:pBdr>
        <w:rPr>
          <w:rFonts w:cstheme="minorHAnsi"/>
          <w:lang w:eastAsia="hr-HR"/>
        </w:rPr>
      </w:pPr>
      <w:r>
        <w:rPr>
          <w:rFonts w:cstheme="minorHAnsi"/>
          <w:lang w:eastAsia="hr-HR"/>
        </w:rPr>
        <w:t>Tema:  „</w:t>
      </w:r>
      <w:r>
        <w:rPr>
          <w:rFonts w:cstheme="minorHAnsi"/>
        </w:rPr>
        <w:t>Obnova nacionalnog fonda zgrada Republike Hrvatske</w:t>
      </w:r>
      <w:r>
        <w:rPr>
          <w:rFonts w:cstheme="minorHAnsi"/>
          <w:lang w:eastAsia="hr-HR"/>
        </w:rPr>
        <w:t>“</w:t>
      </w:r>
    </w:p>
    <w:p w14:paraId="47F6EA33" w14:textId="77777777" w:rsidR="002028BF" w:rsidRDefault="002028BF" w:rsidP="000A477C">
      <w:pPr>
        <w:ind w:left="0"/>
        <w:rPr>
          <w:rFonts w:cstheme="minorHAnsi"/>
          <w:lang w:eastAsia="en-US"/>
        </w:rPr>
      </w:pPr>
      <w:r>
        <w:rPr>
          <w:rFonts w:cstheme="minorHAnsi"/>
        </w:rPr>
        <w:t>U fokusu Petog otvorenog dijaloga partnera bila je obnova nacionalnog fonda zgrada Republike Hrvatske. Cilj Dugoročne strategije za poticanje ulaganja u obnovu nacionalnog fonda zgrada je postizanje visokoučinkovitog i dekarboniziranog nacionalnog fonda zgrada do 2050. godine te ostvarenje potrebnog napretka prema pretvorbi postojećih zgrada u zgrade gotovo nulte energije, osobito povećanjem dubinskih obnova. Dugoročnom strategijom predviđaju se jasne smjernice, definiraju mjerljive ciljane mjere te jednak pristup financiranju, među ostalim za segmente nacionalnog fonda zgrada s najgorim svojstvima, za potrošače pogođene energetskim siromaštvom, te one izložene dilemama suprotstavljenih interesa najmodavca i najmoprimca. Dugoročnom strategijom potrebno je utvrditi jasnu razinu ambicioznosti u pogledu energetske obnove postojećih zgrada kako bi se postigli ciljevi Europske Unije u pogledu razvoja održivog, konkurentnog, sigurnog i dekarboniziranog energetskog sustava do 2050. godine.</w:t>
      </w:r>
    </w:p>
    <w:p w14:paraId="6683738D" w14:textId="77777777" w:rsidR="002028BF" w:rsidRDefault="002028BF" w:rsidP="002028BF">
      <w:pPr>
        <w:rPr>
          <w:rFonts w:cstheme="minorHAnsi"/>
        </w:rPr>
      </w:pPr>
      <w:r>
        <w:rPr>
          <w:rFonts w:cstheme="minorHAnsi"/>
        </w:rPr>
        <w:t>Održane su prezentacije ciljeva energetske obnove zgrada do 2050.; Izmjena i dopuna Programa energetske obnove obiteljskih kuća za razdoblje od 2014. do 2020., Programa razvoja zelene infrastrukture u urbanim područjima i Programa kružnog gospodarenja prostorom i zgradama do 2030. godine, Predstavljen je novi poziv za energetsku obnovu višestambenih zgrada, te Analiza ušteda provedenih energetskih obnova zgrada.</w:t>
      </w:r>
    </w:p>
    <w:p w14:paraId="5BF4DDEF" w14:textId="77777777" w:rsidR="002028BF" w:rsidRDefault="002028BF" w:rsidP="002028BF">
      <w:pPr>
        <w:rPr>
          <w:rFonts w:cstheme="minorHAnsi"/>
        </w:rPr>
      </w:pPr>
      <w:r>
        <w:rPr>
          <w:rFonts w:cstheme="minorHAnsi"/>
        </w:rPr>
        <w:t>Također su na ovom skupu predstavljene nove Smjernice za zgrade gotovo nulte energije, te revizija Dugoročne strategije za poticanje ulaganja u obnovu nacionalnog fonda zgrada Republike Hrvatske</w:t>
      </w:r>
    </w:p>
    <w:p w14:paraId="5BF30160" w14:textId="77777777" w:rsidR="002028BF" w:rsidRDefault="002028BF" w:rsidP="002028BF">
      <w:pPr>
        <w:rPr>
          <w:rFonts w:cstheme="minorHAnsi"/>
        </w:rPr>
      </w:pPr>
      <w:r>
        <w:rPr>
          <w:rFonts w:cstheme="minorHAnsi"/>
        </w:rPr>
        <w:t>Nakon prezentacija održana je diskusija između partnera na navedenu temu.</w:t>
      </w:r>
    </w:p>
    <w:p w14:paraId="14889AC4" w14:textId="77777777" w:rsidR="002028BF" w:rsidRDefault="002028BF" w:rsidP="002028BF">
      <w:pPr>
        <w:rPr>
          <w:rFonts w:cstheme="minorHAnsi"/>
        </w:rPr>
      </w:pPr>
      <w:r>
        <w:rPr>
          <w:rFonts w:cstheme="minorHAnsi"/>
        </w:rPr>
        <w:t>Zaključak je da je Republika Hrvatska kroz energetsku obnovu zgrada i sufinanciranje nacionalnim i EU sredstvima napravila značajan dio posla, te da je zadaća svih pronaći način i osigurati kontinuiranu potporu financiranja daljnjih obnova.</w:t>
      </w:r>
    </w:p>
    <w:p w14:paraId="57A61157" w14:textId="77777777" w:rsidR="002028BF" w:rsidRDefault="002028BF" w:rsidP="002028BF">
      <w:pPr>
        <w:rPr>
          <w:rFonts w:cstheme="minorHAnsi"/>
        </w:rPr>
      </w:pPr>
    </w:p>
    <w:p w14:paraId="18F42308" w14:textId="77777777" w:rsidR="002028BF" w:rsidRDefault="002028BF" w:rsidP="002028BF">
      <w:pPr>
        <w:rPr>
          <w:rFonts w:cstheme="minorHAnsi"/>
        </w:rPr>
      </w:pPr>
      <w:r>
        <w:rPr>
          <w:rFonts w:cstheme="minorHAnsi"/>
          <w:shd w:val="clear" w:color="auto" w:fill="FFFFFF"/>
        </w:rPr>
        <w:t>Nakon Petog otvorenog dijaloga partnera Povelju o suradnji u cilju dekarbonizacije zgrada do 2050. godine potpisalo je 68 partnera.</w:t>
      </w:r>
    </w:p>
    <w:p w14:paraId="68F09703" w14:textId="77777777" w:rsidR="002028BF" w:rsidRDefault="002028BF" w:rsidP="002028BF">
      <w:pPr>
        <w:rPr>
          <w:rFonts w:cstheme="minorHAnsi"/>
        </w:rPr>
      </w:pPr>
    </w:p>
    <w:p w14:paraId="465BD1D9" w14:textId="77777777" w:rsidR="0003098E" w:rsidRDefault="0003098E" w:rsidP="0003098E">
      <w:r>
        <w:br w:type="page"/>
      </w:r>
    </w:p>
    <w:p w14:paraId="4B8E5E7A" w14:textId="6EDD3846" w:rsidR="00ED5478" w:rsidRDefault="00ED5478" w:rsidP="00ED5478">
      <w:pPr>
        <w:pStyle w:val="Naslov3"/>
      </w:pPr>
      <w:bookmarkStart w:id="285" w:name="_Toc34052936"/>
      <w:bookmarkStart w:id="286" w:name="_Toc46163872"/>
      <w:r w:rsidRPr="00ED5478">
        <w:t>Povelja o suradnji s ciljem dekarbonizacije zgrada do 2050.</w:t>
      </w:r>
      <w:bookmarkEnd w:id="285"/>
      <w:bookmarkEnd w:id="286"/>
      <w:r w:rsidRPr="00ED5478">
        <w:t xml:space="preserve"> </w:t>
      </w:r>
    </w:p>
    <w:p w14:paraId="4DE2F58A" w14:textId="77777777" w:rsidR="008F7582" w:rsidRDefault="008F7582" w:rsidP="0032630F"/>
    <w:p w14:paraId="37F226D6" w14:textId="77777777" w:rsidR="008F7582" w:rsidRDefault="008F7582" w:rsidP="008F7582">
      <w:pPr>
        <w:rPr>
          <w:lang w:eastAsia="hr-HR"/>
        </w:rPr>
      </w:pPr>
      <w:r>
        <w:rPr>
          <w:lang w:eastAsia="hr-HR"/>
        </w:rPr>
        <w:t xml:space="preserve">S ciljem uključivanja što većeg broja dionika u energetsku obnovu zgrada i dekarbonizaciju fonda zgrada, Ministarstvo graditeljstva i prostornoga uređenja iniciralo je Otvoreni dijalog partnera te </w:t>
      </w:r>
      <w:r w:rsidRPr="00594C11">
        <w:rPr>
          <w:lang w:eastAsia="hr-HR"/>
        </w:rPr>
        <w:t>Povelj</w:t>
      </w:r>
      <w:r>
        <w:rPr>
          <w:lang w:eastAsia="hr-HR"/>
        </w:rPr>
        <w:t>u</w:t>
      </w:r>
      <w:r w:rsidRPr="00594C11">
        <w:rPr>
          <w:lang w:eastAsia="hr-HR"/>
        </w:rPr>
        <w:t xml:space="preserve"> o suradnji u cilju dekarbonizacije zgrada do 2050.</w:t>
      </w:r>
    </w:p>
    <w:p w14:paraId="5FC8B48F" w14:textId="77777777" w:rsidR="008F7582" w:rsidRDefault="008F7582" w:rsidP="008F7582">
      <w:pPr>
        <w:rPr>
          <w:lang w:eastAsia="hr-HR"/>
        </w:rPr>
      </w:pPr>
      <w:r w:rsidRPr="00A34728">
        <w:rPr>
          <w:lang w:eastAsia="hr-HR"/>
        </w:rPr>
        <w:t>Uspostavom Otvorenog dijaloga partnera želi se stvoriti široka mreža povezanih stručnjaka koji su spremni na zajednički dijalog i doprinos dekarbonizaciji fonda zgrada do 2050. godine. Otvoreni dijalozi partnera okupljaju predstavnike državne i lokalne uprave, akademske zajednice i stručne javnosti, građevinskog i energetskog sektora te pratećih industrija na tematskim radionicama koje organizira Ministarstva graditeljstva i prostornoga uređenja.</w:t>
      </w:r>
      <w:r>
        <w:rPr>
          <w:lang w:eastAsia="hr-HR"/>
        </w:rPr>
        <w:t xml:space="preserve"> U sklopu ovih sastanaka organizira se potpisivanje Povelje </w:t>
      </w:r>
      <w:r w:rsidRPr="00594C11">
        <w:rPr>
          <w:lang w:eastAsia="hr-HR"/>
        </w:rPr>
        <w:t>o suradnji u cilju dekarbonizacije zgrada do 2050.</w:t>
      </w:r>
      <w:r>
        <w:rPr>
          <w:lang w:eastAsia="hr-HR"/>
        </w:rPr>
        <w:t xml:space="preserve">, kao simboličan čin čime </w:t>
      </w:r>
      <w:r w:rsidRPr="00A34728">
        <w:rPr>
          <w:lang w:eastAsia="hr-HR"/>
        </w:rPr>
        <w:t xml:space="preserve">Potpisnici Povelje pružaju potporu te promiču dekarbonizaciju zgrada u svojim daljnjim aktivnostima, gdje god je to moguće. </w:t>
      </w:r>
    </w:p>
    <w:p w14:paraId="31C3C377" w14:textId="77777777" w:rsidR="008F7582" w:rsidRPr="000A477C" w:rsidRDefault="008F7582" w:rsidP="008F7582">
      <w:r>
        <w:rPr>
          <w:lang w:eastAsia="hr-HR"/>
        </w:rPr>
        <w:t xml:space="preserve"> </w:t>
      </w:r>
      <w:r>
        <w:t xml:space="preserve">Sadržaj povelje odnosi se na postizanje energetskih i klimatskih ciljeva na nacionalnoj i EU razini kroz dekarbonizaciju fonda zgrada, obnovom zgrada i građenjem zgrada gotovo nulte energije, čime se ističe važnost dodatnog smanjenja emisija stakleničkih plinova, povećanja udjela obnovljivih izvora energije, </w:t>
      </w:r>
      <w:r w:rsidRPr="000A477C">
        <w:t>poboljšanja energetske sigurnosti te uvođenja inovacija i pametnih tehnologija koje omogućuju zgradama da potpomognu sveukupnu dekarbonizaciju gospodarstva. Potpisivanjem povelje potiče se kontinuirana suradnja na izradi Dugoročne strategije obnove nacionalnog fonda zgrada i prelazak na standard gradnje zgrada gotovo nulte energije (nZEB).</w:t>
      </w:r>
    </w:p>
    <w:p w14:paraId="3E2E8D30" w14:textId="77777777" w:rsidR="008F7582" w:rsidRPr="000A477C" w:rsidRDefault="008F7582" w:rsidP="008F7582">
      <w:pPr>
        <w:rPr>
          <w:rStyle w:val="normaltextrun"/>
          <w:rFonts w:cs="Tahoma"/>
          <w:szCs w:val="20"/>
          <w:shd w:val="clear" w:color="auto" w:fill="FFFFFF"/>
        </w:rPr>
      </w:pPr>
      <w:r w:rsidRPr="000A477C">
        <w:rPr>
          <w:rStyle w:val="normaltextrun"/>
          <w:rFonts w:cs="Tahoma"/>
          <w:szCs w:val="20"/>
          <w:shd w:val="clear" w:color="auto" w:fill="FFFFFF"/>
        </w:rPr>
        <w:t>Prvi Otvoreni dijalog partnera održan je  27.rujna 2018. godine a do 1.4.2020. ih je održano pet. </w:t>
      </w:r>
    </w:p>
    <w:p w14:paraId="1AEB45ED" w14:textId="4EE6669E" w:rsidR="008F7582" w:rsidRPr="008F7884" w:rsidRDefault="008F7582" w:rsidP="008F7582">
      <w:pPr>
        <w:rPr>
          <w:rFonts w:cs="Tahoma"/>
          <w:szCs w:val="20"/>
        </w:rPr>
      </w:pPr>
      <w:r w:rsidRPr="000A477C">
        <w:rPr>
          <w:rFonts w:cs="Tahoma"/>
          <w:szCs w:val="20"/>
        </w:rPr>
        <w:t xml:space="preserve">Svaki </w:t>
      </w:r>
      <w:r w:rsidRPr="000A477C">
        <w:rPr>
          <w:rFonts w:cs="Tahoma"/>
          <w:szCs w:val="20"/>
          <w:lang w:eastAsia="hr-HR"/>
        </w:rPr>
        <w:t>Otvoreni dijalog partnera</w:t>
      </w:r>
      <w:r w:rsidRPr="000A477C">
        <w:rPr>
          <w:rFonts w:cs="Tahoma"/>
          <w:szCs w:val="20"/>
        </w:rPr>
        <w:t xml:space="preserve"> bavio se određenom temom bitnom za poboljšanje energetske </w:t>
      </w:r>
      <w:r w:rsidRPr="008F7884">
        <w:rPr>
          <w:rFonts w:cs="Tahoma"/>
          <w:szCs w:val="20"/>
        </w:rPr>
        <w:t xml:space="preserve">obnove zgrada, kao npr. energetsko siromaštvo, eMobilnost, </w:t>
      </w:r>
      <w:r w:rsidRPr="008F7884">
        <w:rPr>
          <w:rStyle w:val="normaltextrun"/>
          <w:rFonts w:cs="Tahoma"/>
          <w:color w:val="000000"/>
          <w:szCs w:val="20"/>
          <w:bdr w:val="none" w:sz="0" w:space="0" w:color="auto" w:frame="1"/>
        </w:rPr>
        <w:t xml:space="preserve">primjena suvremenih rješenja i pravila zaštite od požara i rizika od pojačane seizmičke aktivnosti prilikom energetske obnove zgrada, itd.  Zaključci Otvorenih dijaloga partnera poslužili su i za </w:t>
      </w:r>
      <w:r w:rsidRPr="008F7884">
        <w:rPr>
          <w:rFonts w:cs="Tahoma"/>
          <w:szCs w:val="20"/>
        </w:rPr>
        <w:t xml:space="preserve">pripremu izrade ove Strategije, </w:t>
      </w:r>
      <w:r w:rsidRPr="008F7884">
        <w:rPr>
          <w:rFonts w:cs="Tahoma"/>
          <w:szCs w:val="20"/>
        </w:rPr>
        <w:br/>
        <w:t xml:space="preserve">Do kraja ožujka 2020. godine povelju je potpisalo više od 60 dionika iz poslovnog i javnog sektora.  </w:t>
      </w:r>
    </w:p>
    <w:p w14:paraId="38EB5A40" w14:textId="77777777" w:rsidR="008F7582" w:rsidRDefault="008F7582" w:rsidP="0032630F"/>
    <w:p w14:paraId="25A9B8DB" w14:textId="77777777" w:rsidR="006B3A2E" w:rsidRDefault="002508DB" w:rsidP="006B3A2E">
      <w:pPr>
        <w:jc w:val="center"/>
      </w:pPr>
      <w:r w:rsidRPr="00283F5D">
        <w:rPr>
          <w:noProof/>
          <w:lang w:eastAsia="hr-HR"/>
        </w:rPr>
        <w:drawing>
          <wp:inline distT="0" distB="0" distL="0" distR="0" wp14:anchorId="0DC011EF" wp14:editId="1C7CC6F5">
            <wp:extent cx="4867275" cy="6886575"/>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7275" cy="6886575"/>
                    </a:xfrm>
                    <a:prstGeom prst="rect">
                      <a:avLst/>
                    </a:prstGeom>
                    <a:noFill/>
                    <a:ln>
                      <a:noFill/>
                    </a:ln>
                  </pic:spPr>
                </pic:pic>
              </a:graphicData>
            </a:graphic>
          </wp:inline>
        </w:drawing>
      </w:r>
    </w:p>
    <w:p w14:paraId="7B2573BC" w14:textId="581ABC13" w:rsidR="00DC775B" w:rsidRDefault="00DC775B" w:rsidP="006B3A2E">
      <w:pPr>
        <w:pStyle w:val="Opisslike"/>
        <w:jc w:val="center"/>
      </w:pPr>
      <w:bookmarkStart w:id="287" w:name="_Toc40089017"/>
      <w:r>
        <w:t xml:space="preserve">Slika </w:t>
      </w:r>
      <w:fldSimple w:instr=" STYLEREF 1 \s ">
        <w:r w:rsidR="00CE61F3">
          <w:rPr>
            <w:noProof/>
          </w:rPr>
          <w:t>12</w:t>
        </w:r>
      </w:fldSimple>
      <w:r w:rsidR="007245D7">
        <w:t>.</w:t>
      </w:r>
      <w:fldSimple w:instr=" SEQ Slika \* ARABIC \s 1 ">
        <w:r w:rsidR="00CE61F3">
          <w:rPr>
            <w:noProof/>
          </w:rPr>
          <w:t>1</w:t>
        </w:r>
      </w:fldSimple>
      <w:r>
        <w:t xml:space="preserve"> Povelja o suradnji s ciljem dekarbonizacije zgrada do 2050.</w:t>
      </w:r>
      <w:bookmarkEnd w:id="287"/>
    </w:p>
    <w:p w14:paraId="66D5ECC1" w14:textId="77777777" w:rsidR="0003098E" w:rsidRDefault="0003098E" w:rsidP="0003098E">
      <w:r>
        <w:br w:type="page"/>
      </w:r>
    </w:p>
    <w:p w14:paraId="37E892E3" w14:textId="77777777" w:rsidR="00ED5478" w:rsidRPr="00ED5478" w:rsidRDefault="00ED5478" w:rsidP="00ED5478">
      <w:pPr>
        <w:pStyle w:val="Naslov3"/>
      </w:pPr>
      <w:bookmarkStart w:id="288" w:name="_Toc34052937"/>
      <w:bookmarkStart w:id="289" w:name="_Toc46163873"/>
      <w:r w:rsidRPr="00ED5478">
        <w:t>Savjetovanje sa zainteresiranom javnošću</w:t>
      </w:r>
      <w:bookmarkEnd w:id="288"/>
      <w:bookmarkEnd w:id="289"/>
      <w:r w:rsidRPr="00ED5478">
        <w:t xml:space="preserve"> </w:t>
      </w:r>
    </w:p>
    <w:p w14:paraId="7057E215" w14:textId="77777777" w:rsidR="00ED5478" w:rsidRDefault="00C15518" w:rsidP="00ED5478">
      <w:r>
        <w:rPr>
          <w:lang w:eastAsia="hr-HR"/>
        </w:rPr>
        <w:t xml:space="preserve">Izradi </w:t>
      </w:r>
      <w:r w:rsidR="00676C5C">
        <w:rPr>
          <w:lang w:eastAsia="hr-HR"/>
        </w:rPr>
        <w:t xml:space="preserve">ove Dugoročne strategije prethodila je izrada </w:t>
      </w:r>
      <w:r w:rsidR="00854F36">
        <w:t xml:space="preserve">Strategije energetskog razvoja Republike Hrvatske do 2030. godine s pogledom na 2050. godinu, </w:t>
      </w:r>
      <w:r w:rsidR="005C020F">
        <w:t xml:space="preserve">Strategije niskougljičnog razvoja Republike Hrvatske do 2030. godine s pogledom na 2050. te </w:t>
      </w:r>
      <w:r w:rsidR="00032964">
        <w:t>Integriranog nacionalnog energetskog i klimatskog plana</w:t>
      </w:r>
      <w:r w:rsidR="005952A6">
        <w:t xml:space="preserve">. Svi </w:t>
      </w:r>
      <w:r w:rsidR="00603A66">
        <w:t xml:space="preserve">ovi </w:t>
      </w:r>
      <w:r w:rsidR="005952A6">
        <w:t xml:space="preserve">dokumenti </w:t>
      </w:r>
      <w:r w:rsidR="00603A66">
        <w:t>detaljno su obradili</w:t>
      </w:r>
      <w:r w:rsidR="005952A6">
        <w:t xml:space="preserve"> sektor zgradarstva te</w:t>
      </w:r>
      <w:r w:rsidR="00603A66">
        <w:t xml:space="preserve"> se u Integriranom nacionalnom energetskom i klimatskom planu definiraju i </w:t>
      </w:r>
      <w:r w:rsidR="00DF3CA3">
        <w:t xml:space="preserve">konkretne </w:t>
      </w:r>
      <w:r w:rsidR="00603A66">
        <w:t xml:space="preserve">mjere za energetsku obnovu </w:t>
      </w:r>
      <w:r w:rsidR="0049409A">
        <w:t>zgrada. Ova Dugoročna strategija u potpunosti je usklađena s navedenim dokumentima</w:t>
      </w:r>
      <w:r w:rsidR="00DF3CA3">
        <w:t>.</w:t>
      </w:r>
    </w:p>
    <w:p w14:paraId="768934BD" w14:textId="558310EC" w:rsidR="00DF3CA3" w:rsidRPr="00ED5478" w:rsidRDefault="00DF3CA3" w:rsidP="00ED5478">
      <w:pPr>
        <w:rPr>
          <w:lang w:eastAsia="hr-HR"/>
        </w:rPr>
      </w:pPr>
    </w:p>
    <w:p w14:paraId="08B93345" w14:textId="77777777" w:rsidR="00ED5478" w:rsidRDefault="00ED5478" w:rsidP="007649C2">
      <w:pPr>
        <w:pStyle w:val="Naslov20"/>
      </w:pPr>
      <w:bookmarkStart w:id="290" w:name="_Toc34052938"/>
      <w:bookmarkStart w:id="291" w:name="_Toc46163874"/>
      <w:r>
        <w:t>Rezultati javnog savjetovanja</w:t>
      </w:r>
      <w:bookmarkEnd w:id="290"/>
      <w:bookmarkEnd w:id="291"/>
    </w:p>
    <w:p w14:paraId="43F0943D" w14:textId="77777777" w:rsidR="005C020F" w:rsidRPr="000A477C" w:rsidRDefault="00834B05" w:rsidP="00E51D6B">
      <w:pPr>
        <w:rPr>
          <w:lang w:eastAsia="hr-HR"/>
        </w:rPr>
      </w:pPr>
      <w:r w:rsidRPr="000A477C">
        <w:rPr>
          <w:lang w:eastAsia="hr-HR"/>
        </w:rPr>
        <w:t xml:space="preserve">Komentari i preporuke </w:t>
      </w:r>
      <w:r w:rsidR="00666A22" w:rsidRPr="000A477C">
        <w:rPr>
          <w:lang w:eastAsia="hr-HR"/>
        </w:rPr>
        <w:t>dobivene</w:t>
      </w:r>
      <w:r w:rsidRPr="000A477C">
        <w:rPr>
          <w:lang w:eastAsia="hr-HR"/>
        </w:rPr>
        <w:t xml:space="preserve"> kako </w:t>
      </w:r>
      <w:r w:rsidR="00666A22" w:rsidRPr="000A477C">
        <w:rPr>
          <w:lang w:eastAsia="hr-HR"/>
        </w:rPr>
        <w:t>kroz</w:t>
      </w:r>
      <w:r w:rsidRPr="000A477C">
        <w:rPr>
          <w:lang w:eastAsia="hr-HR"/>
        </w:rPr>
        <w:t xml:space="preserve"> Otv</w:t>
      </w:r>
      <w:r w:rsidR="0077095B" w:rsidRPr="000A477C">
        <w:rPr>
          <w:lang w:eastAsia="hr-HR"/>
        </w:rPr>
        <w:t>o</w:t>
      </w:r>
      <w:r w:rsidRPr="000A477C">
        <w:rPr>
          <w:lang w:eastAsia="hr-HR"/>
        </w:rPr>
        <w:t xml:space="preserve">reni dijalog partnera tako i </w:t>
      </w:r>
      <w:r w:rsidR="00666A22" w:rsidRPr="000A477C">
        <w:rPr>
          <w:lang w:eastAsia="hr-HR"/>
        </w:rPr>
        <w:t>kroz</w:t>
      </w:r>
      <w:r w:rsidRPr="000A477C">
        <w:rPr>
          <w:lang w:eastAsia="hr-HR"/>
        </w:rPr>
        <w:t xml:space="preserve"> e-savjetovanje</w:t>
      </w:r>
      <w:r w:rsidR="00E51D6B" w:rsidRPr="000A477C">
        <w:rPr>
          <w:lang w:eastAsia="hr-HR"/>
        </w:rPr>
        <w:t xml:space="preserve"> dani su u </w:t>
      </w:r>
      <w:r w:rsidR="00493E0E" w:rsidRPr="000A477C">
        <w:rPr>
          <w:lang w:eastAsia="hr-HR"/>
        </w:rPr>
        <w:t>Prilogu X</w:t>
      </w:r>
      <w:r w:rsidR="00684212" w:rsidRPr="000A477C">
        <w:rPr>
          <w:lang w:eastAsia="hr-HR"/>
        </w:rPr>
        <w:t>.</w:t>
      </w:r>
    </w:p>
    <w:p w14:paraId="18C65614" w14:textId="77777777" w:rsidR="00992029" w:rsidRDefault="00992029" w:rsidP="008129E7">
      <w:pPr>
        <w:pStyle w:val="Naslov10"/>
        <w:sectPr w:rsidR="00992029" w:rsidSect="00992029">
          <w:type w:val="oddPage"/>
          <w:pgSz w:w="11906" w:h="16838" w:code="9"/>
          <w:pgMar w:top="1247" w:right="1134" w:bottom="1247" w:left="1418" w:header="567" w:footer="567" w:gutter="0"/>
          <w:cols w:space="708"/>
          <w:rtlGutter/>
          <w:docGrid w:linePitch="360"/>
        </w:sectPr>
      </w:pPr>
      <w:bookmarkStart w:id="292" w:name="_Toc409005244"/>
      <w:bookmarkStart w:id="293" w:name="_Toc431378541"/>
    </w:p>
    <w:p w14:paraId="0BE0F2B1" w14:textId="77777777" w:rsidR="008412D1" w:rsidRDefault="008412D1" w:rsidP="008129E7">
      <w:pPr>
        <w:pStyle w:val="Naslov10"/>
      </w:pPr>
      <w:bookmarkStart w:id="294" w:name="_Toc34052939"/>
      <w:bookmarkStart w:id="295" w:name="_Toc46163875"/>
      <w:r w:rsidRPr="00EC457F">
        <w:t xml:space="preserve">Popis </w:t>
      </w:r>
      <w:r w:rsidR="009E04C2">
        <w:t xml:space="preserve">slika i </w:t>
      </w:r>
      <w:r w:rsidRPr="00EC457F">
        <w:t>tablica</w:t>
      </w:r>
      <w:bookmarkEnd w:id="292"/>
      <w:bookmarkEnd w:id="293"/>
      <w:bookmarkEnd w:id="294"/>
      <w:bookmarkEnd w:id="295"/>
    </w:p>
    <w:p w14:paraId="3B315652" w14:textId="1CBE604B" w:rsidR="00A152B6" w:rsidRDefault="00E062FD">
      <w:pPr>
        <w:pStyle w:val="Tablicaslika"/>
        <w:rPr>
          <w:rFonts w:asciiTheme="minorHAnsi" w:eastAsiaTheme="minorEastAsia" w:hAnsiTheme="minorHAnsi" w:cstheme="minorBidi"/>
          <w:noProof/>
          <w:sz w:val="22"/>
          <w:szCs w:val="22"/>
          <w:lang w:eastAsia="hr-HR"/>
        </w:rPr>
      </w:pPr>
      <w:r>
        <w:fldChar w:fldCharType="begin"/>
      </w:r>
      <w:r>
        <w:instrText xml:space="preserve"> TOC \h \z \c "Slika" </w:instrText>
      </w:r>
      <w:r>
        <w:fldChar w:fldCharType="separate"/>
      </w:r>
      <w:hyperlink w:anchor="_Toc40088996" w:history="1">
        <w:r w:rsidR="00A152B6" w:rsidRPr="00ED43DA">
          <w:rPr>
            <w:rStyle w:val="Hiperveza"/>
            <w:noProof/>
          </w:rPr>
          <w:t>Slika 2.1 Kretanje Kategorije nacionalnog fonda zgrada prema namjeni</w:t>
        </w:r>
        <w:r w:rsidR="00A152B6">
          <w:rPr>
            <w:noProof/>
            <w:webHidden/>
          </w:rPr>
          <w:tab/>
        </w:r>
        <w:r w:rsidR="00A152B6">
          <w:rPr>
            <w:noProof/>
            <w:webHidden/>
          </w:rPr>
          <w:fldChar w:fldCharType="begin"/>
        </w:r>
        <w:r w:rsidR="00A152B6">
          <w:rPr>
            <w:noProof/>
            <w:webHidden/>
          </w:rPr>
          <w:instrText xml:space="preserve"> PAGEREF _Toc40088996 \h </w:instrText>
        </w:r>
        <w:r w:rsidR="00A152B6">
          <w:rPr>
            <w:noProof/>
            <w:webHidden/>
          </w:rPr>
        </w:r>
        <w:r w:rsidR="00A152B6">
          <w:rPr>
            <w:noProof/>
            <w:webHidden/>
          </w:rPr>
          <w:fldChar w:fldCharType="separate"/>
        </w:r>
        <w:r w:rsidR="00CE61F3">
          <w:rPr>
            <w:noProof/>
            <w:webHidden/>
          </w:rPr>
          <w:t>13</w:t>
        </w:r>
        <w:r w:rsidR="00A152B6">
          <w:rPr>
            <w:noProof/>
            <w:webHidden/>
          </w:rPr>
          <w:fldChar w:fldCharType="end"/>
        </w:r>
      </w:hyperlink>
    </w:p>
    <w:p w14:paraId="6EC95A48" w14:textId="41F8F6AB" w:rsidR="00A152B6" w:rsidRDefault="00A50909">
      <w:pPr>
        <w:pStyle w:val="Tablicaslika"/>
        <w:rPr>
          <w:rFonts w:asciiTheme="minorHAnsi" w:eastAsiaTheme="minorEastAsia" w:hAnsiTheme="minorHAnsi" w:cstheme="minorBidi"/>
          <w:noProof/>
          <w:sz w:val="22"/>
          <w:szCs w:val="22"/>
          <w:lang w:eastAsia="hr-HR"/>
        </w:rPr>
      </w:pPr>
      <w:hyperlink w:anchor="_Toc40088997" w:history="1">
        <w:r w:rsidR="00A152B6" w:rsidRPr="00ED43DA">
          <w:rPr>
            <w:rStyle w:val="Hiperveza"/>
            <w:noProof/>
          </w:rPr>
          <w:t>Slika 2.2 Struktura stambenog fonda po korištenju 2001. godine</w:t>
        </w:r>
        <w:r w:rsidR="00A152B6">
          <w:rPr>
            <w:noProof/>
            <w:webHidden/>
          </w:rPr>
          <w:tab/>
        </w:r>
        <w:r w:rsidR="00A152B6">
          <w:rPr>
            <w:noProof/>
            <w:webHidden/>
          </w:rPr>
          <w:fldChar w:fldCharType="begin"/>
        </w:r>
        <w:r w:rsidR="00A152B6">
          <w:rPr>
            <w:noProof/>
            <w:webHidden/>
          </w:rPr>
          <w:instrText xml:space="preserve"> PAGEREF _Toc40088997 \h </w:instrText>
        </w:r>
        <w:r w:rsidR="00A152B6">
          <w:rPr>
            <w:noProof/>
            <w:webHidden/>
          </w:rPr>
        </w:r>
        <w:r w:rsidR="00A152B6">
          <w:rPr>
            <w:noProof/>
            <w:webHidden/>
          </w:rPr>
          <w:fldChar w:fldCharType="separate"/>
        </w:r>
        <w:r w:rsidR="00CE61F3">
          <w:rPr>
            <w:noProof/>
            <w:webHidden/>
          </w:rPr>
          <w:t>15</w:t>
        </w:r>
        <w:r w:rsidR="00A152B6">
          <w:rPr>
            <w:noProof/>
            <w:webHidden/>
          </w:rPr>
          <w:fldChar w:fldCharType="end"/>
        </w:r>
      </w:hyperlink>
    </w:p>
    <w:p w14:paraId="3D997BD6" w14:textId="51B48FFD" w:rsidR="00A152B6" w:rsidRDefault="00A50909">
      <w:pPr>
        <w:pStyle w:val="Tablicaslika"/>
        <w:rPr>
          <w:rFonts w:asciiTheme="minorHAnsi" w:eastAsiaTheme="minorEastAsia" w:hAnsiTheme="minorHAnsi" w:cstheme="minorBidi"/>
          <w:noProof/>
          <w:sz w:val="22"/>
          <w:szCs w:val="22"/>
          <w:lang w:eastAsia="hr-HR"/>
        </w:rPr>
      </w:pPr>
      <w:hyperlink w:anchor="_Toc40088998" w:history="1">
        <w:r w:rsidR="00A152B6" w:rsidRPr="00ED43DA">
          <w:rPr>
            <w:rStyle w:val="Hiperveza"/>
            <w:noProof/>
          </w:rPr>
          <w:t>Slika 2.3 Struktura stambenog fonda po korištenju 2011. godine</w:t>
        </w:r>
        <w:r w:rsidR="00A152B6">
          <w:rPr>
            <w:noProof/>
            <w:webHidden/>
          </w:rPr>
          <w:tab/>
        </w:r>
        <w:r w:rsidR="00A152B6">
          <w:rPr>
            <w:noProof/>
            <w:webHidden/>
          </w:rPr>
          <w:fldChar w:fldCharType="begin"/>
        </w:r>
        <w:r w:rsidR="00A152B6">
          <w:rPr>
            <w:noProof/>
            <w:webHidden/>
          </w:rPr>
          <w:instrText xml:space="preserve"> PAGEREF _Toc40088998 \h </w:instrText>
        </w:r>
        <w:r w:rsidR="00A152B6">
          <w:rPr>
            <w:noProof/>
            <w:webHidden/>
          </w:rPr>
        </w:r>
        <w:r w:rsidR="00A152B6">
          <w:rPr>
            <w:noProof/>
            <w:webHidden/>
          </w:rPr>
          <w:fldChar w:fldCharType="separate"/>
        </w:r>
        <w:r w:rsidR="00CE61F3">
          <w:rPr>
            <w:noProof/>
            <w:webHidden/>
          </w:rPr>
          <w:t>15</w:t>
        </w:r>
        <w:r w:rsidR="00A152B6">
          <w:rPr>
            <w:noProof/>
            <w:webHidden/>
          </w:rPr>
          <w:fldChar w:fldCharType="end"/>
        </w:r>
      </w:hyperlink>
    </w:p>
    <w:p w14:paraId="44308800" w14:textId="2A7C3A14" w:rsidR="00A152B6" w:rsidRDefault="00A50909">
      <w:pPr>
        <w:pStyle w:val="Tablicaslika"/>
        <w:rPr>
          <w:rFonts w:asciiTheme="minorHAnsi" w:eastAsiaTheme="minorEastAsia" w:hAnsiTheme="minorHAnsi" w:cstheme="minorBidi"/>
          <w:noProof/>
          <w:sz w:val="22"/>
          <w:szCs w:val="22"/>
          <w:lang w:eastAsia="hr-HR"/>
        </w:rPr>
      </w:pPr>
      <w:hyperlink w:anchor="_Toc40088999" w:history="1">
        <w:r w:rsidR="00A152B6" w:rsidRPr="00ED43DA">
          <w:rPr>
            <w:rStyle w:val="Hiperveza"/>
            <w:noProof/>
          </w:rPr>
          <w:t>Slika 2.4 Predviđanje kretanja površine stambenih zgrada RH ukupno na nizu 2011. do 2017.</w:t>
        </w:r>
        <w:r w:rsidR="00A152B6">
          <w:rPr>
            <w:noProof/>
            <w:webHidden/>
          </w:rPr>
          <w:tab/>
        </w:r>
        <w:r w:rsidR="00A152B6">
          <w:rPr>
            <w:noProof/>
            <w:webHidden/>
          </w:rPr>
          <w:fldChar w:fldCharType="begin"/>
        </w:r>
        <w:r w:rsidR="00A152B6">
          <w:rPr>
            <w:noProof/>
            <w:webHidden/>
          </w:rPr>
          <w:instrText xml:space="preserve"> PAGEREF _Toc40088999 \h </w:instrText>
        </w:r>
        <w:r w:rsidR="00A152B6">
          <w:rPr>
            <w:noProof/>
            <w:webHidden/>
          </w:rPr>
        </w:r>
        <w:r w:rsidR="00A152B6">
          <w:rPr>
            <w:noProof/>
            <w:webHidden/>
          </w:rPr>
          <w:fldChar w:fldCharType="separate"/>
        </w:r>
        <w:r w:rsidR="00CE61F3">
          <w:rPr>
            <w:noProof/>
            <w:webHidden/>
          </w:rPr>
          <w:t>16</w:t>
        </w:r>
        <w:r w:rsidR="00A152B6">
          <w:rPr>
            <w:noProof/>
            <w:webHidden/>
          </w:rPr>
          <w:fldChar w:fldCharType="end"/>
        </w:r>
      </w:hyperlink>
    </w:p>
    <w:p w14:paraId="14DE37E0" w14:textId="218F860D" w:rsidR="00A152B6" w:rsidRDefault="00A50909">
      <w:pPr>
        <w:pStyle w:val="Tablicaslika"/>
        <w:rPr>
          <w:rFonts w:asciiTheme="minorHAnsi" w:eastAsiaTheme="minorEastAsia" w:hAnsiTheme="minorHAnsi" w:cstheme="minorBidi"/>
          <w:noProof/>
          <w:sz w:val="22"/>
          <w:szCs w:val="22"/>
          <w:lang w:eastAsia="hr-HR"/>
        </w:rPr>
      </w:pPr>
      <w:hyperlink w:anchor="_Toc40089000" w:history="1">
        <w:r w:rsidR="00A152B6" w:rsidRPr="00ED43DA">
          <w:rPr>
            <w:rStyle w:val="Hiperveza"/>
            <w:noProof/>
          </w:rPr>
          <w:t>Slika 2.5 Predviđanje kretanja površine stambenih zgrada RH sumirano po županijama na nizu 2011. do 2017.</w:t>
        </w:r>
        <w:r w:rsidR="00A152B6">
          <w:rPr>
            <w:noProof/>
            <w:webHidden/>
          </w:rPr>
          <w:tab/>
        </w:r>
        <w:r w:rsidR="00A152B6">
          <w:rPr>
            <w:noProof/>
            <w:webHidden/>
          </w:rPr>
          <w:fldChar w:fldCharType="begin"/>
        </w:r>
        <w:r w:rsidR="00A152B6">
          <w:rPr>
            <w:noProof/>
            <w:webHidden/>
          </w:rPr>
          <w:instrText xml:space="preserve"> PAGEREF _Toc40089000 \h </w:instrText>
        </w:r>
        <w:r w:rsidR="00A152B6">
          <w:rPr>
            <w:noProof/>
            <w:webHidden/>
          </w:rPr>
        </w:r>
        <w:r w:rsidR="00A152B6">
          <w:rPr>
            <w:noProof/>
            <w:webHidden/>
          </w:rPr>
          <w:fldChar w:fldCharType="separate"/>
        </w:r>
        <w:r w:rsidR="00CE61F3">
          <w:rPr>
            <w:noProof/>
            <w:webHidden/>
          </w:rPr>
          <w:t>16</w:t>
        </w:r>
        <w:r w:rsidR="00A152B6">
          <w:rPr>
            <w:noProof/>
            <w:webHidden/>
          </w:rPr>
          <w:fldChar w:fldCharType="end"/>
        </w:r>
      </w:hyperlink>
    </w:p>
    <w:p w14:paraId="2C1257FB" w14:textId="6B0CBC1F" w:rsidR="00A152B6" w:rsidRDefault="00A50909">
      <w:pPr>
        <w:pStyle w:val="Tablicaslika"/>
        <w:rPr>
          <w:rFonts w:asciiTheme="minorHAnsi" w:eastAsiaTheme="minorEastAsia" w:hAnsiTheme="minorHAnsi" w:cstheme="minorBidi"/>
          <w:noProof/>
          <w:sz w:val="22"/>
          <w:szCs w:val="22"/>
          <w:lang w:eastAsia="hr-HR"/>
        </w:rPr>
      </w:pPr>
      <w:hyperlink w:anchor="_Toc40089001" w:history="1">
        <w:r w:rsidR="00A152B6" w:rsidRPr="00ED43DA">
          <w:rPr>
            <w:rStyle w:val="Hiperveza"/>
            <w:noProof/>
          </w:rPr>
          <w:t>Slika 2.6 Predviđanje kretanja površine stambenog fonda RH ukupno na nizu podataka od 1996. od 2017. godine</w:t>
        </w:r>
        <w:r w:rsidR="00A152B6">
          <w:rPr>
            <w:noProof/>
            <w:webHidden/>
          </w:rPr>
          <w:tab/>
        </w:r>
        <w:r w:rsidR="00A152B6">
          <w:rPr>
            <w:noProof/>
            <w:webHidden/>
          </w:rPr>
          <w:fldChar w:fldCharType="begin"/>
        </w:r>
        <w:r w:rsidR="00A152B6">
          <w:rPr>
            <w:noProof/>
            <w:webHidden/>
          </w:rPr>
          <w:instrText xml:space="preserve"> PAGEREF _Toc40089001 \h </w:instrText>
        </w:r>
        <w:r w:rsidR="00A152B6">
          <w:rPr>
            <w:noProof/>
            <w:webHidden/>
          </w:rPr>
        </w:r>
        <w:r w:rsidR="00A152B6">
          <w:rPr>
            <w:noProof/>
            <w:webHidden/>
          </w:rPr>
          <w:fldChar w:fldCharType="separate"/>
        </w:r>
        <w:r w:rsidR="00CE61F3">
          <w:rPr>
            <w:noProof/>
            <w:webHidden/>
          </w:rPr>
          <w:t>17</w:t>
        </w:r>
        <w:r w:rsidR="00A152B6">
          <w:rPr>
            <w:noProof/>
            <w:webHidden/>
          </w:rPr>
          <w:fldChar w:fldCharType="end"/>
        </w:r>
      </w:hyperlink>
    </w:p>
    <w:p w14:paraId="56C5F639" w14:textId="43841A00" w:rsidR="00A152B6" w:rsidRDefault="00A50909">
      <w:pPr>
        <w:pStyle w:val="Tablicaslika"/>
        <w:rPr>
          <w:rFonts w:asciiTheme="minorHAnsi" w:eastAsiaTheme="minorEastAsia" w:hAnsiTheme="minorHAnsi" w:cstheme="minorBidi"/>
          <w:noProof/>
          <w:sz w:val="22"/>
          <w:szCs w:val="22"/>
          <w:lang w:eastAsia="hr-HR"/>
        </w:rPr>
      </w:pPr>
      <w:hyperlink w:anchor="_Toc40089002" w:history="1">
        <w:r w:rsidR="00A152B6" w:rsidRPr="00ED43DA">
          <w:rPr>
            <w:rStyle w:val="Hiperveza"/>
            <w:noProof/>
          </w:rPr>
          <w:t>Slika 2.7 Godišnja promjena površine nestambenih zgrada prema izdanim građevinskim dozvolama 2002. do 2018. godine. s predviđanjem do 2050.</w:t>
        </w:r>
        <w:r w:rsidR="00A152B6">
          <w:rPr>
            <w:noProof/>
            <w:webHidden/>
          </w:rPr>
          <w:tab/>
        </w:r>
        <w:r w:rsidR="00A152B6">
          <w:rPr>
            <w:noProof/>
            <w:webHidden/>
          </w:rPr>
          <w:fldChar w:fldCharType="begin"/>
        </w:r>
        <w:r w:rsidR="00A152B6">
          <w:rPr>
            <w:noProof/>
            <w:webHidden/>
          </w:rPr>
          <w:instrText xml:space="preserve"> PAGEREF _Toc40089002 \h </w:instrText>
        </w:r>
        <w:r w:rsidR="00A152B6">
          <w:rPr>
            <w:noProof/>
            <w:webHidden/>
          </w:rPr>
        </w:r>
        <w:r w:rsidR="00A152B6">
          <w:rPr>
            <w:noProof/>
            <w:webHidden/>
          </w:rPr>
          <w:fldChar w:fldCharType="separate"/>
        </w:r>
        <w:r w:rsidR="00CE61F3">
          <w:rPr>
            <w:noProof/>
            <w:webHidden/>
          </w:rPr>
          <w:t>18</w:t>
        </w:r>
        <w:r w:rsidR="00A152B6">
          <w:rPr>
            <w:noProof/>
            <w:webHidden/>
          </w:rPr>
          <w:fldChar w:fldCharType="end"/>
        </w:r>
      </w:hyperlink>
    </w:p>
    <w:p w14:paraId="0383D1D6" w14:textId="458B3934" w:rsidR="00A152B6" w:rsidRDefault="00A50909">
      <w:pPr>
        <w:pStyle w:val="Tablicaslika"/>
        <w:rPr>
          <w:rFonts w:asciiTheme="minorHAnsi" w:eastAsiaTheme="minorEastAsia" w:hAnsiTheme="minorHAnsi" w:cstheme="minorBidi"/>
          <w:noProof/>
          <w:sz w:val="22"/>
          <w:szCs w:val="22"/>
          <w:lang w:eastAsia="hr-HR"/>
        </w:rPr>
      </w:pPr>
      <w:hyperlink w:anchor="_Toc40089003" w:history="1">
        <w:r w:rsidR="00A152B6" w:rsidRPr="00ED43DA">
          <w:rPr>
            <w:rStyle w:val="Hiperveza"/>
            <w:noProof/>
          </w:rPr>
          <w:t>Slika 2.8 Distribucija energetskih razreda po QH,nd po vrstama zgrada</w:t>
        </w:r>
        <w:r w:rsidR="00A152B6">
          <w:rPr>
            <w:noProof/>
            <w:webHidden/>
          </w:rPr>
          <w:tab/>
        </w:r>
        <w:r w:rsidR="00A152B6">
          <w:rPr>
            <w:noProof/>
            <w:webHidden/>
          </w:rPr>
          <w:fldChar w:fldCharType="begin"/>
        </w:r>
        <w:r w:rsidR="00A152B6">
          <w:rPr>
            <w:noProof/>
            <w:webHidden/>
          </w:rPr>
          <w:instrText xml:space="preserve"> PAGEREF _Toc40089003 \h </w:instrText>
        </w:r>
        <w:r w:rsidR="00A152B6">
          <w:rPr>
            <w:noProof/>
            <w:webHidden/>
          </w:rPr>
        </w:r>
        <w:r w:rsidR="00A152B6">
          <w:rPr>
            <w:noProof/>
            <w:webHidden/>
          </w:rPr>
          <w:fldChar w:fldCharType="separate"/>
        </w:r>
        <w:r w:rsidR="00CE61F3">
          <w:rPr>
            <w:noProof/>
            <w:webHidden/>
          </w:rPr>
          <w:t>26</w:t>
        </w:r>
        <w:r w:rsidR="00A152B6">
          <w:rPr>
            <w:noProof/>
            <w:webHidden/>
          </w:rPr>
          <w:fldChar w:fldCharType="end"/>
        </w:r>
      </w:hyperlink>
    </w:p>
    <w:p w14:paraId="7315AC25" w14:textId="6A45E50C" w:rsidR="00A152B6" w:rsidRDefault="00A50909">
      <w:pPr>
        <w:pStyle w:val="Tablicaslika"/>
        <w:rPr>
          <w:rFonts w:asciiTheme="minorHAnsi" w:eastAsiaTheme="minorEastAsia" w:hAnsiTheme="minorHAnsi" w:cstheme="minorBidi"/>
          <w:noProof/>
          <w:sz w:val="22"/>
          <w:szCs w:val="22"/>
          <w:lang w:eastAsia="hr-HR"/>
        </w:rPr>
      </w:pPr>
      <w:hyperlink w:anchor="_Toc40089004" w:history="1">
        <w:r w:rsidR="00A152B6" w:rsidRPr="00ED43DA">
          <w:rPr>
            <w:rStyle w:val="Hiperveza"/>
            <w:noProof/>
          </w:rPr>
          <w:t>Slika 2.9 Distribucija energetskih razreda po Eprim po vrstama zgrada</w:t>
        </w:r>
        <w:r w:rsidR="00A152B6">
          <w:rPr>
            <w:noProof/>
            <w:webHidden/>
          </w:rPr>
          <w:tab/>
        </w:r>
        <w:r w:rsidR="00A152B6">
          <w:rPr>
            <w:noProof/>
            <w:webHidden/>
          </w:rPr>
          <w:fldChar w:fldCharType="begin"/>
        </w:r>
        <w:r w:rsidR="00A152B6">
          <w:rPr>
            <w:noProof/>
            <w:webHidden/>
          </w:rPr>
          <w:instrText xml:space="preserve"> PAGEREF _Toc40089004 \h </w:instrText>
        </w:r>
        <w:r w:rsidR="00A152B6">
          <w:rPr>
            <w:noProof/>
            <w:webHidden/>
          </w:rPr>
        </w:r>
        <w:r w:rsidR="00A152B6">
          <w:rPr>
            <w:noProof/>
            <w:webHidden/>
          </w:rPr>
          <w:fldChar w:fldCharType="separate"/>
        </w:r>
        <w:r w:rsidR="00CE61F3">
          <w:rPr>
            <w:noProof/>
            <w:webHidden/>
          </w:rPr>
          <w:t>27</w:t>
        </w:r>
        <w:r w:rsidR="00A152B6">
          <w:rPr>
            <w:noProof/>
            <w:webHidden/>
          </w:rPr>
          <w:fldChar w:fldCharType="end"/>
        </w:r>
      </w:hyperlink>
    </w:p>
    <w:p w14:paraId="217A0A7E" w14:textId="03A8DDEF" w:rsidR="00A152B6" w:rsidRDefault="00A50909">
      <w:pPr>
        <w:pStyle w:val="Tablicaslika"/>
        <w:rPr>
          <w:rFonts w:asciiTheme="minorHAnsi" w:eastAsiaTheme="minorEastAsia" w:hAnsiTheme="minorHAnsi" w:cstheme="minorBidi"/>
          <w:noProof/>
          <w:sz w:val="22"/>
          <w:szCs w:val="22"/>
          <w:lang w:eastAsia="hr-HR"/>
        </w:rPr>
      </w:pPr>
      <w:hyperlink w:anchor="_Toc40089005" w:history="1">
        <w:r w:rsidR="00A152B6" w:rsidRPr="00ED43DA">
          <w:rPr>
            <w:rStyle w:val="Hiperveza"/>
            <w:noProof/>
          </w:rPr>
          <w:t>Slika 2.10 Kretanje karakterističnih koeficijenata prolaska topline po razdobljima gradnje</w:t>
        </w:r>
        <w:r w:rsidR="00A152B6">
          <w:rPr>
            <w:noProof/>
            <w:webHidden/>
          </w:rPr>
          <w:tab/>
        </w:r>
        <w:r w:rsidR="00A152B6">
          <w:rPr>
            <w:noProof/>
            <w:webHidden/>
          </w:rPr>
          <w:fldChar w:fldCharType="begin"/>
        </w:r>
        <w:r w:rsidR="00A152B6">
          <w:rPr>
            <w:noProof/>
            <w:webHidden/>
          </w:rPr>
          <w:instrText xml:space="preserve"> PAGEREF _Toc40089005 \h </w:instrText>
        </w:r>
        <w:r w:rsidR="00A152B6">
          <w:rPr>
            <w:noProof/>
            <w:webHidden/>
          </w:rPr>
        </w:r>
        <w:r w:rsidR="00A152B6">
          <w:rPr>
            <w:noProof/>
            <w:webHidden/>
          </w:rPr>
          <w:fldChar w:fldCharType="separate"/>
        </w:r>
        <w:r w:rsidR="00CE61F3">
          <w:rPr>
            <w:noProof/>
            <w:webHidden/>
          </w:rPr>
          <w:t>28</w:t>
        </w:r>
        <w:r w:rsidR="00A152B6">
          <w:rPr>
            <w:noProof/>
            <w:webHidden/>
          </w:rPr>
          <w:fldChar w:fldCharType="end"/>
        </w:r>
      </w:hyperlink>
    </w:p>
    <w:p w14:paraId="61F151C6" w14:textId="1CF4F5D0" w:rsidR="00A152B6" w:rsidRDefault="00A50909">
      <w:pPr>
        <w:pStyle w:val="Tablicaslika"/>
        <w:rPr>
          <w:rFonts w:asciiTheme="minorHAnsi" w:eastAsiaTheme="minorEastAsia" w:hAnsiTheme="minorHAnsi" w:cstheme="minorBidi"/>
          <w:noProof/>
          <w:sz w:val="22"/>
          <w:szCs w:val="22"/>
          <w:lang w:eastAsia="hr-HR"/>
        </w:rPr>
      </w:pPr>
      <w:hyperlink w:anchor="_Toc40089006" w:history="1">
        <w:r w:rsidR="00A152B6" w:rsidRPr="00ED43DA">
          <w:rPr>
            <w:rStyle w:val="Hiperveza"/>
            <w:noProof/>
          </w:rPr>
          <w:t>Slika 2.11 Kretanje broja stanovnika u ES RH - srednja projekcija demografskog razvoja</w:t>
        </w:r>
        <w:r w:rsidR="00A152B6">
          <w:rPr>
            <w:noProof/>
            <w:webHidden/>
          </w:rPr>
          <w:tab/>
        </w:r>
        <w:r w:rsidR="00A152B6">
          <w:rPr>
            <w:noProof/>
            <w:webHidden/>
          </w:rPr>
          <w:fldChar w:fldCharType="begin"/>
        </w:r>
        <w:r w:rsidR="00A152B6">
          <w:rPr>
            <w:noProof/>
            <w:webHidden/>
          </w:rPr>
          <w:instrText xml:space="preserve"> PAGEREF _Toc40089006 \h </w:instrText>
        </w:r>
        <w:r w:rsidR="00A152B6">
          <w:rPr>
            <w:noProof/>
            <w:webHidden/>
          </w:rPr>
        </w:r>
        <w:r w:rsidR="00A152B6">
          <w:rPr>
            <w:noProof/>
            <w:webHidden/>
          </w:rPr>
          <w:fldChar w:fldCharType="separate"/>
        </w:r>
        <w:r w:rsidR="00CE61F3">
          <w:rPr>
            <w:noProof/>
            <w:webHidden/>
          </w:rPr>
          <w:t>30</w:t>
        </w:r>
        <w:r w:rsidR="00A152B6">
          <w:rPr>
            <w:noProof/>
            <w:webHidden/>
          </w:rPr>
          <w:fldChar w:fldCharType="end"/>
        </w:r>
      </w:hyperlink>
    </w:p>
    <w:p w14:paraId="01DAF625" w14:textId="5D0BA2AA" w:rsidR="00A152B6" w:rsidRDefault="00A50909">
      <w:pPr>
        <w:pStyle w:val="Tablicaslika"/>
        <w:rPr>
          <w:rFonts w:asciiTheme="minorHAnsi" w:eastAsiaTheme="minorEastAsia" w:hAnsiTheme="minorHAnsi" w:cstheme="minorBidi"/>
          <w:noProof/>
          <w:sz w:val="22"/>
          <w:szCs w:val="22"/>
          <w:lang w:eastAsia="hr-HR"/>
        </w:rPr>
      </w:pPr>
      <w:hyperlink w:anchor="_Toc40089007" w:history="1">
        <w:r w:rsidR="00A152B6" w:rsidRPr="00ED43DA">
          <w:rPr>
            <w:rStyle w:val="Hiperveza"/>
            <w:noProof/>
          </w:rPr>
          <w:t>Slika 2.12 Planirani razvoj stambenog fonda u RH do 2050. godine po županijama</w:t>
        </w:r>
        <w:r w:rsidR="00A152B6">
          <w:rPr>
            <w:noProof/>
            <w:webHidden/>
          </w:rPr>
          <w:tab/>
        </w:r>
        <w:r w:rsidR="00A152B6">
          <w:rPr>
            <w:noProof/>
            <w:webHidden/>
          </w:rPr>
          <w:fldChar w:fldCharType="begin"/>
        </w:r>
        <w:r w:rsidR="00A152B6">
          <w:rPr>
            <w:noProof/>
            <w:webHidden/>
          </w:rPr>
          <w:instrText xml:space="preserve"> PAGEREF _Toc40089007 \h </w:instrText>
        </w:r>
        <w:r w:rsidR="00A152B6">
          <w:rPr>
            <w:noProof/>
            <w:webHidden/>
          </w:rPr>
        </w:r>
        <w:r w:rsidR="00A152B6">
          <w:rPr>
            <w:noProof/>
            <w:webHidden/>
          </w:rPr>
          <w:fldChar w:fldCharType="separate"/>
        </w:r>
        <w:r w:rsidR="00CE61F3">
          <w:rPr>
            <w:noProof/>
            <w:webHidden/>
          </w:rPr>
          <w:t>31</w:t>
        </w:r>
        <w:r w:rsidR="00A152B6">
          <w:rPr>
            <w:noProof/>
            <w:webHidden/>
          </w:rPr>
          <w:fldChar w:fldCharType="end"/>
        </w:r>
      </w:hyperlink>
    </w:p>
    <w:p w14:paraId="48219B6B" w14:textId="2D0C8203" w:rsidR="00A152B6" w:rsidRDefault="00A50909">
      <w:pPr>
        <w:pStyle w:val="Tablicaslika"/>
        <w:rPr>
          <w:rFonts w:asciiTheme="minorHAnsi" w:eastAsiaTheme="minorEastAsia" w:hAnsiTheme="minorHAnsi" w:cstheme="minorBidi"/>
          <w:noProof/>
          <w:sz w:val="22"/>
          <w:szCs w:val="22"/>
          <w:lang w:eastAsia="hr-HR"/>
        </w:rPr>
      </w:pPr>
      <w:hyperlink w:anchor="_Toc40089008" w:history="1">
        <w:r w:rsidR="00A152B6" w:rsidRPr="00ED43DA">
          <w:rPr>
            <w:rStyle w:val="Hiperveza"/>
            <w:noProof/>
          </w:rPr>
          <w:t>Slika 3.1 Način određivanja zone troškovno učinkovitih mjera, troškovno optimalne razine i nZEB</w:t>
        </w:r>
        <w:r w:rsidR="00A152B6">
          <w:rPr>
            <w:noProof/>
            <w:webHidden/>
          </w:rPr>
          <w:tab/>
        </w:r>
        <w:r w:rsidR="00A152B6">
          <w:rPr>
            <w:noProof/>
            <w:webHidden/>
          </w:rPr>
          <w:fldChar w:fldCharType="begin"/>
        </w:r>
        <w:r w:rsidR="00A152B6">
          <w:rPr>
            <w:noProof/>
            <w:webHidden/>
          </w:rPr>
          <w:instrText xml:space="preserve"> PAGEREF _Toc40089008 \h </w:instrText>
        </w:r>
        <w:r w:rsidR="00A152B6">
          <w:rPr>
            <w:noProof/>
            <w:webHidden/>
          </w:rPr>
        </w:r>
        <w:r w:rsidR="00A152B6">
          <w:rPr>
            <w:noProof/>
            <w:webHidden/>
          </w:rPr>
          <w:fldChar w:fldCharType="separate"/>
        </w:r>
        <w:r w:rsidR="00CE61F3">
          <w:rPr>
            <w:noProof/>
            <w:webHidden/>
          </w:rPr>
          <w:t>43</w:t>
        </w:r>
        <w:r w:rsidR="00A152B6">
          <w:rPr>
            <w:noProof/>
            <w:webHidden/>
          </w:rPr>
          <w:fldChar w:fldCharType="end"/>
        </w:r>
      </w:hyperlink>
    </w:p>
    <w:p w14:paraId="4C5437A2" w14:textId="7E4A8A76" w:rsidR="00A152B6" w:rsidRDefault="00A50909">
      <w:pPr>
        <w:pStyle w:val="Tablicaslika"/>
        <w:rPr>
          <w:rFonts w:asciiTheme="minorHAnsi" w:eastAsiaTheme="minorEastAsia" w:hAnsiTheme="minorHAnsi" w:cstheme="minorBidi"/>
          <w:noProof/>
          <w:sz w:val="22"/>
          <w:szCs w:val="22"/>
          <w:lang w:eastAsia="hr-HR"/>
        </w:rPr>
      </w:pPr>
      <w:hyperlink w:anchor="_Toc40089009" w:history="1">
        <w:r w:rsidR="00A152B6" w:rsidRPr="00ED43DA">
          <w:rPr>
            <w:rStyle w:val="Hiperveza"/>
            <w:noProof/>
          </w:rPr>
          <w:t>Slika 4.1 Glavne kategorije postojećih prepreka za integralnu energetsku obnovu nacionalnog fonda zgrada Republike Hrvatske</w:t>
        </w:r>
        <w:r w:rsidR="00A152B6">
          <w:rPr>
            <w:noProof/>
            <w:webHidden/>
          </w:rPr>
          <w:tab/>
        </w:r>
        <w:r w:rsidR="00A152B6">
          <w:rPr>
            <w:noProof/>
            <w:webHidden/>
          </w:rPr>
          <w:fldChar w:fldCharType="begin"/>
        </w:r>
        <w:r w:rsidR="00A152B6">
          <w:rPr>
            <w:noProof/>
            <w:webHidden/>
          </w:rPr>
          <w:instrText xml:space="preserve"> PAGEREF _Toc40089009 \h </w:instrText>
        </w:r>
        <w:r w:rsidR="00A152B6">
          <w:rPr>
            <w:noProof/>
            <w:webHidden/>
          </w:rPr>
        </w:r>
        <w:r w:rsidR="00A152B6">
          <w:rPr>
            <w:noProof/>
            <w:webHidden/>
          </w:rPr>
          <w:fldChar w:fldCharType="separate"/>
        </w:r>
        <w:r w:rsidR="00CE61F3">
          <w:rPr>
            <w:noProof/>
            <w:webHidden/>
          </w:rPr>
          <w:t>52</w:t>
        </w:r>
        <w:r w:rsidR="00A152B6">
          <w:rPr>
            <w:noProof/>
            <w:webHidden/>
          </w:rPr>
          <w:fldChar w:fldCharType="end"/>
        </w:r>
      </w:hyperlink>
    </w:p>
    <w:p w14:paraId="55E71193" w14:textId="28B17BA2" w:rsidR="00A152B6" w:rsidRDefault="00A50909">
      <w:pPr>
        <w:pStyle w:val="Tablicaslika"/>
        <w:rPr>
          <w:rFonts w:asciiTheme="minorHAnsi" w:eastAsiaTheme="minorEastAsia" w:hAnsiTheme="minorHAnsi" w:cstheme="minorBidi"/>
          <w:noProof/>
          <w:sz w:val="22"/>
          <w:szCs w:val="22"/>
          <w:lang w:eastAsia="hr-HR"/>
        </w:rPr>
      </w:pPr>
      <w:hyperlink w:anchor="_Toc40089010" w:history="1">
        <w:r w:rsidR="00A152B6" w:rsidRPr="00ED43DA">
          <w:rPr>
            <w:rStyle w:val="Hiperveza"/>
            <w:noProof/>
          </w:rPr>
          <w:t>Slika 9.1 Projekcija broja stanovnika Republike Hrvatske do 2050. godine</w:t>
        </w:r>
        <w:r w:rsidR="00A152B6">
          <w:rPr>
            <w:noProof/>
            <w:webHidden/>
          </w:rPr>
          <w:tab/>
        </w:r>
        <w:r w:rsidR="00A152B6">
          <w:rPr>
            <w:noProof/>
            <w:webHidden/>
          </w:rPr>
          <w:fldChar w:fldCharType="begin"/>
        </w:r>
        <w:r w:rsidR="00A152B6">
          <w:rPr>
            <w:noProof/>
            <w:webHidden/>
          </w:rPr>
          <w:instrText xml:space="preserve"> PAGEREF _Toc40089010 \h </w:instrText>
        </w:r>
        <w:r w:rsidR="00A152B6">
          <w:rPr>
            <w:noProof/>
            <w:webHidden/>
          </w:rPr>
        </w:r>
        <w:r w:rsidR="00A152B6">
          <w:rPr>
            <w:noProof/>
            <w:webHidden/>
          </w:rPr>
          <w:fldChar w:fldCharType="separate"/>
        </w:r>
        <w:r w:rsidR="00CE61F3">
          <w:rPr>
            <w:noProof/>
            <w:webHidden/>
          </w:rPr>
          <w:t>86</w:t>
        </w:r>
        <w:r w:rsidR="00A152B6">
          <w:rPr>
            <w:noProof/>
            <w:webHidden/>
          </w:rPr>
          <w:fldChar w:fldCharType="end"/>
        </w:r>
      </w:hyperlink>
    </w:p>
    <w:p w14:paraId="1C9A186F" w14:textId="3930BA9F" w:rsidR="00A152B6" w:rsidRDefault="00A50909">
      <w:pPr>
        <w:pStyle w:val="Tablicaslika"/>
        <w:rPr>
          <w:rFonts w:asciiTheme="minorHAnsi" w:eastAsiaTheme="minorEastAsia" w:hAnsiTheme="minorHAnsi" w:cstheme="minorBidi"/>
          <w:noProof/>
          <w:sz w:val="22"/>
          <w:szCs w:val="22"/>
          <w:lang w:eastAsia="hr-HR"/>
        </w:rPr>
      </w:pPr>
      <w:hyperlink w:anchor="_Toc40089011" w:history="1">
        <w:r w:rsidR="00A152B6" w:rsidRPr="00ED43DA">
          <w:rPr>
            <w:rStyle w:val="Hiperveza"/>
            <w:noProof/>
          </w:rPr>
          <w:t>Slika 9.2. Ukupna ulaganja u energetskom sektoru od 2021.-2050. godine prema Scenariju S2 Energetske strategije RH</w:t>
        </w:r>
        <w:r w:rsidR="00A152B6">
          <w:rPr>
            <w:noProof/>
            <w:webHidden/>
          </w:rPr>
          <w:tab/>
        </w:r>
        <w:r w:rsidR="00A152B6">
          <w:rPr>
            <w:noProof/>
            <w:webHidden/>
          </w:rPr>
          <w:fldChar w:fldCharType="begin"/>
        </w:r>
        <w:r w:rsidR="00A152B6">
          <w:rPr>
            <w:noProof/>
            <w:webHidden/>
          </w:rPr>
          <w:instrText xml:space="preserve"> PAGEREF _Toc40089011 \h </w:instrText>
        </w:r>
        <w:r w:rsidR="00A152B6">
          <w:rPr>
            <w:noProof/>
            <w:webHidden/>
          </w:rPr>
        </w:r>
        <w:r w:rsidR="00A152B6">
          <w:rPr>
            <w:noProof/>
            <w:webHidden/>
          </w:rPr>
          <w:fldChar w:fldCharType="separate"/>
        </w:r>
        <w:r w:rsidR="00CE61F3">
          <w:rPr>
            <w:noProof/>
            <w:webHidden/>
          </w:rPr>
          <w:t>87</w:t>
        </w:r>
        <w:r w:rsidR="00A152B6">
          <w:rPr>
            <w:noProof/>
            <w:webHidden/>
          </w:rPr>
          <w:fldChar w:fldCharType="end"/>
        </w:r>
      </w:hyperlink>
    </w:p>
    <w:p w14:paraId="5EA8209B" w14:textId="0FA4A987" w:rsidR="00A152B6" w:rsidRDefault="00A50909">
      <w:pPr>
        <w:pStyle w:val="Tablicaslika"/>
        <w:rPr>
          <w:rFonts w:asciiTheme="minorHAnsi" w:eastAsiaTheme="minorEastAsia" w:hAnsiTheme="minorHAnsi" w:cstheme="minorBidi"/>
          <w:noProof/>
          <w:sz w:val="22"/>
          <w:szCs w:val="22"/>
          <w:lang w:eastAsia="hr-HR"/>
        </w:rPr>
      </w:pPr>
      <w:hyperlink w:anchor="_Toc40089012" w:history="1">
        <w:r w:rsidR="00A152B6" w:rsidRPr="00ED43DA">
          <w:rPr>
            <w:rStyle w:val="Hiperveza"/>
            <w:noProof/>
          </w:rPr>
          <w:t>Slika 9.3 Procijenjeni makroekonomski i sektorski učinci ulaganja na BDV (lhs) i zaposlenost (rhs)</w:t>
        </w:r>
        <w:r w:rsidR="00A152B6">
          <w:rPr>
            <w:noProof/>
            <w:webHidden/>
          </w:rPr>
          <w:tab/>
        </w:r>
        <w:r w:rsidR="00A152B6">
          <w:rPr>
            <w:noProof/>
            <w:webHidden/>
          </w:rPr>
          <w:fldChar w:fldCharType="begin"/>
        </w:r>
        <w:r w:rsidR="00A152B6">
          <w:rPr>
            <w:noProof/>
            <w:webHidden/>
          </w:rPr>
          <w:instrText xml:space="preserve"> PAGEREF _Toc40089012 \h </w:instrText>
        </w:r>
        <w:r w:rsidR="00A152B6">
          <w:rPr>
            <w:noProof/>
            <w:webHidden/>
          </w:rPr>
        </w:r>
        <w:r w:rsidR="00A152B6">
          <w:rPr>
            <w:noProof/>
            <w:webHidden/>
          </w:rPr>
          <w:fldChar w:fldCharType="separate"/>
        </w:r>
        <w:r w:rsidR="00CE61F3">
          <w:rPr>
            <w:noProof/>
            <w:webHidden/>
          </w:rPr>
          <w:t>88</w:t>
        </w:r>
        <w:r w:rsidR="00A152B6">
          <w:rPr>
            <w:noProof/>
            <w:webHidden/>
          </w:rPr>
          <w:fldChar w:fldCharType="end"/>
        </w:r>
      </w:hyperlink>
    </w:p>
    <w:p w14:paraId="72F7C2AE" w14:textId="47FA9830" w:rsidR="00A152B6" w:rsidRDefault="00A50909">
      <w:pPr>
        <w:pStyle w:val="Tablicaslika"/>
        <w:rPr>
          <w:rFonts w:asciiTheme="minorHAnsi" w:eastAsiaTheme="minorEastAsia" w:hAnsiTheme="minorHAnsi" w:cstheme="minorBidi"/>
          <w:noProof/>
          <w:sz w:val="22"/>
          <w:szCs w:val="22"/>
          <w:lang w:eastAsia="hr-HR"/>
        </w:rPr>
      </w:pPr>
      <w:hyperlink w:anchor="_Toc40089013" w:history="1">
        <w:r w:rsidR="00A152B6" w:rsidRPr="00ED43DA">
          <w:rPr>
            <w:rStyle w:val="Hiperveza"/>
            <w:noProof/>
          </w:rPr>
          <w:t>Slika 9.4 Procijenjeni ukupni i sektorski učinci ulaganja na porezne prihode (mil. HRK)</w:t>
        </w:r>
        <w:r w:rsidR="00A152B6">
          <w:rPr>
            <w:noProof/>
            <w:webHidden/>
          </w:rPr>
          <w:tab/>
        </w:r>
        <w:r w:rsidR="00A152B6">
          <w:rPr>
            <w:noProof/>
            <w:webHidden/>
          </w:rPr>
          <w:fldChar w:fldCharType="begin"/>
        </w:r>
        <w:r w:rsidR="00A152B6">
          <w:rPr>
            <w:noProof/>
            <w:webHidden/>
          </w:rPr>
          <w:instrText xml:space="preserve"> PAGEREF _Toc40089013 \h </w:instrText>
        </w:r>
        <w:r w:rsidR="00A152B6">
          <w:rPr>
            <w:noProof/>
            <w:webHidden/>
          </w:rPr>
        </w:r>
        <w:r w:rsidR="00A152B6">
          <w:rPr>
            <w:noProof/>
            <w:webHidden/>
          </w:rPr>
          <w:fldChar w:fldCharType="separate"/>
        </w:r>
        <w:r w:rsidR="00CE61F3">
          <w:rPr>
            <w:noProof/>
            <w:webHidden/>
          </w:rPr>
          <w:t>88</w:t>
        </w:r>
        <w:r w:rsidR="00A152B6">
          <w:rPr>
            <w:noProof/>
            <w:webHidden/>
          </w:rPr>
          <w:fldChar w:fldCharType="end"/>
        </w:r>
      </w:hyperlink>
    </w:p>
    <w:p w14:paraId="25F48E64" w14:textId="5A901A3B" w:rsidR="00A152B6" w:rsidRDefault="00A50909">
      <w:pPr>
        <w:pStyle w:val="Tablicaslika"/>
        <w:rPr>
          <w:rFonts w:asciiTheme="minorHAnsi" w:eastAsiaTheme="minorEastAsia" w:hAnsiTheme="minorHAnsi" w:cstheme="minorBidi"/>
          <w:noProof/>
          <w:sz w:val="22"/>
          <w:szCs w:val="22"/>
          <w:lang w:eastAsia="hr-HR"/>
        </w:rPr>
      </w:pPr>
      <w:hyperlink w:anchor="_Toc40089014" w:history="1">
        <w:r w:rsidR="00A152B6" w:rsidRPr="00ED43DA">
          <w:rPr>
            <w:rStyle w:val="Hiperveza"/>
            <w:noProof/>
          </w:rPr>
          <w:t>Slika 9.5 Bazni indeks cijena nekretnina, 2010. = 100</w:t>
        </w:r>
        <w:r w:rsidR="00A152B6">
          <w:rPr>
            <w:noProof/>
            <w:webHidden/>
          </w:rPr>
          <w:tab/>
        </w:r>
        <w:r w:rsidR="00A152B6">
          <w:rPr>
            <w:noProof/>
            <w:webHidden/>
          </w:rPr>
          <w:fldChar w:fldCharType="begin"/>
        </w:r>
        <w:r w:rsidR="00A152B6">
          <w:rPr>
            <w:noProof/>
            <w:webHidden/>
          </w:rPr>
          <w:instrText xml:space="preserve"> PAGEREF _Toc40089014 \h </w:instrText>
        </w:r>
        <w:r w:rsidR="00A152B6">
          <w:rPr>
            <w:noProof/>
            <w:webHidden/>
          </w:rPr>
        </w:r>
        <w:r w:rsidR="00A152B6">
          <w:rPr>
            <w:noProof/>
            <w:webHidden/>
          </w:rPr>
          <w:fldChar w:fldCharType="separate"/>
        </w:r>
        <w:r w:rsidR="00CE61F3">
          <w:rPr>
            <w:noProof/>
            <w:webHidden/>
          </w:rPr>
          <w:t>89</w:t>
        </w:r>
        <w:r w:rsidR="00A152B6">
          <w:rPr>
            <w:noProof/>
            <w:webHidden/>
          </w:rPr>
          <w:fldChar w:fldCharType="end"/>
        </w:r>
      </w:hyperlink>
    </w:p>
    <w:p w14:paraId="32074B80" w14:textId="0DAF1073" w:rsidR="00A152B6" w:rsidRDefault="00A50909">
      <w:pPr>
        <w:pStyle w:val="Tablicaslika"/>
        <w:rPr>
          <w:rFonts w:asciiTheme="minorHAnsi" w:eastAsiaTheme="minorEastAsia" w:hAnsiTheme="minorHAnsi" w:cstheme="minorBidi"/>
          <w:noProof/>
          <w:sz w:val="22"/>
          <w:szCs w:val="22"/>
          <w:lang w:eastAsia="hr-HR"/>
        </w:rPr>
      </w:pPr>
      <w:hyperlink w:anchor="_Toc40089015" w:history="1">
        <w:r w:rsidR="00A152B6" w:rsidRPr="00ED43DA">
          <w:rPr>
            <w:rStyle w:val="Hiperveza"/>
            <w:noProof/>
          </w:rPr>
          <w:t>Slika 9.6 Shematski prikaz svih potencijalnih učinaka energetske obnove zgrada</w:t>
        </w:r>
        <w:r w:rsidR="00A152B6">
          <w:rPr>
            <w:noProof/>
            <w:webHidden/>
          </w:rPr>
          <w:tab/>
        </w:r>
        <w:r w:rsidR="00A152B6">
          <w:rPr>
            <w:noProof/>
            <w:webHidden/>
          </w:rPr>
          <w:fldChar w:fldCharType="begin"/>
        </w:r>
        <w:r w:rsidR="00A152B6">
          <w:rPr>
            <w:noProof/>
            <w:webHidden/>
          </w:rPr>
          <w:instrText xml:space="preserve"> PAGEREF _Toc40089015 \h </w:instrText>
        </w:r>
        <w:r w:rsidR="00A152B6">
          <w:rPr>
            <w:noProof/>
            <w:webHidden/>
          </w:rPr>
        </w:r>
        <w:r w:rsidR="00A152B6">
          <w:rPr>
            <w:noProof/>
            <w:webHidden/>
          </w:rPr>
          <w:fldChar w:fldCharType="separate"/>
        </w:r>
        <w:r w:rsidR="00CE61F3">
          <w:rPr>
            <w:noProof/>
            <w:webHidden/>
          </w:rPr>
          <w:t>90</w:t>
        </w:r>
        <w:r w:rsidR="00A152B6">
          <w:rPr>
            <w:noProof/>
            <w:webHidden/>
          </w:rPr>
          <w:fldChar w:fldCharType="end"/>
        </w:r>
      </w:hyperlink>
    </w:p>
    <w:p w14:paraId="5CE837AD" w14:textId="570C8BBF" w:rsidR="00A152B6" w:rsidRDefault="00A50909">
      <w:pPr>
        <w:pStyle w:val="Tablicaslika"/>
        <w:rPr>
          <w:rFonts w:asciiTheme="minorHAnsi" w:eastAsiaTheme="minorEastAsia" w:hAnsiTheme="minorHAnsi" w:cstheme="minorBidi"/>
          <w:noProof/>
          <w:sz w:val="22"/>
          <w:szCs w:val="22"/>
          <w:lang w:eastAsia="hr-HR"/>
        </w:rPr>
      </w:pPr>
      <w:hyperlink w:anchor="_Toc40089016" w:history="1">
        <w:r w:rsidR="00A152B6" w:rsidRPr="00ED43DA">
          <w:rPr>
            <w:rStyle w:val="Hiperveza"/>
            <w:noProof/>
          </w:rPr>
          <w:t>Slika 10.1 Karta potresnih područja RH</w:t>
        </w:r>
        <w:r w:rsidR="00A152B6">
          <w:rPr>
            <w:noProof/>
            <w:webHidden/>
          </w:rPr>
          <w:tab/>
        </w:r>
        <w:r w:rsidR="00A152B6">
          <w:rPr>
            <w:noProof/>
            <w:webHidden/>
          </w:rPr>
          <w:fldChar w:fldCharType="begin"/>
        </w:r>
        <w:r w:rsidR="00A152B6">
          <w:rPr>
            <w:noProof/>
            <w:webHidden/>
          </w:rPr>
          <w:instrText xml:space="preserve"> PAGEREF _Toc40089016 \h </w:instrText>
        </w:r>
        <w:r w:rsidR="00A152B6">
          <w:rPr>
            <w:noProof/>
            <w:webHidden/>
          </w:rPr>
        </w:r>
        <w:r w:rsidR="00A152B6">
          <w:rPr>
            <w:noProof/>
            <w:webHidden/>
          </w:rPr>
          <w:fldChar w:fldCharType="separate"/>
        </w:r>
        <w:r w:rsidR="00CE61F3">
          <w:rPr>
            <w:noProof/>
            <w:webHidden/>
          </w:rPr>
          <w:t>93</w:t>
        </w:r>
        <w:r w:rsidR="00A152B6">
          <w:rPr>
            <w:noProof/>
            <w:webHidden/>
          </w:rPr>
          <w:fldChar w:fldCharType="end"/>
        </w:r>
      </w:hyperlink>
    </w:p>
    <w:p w14:paraId="53ACE14E" w14:textId="71721C4B" w:rsidR="00A152B6" w:rsidRDefault="00A50909">
      <w:pPr>
        <w:pStyle w:val="Tablicaslika"/>
        <w:rPr>
          <w:rFonts w:asciiTheme="minorHAnsi" w:eastAsiaTheme="minorEastAsia" w:hAnsiTheme="minorHAnsi" w:cstheme="minorBidi"/>
          <w:noProof/>
          <w:sz w:val="22"/>
          <w:szCs w:val="22"/>
          <w:lang w:eastAsia="hr-HR"/>
        </w:rPr>
      </w:pPr>
      <w:hyperlink w:anchor="_Toc40089017" w:history="1">
        <w:r w:rsidR="00A152B6" w:rsidRPr="00ED43DA">
          <w:rPr>
            <w:rStyle w:val="Hiperveza"/>
            <w:noProof/>
          </w:rPr>
          <w:t>Slika 12.1 Povelja o suradnji s ciljem dekarbonizacije zgrada do 2050.</w:t>
        </w:r>
        <w:r w:rsidR="00A152B6">
          <w:rPr>
            <w:noProof/>
            <w:webHidden/>
          </w:rPr>
          <w:tab/>
        </w:r>
        <w:r w:rsidR="00A152B6">
          <w:rPr>
            <w:noProof/>
            <w:webHidden/>
          </w:rPr>
          <w:fldChar w:fldCharType="begin"/>
        </w:r>
        <w:r w:rsidR="00A152B6">
          <w:rPr>
            <w:noProof/>
            <w:webHidden/>
          </w:rPr>
          <w:instrText xml:space="preserve"> PAGEREF _Toc40089017 \h </w:instrText>
        </w:r>
        <w:r w:rsidR="00A152B6">
          <w:rPr>
            <w:noProof/>
            <w:webHidden/>
          </w:rPr>
        </w:r>
        <w:r w:rsidR="00A152B6">
          <w:rPr>
            <w:noProof/>
            <w:webHidden/>
          </w:rPr>
          <w:fldChar w:fldCharType="separate"/>
        </w:r>
        <w:r w:rsidR="00CE61F3">
          <w:rPr>
            <w:noProof/>
            <w:webHidden/>
          </w:rPr>
          <w:t>110</w:t>
        </w:r>
        <w:r w:rsidR="00A152B6">
          <w:rPr>
            <w:noProof/>
            <w:webHidden/>
          </w:rPr>
          <w:fldChar w:fldCharType="end"/>
        </w:r>
      </w:hyperlink>
    </w:p>
    <w:p w14:paraId="66C3F022" w14:textId="2A4C5809" w:rsidR="00C26F53" w:rsidRDefault="00E062FD" w:rsidP="007F13E7">
      <w:pPr>
        <w:pStyle w:val="Tablicaslika"/>
      </w:pPr>
      <w:r>
        <w:fldChar w:fldCharType="end"/>
      </w:r>
    </w:p>
    <w:p w14:paraId="25F4596D" w14:textId="3D16A260" w:rsidR="00A152B6" w:rsidRDefault="00E062FD">
      <w:pPr>
        <w:pStyle w:val="Tablicaslika"/>
        <w:rPr>
          <w:rFonts w:asciiTheme="minorHAnsi" w:eastAsiaTheme="minorEastAsia" w:hAnsiTheme="minorHAnsi" w:cstheme="minorBidi"/>
          <w:noProof/>
          <w:sz w:val="22"/>
          <w:szCs w:val="22"/>
          <w:lang w:eastAsia="hr-HR"/>
        </w:rPr>
      </w:pPr>
      <w:r>
        <w:fldChar w:fldCharType="begin"/>
      </w:r>
      <w:r>
        <w:instrText xml:space="preserve"> TOC \h \z \c "Tablica" </w:instrText>
      </w:r>
      <w:r>
        <w:fldChar w:fldCharType="separate"/>
      </w:r>
      <w:hyperlink w:anchor="_Toc40089018" w:history="1">
        <w:r w:rsidR="00A152B6" w:rsidRPr="000E26AC">
          <w:rPr>
            <w:rStyle w:val="Hiperveza"/>
            <w:noProof/>
          </w:rPr>
          <w:t>Tablica 2.1 Površina zgrada u RH po namjeni u m² po godinama</w:t>
        </w:r>
        <w:r w:rsidR="00A152B6">
          <w:rPr>
            <w:noProof/>
            <w:webHidden/>
          </w:rPr>
          <w:tab/>
        </w:r>
        <w:r w:rsidR="00A152B6">
          <w:rPr>
            <w:noProof/>
            <w:webHidden/>
          </w:rPr>
          <w:fldChar w:fldCharType="begin"/>
        </w:r>
        <w:r w:rsidR="00A152B6">
          <w:rPr>
            <w:noProof/>
            <w:webHidden/>
          </w:rPr>
          <w:instrText xml:space="preserve"> PAGEREF _Toc40089018 \h </w:instrText>
        </w:r>
        <w:r w:rsidR="00A152B6">
          <w:rPr>
            <w:noProof/>
            <w:webHidden/>
          </w:rPr>
        </w:r>
        <w:r w:rsidR="00A152B6">
          <w:rPr>
            <w:noProof/>
            <w:webHidden/>
          </w:rPr>
          <w:fldChar w:fldCharType="separate"/>
        </w:r>
        <w:r w:rsidR="00CE61F3">
          <w:rPr>
            <w:noProof/>
            <w:webHidden/>
          </w:rPr>
          <w:t>14</w:t>
        </w:r>
        <w:r w:rsidR="00A152B6">
          <w:rPr>
            <w:noProof/>
            <w:webHidden/>
          </w:rPr>
          <w:fldChar w:fldCharType="end"/>
        </w:r>
      </w:hyperlink>
    </w:p>
    <w:p w14:paraId="2A1777B3" w14:textId="08D8A1B8" w:rsidR="00A152B6" w:rsidRDefault="00A50909">
      <w:pPr>
        <w:pStyle w:val="Tablicaslika"/>
        <w:rPr>
          <w:rFonts w:asciiTheme="minorHAnsi" w:eastAsiaTheme="minorEastAsia" w:hAnsiTheme="minorHAnsi" w:cstheme="minorBidi"/>
          <w:noProof/>
          <w:sz w:val="22"/>
          <w:szCs w:val="22"/>
          <w:lang w:eastAsia="hr-HR"/>
        </w:rPr>
      </w:pPr>
      <w:hyperlink w:anchor="_Toc40089019" w:history="1">
        <w:r w:rsidR="00A152B6" w:rsidRPr="000E26AC">
          <w:rPr>
            <w:rStyle w:val="Hiperveza"/>
            <w:noProof/>
          </w:rPr>
          <w:t>Tablica 2 Projekcija ukupne površine stambenih zgrada u 2030., 2040. i 2050. godini u m²</w:t>
        </w:r>
        <w:r w:rsidR="00A152B6">
          <w:rPr>
            <w:noProof/>
            <w:webHidden/>
          </w:rPr>
          <w:tab/>
        </w:r>
        <w:r w:rsidR="00A152B6">
          <w:rPr>
            <w:noProof/>
            <w:webHidden/>
          </w:rPr>
          <w:fldChar w:fldCharType="begin"/>
        </w:r>
        <w:r w:rsidR="00A152B6">
          <w:rPr>
            <w:noProof/>
            <w:webHidden/>
          </w:rPr>
          <w:instrText xml:space="preserve"> PAGEREF _Toc40089019 \h </w:instrText>
        </w:r>
        <w:r w:rsidR="00A152B6">
          <w:rPr>
            <w:noProof/>
            <w:webHidden/>
          </w:rPr>
        </w:r>
        <w:r w:rsidR="00A152B6">
          <w:rPr>
            <w:noProof/>
            <w:webHidden/>
          </w:rPr>
          <w:fldChar w:fldCharType="separate"/>
        </w:r>
        <w:r w:rsidR="00CE61F3">
          <w:rPr>
            <w:noProof/>
            <w:webHidden/>
          </w:rPr>
          <w:t>18</w:t>
        </w:r>
        <w:r w:rsidR="00A152B6">
          <w:rPr>
            <w:noProof/>
            <w:webHidden/>
          </w:rPr>
          <w:fldChar w:fldCharType="end"/>
        </w:r>
      </w:hyperlink>
    </w:p>
    <w:p w14:paraId="6157E458" w14:textId="70D02C74" w:rsidR="00A152B6" w:rsidRDefault="00A50909">
      <w:pPr>
        <w:pStyle w:val="Tablicaslika"/>
        <w:rPr>
          <w:rFonts w:asciiTheme="minorHAnsi" w:eastAsiaTheme="minorEastAsia" w:hAnsiTheme="minorHAnsi" w:cstheme="minorBidi"/>
          <w:noProof/>
          <w:sz w:val="22"/>
          <w:szCs w:val="22"/>
          <w:lang w:eastAsia="hr-HR"/>
        </w:rPr>
      </w:pPr>
      <w:hyperlink w:anchor="_Toc40089020" w:history="1">
        <w:r w:rsidR="00A152B6" w:rsidRPr="000E26AC">
          <w:rPr>
            <w:rStyle w:val="Hiperveza"/>
            <w:noProof/>
          </w:rPr>
          <w:t>Tablica 3 Projekcija površine nestambenih zgrada u 2030., 2040. i 2050. godini</w:t>
        </w:r>
        <w:r w:rsidR="00A152B6">
          <w:rPr>
            <w:noProof/>
            <w:webHidden/>
          </w:rPr>
          <w:tab/>
        </w:r>
        <w:r w:rsidR="00A152B6">
          <w:rPr>
            <w:noProof/>
            <w:webHidden/>
          </w:rPr>
          <w:fldChar w:fldCharType="begin"/>
        </w:r>
        <w:r w:rsidR="00A152B6">
          <w:rPr>
            <w:noProof/>
            <w:webHidden/>
          </w:rPr>
          <w:instrText xml:space="preserve"> PAGEREF _Toc40089020 \h </w:instrText>
        </w:r>
        <w:r w:rsidR="00A152B6">
          <w:rPr>
            <w:noProof/>
            <w:webHidden/>
          </w:rPr>
        </w:r>
        <w:r w:rsidR="00A152B6">
          <w:rPr>
            <w:noProof/>
            <w:webHidden/>
          </w:rPr>
          <w:fldChar w:fldCharType="separate"/>
        </w:r>
        <w:r w:rsidR="00CE61F3">
          <w:rPr>
            <w:noProof/>
            <w:webHidden/>
          </w:rPr>
          <w:t>18</w:t>
        </w:r>
        <w:r w:rsidR="00A152B6">
          <w:rPr>
            <w:noProof/>
            <w:webHidden/>
          </w:rPr>
          <w:fldChar w:fldCharType="end"/>
        </w:r>
      </w:hyperlink>
    </w:p>
    <w:p w14:paraId="03DFE767" w14:textId="0D370365" w:rsidR="00A152B6" w:rsidRDefault="00A50909">
      <w:pPr>
        <w:pStyle w:val="Tablicaslika"/>
        <w:rPr>
          <w:rFonts w:asciiTheme="minorHAnsi" w:eastAsiaTheme="minorEastAsia" w:hAnsiTheme="minorHAnsi" w:cstheme="minorBidi"/>
          <w:noProof/>
          <w:sz w:val="22"/>
          <w:szCs w:val="22"/>
          <w:lang w:eastAsia="hr-HR"/>
        </w:rPr>
      </w:pPr>
      <w:hyperlink w:anchor="_Toc40089021" w:history="1">
        <w:r w:rsidR="00A152B6" w:rsidRPr="000E26AC">
          <w:rPr>
            <w:rStyle w:val="Hiperveza"/>
            <w:noProof/>
          </w:rPr>
          <w:t>Tablica 4 Ukupna očekivana površina zgrada koje se obnavljaju do 2050. godine u 2030., 2040. i 2050.</w:t>
        </w:r>
        <w:r w:rsidR="00A152B6">
          <w:rPr>
            <w:noProof/>
            <w:webHidden/>
          </w:rPr>
          <w:tab/>
        </w:r>
        <w:r w:rsidR="00A152B6">
          <w:rPr>
            <w:noProof/>
            <w:webHidden/>
          </w:rPr>
          <w:fldChar w:fldCharType="begin"/>
        </w:r>
        <w:r w:rsidR="00A152B6">
          <w:rPr>
            <w:noProof/>
            <w:webHidden/>
          </w:rPr>
          <w:instrText xml:space="preserve"> PAGEREF _Toc40089021 \h </w:instrText>
        </w:r>
        <w:r w:rsidR="00A152B6">
          <w:rPr>
            <w:noProof/>
            <w:webHidden/>
          </w:rPr>
        </w:r>
        <w:r w:rsidR="00A152B6">
          <w:rPr>
            <w:noProof/>
            <w:webHidden/>
          </w:rPr>
          <w:fldChar w:fldCharType="separate"/>
        </w:r>
        <w:r w:rsidR="00CE61F3">
          <w:rPr>
            <w:noProof/>
            <w:webHidden/>
          </w:rPr>
          <w:t>20</w:t>
        </w:r>
        <w:r w:rsidR="00A152B6">
          <w:rPr>
            <w:noProof/>
            <w:webHidden/>
          </w:rPr>
          <w:fldChar w:fldCharType="end"/>
        </w:r>
      </w:hyperlink>
    </w:p>
    <w:p w14:paraId="3FBD0F51" w14:textId="514811B0" w:rsidR="00A152B6" w:rsidRDefault="00A50909">
      <w:pPr>
        <w:pStyle w:val="Tablicaslika"/>
        <w:rPr>
          <w:rFonts w:asciiTheme="minorHAnsi" w:eastAsiaTheme="minorEastAsia" w:hAnsiTheme="minorHAnsi" w:cstheme="minorBidi"/>
          <w:noProof/>
          <w:sz w:val="22"/>
          <w:szCs w:val="22"/>
          <w:lang w:eastAsia="hr-HR"/>
        </w:rPr>
      </w:pPr>
      <w:hyperlink w:anchor="_Toc40089022" w:history="1">
        <w:r w:rsidR="00A152B6" w:rsidRPr="000E26AC">
          <w:rPr>
            <w:rStyle w:val="Hiperveza"/>
            <w:noProof/>
          </w:rPr>
          <w:t>Tablica 5 Stambeni fond RH prema godini izgradnje (sve zgrade)</w:t>
        </w:r>
        <w:r w:rsidR="00A152B6">
          <w:rPr>
            <w:noProof/>
            <w:webHidden/>
          </w:rPr>
          <w:tab/>
        </w:r>
        <w:r w:rsidR="00A152B6">
          <w:rPr>
            <w:noProof/>
            <w:webHidden/>
          </w:rPr>
          <w:fldChar w:fldCharType="begin"/>
        </w:r>
        <w:r w:rsidR="00A152B6">
          <w:rPr>
            <w:noProof/>
            <w:webHidden/>
          </w:rPr>
          <w:instrText xml:space="preserve"> PAGEREF _Toc40089022 \h </w:instrText>
        </w:r>
        <w:r w:rsidR="00A152B6">
          <w:rPr>
            <w:noProof/>
            <w:webHidden/>
          </w:rPr>
        </w:r>
        <w:r w:rsidR="00A152B6">
          <w:rPr>
            <w:noProof/>
            <w:webHidden/>
          </w:rPr>
          <w:fldChar w:fldCharType="separate"/>
        </w:r>
        <w:r w:rsidR="00CE61F3">
          <w:rPr>
            <w:noProof/>
            <w:webHidden/>
          </w:rPr>
          <w:t>20</w:t>
        </w:r>
        <w:r w:rsidR="00A152B6">
          <w:rPr>
            <w:noProof/>
            <w:webHidden/>
          </w:rPr>
          <w:fldChar w:fldCharType="end"/>
        </w:r>
      </w:hyperlink>
    </w:p>
    <w:p w14:paraId="53017968" w14:textId="010B2612" w:rsidR="00A152B6" w:rsidRDefault="00A50909">
      <w:pPr>
        <w:pStyle w:val="Tablicaslika"/>
        <w:rPr>
          <w:rFonts w:asciiTheme="minorHAnsi" w:eastAsiaTheme="minorEastAsia" w:hAnsiTheme="minorHAnsi" w:cstheme="minorBidi"/>
          <w:noProof/>
          <w:sz w:val="22"/>
          <w:szCs w:val="22"/>
          <w:lang w:eastAsia="hr-HR"/>
        </w:rPr>
      </w:pPr>
      <w:hyperlink w:anchor="_Toc40089023" w:history="1">
        <w:r w:rsidR="00A152B6" w:rsidRPr="000E26AC">
          <w:rPr>
            <w:rStyle w:val="Hiperveza"/>
            <w:noProof/>
          </w:rPr>
          <w:t>Tablica 6 Nestambeni fond RH prema godini izgradnje</w:t>
        </w:r>
        <w:r w:rsidR="00A152B6">
          <w:rPr>
            <w:noProof/>
            <w:webHidden/>
          </w:rPr>
          <w:tab/>
        </w:r>
        <w:r w:rsidR="00A152B6">
          <w:rPr>
            <w:noProof/>
            <w:webHidden/>
          </w:rPr>
          <w:fldChar w:fldCharType="begin"/>
        </w:r>
        <w:r w:rsidR="00A152B6">
          <w:rPr>
            <w:noProof/>
            <w:webHidden/>
          </w:rPr>
          <w:instrText xml:space="preserve"> PAGEREF _Toc40089023 \h </w:instrText>
        </w:r>
        <w:r w:rsidR="00A152B6">
          <w:rPr>
            <w:noProof/>
            <w:webHidden/>
          </w:rPr>
        </w:r>
        <w:r w:rsidR="00A152B6">
          <w:rPr>
            <w:noProof/>
            <w:webHidden/>
          </w:rPr>
          <w:fldChar w:fldCharType="separate"/>
        </w:r>
        <w:r w:rsidR="00CE61F3">
          <w:rPr>
            <w:noProof/>
            <w:webHidden/>
          </w:rPr>
          <w:t>20</w:t>
        </w:r>
        <w:r w:rsidR="00A152B6">
          <w:rPr>
            <w:noProof/>
            <w:webHidden/>
          </w:rPr>
          <w:fldChar w:fldCharType="end"/>
        </w:r>
      </w:hyperlink>
    </w:p>
    <w:p w14:paraId="7A9B6298" w14:textId="20338825" w:rsidR="00A152B6" w:rsidRDefault="00A50909">
      <w:pPr>
        <w:pStyle w:val="Tablicaslika"/>
        <w:rPr>
          <w:rFonts w:asciiTheme="minorHAnsi" w:eastAsiaTheme="minorEastAsia" w:hAnsiTheme="minorHAnsi" w:cstheme="minorBidi"/>
          <w:noProof/>
          <w:sz w:val="22"/>
          <w:szCs w:val="22"/>
          <w:lang w:eastAsia="hr-HR"/>
        </w:rPr>
      </w:pPr>
      <w:hyperlink w:anchor="_Toc40089024" w:history="1">
        <w:r w:rsidR="00A152B6" w:rsidRPr="000E26AC">
          <w:rPr>
            <w:rStyle w:val="Hiperveza"/>
            <w:noProof/>
          </w:rPr>
          <w:t>Tablica 7 Stambene zgrade po  klimatskim zonama – površina u m²</w:t>
        </w:r>
        <w:r w:rsidR="00A152B6">
          <w:rPr>
            <w:noProof/>
            <w:webHidden/>
          </w:rPr>
          <w:tab/>
        </w:r>
        <w:r w:rsidR="00A152B6">
          <w:rPr>
            <w:noProof/>
            <w:webHidden/>
          </w:rPr>
          <w:fldChar w:fldCharType="begin"/>
        </w:r>
        <w:r w:rsidR="00A152B6">
          <w:rPr>
            <w:noProof/>
            <w:webHidden/>
          </w:rPr>
          <w:instrText xml:space="preserve"> PAGEREF _Toc40089024 \h </w:instrText>
        </w:r>
        <w:r w:rsidR="00A152B6">
          <w:rPr>
            <w:noProof/>
            <w:webHidden/>
          </w:rPr>
        </w:r>
        <w:r w:rsidR="00A152B6">
          <w:rPr>
            <w:noProof/>
            <w:webHidden/>
          </w:rPr>
          <w:fldChar w:fldCharType="separate"/>
        </w:r>
        <w:r w:rsidR="00CE61F3">
          <w:rPr>
            <w:noProof/>
            <w:webHidden/>
          </w:rPr>
          <w:t>22</w:t>
        </w:r>
        <w:r w:rsidR="00A152B6">
          <w:rPr>
            <w:noProof/>
            <w:webHidden/>
          </w:rPr>
          <w:fldChar w:fldCharType="end"/>
        </w:r>
      </w:hyperlink>
    </w:p>
    <w:p w14:paraId="36225CED" w14:textId="74AF86C6" w:rsidR="00A152B6" w:rsidRDefault="00A50909">
      <w:pPr>
        <w:pStyle w:val="Tablicaslika"/>
        <w:rPr>
          <w:rFonts w:asciiTheme="minorHAnsi" w:eastAsiaTheme="minorEastAsia" w:hAnsiTheme="minorHAnsi" w:cstheme="minorBidi"/>
          <w:noProof/>
          <w:sz w:val="22"/>
          <w:szCs w:val="22"/>
          <w:lang w:eastAsia="hr-HR"/>
        </w:rPr>
      </w:pPr>
      <w:hyperlink w:anchor="_Toc40089025" w:history="1">
        <w:r w:rsidR="00A152B6" w:rsidRPr="000E26AC">
          <w:rPr>
            <w:rStyle w:val="Hiperveza"/>
            <w:noProof/>
          </w:rPr>
          <w:t>Tablica 8 Nestambene zgrade po klimatskim zonama – površina u m²</w:t>
        </w:r>
        <w:r w:rsidR="00A152B6">
          <w:rPr>
            <w:noProof/>
            <w:webHidden/>
          </w:rPr>
          <w:tab/>
        </w:r>
        <w:r w:rsidR="00A152B6">
          <w:rPr>
            <w:noProof/>
            <w:webHidden/>
          </w:rPr>
          <w:fldChar w:fldCharType="begin"/>
        </w:r>
        <w:r w:rsidR="00A152B6">
          <w:rPr>
            <w:noProof/>
            <w:webHidden/>
          </w:rPr>
          <w:instrText xml:space="preserve"> PAGEREF _Toc40089025 \h </w:instrText>
        </w:r>
        <w:r w:rsidR="00A152B6">
          <w:rPr>
            <w:noProof/>
            <w:webHidden/>
          </w:rPr>
        </w:r>
        <w:r w:rsidR="00A152B6">
          <w:rPr>
            <w:noProof/>
            <w:webHidden/>
          </w:rPr>
          <w:fldChar w:fldCharType="separate"/>
        </w:r>
        <w:r w:rsidR="00CE61F3">
          <w:rPr>
            <w:noProof/>
            <w:webHidden/>
          </w:rPr>
          <w:t>22</w:t>
        </w:r>
        <w:r w:rsidR="00A152B6">
          <w:rPr>
            <w:noProof/>
            <w:webHidden/>
          </w:rPr>
          <w:fldChar w:fldCharType="end"/>
        </w:r>
      </w:hyperlink>
    </w:p>
    <w:p w14:paraId="5F53C5BD" w14:textId="7B0CB0CA" w:rsidR="00A152B6" w:rsidRDefault="00A50909">
      <w:pPr>
        <w:pStyle w:val="Tablicaslika"/>
        <w:rPr>
          <w:rFonts w:asciiTheme="minorHAnsi" w:eastAsiaTheme="minorEastAsia" w:hAnsiTheme="minorHAnsi" w:cstheme="minorBidi"/>
          <w:noProof/>
          <w:sz w:val="22"/>
          <w:szCs w:val="22"/>
          <w:lang w:eastAsia="hr-HR"/>
        </w:rPr>
      </w:pPr>
      <w:hyperlink w:anchor="_Toc40089026" w:history="1">
        <w:r w:rsidR="00A152B6" w:rsidRPr="000E26AC">
          <w:rPr>
            <w:rStyle w:val="Hiperveza"/>
            <w:noProof/>
          </w:rPr>
          <w:t>Tablica 9 Privatne – stambene i nestambene komercijalne zgrade po namjeni i klimatskoj zoni – površina u m²</w:t>
        </w:r>
        <w:r w:rsidR="00A152B6">
          <w:rPr>
            <w:noProof/>
            <w:webHidden/>
          </w:rPr>
          <w:tab/>
        </w:r>
        <w:r w:rsidR="00A152B6">
          <w:rPr>
            <w:noProof/>
            <w:webHidden/>
          </w:rPr>
          <w:fldChar w:fldCharType="begin"/>
        </w:r>
        <w:r w:rsidR="00A152B6">
          <w:rPr>
            <w:noProof/>
            <w:webHidden/>
          </w:rPr>
          <w:instrText xml:space="preserve"> PAGEREF _Toc40089026 \h </w:instrText>
        </w:r>
        <w:r w:rsidR="00A152B6">
          <w:rPr>
            <w:noProof/>
            <w:webHidden/>
          </w:rPr>
        </w:r>
        <w:r w:rsidR="00A152B6">
          <w:rPr>
            <w:noProof/>
            <w:webHidden/>
          </w:rPr>
          <w:fldChar w:fldCharType="separate"/>
        </w:r>
        <w:r w:rsidR="00CE61F3">
          <w:rPr>
            <w:noProof/>
            <w:webHidden/>
          </w:rPr>
          <w:t>23</w:t>
        </w:r>
        <w:r w:rsidR="00A152B6">
          <w:rPr>
            <w:noProof/>
            <w:webHidden/>
          </w:rPr>
          <w:fldChar w:fldCharType="end"/>
        </w:r>
      </w:hyperlink>
    </w:p>
    <w:p w14:paraId="2BD5D51A" w14:textId="2D4DD7DD" w:rsidR="00A152B6" w:rsidRDefault="00A50909">
      <w:pPr>
        <w:pStyle w:val="Tablicaslika"/>
        <w:rPr>
          <w:rFonts w:asciiTheme="minorHAnsi" w:eastAsiaTheme="minorEastAsia" w:hAnsiTheme="minorHAnsi" w:cstheme="minorBidi"/>
          <w:noProof/>
          <w:sz w:val="22"/>
          <w:szCs w:val="22"/>
          <w:lang w:eastAsia="hr-HR"/>
        </w:rPr>
      </w:pPr>
      <w:hyperlink w:anchor="_Toc40089027" w:history="1">
        <w:r w:rsidR="00A152B6" w:rsidRPr="000E26AC">
          <w:rPr>
            <w:rStyle w:val="Hiperveza"/>
            <w:noProof/>
          </w:rPr>
          <w:t>Tablica 10 Javne - stambene i nestambene zgrade po namjeni i klimatskoj zoni</w:t>
        </w:r>
        <w:r w:rsidR="00A152B6">
          <w:rPr>
            <w:noProof/>
            <w:webHidden/>
          </w:rPr>
          <w:tab/>
        </w:r>
        <w:r w:rsidR="00A152B6">
          <w:rPr>
            <w:noProof/>
            <w:webHidden/>
          </w:rPr>
          <w:fldChar w:fldCharType="begin"/>
        </w:r>
        <w:r w:rsidR="00A152B6">
          <w:rPr>
            <w:noProof/>
            <w:webHidden/>
          </w:rPr>
          <w:instrText xml:space="preserve"> PAGEREF _Toc40089027 \h </w:instrText>
        </w:r>
        <w:r w:rsidR="00A152B6">
          <w:rPr>
            <w:noProof/>
            <w:webHidden/>
          </w:rPr>
        </w:r>
        <w:r w:rsidR="00A152B6">
          <w:rPr>
            <w:noProof/>
            <w:webHidden/>
          </w:rPr>
          <w:fldChar w:fldCharType="separate"/>
        </w:r>
        <w:r w:rsidR="00CE61F3">
          <w:rPr>
            <w:noProof/>
            <w:webHidden/>
          </w:rPr>
          <w:t>24</w:t>
        </w:r>
        <w:r w:rsidR="00A152B6">
          <w:rPr>
            <w:noProof/>
            <w:webHidden/>
          </w:rPr>
          <w:fldChar w:fldCharType="end"/>
        </w:r>
      </w:hyperlink>
    </w:p>
    <w:p w14:paraId="455D206F" w14:textId="3EAA389A" w:rsidR="00A152B6" w:rsidRDefault="00A50909">
      <w:pPr>
        <w:pStyle w:val="Tablicaslika"/>
        <w:rPr>
          <w:rFonts w:asciiTheme="minorHAnsi" w:eastAsiaTheme="minorEastAsia" w:hAnsiTheme="minorHAnsi" w:cstheme="minorBidi"/>
          <w:noProof/>
          <w:sz w:val="22"/>
          <w:szCs w:val="22"/>
          <w:lang w:eastAsia="hr-HR"/>
        </w:rPr>
      </w:pPr>
      <w:hyperlink w:anchor="_Toc40089028" w:history="1">
        <w:r w:rsidR="00A152B6" w:rsidRPr="000E26AC">
          <w:rPr>
            <w:rStyle w:val="Hiperveza"/>
            <w:noProof/>
          </w:rPr>
          <w:t>Tablica 11 Godišnji omjer porasta površine stambenih zgrada po županijama 2011 do 2017 godine</w:t>
        </w:r>
        <w:r w:rsidR="00A152B6">
          <w:rPr>
            <w:noProof/>
            <w:webHidden/>
          </w:rPr>
          <w:tab/>
        </w:r>
        <w:r w:rsidR="00A152B6">
          <w:rPr>
            <w:noProof/>
            <w:webHidden/>
          </w:rPr>
          <w:fldChar w:fldCharType="begin"/>
        </w:r>
        <w:r w:rsidR="00A152B6">
          <w:rPr>
            <w:noProof/>
            <w:webHidden/>
          </w:rPr>
          <w:instrText xml:space="preserve"> PAGEREF _Toc40089028 \h </w:instrText>
        </w:r>
        <w:r w:rsidR="00A152B6">
          <w:rPr>
            <w:noProof/>
            <w:webHidden/>
          </w:rPr>
        </w:r>
        <w:r w:rsidR="00A152B6">
          <w:rPr>
            <w:noProof/>
            <w:webHidden/>
          </w:rPr>
          <w:fldChar w:fldCharType="separate"/>
        </w:r>
        <w:r w:rsidR="00CE61F3">
          <w:rPr>
            <w:noProof/>
            <w:webHidden/>
          </w:rPr>
          <w:t>25</w:t>
        </w:r>
        <w:r w:rsidR="00A152B6">
          <w:rPr>
            <w:noProof/>
            <w:webHidden/>
          </w:rPr>
          <w:fldChar w:fldCharType="end"/>
        </w:r>
      </w:hyperlink>
    </w:p>
    <w:p w14:paraId="20B221EF" w14:textId="728C6B63" w:rsidR="00A152B6" w:rsidRDefault="00A50909">
      <w:pPr>
        <w:pStyle w:val="Tablicaslika"/>
        <w:rPr>
          <w:rFonts w:asciiTheme="minorHAnsi" w:eastAsiaTheme="minorEastAsia" w:hAnsiTheme="minorHAnsi" w:cstheme="minorBidi"/>
          <w:noProof/>
          <w:sz w:val="22"/>
          <w:szCs w:val="22"/>
          <w:lang w:eastAsia="hr-HR"/>
        </w:rPr>
      </w:pPr>
      <w:hyperlink w:anchor="_Toc40089029" w:history="1">
        <w:r w:rsidR="00A152B6" w:rsidRPr="000E26AC">
          <w:rPr>
            <w:rStyle w:val="Hiperveza"/>
            <w:noProof/>
          </w:rPr>
          <w:t>Tablica 12 Raspodjela stambenih zgrada urbano/ruralno u 2018 godini</w:t>
        </w:r>
        <w:r w:rsidR="00A152B6">
          <w:rPr>
            <w:noProof/>
            <w:webHidden/>
          </w:rPr>
          <w:tab/>
        </w:r>
        <w:r w:rsidR="00A152B6">
          <w:rPr>
            <w:noProof/>
            <w:webHidden/>
          </w:rPr>
          <w:fldChar w:fldCharType="begin"/>
        </w:r>
        <w:r w:rsidR="00A152B6">
          <w:rPr>
            <w:noProof/>
            <w:webHidden/>
          </w:rPr>
          <w:instrText xml:space="preserve"> PAGEREF _Toc40089029 \h </w:instrText>
        </w:r>
        <w:r w:rsidR="00A152B6">
          <w:rPr>
            <w:noProof/>
            <w:webHidden/>
          </w:rPr>
        </w:r>
        <w:r w:rsidR="00A152B6">
          <w:rPr>
            <w:noProof/>
            <w:webHidden/>
          </w:rPr>
          <w:fldChar w:fldCharType="separate"/>
        </w:r>
        <w:r w:rsidR="00CE61F3">
          <w:rPr>
            <w:noProof/>
            <w:webHidden/>
          </w:rPr>
          <w:t>25</w:t>
        </w:r>
        <w:r w:rsidR="00A152B6">
          <w:rPr>
            <w:noProof/>
            <w:webHidden/>
          </w:rPr>
          <w:fldChar w:fldCharType="end"/>
        </w:r>
      </w:hyperlink>
    </w:p>
    <w:p w14:paraId="6CCC9EF8" w14:textId="06752179" w:rsidR="00A152B6" w:rsidRDefault="00A50909">
      <w:pPr>
        <w:pStyle w:val="Tablicaslika"/>
        <w:rPr>
          <w:rFonts w:asciiTheme="minorHAnsi" w:eastAsiaTheme="minorEastAsia" w:hAnsiTheme="minorHAnsi" w:cstheme="minorBidi"/>
          <w:noProof/>
          <w:sz w:val="22"/>
          <w:szCs w:val="22"/>
          <w:lang w:eastAsia="hr-HR"/>
        </w:rPr>
      </w:pPr>
      <w:hyperlink w:anchor="_Toc40089030" w:history="1">
        <w:r w:rsidR="00A152B6" w:rsidRPr="000E26AC">
          <w:rPr>
            <w:rStyle w:val="Hiperveza"/>
            <w:noProof/>
          </w:rPr>
          <w:t>Tablica 13 Raspodjela nestambenih zgrada urbano/ruralno u 2018 godini</w:t>
        </w:r>
        <w:r w:rsidR="00A152B6">
          <w:rPr>
            <w:noProof/>
            <w:webHidden/>
          </w:rPr>
          <w:tab/>
        </w:r>
        <w:r w:rsidR="00A152B6">
          <w:rPr>
            <w:noProof/>
            <w:webHidden/>
          </w:rPr>
          <w:fldChar w:fldCharType="begin"/>
        </w:r>
        <w:r w:rsidR="00A152B6">
          <w:rPr>
            <w:noProof/>
            <w:webHidden/>
          </w:rPr>
          <w:instrText xml:space="preserve"> PAGEREF _Toc40089030 \h </w:instrText>
        </w:r>
        <w:r w:rsidR="00A152B6">
          <w:rPr>
            <w:noProof/>
            <w:webHidden/>
          </w:rPr>
        </w:r>
        <w:r w:rsidR="00A152B6">
          <w:rPr>
            <w:noProof/>
            <w:webHidden/>
          </w:rPr>
          <w:fldChar w:fldCharType="separate"/>
        </w:r>
        <w:r w:rsidR="00CE61F3">
          <w:rPr>
            <w:noProof/>
            <w:webHidden/>
          </w:rPr>
          <w:t>26</w:t>
        </w:r>
        <w:r w:rsidR="00A152B6">
          <w:rPr>
            <w:noProof/>
            <w:webHidden/>
          </w:rPr>
          <w:fldChar w:fldCharType="end"/>
        </w:r>
      </w:hyperlink>
    </w:p>
    <w:p w14:paraId="00FB8570" w14:textId="329365E3" w:rsidR="00A152B6" w:rsidRDefault="00A50909">
      <w:pPr>
        <w:pStyle w:val="Tablicaslika"/>
        <w:rPr>
          <w:rFonts w:asciiTheme="minorHAnsi" w:eastAsiaTheme="minorEastAsia" w:hAnsiTheme="minorHAnsi" w:cstheme="minorBidi"/>
          <w:noProof/>
          <w:sz w:val="22"/>
          <w:szCs w:val="22"/>
          <w:lang w:eastAsia="hr-HR"/>
        </w:rPr>
      </w:pPr>
      <w:hyperlink w:anchor="_Toc40089031" w:history="1">
        <w:r w:rsidR="00A152B6" w:rsidRPr="000E26AC">
          <w:rPr>
            <w:rStyle w:val="Hiperveza"/>
            <w:noProof/>
          </w:rPr>
          <w:t>Tablica 14 Omjer ukupne isporučene i potrebne energije za grijanje i hlađenje</w:t>
        </w:r>
        <w:r w:rsidR="00A152B6">
          <w:rPr>
            <w:noProof/>
            <w:webHidden/>
          </w:rPr>
          <w:tab/>
        </w:r>
        <w:r w:rsidR="00A152B6">
          <w:rPr>
            <w:noProof/>
            <w:webHidden/>
          </w:rPr>
          <w:fldChar w:fldCharType="begin"/>
        </w:r>
        <w:r w:rsidR="00A152B6">
          <w:rPr>
            <w:noProof/>
            <w:webHidden/>
          </w:rPr>
          <w:instrText xml:space="preserve"> PAGEREF _Toc40089031 \h </w:instrText>
        </w:r>
        <w:r w:rsidR="00A152B6">
          <w:rPr>
            <w:noProof/>
            <w:webHidden/>
          </w:rPr>
        </w:r>
        <w:r w:rsidR="00A152B6">
          <w:rPr>
            <w:noProof/>
            <w:webHidden/>
          </w:rPr>
          <w:fldChar w:fldCharType="separate"/>
        </w:r>
        <w:r w:rsidR="00CE61F3">
          <w:rPr>
            <w:noProof/>
            <w:webHidden/>
          </w:rPr>
          <w:t>29</w:t>
        </w:r>
        <w:r w:rsidR="00A152B6">
          <w:rPr>
            <w:noProof/>
            <w:webHidden/>
          </w:rPr>
          <w:fldChar w:fldCharType="end"/>
        </w:r>
      </w:hyperlink>
    </w:p>
    <w:p w14:paraId="4C3AB82F" w14:textId="4FBAF366" w:rsidR="00A152B6" w:rsidRDefault="00A50909">
      <w:pPr>
        <w:pStyle w:val="Tablicaslika"/>
        <w:rPr>
          <w:rFonts w:asciiTheme="minorHAnsi" w:eastAsiaTheme="minorEastAsia" w:hAnsiTheme="minorHAnsi" w:cstheme="minorBidi"/>
          <w:noProof/>
          <w:sz w:val="22"/>
          <w:szCs w:val="22"/>
          <w:lang w:eastAsia="hr-HR"/>
        </w:rPr>
      </w:pPr>
      <w:hyperlink w:anchor="_Toc40089032" w:history="1">
        <w:r w:rsidR="00A152B6" w:rsidRPr="000E26AC">
          <w:rPr>
            <w:rStyle w:val="Hiperveza"/>
            <w:noProof/>
          </w:rPr>
          <w:t>Tablica 15 Omjer ukupne isporučene i potrebne energije za grijanje i hlađenje po vrsti zgrade i razdoblju gradnje</w:t>
        </w:r>
        <w:r w:rsidR="00A152B6">
          <w:rPr>
            <w:noProof/>
            <w:webHidden/>
          </w:rPr>
          <w:tab/>
        </w:r>
        <w:r w:rsidR="00A152B6">
          <w:rPr>
            <w:noProof/>
            <w:webHidden/>
          </w:rPr>
          <w:fldChar w:fldCharType="begin"/>
        </w:r>
        <w:r w:rsidR="00A152B6">
          <w:rPr>
            <w:noProof/>
            <w:webHidden/>
          </w:rPr>
          <w:instrText xml:space="preserve"> PAGEREF _Toc40089032 \h </w:instrText>
        </w:r>
        <w:r w:rsidR="00A152B6">
          <w:rPr>
            <w:noProof/>
            <w:webHidden/>
          </w:rPr>
        </w:r>
        <w:r w:rsidR="00A152B6">
          <w:rPr>
            <w:noProof/>
            <w:webHidden/>
          </w:rPr>
          <w:fldChar w:fldCharType="separate"/>
        </w:r>
        <w:r w:rsidR="00CE61F3">
          <w:rPr>
            <w:noProof/>
            <w:webHidden/>
          </w:rPr>
          <w:t>29</w:t>
        </w:r>
        <w:r w:rsidR="00A152B6">
          <w:rPr>
            <w:noProof/>
            <w:webHidden/>
          </w:rPr>
          <w:fldChar w:fldCharType="end"/>
        </w:r>
      </w:hyperlink>
    </w:p>
    <w:p w14:paraId="03B8BA25" w14:textId="0EF9587A" w:rsidR="00A152B6" w:rsidRDefault="00A50909">
      <w:pPr>
        <w:pStyle w:val="Tablicaslika"/>
        <w:rPr>
          <w:rFonts w:asciiTheme="minorHAnsi" w:eastAsiaTheme="minorEastAsia" w:hAnsiTheme="minorHAnsi" w:cstheme="minorBidi"/>
          <w:noProof/>
          <w:sz w:val="22"/>
          <w:szCs w:val="22"/>
          <w:lang w:eastAsia="hr-HR"/>
        </w:rPr>
      </w:pPr>
      <w:hyperlink w:anchor="_Toc40089033" w:history="1">
        <w:r w:rsidR="00A152B6" w:rsidRPr="000E26AC">
          <w:rPr>
            <w:rStyle w:val="Hiperveza"/>
            <w:noProof/>
          </w:rPr>
          <w:t>Tablica 16 Broj zgrada nZEB prema izvještajima provedbenih tijela za prostorno uređenje županija i gradova</w:t>
        </w:r>
        <w:r w:rsidR="00A152B6">
          <w:rPr>
            <w:noProof/>
            <w:webHidden/>
          </w:rPr>
          <w:tab/>
        </w:r>
        <w:r w:rsidR="00A152B6">
          <w:rPr>
            <w:noProof/>
            <w:webHidden/>
          </w:rPr>
          <w:fldChar w:fldCharType="begin"/>
        </w:r>
        <w:r w:rsidR="00A152B6">
          <w:rPr>
            <w:noProof/>
            <w:webHidden/>
          </w:rPr>
          <w:instrText xml:space="preserve"> PAGEREF _Toc40089033 \h </w:instrText>
        </w:r>
        <w:r w:rsidR="00A152B6">
          <w:rPr>
            <w:noProof/>
            <w:webHidden/>
          </w:rPr>
        </w:r>
        <w:r w:rsidR="00A152B6">
          <w:rPr>
            <w:noProof/>
            <w:webHidden/>
          </w:rPr>
          <w:fldChar w:fldCharType="separate"/>
        </w:r>
        <w:r w:rsidR="00CE61F3">
          <w:rPr>
            <w:noProof/>
            <w:webHidden/>
          </w:rPr>
          <w:t>31</w:t>
        </w:r>
        <w:r w:rsidR="00A152B6">
          <w:rPr>
            <w:noProof/>
            <w:webHidden/>
          </w:rPr>
          <w:fldChar w:fldCharType="end"/>
        </w:r>
      </w:hyperlink>
    </w:p>
    <w:p w14:paraId="60C9DEED" w14:textId="0F9A7D35" w:rsidR="00A152B6" w:rsidRDefault="00A50909">
      <w:pPr>
        <w:pStyle w:val="Tablicaslika"/>
        <w:rPr>
          <w:rFonts w:asciiTheme="minorHAnsi" w:eastAsiaTheme="minorEastAsia" w:hAnsiTheme="minorHAnsi" w:cstheme="minorBidi"/>
          <w:noProof/>
          <w:sz w:val="22"/>
          <w:szCs w:val="22"/>
          <w:lang w:eastAsia="hr-HR"/>
        </w:rPr>
      </w:pPr>
      <w:hyperlink w:anchor="_Toc40089034" w:history="1">
        <w:r w:rsidR="00A152B6" w:rsidRPr="000E26AC">
          <w:rPr>
            <w:rStyle w:val="Hiperveza"/>
            <w:noProof/>
          </w:rPr>
          <w:t>Tablica 17 Zgrade sa statusom nepokretnog kulturnog dobra po namjeni</w:t>
        </w:r>
        <w:r w:rsidR="00A152B6">
          <w:rPr>
            <w:noProof/>
            <w:webHidden/>
          </w:rPr>
          <w:tab/>
        </w:r>
        <w:r w:rsidR="00A152B6">
          <w:rPr>
            <w:noProof/>
            <w:webHidden/>
          </w:rPr>
          <w:fldChar w:fldCharType="begin"/>
        </w:r>
        <w:r w:rsidR="00A152B6">
          <w:rPr>
            <w:noProof/>
            <w:webHidden/>
          </w:rPr>
          <w:instrText xml:space="preserve"> PAGEREF _Toc40089034 \h </w:instrText>
        </w:r>
        <w:r w:rsidR="00A152B6">
          <w:rPr>
            <w:noProof/>
            <w:webHidden/>
          </w:rPr>
        </w:r>
        <w:r w:rsidR="00A152B6">
          <w:rPr>
            <w:noProof/>
            <w:webHidden/>
          </w:rPr>
          <w:fldChar w:fldCharType="separate"/>
        </w:r>
        <w:r w:rsidR="00CE61F3">
          <w:rPr>
            <w:noProof/>
            <w:webHidden/>
          </w:rPr>
          <w:t>32</w:t>
        </w:r>
        <w:r w:rsidR="00A152B6">
          <w:rPr>
            <w:noProof/>
            <w:webHidden/>
          </w:rPr>
          <w:fldChar w:fldCharType="end"/>
        </w:r>
      </w:hyperlink>
    </w:p>
    <w:p w14:paraId="3B7A20DC" w14:textId="11E943E1" w:rsidR="00A152B6" w:rsidRDefault="00A50909">
      <w:pPr>
        <w:pStyle w:val="Tablicaslika"/>
        <w:rPr>
          <w:rFonts w:asciiTheme="minorHAnsi" w:eastAsiaTheme="minorEastAsia" w:hAnsiTheme="minorHAnsi" w:cstheme="minorBidi"/>
          <w:noProof/>
          <w:sz w:val="22"/>
          <w:szCs w:val="22"/>
          <w:lang w:eastAsia="hr-HR"/>
        </w:rPr>
      </w:pPr>
      <w:hyperlink w:anchor="_Toc40089035" w:history="1">
        <w:r w:rsidR="00A152B6" w:rsidRPr="000E26AC">
          <w:rPr>
            <w:rStyle w:val="Hiperveza"/>
            <w:noProof/>
          </w:rPr>
          <w:t>Tablica 18 Ulazni parametri troškovno optimalne kalkulacije</w:t>
        </w:r>
        <w:r w:rsidR="00A152B6">
          <w:rPr>
            <w:noProof/>
            <w:webHidden/>
          </w:rPr>
          <w:tab/>
        </w:r>
        <w:r w:rsidR="00A152B6">
          <w:rPr>
            <w:noProof/>
            <w:webHidden/>
          </w:rPr>
          <w:fldChar w:fldCharType="begin"/>
        </w:r>
        <w:r w:rsidR="00A152B6">
          <w:rPr>
            <w:noProof/>
            <w:webHidden/>
          </w:rPr>
          <w:instrText xml:space="preserve"> PAGEREF _Toc40089035 \h </w:instrText>
        </w:r>
        <w:r w:rsidR="00A152B6">
          <w:rPr>
            <w:noProof/>
            <w:webHidden/>
          </w:rPr>
        </w:r>
        <w:r w:rsidR="00A152B6">
          <w:rPr>
            <w:noProof/>
            <w:webHidden/>
          </w:rPr>
          <w:fldChar w:fldCharType="separate"/>
        </w:r>
        <w:r w:rsidR="00CE61F3">
          <w:rPr>
            <w:noProof/>
            <w:webHidden/>
          </w:rPr>
          <w:t>42</w:t>
        </w:r>
        <w:r w:rsidR="00A152B6">
          <w:rPr>
            <w:noProof/>
            <w:webHidden/>
          </w:rPr>
          <w:fldChar w:fldCharType="end"/>
        </w:r>
      </w:hyperlink>
    </w:p>
    <w:p w14:paraId="574B6DF0" w14:textId="2267EA0B" w:rsidR="00A152B6" w:rsidRDefault="00A50909">
      <w:pPr>
        <w:pStyle w:val="Tablicaslika"/>
        <w:rPr>
          <w:rFonts w:asciiTheme="minorHAnsi" w:eastAsiaTheme="minorEastAsia" w:hAnsiTheme="minorHAnsi" w:cstheme="minorBidi"/>
          <w:noProof/>
          <w:sz w:val="22"/>
          <w:szCs w:val="22"/>
          <w:lang w:eastAsia="hr-HR"/>
        </w:rPr>
      </w:pPr>
      <w:hyperlink w:anchor="_Toc40089036" w:history="1">
        <w:r w:rsidR="00A152B6" w:rsidRPr="000E26AC">
          <w:rPr>
            <w:rStyle w:val="Hiperveza"/>
            <w:noProof/>
          </w:rPr>
          <w:t>Tablica 19 Faktori primarne energije</w:t>
        </w:r>
        <w:r w:rsidR="00A152B6">
          <w:rPr>
            <w:noProof/>
            <w:webHidden/>
          </w:rPr>
          <w:tab/>
        </w:r>
        <w:r w:rsidR="00A152B6">
          <w:rPr>
            <w:noProof/>
            <w:webHidden/>
          </w:rPr>
          <w:fldChar w:fldCharType="begin"/>
        </w:r>
        <w:r w:rsidR="00A152B6">
          <w:rPr>
            <w:noProof/>
            <w:webHidden/>
          </w:rPr>
          <w:instrText xml:space="preserve"> PAGEREF _Toc40089036 \h </w:instrText>
        </w:r>
        <w:r w:rsidR="00A152B6">
          <w:rPr>
            <w:noProof/>
            <w:webHidden/>
          </w:rPr>
        </w:r>
        <w:r w:rsidR="00A152B6">
          <w:rPr>
            <w:noProof/>
            <w:webHidden/>
          </w:rPr>
          <w:fldChar w:fldCharType="separate"/>
        </w:r>
        <w:r w:rsidR="00CE61F3">
          <w:rPr>
            <w:noProof/>
            <w:webHidden/>
          </w:rPr>
          <w:t>43</w:t>
        </w:r>
        <w:r w:rsidR="00A152B6">
          <w:rPr>
            <w:noProof/>
            <w:webHidden/>
          </w:rPr>
          <w:fldChar w:fldCharType="end"/>
        </w:r>
      </w:hyperlink>
    </w:p>
    <w:p w14:paraId="03C57E1C" w14:textId="63AD0E10" w:rsidR="00A152B6" w:rsidRDefault="00A50909">
      <w:pPr>
        <w:pStyle w:val="Tablicaslika"/>
        <w:rPr>
          <w:rFonts w:asciiTheme="minorHAnsi" w:eastAsiaTheme="minorEastAsia" w:hAnsiTheme="minorHAnsi" w:cstheme="minorBidi"/>
          <w:noProof/>
          <w:sz w:val="22"/>
          <w:szCs w:val="22"/>
          <w:lang w:eastAsia="hr-HR"/>
        </w:rPr>
      </w:pPr>
      <w:hyperlink w:anchor="_Toc40089037" w:history="1">
        <w:r w:rsidR="00A152B6" w:rsidRPr="000E26AC">
          <w:rPr>
            <w:rStyle w:val="Hiperveza"/>
            <w:noProof/>
          </w:rPr>
          <w:t>Tablica 4.1 Kumulativne uštede alternativne mjere politike ostvarene u razdoblju od 2014. do 2016. godine</w:t>
        </w:r>
        <w:r w:rsidR="00A152B6">
          <w:rPr>
            <w:noProof/>
            <w:webHidden/>
          </w:rPr>
          <w:tab/>
        </w:r>
        <w:r w:rsidR="00A152B6">
          <w:rPr>
            <w:noProof/>
            <w:webHidden/>
          </w:rPr>
          <w:fldChar w:fldCharType="begin"/>
        </w:r>
        <w:r w:rsidR="00A152B6">
          <w:rPr>
            <w:noProof/>
            <w:webHidden/>
          </w:rPr>
          <w:instrText xml:space="preserve"> PAGEREF _Toc40089037 \h </w:instrText>
        </w:r>
        <w:r w:rsidR="00A152B6">
          <w:rPr>
            <w:noProof/>
            <w:webHidden/>
          </w:rPr>
        </w:r>
        <w:r w:rsidR="00A152B6">
          <w:rPr>
            <w:noProof/>
            <w:webHidden/>
          </w:rPr>
          <w:fldChar w:fldCharType="separate"/>
        </w:r>
        <w:r w:rsidR="00CE61F3">
          <w:rPr>
            <w:noProof/>
            <w:webHidden/>
          </w:rPr>
          <w:t>46</w:t>
        </w:r>
        <w:r w:rsidR="00A152B6">
          <w:rPr>
            <w:noProof/>
            <w:webHidden/>
          </w:rPr>
          <w:fldChar w:fldCharType="end"/>
        </w:r>
      </w:hyperlink>
    </w:p>
    <w:p w14:paraId="4A83BD8E" w14:textId="30785D34" w:rsidR="00A152B6" w:rsidRDefault="00A50909">
      <w:pPr>
        <w:pStyle w:val="Tablicaslika"/>
        <w:rPr>
          <w:rFonts w:asciiTheme="minorHAnsi" w:eastAsiaTheme="minorEastAsia" w:hAnsiTheme="minorHAnsi" w:cstheme="minorBidi"/>
          <w:noProof/>
          <w:sz w:val="22"/>
          <w:szCs w:val="22"/>
          <w:lang w:eastAsia="hr-HR"/>
        </w:rPr>
      </w:pPr>
      <w:hyperlink w:anchor="_Toc40089038" w:history="1">
        <w:r w:rsidR="00A152B6" w:rsidRPr="000E26AC">
          <w:rPr>
            <w:rStyle w:val="Hiperveza"/>
            <w:noProof/>
          </w:rPr>
          <w:t>Tablica 4.2 Pregled mjera za energetsku obnovu zgrada korištenjem ESI sredstava</w:t>
        </w:r>
        <w:r w:rsidR="00A152B6">
          <w:rPr>
            <w:noProof/>
            <w:webHidden/>
          </w:rPr>
          <w:tab/>
        </w:r>
        <w:r w:rsidR="00A152B6">
          <w:rPr>
            <w:noProof/>
            <w:webHidden/>
          </w:rPr>
          <w:fldChar w:fldCharType="begin"/>
        </w:r>
        <w:r w:rsidR="00A152B6">
          <w:rPr>
            <w:noProof/>
            <w:webHidden/>
          </w:rPr>
          <w:instrText xml:space="preserve"> PAGEREF _Toc40089038 \h </w:instrText>
        </w:r>
        <w:r w:rsidR="00A152B6">
          <w:rPr>
            <w:noProof/>
            <w:webHidden/>
          </w:rPr>
        </w:r>
        <w:r w:rsidR="00A152B6">
          <w:rPr>
            <w:noProof/>
            <w:webHidden/>
          </w:rPr>
          <w:fldChar w:fldCharType="separate"/>
        </w:r>
        <w:r w:rsidR="00CE61F3">
          <w:rPr>
            <w:noProof/>
            <w:webHidden/>
          </w:rPr>
          <w:t>47</w:t>
        </w:r>
        <w:r w:rsidR="00A152B6">
          <w:rPr>
            <w:noProof/>
            <w:webHidden/>
          </w:rPr>
          <w:fldChar w:fldCharType="end"/>
        </w:r>
      </w:hyperlink>
    </w:p>
    <w:p w14:paraId="3B0BD211" w14:textId="506119A6" w:rsidR="00A152B6" w:rsidRDefault="00A50909">
      <w:pPr>
        <w:pStyle w:val="Tablicaslika"/>
        <w:rPr>
          <w:rFonts w:asciiTheme="minorHAnsi" w:eastAsiaTheme="minorEastAsia" w:hAnsiTheme="minorHAnsi" w:cstheme="minorBidi"/>
          <w:noProof/>
          <w:sz w:val="22"/>
          <w:szCs w:val="22"/>
          <w:lang w:eastAsia="hr-HR"/>
        </w:rPr>
      </w:pPr>
      <w:hyperlink w:anchor="_Toc40089039" w:history="1">
        <w:r w:rsidR="00A152B6" w:rsidRPr="000E26AC">
          <w:rPr>
            <w:rStyle w:val="Hiperveza"/>
            <w:noProof/>
          </w:rPr>
          <w:t>Tablica 4.3 Preliminarni rezultati programa energetske obnove zgrada u Republici Hrvatskoj u razdoblju od 2014. do 2019. godine</w:t>
        </w:r>
        <w:r w:rsidR="00A152B6">
          <w:rPr>
            <w:noProof/>
            <w:webHidden/>
          </w:rPr>
          <w:tab/>
        </w:r>
        <w:r w:rsidR="00A152B6">
          <w:rPr>
            <w:noProof/>
            <w:webHidden/>
          </w:rPr>
          <w:fldChar w:fldCharType="begin"/>
        </w:r>
        <w:r w:rsidR="00A152B6">
          <w:rPr>
            <w:noProof/>
            <w:webHidden/>
          </w:rPr>
          <w:instrText xml:space="preserve"> PAGEREF _Toc40089039 \h </w:instrText>
        </w:r>
        <w:r w:rsidR="00A152B6">
          <w:rPr>
            <w:noProof/>
            <w:webHidden/>
          </w:rPr>
        </w:r>
        <w:r w:rsidR="00A152B6">
          <w:rPr>
            <w:noProof/>
            <w:webHidden/>
          </w:rPr>
          <w:fldChar w:fldCharType="separate"/>
        </w:r>
        <w:r w:rsidR="00CE61F3">
          <w:rPr>
            <w:noProof/>
            <w:webHidden/>
          </w:rPr>
          <w:t>48</w:t>
        </w:r>
        <w:r w:rsidR="00A152B6">
          <w:rPr>
            <w:noProof/>
            <w:webHidden/>
          </w:rPr>
          <w:fldChar w:fldCharType="end"/>
        </w:r>
      </w:hyperlink>
    </w:p>
    <w:p w14:paraId="4F86BC14" w14:textId="05F8EA4A" w:rsidR="00A152B6" w:rsidRDefault="00A50909">
      <w:pPr>
        <w:pStyle w:val="Tablicaslika"/>
        <w:rPr>
          <w:rFonts w:asciiTheme="minorHAnsi" w:eastAsiaTheme="minorEastAsia" w:hAnsiTheme="minorHAnsi" w:cstheme="minorBidi"/>
          <w:noProof/>
          <w:sz w:val="22"/>
          <w:szCs w:val="22"/>
          <w:lang w:eastAsia="hr-HR"/>
        </w:rPr>
      </w:pPr>
      <w:hyperlink w:anchor="_Toc40089040" w:history="1">
        <w:r w:rsidR="00A152B6" w:rsidRPr="000E26AC">
          <w:rPr>
            <w:rStyle w:val="Hiperveza"/>
            <w:noProof/>
          </w:rPr>
          <w:t>Tablica 4.4 Energetska obnova višestambenih zgrada, Međunarodne energetske agencije – IEA/AIE - Tablica br. 10, iz publikacije "High rise refurbishment"</w:t>
        </w:r>
        <w:r w:rsidR="00A152B6">
          <w:rPr>
            <w:noProof/>
            <w:webHidden/>
          </w:rPr>
          <w:tab/>
        </w:r>
        <w:r w:rsidR="00A152B6">
          <w:rPr>
            <w:noProof/>
            <w:webHidden/>
          </w:rPr>
          <w:fldChar w:fldCharType="begin"/>
        </w:r>
        <w:r w:rsidR="00A152B6">
          <w:rPr>
            <w:noProof/>
            <w:webHidden/>
          </w:rPr>
          <w:instrText xml:space="preserve"> PAGEREF _Toc40089040 \h </w:instrText>
        </w:r>
        <w:r w:rsidR="00A152B6">
          <w:rPr>
            <w:noProof/>
            <w:webHidden/>
          </w:rPr>
        </w:r>
        <w:r w:rsidR="00A152B6">
          <w:rPr>
            <w:noProof/>
            <w:webHidden/>
          </w:rPr>
          <w:fldChar w:fldCharType="separate"/>
        </w:r>
        <w:r w:rsidR="00CE61F3">
          <w:rPr>
            <w:noProof/>
            <w:webHidden/>
          </w:rPr>
          <w:t>50</w:t>
        </w:r>
        <w:r w:rsidR="00A152B6">
          <w:rPr>
            <w:noProof/>
            <w:webHidden/>
          </w:rPr>
          <w:fldChar w:fldCharType="end"/>
        </w:r>
      </w:hyperlink>
    </w:p>
    <w:p w14:paraId="7EEA264D" w14:textId="04C1C48C" w:rsidR="00A152B6" w:rsidRDefault="00A50909">
      <w:pPr>
        <w:pStyle w:val="Tablicaslika"/>
        <w:rPr>
          <w:rFonts w:asciiTheme="minorHAnsi" w:eastAsiaTheme="minorEastAsia" w:hAnsiTheme="minorHAnsi" w:cstheme="minorBidi"/>
          <w:noProof/>
          <w:sz w:val="22"/>
          <w:szCs w:val="22"/>
          <w:lang w:eastAsia="hr-HR"/>
        </w:rPr>
      </w:pPr>
      <w:hyperlink w:anchor="_Toc40089041" w:history="1">
        <w:r w:rsidR="00A152B6" w:rsidRPr="000E26AC">
          <w:rPr>
            <w:rStyle w:val="Hiperveza"/>
            <w:noProof/>
          </w:rPr>
          <w:t>Tablica 5 Udio zgrada s najlošijim svojstvima u ukupnom fondu zgrada</w:t>
        </w:r>
        <w:r w:rsidR="00A152B6">
          <w:rPr>
            <w:noProof/>
            <w:webHidden/>
          </w:rPr>
          <w:tab/>
        </w:r>
        <w:r w:rsidR="00A152B6">
          <w:rPr>
            <w:noProof/>
            <w:webHidden/>
          </w:rPr>
          <w:fldChar w:fldCharType="begin"/>
        </w:r>
        <w:r w:rsidR="00A152B6">
          <w:rPr>
            <w:noProof/>
            <w:webHidden/>
          </w:rPr>
          <w:instrText xml:space="preserve"> PAGEREF _Toc40089041 \h </w:instrText>
        </w:r>
        <w:r w:rsidR="00A152B6">
          <w:rPr>
            <w:noProof/>
            <w:webHidden/>
          </w:rPr>
        </w:r>
        <w:r w:rsidR="00A152B6">
          <w:rPr>
            <w:noProof/>
            <w:webHidden/>
          </w:rPr>
          <w:fldChar w:fldCharType="separate"/>
        </w:r>
        <w:r w:rsidR="00CE61F3">
          <w:rPr>
            <w:noProof/>
            <w:webHidden/>
          </w:rPr>
          <w:t>60</w:t>
        </w:r>
        <w:r w:rsidR="00A152B6">
          <w:rPr>
            <w:noProof/>
            <w:webHidden/>
          </w:rPr>
          <w:fldChar w:fldCharType="end"/>
        </w:r>
      </w:hyperlink>
    </w:p>
    <w:p w14:paraId="77CC4C68" w14:textId="7CEC844E" w:rsidR="00A152B6" w:rsidRDefault="00A50909">
      <w:pPr>
        <w:pStyle w:val="Tablicaslika"/>
        <w:rPr>
          <w:rFonts w:asciiTheme="minorHAnsi" w:eastAsiaTheme="minorEastAsia" w:hAnsiTheme="minorHAnsi" w:cstheme="minorBidi"/>
          <w:noProof/>
          <w:sz w:val="22"/>
          <w:szCs w:val="22"/>
          <w:lang w:eastAsia="hr-HR"/>
        </w:rPr>
      </w:pPr>
      <w:hyperlink w:anchor="_Toc40089042" w:history="1">
        <w:r w:rsidR="00A152B6" w:rsidRPr="000E26AC">
          <w:rPr>
            <w:rStyle w:val="Hiperveza"/>
            <w:noProof/>
          </w:rPr>
          <w:t>Tablica 6 Udio zgrada prema preuzimanju potresnog opterećenja prema razdoblju gradnje</w:t>
        </w:r>
        <w:r w:rsidR="00A152B6">
          <w:rPr>
            <w:noProof/>
            <w:webHidden/>
          </w:rPr>
          <w:tab/>
        </w:r>
        <w:r w:rsidR="00A152B6">
          <w:rPr>
            <w:noProof/>
            <w:webHidden/>
          </w:rPr>
          <w:fldChar w:fldCharType="begin"/>
        </w:r>
        <w:r w:rsidR="00A152B6">
          <w:rPr>
            <w:noProof/>
            <w:webHidden/>
          </w:rPr>
          <w:instrText xml:space="preserve"> PAGEREF _Toc40089042 \h </w:instrText>
        </w:r>
        <w:r w:rsidR="00A152B6">
          <w:rPr>
            <w:noProof/>
            <w:webHidden/>
          </w:rPr>
        </w:r>
        <w:r w:rsidR="00A152B6">
          <w:rPr>
            <w:noProof/>
            <w:webHidden/>
          </w:rPr>
          <w:fldChar w:fldCharType="separate"/>
        </w:r>
        <w:r w:rsidR="00CE61F3">
          <w:rPr>
            <w:noProof/>
            <w:webHidden/>
          </w:rPr>
          <w:t>61</w:t>
        </w:r>
        <w:r w:rsidR="00A152B6">
          <w:rPr>
            <w:noProof/>
            <w:webHidden/>
          </w:rPr>
          <w:fldChar w:fldCharType="end"/>
        </w:r>
      </w:hyperlink>
    </w:p>
    <w:p w14:paraId="739C3C78" w14:textId="4D6987FB" w:rsidR="00A152B6" w:rsidRDefault="00A50909">
      <w:pPr>
        <w:pStyle w:val="Tablicaslika"/>
        <w:rPr>
          <w:rFonts w:asciiTheme="minorHAnsi" w:eastAsiaTheme="minorEastAsia" w:hAnsiTheme="minorHAnsi" w:cstheme="minorBidi"/>
          <w:noProof/>
          <w:sz w:val="22"/>
          <w:szCs w:val="22"/>
          <w:lang w:eastAsia="hr-HR"/>
        </w:rPr>
      </w:pPr>
      <w:hyperlink w:anchor="_Toc40089043" w:history="1">
        <w:r w:rsidR="00A152B6" w:rsidRPr="000E26AC">
          <w:rPr>
            <w:rStyle w:val="Hiperveza"/>
            <w:noProof/>
          </w:rPr>
          <w:t>Tablica 8.1 Dugoročni plan integralne obnove nacionalnog fonda zgrada do 2050. godine (Energy Roadmap 2050)</w:t>
        </w:r>
        <w:r w:rsidR="00A152B6">
          <w:rPr>
            <w:noProof/>
            <w:webHidden/>
          </w:rPr>
          <w:tab/>
        </w:r>
        <w:r w:rsidR="00A152B6">
          <w:rPr>
            <w:noProof/>
            <w:webHidden/>
          </w:rPr>
          <w:fldChar w:fldCharType="begin"/>
        </w:r>
        <w:r w:rsidR="00A152B6">
          <w:rPr>
            <w:noProof/>
            <w:webHidden/>
          </w:rPr>
          <w:instrText xml:space="preserve"> PAGEREF _Toc40089043 \h </w:instrText>
        </w:r>
        <w:r w:rsidR="00A152B6">
          <w:rPr>
            <w:noProof/>
            <w:webHidden/>
          </w:rPr>
        </w:r>
        <w:r w:rsidR="00A152B6">
          <w:rPr>
            <w:noProof/>
            <w:webHidden/>
          </w:rPr>
          <w:fldChar w:fldCharType="separate"/>
        </w:r>
        <w:r w:rsidR="00CE61F3">
          <w:rPr>
            <w:noProof/>
            <w:webHidden/>
          </w:rPr>
          <w:t>79</w:t>
        </w:r>
        <w:r w:rsidR="00A152B6">
          <w:rPr>
            <w:noProof/>
            <w:webHidden/>
          </w:rPr>
          <w:fldChar w:fldCharType="end"/>
        </w:r>
      </w:hyperlink>
    </w:p>
    <w:p w14:paraId="4BC8D030" w14:textId="65397ED7" w:rsidR="00A152B6" w:rsidRDefault="00A50909">
      <w:pPr>
        <w:pStyle w:val="Tablicaslika"/>
        <w:rPr>
          <w:rFonts w:asciiTheme="minorHAnsi" w:eastAsiaTheme="minorEastAsia" w:hAnsiTheme="minorHAnsi" w:cstheme="minorBidi"/>
          <w:noProof/>
          <w:sz w:val="22"/>
          <w:szCs w:val="22"/>
          <w:lang w:eastAsia="hr-HR"/>
        </w:rPr>
      </w:pPr>
      <w:hyperlink w:anchor="_Toc40089044" w:history="1">
        <w:r w:rsidR="00A152B6" w:rsidRPr="000E26AC">
          <w:rPr>
            <w:rStyle w:val="Hiperveza"/>
            <w:noProof/>
          </w:rPr>
          <w:t>Tablica 2 Ciljane površine i stopa obnove 2021. do 2030. godine u m²</w:t>
        </w:r>
        <w:r w:rsidR="00A152B6">
          <w:rPr>
            <w:noProof/>
            <w:webHidden/>
          </w:rPr>
          <w:tab/>
        </w:r>
        <w:r w:rsidR="00A152B6">
          <w:rPr>
            <w:noProof/>
            <w:webHidden/>
          </w:rPr>
          <w:fldChar w:fldCharType="begin"/>
        </w:r>
        <w:r w:rsidR="00A152B6">
          <w:rPr>
            <w:noProof/>
            <w:webHidden/>
          </w:rPr>
          <w:instrText xml:space="preserve"> PAGEREF _Toc40089044 \h </w:instrText>
        </w:r>
        <w:r w:rsidR="00A152B6">
          <w:rPr>
            <w:noProof/>
            <w:webHidden/>
          </w:rPr>
        </w:r>
        <w:r w:rsidR="00A152B6">
          <w:rPr>
            <w:noProof/>
            <w:webHidden/>
          </w:rPr>
          <w:fldChar w:fldCharType="separate"/>
        </w:r>
        <w:r w:rsidR="00CE61F3">
          <w:rPr>
            <w:noProof/>
            <w:webHidden/>
          </w:rPr>
          <w:t>80</w:t>
        </w:r>
        <w:r w:rsidR="00A152B6">
          <w:rPr>
            <w:noProof/>
            <w:webHidden/>
          </w:rPr>
          <w:fldChar w:fldCharType="end"/>
        </w:r>
      </w:hyperlink>
    </w:p>
    <w:p w14:paraId="71E7A05E" w14:textId="1A628387" w:rsidR="00A152B6" w:rsidRDefault="00A50909">
      <w:pPr>
        <w:pStyle w:val="Tablicaslika"/>
        <w:rPr>
          <w:rFonts w:asciiTheme="minorHAnsi" w:eastAsiaTheme="minorEastAsia" w:hAnsiTheme="minorHAnsi" w:cstheme="minorBidi"/>
          <w:noProof/>
          <w:sz w:val="22"/>
          <w:szCs w:val="22"/>
          <w:lang w:eastAsia="hr-HR"/>
        </w:rPr>
      </w:pPr>
      <w:hyperlink w:anchor="_Toc40089045" w:history="1">
        <w:r w:rsidR="00A152B6" w:rsidRPr="000E26AC">
          <w:rPr>
            <w:rStyle w:val="Hiperveza"/>
            <w:noProof/>
          </w:rPr>
          <w:t>Tablica 3 Ciljane površine i stopa obnove do 2040. i 2050.  godine u m²</w:t>
        </w:r>
        <w:r w:rsidR="00A152B6">
          <w:rPr>
            <w:noProof/>
            <w:webHidden/>
          </w:rPr>
          <w:tab/>
        </w:r>
        <w:r w:rsidR="00A152B6">
          <w:rPr>
            <w:noProof/>
            <w:webHidden/>
          </w:rPr>
          <w:fldChar w:fldCharType="begin"/>
        </w:r>
        <w:r w:rsidR="00A152B6">
          <w:rPr>
            <w:noProof/>
            <w:webHidden/>
          </w:rPr>
          <w:instrText xml:space="preserve"> PAGEREF _Toc40089045 \h </w:instrText>
        </w:r>
        <w:r w:rsidR="00A152B6">
          <w:rPr>
            <w:noProof/>
            <w:webHidden/>
          </w:rPr>
        </w:r>
        <w:r w:rsidR="00A152B6">
          <w:rPr>
            <w:noProof/>
            <w:webHidden/>
          </w:rPr>
          <w:fldChar w:fldCharType="separate"/>
        </w:r>
        <w:r w:rsidR="00CE61F3">
          <w:rPr>
            <w:noProof/>
            <w:webHidden/>
          </w:rPr>
          <w:t>81</w:t>
        </w:r>
        <w:r w:rsidR="00A152B6">
          <w:rPr>
            <w:noProof/>
            <w:webHidden/>
          </w:rPr>
          <w:fldChar w:fldCharType="end"/>
        </w:r>
      </w:hyperlink>
    </w:p>
    <w:p w14:paraId="5E003BAB" w14:textId="094727CF" w:rsidR="00A152B6" w:rsidRDefault="00A50909">
      <w:pPr>
        <w:pStyle w:val="Tablicaslika"/>
        <w:rPr>
          <w:rFonts w:asciiTheme="minorHAnsi" w:eastAsiaTheme="minorEastAsia" w:hAnsiTheme="minorHAnsi" w:cstheme="minorBidi"/>
          <w:noProof/>
          <w:sz w:val="22"/>
          <w:szCs w:val="22"/>
          <w:lang w:eastAsia="hr-HR"/>
        </w:rPr>
      </w:pPr>
      <w:hyperlink w:anchor="_Toc40089046" w:history="1">
        <w:r w:rsidR="00A152B6" w:rsidRPr="000E26AC">
          <w:rPr>
            <w:rStyle w:val="Hiperveza"/>
            <w:noProof/>
          </w:rPr>
          <w:t>Tablica 8.4 Nacionalni ciljevi energetske učinkovitosti  - ciljana potrošnja energije 2030., 2040. i 2050. godine</w:t>
        </w:r>
        <w:r w:rsidR="00A152B6">
          <w:rPr>
            <w:noProof/>
            <w:webHidden/>
          </w:rPr>
          <w:tab/>
        </w:r>
        <w:r w:rsidR="00A152B6">
          <w:rPr>
            <w:noProof/>
            <w:webHidden/>
          </w:rPr>
          <w:fldChar w:fldCharType="begin"/>
        </w:r>
        <w:r w:rsidR="00A152B6">
          <w:rPr>
            <w:noProof/>
            <w:webHidden/>
          </w:rPr>
          <w:instrText xml:space="preserve"> PAGEREF _Toc40089046 \h </w:instrText>
        </w:r>
        <w:r w:rsidR="00A152B6">
          <w:rPr>
            <w:noProof/>
            <w:webHidden/>
          </w:rPr>
        </w:r>
        <w:r w:rsidR="00A152B6">
          <w:rPr>
            <w:noProof/>
            <w:webHidden/>
          </w:rPr>
          <w:fldChar w:fldCharType="separate"/>
        </w:r>
        <w:r w:rsidR="00CE61F3">
          <w:rPr>
            <w:noProof/>
            <w:webHidden/>
          </w:rPr>
          <w:t>83</w:t>
        </w:r>
        <w:r w:rsidR="00A152B6">
          <w:rPr>
            <w:noProof/>
            <w:webHidden/>
          </w:rPr>
          <w:fldChar w:fldCharType="end"/>
        </w:r>
      </w:hyperlink>
    </w:p>
    <w:p w14:paraId="49FE0356" w14:textId="6314FD98" w:rsidR="00A152B6" w:rsidRDefault="00A50909">
      <w:pPr>
        <w:pStyle w:val="Tablicaslika"/>
        <w:rPr>
          <w:rFonts w:asciiTheme="minorHAnsi" w:eastAsiaTheme="minorEastAsia" w:hAnsiTheme="minorHAnsi" w:cstheme="minorBidi"/>
          <w:noProof/>
          <w:sz w:val="22"/>
          <w:szCs w:val="22"/>
          <w:lang w:eastAsia="hr-HR"/>
        </w:rPr>
      </w:pPr>
      <w:hyperlink w:anchor="_Toc40089047" w:history="1">
        <w:r w:rsidR="00A152B6" w:rsidRPr="000E26AC">
          <w:rPr>
            <w:rStyle w:val="Hiperveza"/>
            <w:noProof/>
          </w:rPr>
          <w:t>Tablica 8.5 Potrošnja energije u sektoru usluga i sektoru kućanstava 2030., 2040. i 2050. godine</w:t>
        </w:r>
        <w:r w:rsidR="00A152B6">
          <w:rPr>
            <w:noProof/>
            <w:webHidden/>
          </w:rPr>
          <w:tab/>
        </w:r>
        <w:r w:rsidR="00A152B6">
          <w:rPr>
            <w:noProof/>
            <w:webHidden/>
          </w:rPr>
          <w:fldChar w:fldCharType="begin"/>
        </w:r>
        <w:r w:rsidR="00A152B6">
          <w:rPr>
            <w:noProof/>
            <w:webHidden/>
          </w:rPr>
          <w:instrText xml:space="preserve"> PAGEREF _Toc40089047 \h </w:instrText>
        </w:r>
        <w:r w:rsidR="00A152B6">
          <w:rPr>
            <w:noProof/>
            <w:webHidden/>
          </w:rPr>
        </w:r>
        <w:r w:rsidR="00A152B6">
          <w:rPr>
            <w:noProof/>
            <w:webHidden/>
          </w:rPr>
          <w:fldChar w:fldCharType="separate"/>
        </w:r>
        <w:r w:rsidR="00CE61F3">
          <w:rPr>
            <w:noProof/>
            <w:webHidden/>
          </w:rPr>
          <w:t>83</w:t>
        </w:r>
        <w:r w:rsidR="00A152B6">
          <w:rPr>
            <w:noProof/>
            <w:webHidden/>
          </w:rPr>
          <w:fldChar w:fldCharType="end"/>
        </w:r>
      </w:hyperlink>
    </w:p>
    <w:p w14:paraId="30D2C984" w14:textId="4ED3CB7E" w:rsidR="00A152B6" w:rsidRDefault="00A50909">
      <w:pPr>
        <w:pStyle w:val="Tablicaslika"/>
        <w:rPr>
          <w:rFonts w:asciiTheme="minorHAnsi" w:eastAsiaTheme="minorEastAsia" w:hAnsiTheme="minorHAnsi" w:cstheme="minorBidi"/>
          <w:noProof/>
          <w:sz w:val="22"/>
          <w:szCs w:val="22"/>
          <w:lang w:eastAsia="hr-HR"/>
        </w:rPr>
      </w:pPr>
      <w:hyperlink w:anchor="_Toc40089048" w:history="1">
        <w:r w:rsidR="00A152B6" w:rsidRPr="000E26AC">
          <w:rPr>
            <w:rStyle w:val="Hiperveza"/>
            <w:noProof/>
          </w:rPr>
          <w:t>Tablica 9.1 Smanjenje potrošnje energije u sektoru kućanstava i usluga</w:t>
        </w:r>
        <w:r w:rsidR="00A152B6">
          <w:rPr>
            <w:noProof/>
            <w:webHidden/>
          </w:rPr>
          <w:tab/>
        </w:r>
        <w:r w:rsidR="00A152B6">
          <w:rPr>
            <w:noProof/>
            <w:webHidden/>
          </w:rPr>
          <w:fldChar w:fldCharType="begin"/>
        </w:r>
        <w:r w:rsidR="00A152B6">
          <w:rPr>
            <w:noProof/>
            <w:webHidden/>
          </w:rPr>
          <w:instrText xml:space="preserve"> PAGEREF _Toc40089048 \h </w:instrText>
        </w:r>
        <w:r w:rsidR="00A152B6">
          <w:rPr>
            <w:noProof/>
            <w:webHidden/>
          </w:rPr>
        </w:r>
        <w:r w:rsidR="00A152B6">
          <w:rPr>
            <w:noProof/>
            <w:webHidden/>
          </w:rPr>
          <w:fldChar w:fldCharType="separate"/>
        </w:r>
        <w:r w:rsidR="00CE61F3">
          <w:rPr>
            <w:noProof/>
            <w:webHidden/>
          </w:rPr>
          <w:t>84</w:t>
        </w:r>
        <w:r w:rsidR="00A152B6">
          <w:rPr>
            <w:noProof/>
            <w:webHidden/>
          </w:rPr>
          <w:fldChar w:fldCharType="end"/>
        </w:r>
      </w:hyperlink>
    </w:p>
    <w:p w14:paraId="2189AD8A" w14:textId="5F9421DB" w:rsidR="00A152B6" w:rsidRDefault="00A50909">
      <w:pPr>
        <w:pStyle w:val="Tablicaslika"/>
        <w:rPr>
          <w:rFonts w:asciiTheme="minorHAnsi" w:eastAsiaTheme="minorEastAsia" w:hAnsiTheme="minorHAnsi" w:cstheme="minorBidi"/>
          <w:noProof/>
          <w:sz w:val="22"/>
          <w:szCs w:val="22"/>
          <w:lang w:eastAsia="hr-HR"/>
        </w:rPr>
      </w:pPr>
      <w:hyperlink w:anchor="_Toc40089049" w:history="1">
        <w:r w:rsidR="00A152B6" w:rsidRPr="000E26AC">
          <w:rPr>
            <w:rStyle w:val="Hiperveza"/>
            <w:noProof/>
          </w:rPr>
          <w:t>Tablica 9.2 Smanjenje emisija CO</w:t>
        </w:r>
        <w:r w:rsidR="00A152B6" w:rsidRPr="000E26AC">
          <w:rPr>
            <w:rStyle w:val="Hiperveza"/>
            <w:noProof/>
            <w:vertAlign w:val="subscript"/>
          </w:rPr>
          <w:t xml:space="preserve">2 </w:t>
        </w:r>
        <w:r w:rsidR="00A152B6" w:rsidRPr="000E26AC">
          <w:rPr>
            <w:rStyle w:val="Hiperveza"/>
            <w:noProof/>
          </w:rPr>
          <w:t>u sektoru kućanstava i usluga</w:t>
        </w:r>
        <w:r w:rsidR="00A152B6">
          <w:rPr>
            <w:noProof/>
            <w:webHidden/>
          </w:rPr>
          <w:tab/>
        </w:r>
        <w:r w:rsidR="00A152B6">
          <w:rPr>
            <w:noProof/>
            <w:webHidden/>
          </w:rPr>
          <w:fldChar w:fldCharType="begin"/>
        </w:r>
        <w:r w:rsidR="00A152B6">
          <w:rPr>
            <w:noProof/>
            <w:webHidden/>
          </w:rPr>
          <w:instrText xml:space="preserve"> PAGEREF _Toc40089049 \h </w:instrText>
        </w:r>
        <w:r w:rsidR="00A152B6">
          <w:rPr>
            <w:noProof/>
            <w:webHidden/>
          </w:rPr>
        </w:r>
        <w:r w:rsidR="00A152B6">
          <w:rPr>
            <w:noProof/>
            <w:webHidden/>
          </w:rPr>
          <w:fldChar w:fldCharType="separate"/>
        </w:r>
        <w:r w:rsidR="00CE61F3">
          <w:rPr>
            <w:noProof/>
            <w:webHidden/>
          </w:rPr>
          <w:t>85</w:t>
        </w:r>
        <w:r w:rsidR="00A152B6">
          <w:rPr>
            <w:noProof/>
            <w:webHidden/>
          </w:rPr>
          <w:fldChar w:fldCharType="end"/>
        </w:r>
      </w:hyperlink>
    </w:p>
    <w:p w14:paraId="39D33FC8" w14:textId="49FF345F" w:rsidR="00A152B6" w:rsidRDefault="00A50909">
      <w:pPr>
        <w:pStyle w:val="Tablicaslika"/>
        <w:rPr>
          <w:rFonts w:asciiTheme="minorHAnsi" w:eastAsiaTheme="minorEastAsia" w:hAnsiTheme="minorHAnsi" w:cstheme="minorBidi"/>
          <w:noProof/>
          <w:sz w:val="22"/>
          <w:szCs w:val="22"/>
          <w:lang w:eastAsia="hr-HR"/>
        </w:rPr>
      </w:pPr>
      <w:hyperlink w:anchor="_Toc40089050" w:history="1">
        <w:r w:rsidR="00A152B6" w:rsidRPr="000E26AC">
          <w:rPr>
            <w:rStyle w:val="Hiperveza"/>
            <w:noProof/>
          </w:rPr>
          <w:t>Tablica 3 Udio zgrada prema definiranom horizontalnom djelovanju po razdobljima</w:t>
        </w:r>
        <w:r w:rsidR="00A152B6">
          <w:rPr>
            <w:noProof/>
            <w:webHidden/>
          </w:rPr>
          <w:tab/>
        </w:r>
        <w:r w:rsidR="00A152B6">
          <w:rPr>
            <w:noProof/>
            <w:webHidden/>
          </w:rPr>
          <w:fldChar w:fldCharType="begin"/>
        </w:r>
        <w:r w:rsidR="00A152B6">
          <w:rPr>
            <w:noProof/>
            <w:webHidden/>
          </w:rPr>
          <w:instrText xml:space="preserve"> PAGEREF _Toc40089050 \h </w:instrText>
        </w:r>
        <w:r w:rsidR="00A152B6">
          <w:rPr>
            <w:noProof/>
            <w:webHidden/>
          </w:rPr>
        </w:r>
        <w:r w:rsidR="00A152B6">
          <w:rPr>
            <w:noProof/>
            <w:webHidden/>
          </w:rPr>
          <w:fldChar w:fldCharType="separate"/>
        </w:r>
        <w:r w:rsidR="00CE61F3">
          <w:rPr>
            <w:noProof/>
            <w:webHidden/>
          </w:rPr>
          <w:t>92</w:t>
        </w:r>
        <w:r w:rsidR="00A152B6">
          <w:rPr>
            <w:noProof/>
            <w:webHidden/>
          </w:rPr>
          <w:fldChar w:fldCharType="end"/>
        </w:r>
      </w:hyperlink>
    </w:p>
    <w:p w14:paraId="78429B6B" w14:textId="4857FC19" w:rsidR="00A152B6" w:rsidRDefault="00A50909">
      <w:pPr>
        <w:pStyle w:val="Tablicaslika"/>
        <w:rPr>
          <w:rFonts w:asciiTheme="minorHAnsi" w:eastAsiaTheme="minorEastAsia" w:hAnsiTheme="minorHAnsi" w:cstheme="minorBidi"/>
          <w:noProof/>
          <w:sz w:val="22"/>
          <w:szCs w:val="22"/>
          <w:lang w:eastAsia="hr-HR"/>
        </w:rPr>
      </w:pPr>
      <w:hyperlink w:anchor="_Toc40089051" w:history="1">
        <w:r w:rsidR="00A152B6" w:rsidRPr="000E26AC">
          <w:rPr>
            <w:rStyle w:val="Hiperveza"/>
            <w:noProof/>
          </w:rPr>
          <w:t>Tablica 4 Mjere protupotresne obnove zidanih zgrada</w:t>
        </w:r>
        <w:r w:rsidR="00A152B6">
          <w:rPr>
            <w:noProof/>
            <w:webHidden/>
          </w:rPr>
          <w:tab/>
        </w:r>
        <w:r w:rsidR="00A152B6">
          <w:rPr>
            <w:noProof/>
            <w:webHidden/>
          </w:rPr>
          <w:fldChar w:fldCharType="begin"/>
        </w:r>
        <w:r w:rsidR="00A152B6">
          <w:rPr>
            <w:noProof/>
            <w:webHidden/>
          </w:rPr>
          <w:instrText xml:space="preserve"> PAGEREF _Toc40089051 \h </w:instrText>
        </w:r>
        <w:r w:rsidR="00A152B6">
          <w:rPr>
            <w:noProof/>
            <w:webHidden/>
          </w:rPr>
        </w:r>
        <w:r w:rsidR="00A152B6">
          <w:rPr>
            <w:noProof/>
            <w:webHidden/>
          </w:rPr>
          <w:fldChar w:fldCharType="separate"/>
        </w:r>
        <w:r w:rsidR="00CE61F3">
          <w:rPr>
            <w:noProof/>
            <w:webHidden/>
          </w:rPr>
          <w:t>94</w:t>
        </w:r>
        <w:r w:rsidR="00A152B6">
          <w:rPr>
            <w:noProof/>
            <w:webHidden/>
          </w:rPr>
          <w:fldChar w:fldCharType="end"/>
        </w:r>
      </w:hyperlink>
    </w:p>
    <w:p w14:paraId="2E5147D1" w14:textId="2F74C60D" w:rsidR="00A152B6" w:rsidRDefault="00A50909">
      <w:pPr>
        <w:pStyle w:val="Tablicaslika"/>
        <w:rPr>
          <w:rFonts w:asciiTheme="minorHAnsi" w:eastAsiaTheme="minorEastAsia" w:hAnsiTheme="minorHAnsi" w:cstheme="minorBidi"/>
          <w:noProof/>
          <w:sz w:val="22"/>
          <w:szCs w:val="22"/>
          <w:lang w:eastAsia="hr-HR"/>
        </w:rPr>
      </w:pPr>
      <w:hyperlink w:anchor="_Toc40089052" w:history="1">
        <w:r w:rsidR="00A152B6" w:rsidRPr="000E26AC">
          <w:rPr>
            <w:rStyle w:val="Hiperveza"/>
            <w:noProof/>
          </w:rPr>
          <w:t>Tablica 5 Procjena ulaganja u energetsku obnovu zgrada</w:t>
        </w:r>
        <w:r w:rsidR="00A152B6">
          <w:rPr>
            <w:noProof/>
            <w:webHidden/>
          </w:rPr>
          <w:tab/>
        </w:r>
        <w:r w:rsidR="00A152B6">
          <w:rPr>
            <w:noProof/>
            <w:webHidden/>
          </w:rPr>
          <w:fldChar w:fldCharType="begin"/>
        </w:r>
        <w:r w:rsidR="00A152B6">
          <w:rPr>
            <w:noProof/>
            <w:webHidden/>
          </w:rPr>
          <w:instrText xml:space="preserve"> PAGEREF _Toc40089052 \h </w:instrText>
        </w:r>
        <w:r w:rsidR="00A152B6">
          <w:rPr>
            <w:noProof/>
            <w:webHidden/>
          </w:rPr>
        </w:r>
        <w:r w:rsidR="00A152B6">
          <w:rPr>
            <w:noProof/>
            <w:webHidden/>
          </w:rPr>
          <w:fldChar w:fldCharType="separate"/>
        </w:r>
        <w:r w:rsidR="00CE61F3">
          <w:rPr>
            <w:noProof/>
            <w:webHidden/>
          </w:rPr>
          <w:t>96</w:t>
        </w:r>
        <w:r w:rsidR="00A152B6">
          <w:rPr>
            <w:noProof/>
            <w:webHidden/>
          </w:rPr>
          <w:fldChar w:fldCharType="end"/>
        </w:r>
      </w:hyperlink>
    </w:p>
    <w:p w14:paraId="7F3CDEC9" w14:textId="5263521B" w:rsidR="00A152B6" w:rsidRDefault="00A50909">
      <w:pPr>
        <w:pStyle w:val="Tablicaslika"/>
        <w:rPr>
          <w:rFonts w:asciiTheme="minorHAnsi" w:eastAsiaTheme="minorEastAsia" w:hAnsiTheme="minorHAnsi" w:cstheme="minorBidi"/>
          <w:noProof/>
          <w:sz w:val="22"/>
          <w:szCs w:val="22"/>
          <w:lang w:eastAsia="hr-HR"/>
        </w:rPr>
      </w:pPr>
      <w:hyperlink w:anchor="_Toc40089053" w:history="1">
        <w:r w:rsidR="00A152B6" w:rsidRPr="000E26AC">
          <w:rPr>
            <w:rStyle w:val="Hiperveza"/>
            <w:noProof/>
          </w:rPr>
          <w:t>Tablica 11.6 Pregled postojećih izvora financiranja programa energetske obnove zgrada u Republici Hrvatskoj do 2020. godine</w:t>
        </w:r>
        <w:r w:rsidR="00A152B6">
          <w:rPr>
            <w:noProof/>
            <w:webHidden/>
          </w:rPr>
          <w:tab/>
        </w:r>
        <w:r w:rsidR="00A152B6">
          <w:rPr>
            <w:noProof/>
            <w:webHidden/>
          </w:rPr>
          <w:fldChar w:fldCharType="begin"/>
        </w:r>
        <w:r w:rsidR="00A152B6">
          <w:rPr>
            <w:noProof/>
            <w:webHidden/>
          </w:rPr>
          <w:instrText xml:space="preserve"> PAGEREF _Toc40089053 \h </w:instrText>
        </w:r>
        <w:r w:rsidR="00A152B6">
          <w:rPr>
            <w:noProof/>
            <w:webHidden/>
          </w:rPr>
        </w:r>
        <w:r w:rsidR="00A152B6">
          <w:rPr>
            <w:noProof/>
            <w:webHidden/>
          </w:rPr>
          <w:fldChar w:fldCharType="separate"/>
        </w:r>
        <w:r w:rsidR="00CE61F3">
          <w:rPr>
            <w:noProof/>
            <w:webHidden/>
          </w:rPr>
          <w:t>97</w:t>
        </w:r>
        <w:r w:rsidR="00A152B6">
          <w:rPr>
            <w:noProof/>
            <w:webHidden/>
          </w:rPr>
          <w:fldChar w:fldCharType="end"/>
        </w:r>
      </w:hyperlink>
    </w:p>
    <w:p w14:paraId="5D3BB842" w14:textId="27C01775" w:rsidR="00A152B6" w:rsidRDefault="00A50909">
      <w:pPr>
        <w:pStyle w:val="Tablicaslika"/>
        <w:rPr>
          <w:rFonts w:asciiTheme="minorHAnsi" w:eastAsiaTheme="minorEastAsia" w:hAnsiTheme="minorHAnsi" w:cstheme="minorBidi"/>
          <w:noProof/>
          <w:sz w:val="22"/>
          <w:szCs w:val="22"/>
          <w:lang w:eastAsia="hr-HR"/>
        </w:rPr>
      </w:pPr>
      <w:hyperlink w:anchor="_Toc40089054" w:history="1">
        <w:r w:rsidR="00A152B6" w:rsidRPr="000E26AC">
          <w:rPr>
            <w:rStyle w:val="Hiperveza"/>
            <w:noProof/>
          </w:rPr>
          <w:t>Tablica 11.7 Pregled ostalih postojećih izvora financiranja energetske učinkovitosti u Republici Hrvatskoj</w:t>
        </w:r>
        <w:r w:rsidR="00A152B6">
          <w:rPr>
            <w:noProof/>
            <w:webHidden/>
          </w:rPr>
          <w:tab/>
        </w:r>
        <w:r w:rsidR="00A152B6">
          <w:rPr>
            <w:noProof/>
            <w:webHidden/>
          </w:rPr>
          <w:fldChar w:fldCharType="begin"/>
        </w:r>
        <w:r w:rsidR="00A152B6">
          <w:rPr>
            <w:noProof/>
            <w:webHidden/>
          </w:rPr>
          <w:instrText xml:space="preserve"> PAGEREF _Toc40089054 \h </w:instrText>
        </w:r>
        <w:r w:rsidR="00A152B6">
          <w:rPr>
            <w:noProof/>
            <w:webHidden/>
          </w:rPr>
        </w:r>
        <w:r w:rsidR="00A152B6">
          <w:rPr>
            <w:noProof/>
            <w:webHidden/>
          </w:rPr>
          <w:fldChar w:fldCharType="separate"/>
        </w:r>
        <w:r w:rsidR="00CE61F3">
          <w:rPr>
            <w:noProof/>
            <w:webHidden/>
          </w:rPr>
          <w:t>98</w:t>
        </w:r>
        <w:r w:rsidR="00A152B6">
          <w:rPr>
            <w:noProof/>
            <w:webHidden/>
          </w:rPr>
          <w:fldChar w:fldCharType="end"/>
        </w:r>
      </w:hyperlink>
    </w:p>
    <w:p w14:paraId="5718A3E7" w14:textId="22BFA138" w:rsidR="00A152B6" w:rsidRDefault="00A50909">
      <w:pPr>
        <w:pStyle w:val="Tablicaslika"/>
        <w:rPr>
          <w:rFonts w:asciiTheme="minorHAnsi" w:eastAsiaTheme="minorEastAsia" w:hAnsiTheme="minorHAnsi" w:cstheme="minorBidi"/>
          <w:noProof/>
          <w:sz w:val="22"/>
          <w:szCs w:val="22"/>
          <w:lang w:eastAsia="hr-HR"/>
        </w:rPr>
      </w:pPr>
      <w:hyperlink w:anchor="_Toc40089055" w:history="1">
        <w:r w:rsidR="00A152B6" w:rsidRPr="000E26AC">
          <w:rPr>
            <w:rStyle w:val="Hiperveza"/>
            <w:noProof/>
          </w:rPr>
          <w:t>Tablica 11.8 Dugoročne financijsko-fiskalne mjere za poticanje energetske obnove zgrada</w:t>
        </w:r>
        <w:r w:rsidR="00A152B6">
          <w:rPr>
            <w:noProof/>
            <w:webHidden/>
          </w:rPr>
          <w:tab/>
        </w:r>
        <w:r w:rsidR="00A152B6">
          <w:rPr>
            <w:noProof/>
            <w:webHidden/>
          </w:rPr>
          <w:fldChar w:fldCharType="begin"/>
        </w:r>
        <w:r w:rsidR="00A152B6">
          <w:rPr>
            <w:noProof/>
            <w:webHidden/>
          </w:rPr>
          <w:instrText xml:space="preserve"> PAGEREF _Toc40089055 \h </w:instrText>
        </w:r>
        <w:r w:rsidR="00A152B6">
          <w:rPr>
            <w:noProof/>
            <w:webHidden/>
          </w:rPr>
        </w:r>
        <w:r w:rsidR="00A152B6">
          <w:rPr>
            <w:noProof/>
            <w:webHidden/>
          </w:rPr>
          <w:fldChar w:fldCharType="separate"/>
        </w:r>
        <w:r w:rsidR="00CE61F3">
          <w:rPr>
            <w:noProof/>
            <w:webHidden/>
          </w:rPr>
          <w:t>100</w:t>
        </w:r>
        <w:r w:rsidR="00A152B6">
          <w:rPr>
            <w:noProof/>
            <w:webHidden/>
          </w:rPr>
          <w:fldChar w:fldCharType="end"/>
        </w:r>
      </w:hyperlink>
    </w:p>
    <w:p w14:paraId="518E5EC4" w14:textId="6754AC48" w:rsidR="00FF759E" w:rsidRPr="00FF759E" w:rsidRDefault="00E062FD" w:rsidP="007F13E7">
      <w:r>
        <w:fldChar w:fldCharType="end"/>
      </w:r>
    </w:p>
    <w:p w14:paraId="5DD65E97" w14:textId="77777777" w:rsidR="00992029" w:rsidRDefault="00992029" w:rsidP="008129E7">
      <w:pPr>
        <w:pStyle w:val="Naslov10"/>
        <w:sectPr w:rsidR="00992029" w:rsidSect="00992029">
          <w:type w:val="oddPage"/>
          <w:pgSz w:w="11906" w:h="16838" w:code="9"/>
          <w:pgMar w:top="1247" w:right="1134" w:bottom="1247" w:left="1418" w:header="567" w:footer="567" w:gutter="0"/>
          <w:cols w:space="708"/>
          <w:rtlGutter/>
          <w:docGrid w:linePitch="360"/>
        </w:sectPr>
      </w:pPr>
    </w:p>
    <w:p w14:paraId="03F7BB73" w14:textId="77777777" w:rsidR="00143CE2" w:rsidRDefault="004A1AD8" w:rsidP="008129E7">
      <w:pPr>
        <w:pStyle w:val="Naslov10"/>
      </w:pPr>
      <w:bookmarkStart w:id="296" w:name="_Toc34052940"/>
      <w:bookmarkStart w:id="297" w:name="_Toc46163876"/>
      <w:r w:rsidRPr="0031175C">
        <w:t>LITERATURA</w:t>
      </w:r>
      <w:bookmarkEnd w:id="296"/>
      <w:bookmarkEnd w:id="297"/>
    </w:p>
    <w:p w14:paraId="493D4021" w14:textId="77777777" w:rsidR="00A152B6" w:rsidRDefault="00E520B6" w:rsidP="00A152B6">
      <w:pPr>
        <w:pStyle w:val="Bibliografija"/>
        <w:rPr>
          <w:noProof/>
          <w:sz w:val="24"/>
          <w:szCs w:val="24"/>
        </w:rPr>
      </w:pPr>
      <w:r>
        <w:fldChar w:fldCharType="begin"/>
      </w:r>
      <w:r>
        <w:instrText>BIBLIOGRAPHY</w:instrText>
      </w:r>
      <w:r>
        <w:fldChar w:fldCharType="separate"/>
      </w:r>
      <w:r w:rsidR="00A152B6">
        <w:rPr>
          <w:b/>
          <w:bCs/>
          <w:noProof/>
        </w:rPr>
        <w:t>D., Mikulić, i dr. 2019.</w:t>
      </w:r>
      <w:r w:rsidR="00A152B6">
        <w:rPr>
          <w:noProof/>
        </w:rPr>
        <w:t xml:space="preserve"> </w:t>
      </w:r>
      <w:r w:rsidR="00A152B6">
        <w:rPr>
          <w:i/>
          <w:iCs/>
          <w:noProof/>
        </w:rPr>
        <w:t xml:space="preserve">Valorizacija ekonomskih učinaka programa usmjerenih na smanjenje potrošnje energije u zgradama javnog sektora i stambenim zgradama. </w:t>
      </w:r>
      <w:r w:rsidR="00A152B6">
        <w:rPr>
          <w:noProof/>
        </w:rPr>
        <w:t>Zagreb : an., 2019.</w:t>
      </w:r>
    </w:p>
    <w:p w14:paraId="4DD216D7" w14:textId="77777777" w:rsidR="00A152B6" w:rsidRDefault="00A152B6" w:rsidP="00A152B6">
      <w:pPr>
        <w:pStyle w:val="Bibliografija"/>
        <w:rPr>
          <w:noProof/>
        </w:rPr>
      </w:pPr>
      <w:r>
        <w:rPr>
          <w:b/>
          <w:bCs/>
          <w:noProof/>
        </w:rPr>
        <w:t>2018.</w:t>
      </w:r>
      <w:r>
        <w:rPr>
          <w:noProof/>
        </w:rPr>
        <w:t xml:space="preserve"> Direktiva (EU) 2018/844 Europskog parlamenta i Vijeća od 30. svibnja 2018. o o izmjeni Direktive 2010/31/EU o energetskim svojstvima zgrada i Direktive 2012/27/EU o energetskoj učinkovitosti. </w:t>
      </w:r>
      <w:r>
        <w:rPr>
          <w:i/>
          <w:iCs/>
          <w:noProof/>
        </w:rPr>
        <w:t xml:space="preserve">Službeni list Europske unije. </w:t>
      </w:r>
      <w:r>
        <w:rPr>
          <w:noProof/>
        </w:rPr>
        <w:t>19.6.2018., 2018.</w:t>
      </w:r>
    </w:p>
    <w:p w14:paraId="0FC322AE" w14:textId="77777777" w:rsidR="00A152B6" w:rsidRDefault="00A152B6" w:rsidP="00A152B6">
      <w:pPr>
        <w:pStyle w:val="Bibliografija"/>
        <w:rPr>
          <w:noProof/>
        </w:rPr>
      </w:pPr>
      <w:r>
        <w:rPr>
          <w:b/>
          <w:bCs/>
          <w:noProof/>
        </w:rPr>
        <w:t>Državni zavod za statistiku. 2011.</w:t>
      </w:r>
      <w:r>
        <w:rPr>
          <w:noProof/>
        </w:rPr>
        <w:t xml:space="preserve"> </w:t>
      </w:r>
      <w:r>
        <w:rPr>
          <w:i/>
          <w:iCs/>
          <w:noProof/>
        </w:rPr>
        <w:t xml:space="preserve">Popis stanovništva, kućanstava i stanova 2011. </w:t>
      </w:r>
      <w:r>
        <w:rPr>
          <w:noProof/>
        </w:rPr>
        <w:t>Zagreb : DZS, 2011.</w:t>
      </w:r>
    </w:p>
    <w:p w14:paraId="4C162841" w14:textId="77777777" w:rsidR="00A152B6" w:rsidRDefault="00A152B6" w:rsidP="00A152B6">
      <w:pPr>
        <w:pStyle w:val="Bibliografija"/>
        <w:rPr>
          <w:noProof/>
        </w:rPr>
      </w:pPr>
      <w:r>
        <w:rPr>
          <w:b/>
          <w:bCs/>
          <w:noProof/>
        </w:rPr>
        <w:t>Galić, Josip, i dr. 2020..</w:t>
      </w:r>
      <w:r>
        <w:rPr>
          <w:noProof/>
        </w:rPr>
        <w:t xml:space="preserve"> </w:t>
      </w:r>
      <w:r>
        <w:rPr>
          <w:i/>
          <w:iCs/>
          <w:noProof/>
        </w:rPr>
        <w:t xml:space="preserve">Priručnik za protupotresnu obnovu postojećih zidanih zgrada. </w:t>
      </w:r>
      <w:r>
        <w:rPr>
          <w:noProof/>
        </w:rPr>
        <w:t>Zagreb : Arhitektonski fakultet Sveučilišta u Zagrebu, 2020.</w:t>
      </w:r>
    </w:p>
    <w:p w14:paraId="0913248D" w14:textId="77777777" w:rsidR="00A152B6" w:rsidRDefault="00A152B6" w:rsidP="00A152B6">
      <w:pPr>
        <w:pStyle w:val="Bibliografija"/>
        <w:rPr>
          <w:noProof/>
        </w:rPr>
      </w:pPr>
      <w:r>
        <w:rPr>
          <w:b/>
          <w:bCs/>
          <w:noProof/>
        </w:rPr>
        <w:t>2017.</w:t>
      </w:r>
      <w:r>
        <w:rPr>
          <w:noProof/>
        </w:rPr>
        <w:t xml:space="preserve"> HRN EN 15459-1:2017. Energijska svojstva zgrada -- Postupak ekonomske ocjene za energijske sustave u zgradama. 2017.</w:t>
      </w:r>
    </w:p>
    <w:p w14:paraId="3E6DEE05" w14:textId="77777777" w:rsidR="00A152B6" w:rsidRDefault="00A152B6" w:rsidP="00A152B6">
      <w:pPr>
        <w:pStyle w:val="Bibliografija"/>
        <w:rPr>
          <w:noProof/>
        </w:rPr>
      </w:pPr>
      <w:r>
        <w:rPr>
          <w:b/>
          <w:bCs/>
          <w:noProof/>
        </w:rPr>
        <w:t>MGIPU. 2019.</w:t>
      </w:r>
      <w:r>
        <w:rPr>
          <w:noProof/>
        </w:rPr>
        <w:t xml:space="preserve"> </w:t>
      </w:r>
      <w:r>
        <w:rPr>
          <w:i/>
          <w:iCs/>
          <w:noProof/>
        </w:rPr>
        <w:t xml:space="preserve">Dugoročna strategija za poticanje ulaganja u obnovu nacionalnog fonda zgrada Republike Hrvatske. </w:t>
      </w:r>
      <w:r>
        <w:rPr>
          <w:noProof/>
        </w:rPr>
        <w:t>Zagreb : Republika Hrvatska, Ministarstvo graditeljstva i prostornoga uređenja , 2019.</w:t>
      </w:r>
    </w:p>
    <w:p w14:paraId="1A510385" w14:textId="77777777" w:rsidR="00A152B6" w:rsidRDefault="00A152B6" w:rsidP="00A152B6">
      <w:pPr>
        <w:pStyle w:val="Bibliografija"/>
        <w:rPr>
          <w:noProof/>
        </w:rPr>
      </w:pPr>
      <w:r>
        <w:rPr>
          <w:b/>
          <w:bCs/>
          <w:noProof/>
        </w:rPr>
        <w:t>—. 2017..</w:t>
      </w:r>
      <w:r>
        <w:rPr>
          <w:noProof/>
        </w:rPr>
        <w:t xml:space="preserve"> Metodologija provođenja energetskog pregleda zgrada. </w:t>
      </w:r>
      <w:r>
        <w:rPr>
          <w:i/>
          <w:iCs/>
          <w:noProof/>
        </w:rPr>
        <w:t xml:space="preserve">Metodologija provođenja energetskog pregleda zgrada 2017. </w:t>
      </w:r>
      <w:r>
        <w:rPr>
          <w:noProof/>
        </w:rPr>
        <w:t>Zagreb : Ministarstvo graditeljstva i prostornoga uređenja, 2017.</w:t>
      </w:r>
    </w:p>
    <w:p w14:paraId="3100C6A8" w14:textId="77777777" w:rsidR="00A152B6" w:rsidRDefault="00A152B6" w:rsidP="00A152B6">
      <w:pPr>
        <w:pStyle w:val="Bibliografija"/>
        <w:rPr>
          <w:noProof/>
        </w:rPr>
      </w:pPr>
      <w:r>
        <w:rPr>
          <w:b/>
          <w:bCs/>
          <w:noProof/>
        </w:rPr>
        <w:t>—. 2014.</w:t>
      </w:r>
      <w:r>
        <w:rPr>
          <w:noProof/>
        </w:rPr>
        <w:t xml:space="preserve"> </w:t>
      </w:r>
      <w:r>
        <w:rPr>
          <w:i/>
          <w:iCs/>
          <w:noProof/>
        </w:rPr>
        <w:t xml:space="preserve">Plan za povećanje broja zgrada gotovo nulte energije do 2020. godine. </w:t>
      </w:r>
      <w:r>
        <w:rPr>
          <w:noProof/>
        </w:rPr>
        <w:t>s.l. : Republika Hrvatska, Minsitarstvo gradieljstva i prostornoga uređenja, 2014.</w:t>
      </w:r>
    </w:p>
    <w:p w14:paraId="05D1DD7F" w14:textId="77777777" w:rsidR="00A152B6" w:rsidRDefault="00A152B6" w:rsidP="00A152B6">
      <w:pPr>
        <w:pStyle w:val="Bibliografija"/>
        <w:rPr>
          <w:noProof/>
        </w:rPr>
      </w:pPr>
      <w:r>
        <w:rPr>
          <w:b/>
          <w:bCs/>
          <w:noProof/>
        </w:rPr>
        <w:t>—. 2017.</w:t>
      </w:r>
      <w:r>
        <w:rPr>
          <w:noProof/>
        </w:rPr>
        <w:t xml:space="preserve"> Pravilnik o energetskom pregledu zgrade i energetskom certificiranju NN 88/17. </w:t>
      </w:r>
      <w:r>
        <w:rPr>
          <w:i/>
          <w:iCs/>
          <w:noProof/>
        </w:rPr>
        <w:t xml:space="preserve">Narodne novine. </w:t>
      </w:r>
      <w:r>
        <w:rPr>
          <w:noProof/>
        </w:rPr>
        <w:t>2017, 88.</w:t>
      </w:r>
    </w:p>
    <w:p w14:paraId="5F2B0908" w14:textId="77777777" w:rsidR="00A152B6" w:rsidRDefault="00A152B6" w:rsidP="00A152B6">
      <w:pPr>
        <w:pStyle w:val="Bibliografija"/>
        <w:rPr>
          <w:noProof/>
        </w:rPr>
      </w:pPr>
      <w:r>
        <w:rPr>
          <w:b/>
          <w:bCs/>
          <w:noProof/>
        </w:rPr>
        <w:t>—. 2014.</w:t>
      </w:r>
      <w:r>
        <w:rPr>
          <w:noProof/>
        </w:rPr>
        <w:t xml:space="preserve"> </w:t>
      </w:r>
      <w:r>
        <w:rPr>
          <w:i/>
          <w:iCs/>
          <w:noProof/>
        </w:rPr>
        <w:t xml:space="preserve">Program energetske obnove komercijalnih nestambenih zgrada za razdoblje od 2014. do 2020. godine s detaljnim planom energetske obnove komercijalnih nestambenih zgrada za razdoblje od 2014. do 2016. </w:t>
      </w:r>
      <w:r>
        <w:rPr>
          <w:noProof/>
        </w:rPr>
        <w:t>Zagreb : MGIPU, 2014.</w:t>
      </w:r>
    </w:p>
    <w:p w14:paraId="11066514" w14:textId="77777777" w:rsidR="00A152B6" w:rsidRDefault="00A152B6" w:rsidP="00A152B6">
      <w:pPr>
        <w:pStyle w:val="Bibliografija"/>
        <w:rPr>
          <w:noProof/>
        </w:rPr>
      </w:pPr>
      <w:r>
        <w:rPr>
          <w:b/>
          <w:bCs/>
          <w:noProof/>
        </w:rPr>
        <w:t>—. 2014.</w:t>
      </w:r>
      <w:r>
        <w:rPr>
          <w:noProof/>
        </w:rPr>
        <w:t xml:space="preserve"> </w:t>
      </w:r>
      <w:r>
        <w:rPr>
          <w:i/>
          <w:iCs/>
          <w:noProof/>
        </w:rPr>
        <w:t xml:space="preserve">Program energetske obnove obiteljskih kuća za razdoblje od 2014. do 2020. godine s detaljnim planom za razdoblje od 2014. do 2016. godine. </w:t>
      </w:r>
      <w:r>
        <w:rPr>
          <w:noProof/>
        </w:rPr>
        <w:t>Zagreb : MGIPU, 2014.</w:t>
      </w:r>
    </w:p>
    <w:p w14:paraId="3D607CB1" w14:textId="77777777" w:rsidR="00A152B6" w:rsidRDefault="00A152B6" w:rsidP="00A152B6">
      <w:pPr>
        <w:pStyle w:val="Bibliografija"/>
        <w:rPr>
          <w:noProof/>
        </w:rPr>
      </w:pPr>
      <w:r>
        <w:rPr>
          <w:b/>
          <w:bCs/>
          <w:noProof/>
        </w:rPr>
        <w:t>—. 2014.</w:t>
      </w:r>
      <w:r>
        <w:rPr>
          <w:noProof/>
        </w:rPr>
        <w:t xml:space="preserve"> </w:t>
      </w:r>
      <w:r>
        <w:rPr>
          <w:i/>
          <w:iCs/>
          <w:noProof/>
        </w:rPr>
        <w:t xml:space="preserve">Program energetske obnove višestambenih zgrada za razdoblje od 2014. do 2020. godine s detaljnim planom za razdoblje od 2014. do 2016. godine. </w:t>
      </w:r>
      <w:r>
        <w:rPr>
          <w:noProof/>
        </w:rPr>
        <w:t>Zagreb : MGIPU, 2014.</w:t>
      </w:r>
    </w:p>
    <w:p w14:paraId="399C76A1" w14:textId="77777777" w:rsidR="00A152B6" w:rsidRDefault="00A152B6" w:rsidP="00A152B6">
      <w:pPr>
        <w:pStyle w:val="Bibliografija"/>
        <w:rPr>
          <w:noProof/>
        </w:rPr>
      </w:pPr>
      <w:r>
        <w:rPr>
          <w:b/>
          <w:bCs/>
          <w:noProof/>
        </w:rPr>
        <w:t>—. 2017.</w:t>
      </w:r>
      <w:r>
        <w:rPr>
          <w:noProof/>
        </w:rPr>
        <w:t xml:space="preserve"> </w:t>
      </w:r>
      <w:r>
        <w:rPr>
          <w:i/>
          <w:iCs/>
          <w:noProof/>
        </w:rPr>
        <w:t xml:space="preserve">Program energetske obnove zgrada javnog sektora za razdoblje 2016. – 2020. </w:t>
      </w:r>
      <w:r>
        <w:rPr>
          <w:noProof/>
        </w:rPr>
        <w:t>Zagreb : MGIPU, 2017.</w:t>
      </w:r>
    </w:p>
    <w:p w14:paraId="427FE0A5" w14:textId="77777777" w:rsidR="00A152B6" w:rsidRDefault="00A152B6" w:rsidP="00A152B6">
      <w:pPr>
        <w:pStyle w:val="Bibliografija"/>
        <w:rPr>
          <w:noProof/>
        </w:rPr>
      </w:pPr>
      <w:r>
        <w:rPr>
          <w:b/>
          <w:bCs/>
          <w:noProof/>
        </w:rPr>
        <w:t>—. 2013.</w:t>
      </w:r>
      <w:r>
        <w:rPr>
          <w:noProof/>
        </w:rPr>
        <w:t xml:space="preserve"> </w:t>
      </w:r>
      <w:r>
        <w:rPr>
          <w:i/>
          <w:iCs/>
          <w:noProof/>
        </w:rPr>
        <w:t xml:space="preserve">Program energetske obnove zgrada javnog sektora za razdoblje od 2014. do 2015. godine. </w:t>
      </w:r>
      <w:r>
        <w:rPr>
          <w:noProof/>
        </w:rPr>
        <w:t>Zagreb : MGIPU, 2013.</w:t>
      </w:r>
    </w:p>
    <w:p w14:paraId="3ED9F1D5" w14:textId="77777777" w:rsidR="00A152B6" w:rsidRDefault="00A152B6" w:rsidP="00A152B6">
      <w:pPr>
        <w:pStyle w:val="Bibliografija"/>
        <w:rPr>
          <w:noProof/>
        </w:rPr>
      </w:pPr>
      <w:r>
        <w:rPr>
          <w:b/>
          <w:bCs/>
          <w:noProof/>
        </w:rPr>
        <w:t>—. 2018.</w:t>
      </w:r>
      <w:r>
        <w:rPr>
          <w:noProof/>
        </w:rPr>
        <w:t xml:space="preserve"> </w:t>
      </w:r>
      <w:r>
        <w:rPr>
          <w:i/>
          <w:iCs/>
          <w:noProof/>
        </w:rPr>
        <w:t xml:space="preserve">Program poticanja gradnje novih i obnavljanja postojećih zgrada do standarda gotovo nulte energije. </w:t>
      </w:r>
      <w:r>
        <w:rPr>
          <w:noProof/>
        </w:rPr>
        <w:t>Zagreb : Republika Hrvatska, Ministarstvo graditeljstva i prostornoga uređenja, 2018.</w:t>
      </w:r>
    </w:p>
    <w:p w14:paraId="4A1F54B1" w14:textId="77777777" w:rsidR="00A152B6" w:rsidRDefault="00A152B6" w:rsidP="00A152B6">
      <w:pPr>
        <w:pStyle w:val="Bibliografija"/>
        <w:rPr>
          <w:noProof/>
        </w:rPr>
      </w:pPr>
      <w:r>
        <w:rPr>
          <w:b/>
          <w:bCs/>
          <w:noProof/>
        </w:rPr>
        <w:t>MINGO. 2010.</w:t>
      </w:r>
      <w:r>
        <w:rPr>
          <w:noProof/>
        </w:rPr>
        <w:t xml:space="preserve"> </w:t>
      </w:r>
      <w:r>
        <w:rPr>
          <w:i/>
          <w:iCs/>
          <w:noProof/>
        </w:rPr>
        <w:t xml:space="preserve">Nacionalni program energetske učinkovitosti za razdoblje 2008.-2016. godine. </w:t>
      </w:r>
      <w:r>
        <w:rPr>
          <w:noProof/>
        </w:rPr>
        <w:t>Zagreb : Republika Hrvatska, Ministarstvo gospodarstva, 2010.</w:t>
      </w:r>
    </w:p>
    <w:p w14:paraId="2F00DBC0" w14:textId="77777777" w:rsidR="00A152B6" w:rsidRDefault="00A152B6" w:rsidP="00A152B6">
      <w:pPr>
        <w:pStyle w:val="Bibliografija"/>
        <w:rPr>
          <w:noProof/>
        </w:rPr>
      </w:pPr>
      <w:r>
        <w:rPr>
          <w:b/>
          <w:bCs/>
          <w:noProof/>
        </w:rPr>
        <w:t>MORH. 2014.</w:t>
      </w:r>
      <w:r>
        <w:rPr>
          <w:noProof/>
        </w:rPr>
        <w:t xml:space="preserve"> </w:t>
      </w:r>
      <w:r>
        <w:rPr>
          <w:i/>
          <w:iCs/>
          <w:noProof/>
        </w:rPr>
        <w:t xml:space="preserve">Dugoročni plan razvoja oružanih snaga Republike Hrvatske za razdoblje od 2015. do 2024. godine. </w:t>
      </w:r>
      <w:r>
        <w:rPr>
          <w:noProof/>
        </w:rPr>
        <w:t>Zagreb : MORH, 2014.</w:t>
      </w:r>
    </w:p>
    <w:p w14:paraId="4EFB193C" w14:textId="77777777" w:rsidR="00A152B6" w:rsidRDefault="00A152B6" w:rsidP="00A152B6">
      <w:pPr>
        <w:pStyle w:val="Bibliografija"/>
        <w:rPr>
          <w:noProof/>
        </w:rPr>
      </w:pPr>
      <w:r>
        <w:rPr>
          <w:b/>
          <w:bCs/>
          <w:noProof/>
        </w:rPr>
        <w:t>2019.</w:t>
      </w:r>
      <w:r>
        <w:rPr>
          <w:noProof/>
        </w:rPr>
        <w:t xml:space="preserve"> Pravilnik o jednostavnim i drugim građevinama i radovima . </w:t>
      </w:r>
      <w:r>
        <w:rPr>
          <w:i/>
          <w:iCs/>
          <w:noProof/>
        </w:rPr>
        <w:t xml:space="preserve">Narodne novine. </w:t>
      </w:r>
      <w:r>
        <w:rPr>
          <w:noProof/>
        </w:rPr>
        <w:t>112/2017, NN 34/2018, NN 36/2019, NN 98/2019 , 2019.</w:t>
      </w:r>
    </w:p>
    <w:p w14:paraId="1203ED63" w14:textId="77777777" w:rsidR="00A152B6" w:rsidRDefault="00A152B6" w:rsidP="00A152B6">
      <w:pPr>
        <w:pStyle w:val="Bibliografija"/>
        <w:rPr>
          <w:noProof/>
        </w:rPr>
      </w:pPr>
      <w:r>
        <w:rPr>
          <w:b/>
          <w:bCs/>
          <w:noProof/>
        </w:rPr>
        <w:t>2019.</w:t>
      </w:r>
      <w:r>
        <w:rPr>
          <w:noProof/>
        </w:rPr>
        <w:t xml:space="preserve"> </w:t>
      </w:r>
      <w:r>
        <w:rPr>
          <w:i/>
          <w:iCs/>
          <w:noProof/>
        </w:rPr>
        <w:t xml:space="preserve">Program suzbijanja energetskog siromaštva koji uključuje korištenje obnovljivih izvora energije u stambenim zgradama na potpomognutim područjima i područjima posebne državne skrbi za razdoblje 2019. – 2021. godine. </w:t>
      </w:r>
      <w:r>
        <w:rPr>
          <w:noProof/>
        </w:rPr>
        <w:t>Zagreb : MGIPU, 2019.</w:t>
      </w:r>
    </w:p>
    <w:p w14:paraId="3BB6B998" w14:textId="77777777" w:rsidR="00A152B6" w:rsidRDefault="00A152B6" w:rsidP="00A152B6">
      <w:pPr>
        <w:pStyle w:val="Bibliografija"/>
        <w:rPr>
          <w:noProof/>
        </w:rPr>
      </w:pPr>
      <w:r>
        <w:rPr>
          <w:b/>
          <w:bCs/>
          <w:noProof/>
        </w:rPr>
        <w:t>SEAI. 2019.</w:t>
      </w:r>
      <w:r>
        <w:rPr>
          <w:noProof/>
        </w:rPr>
        <w:t xml:space="preserve"> </w:t>
      </w:r>
      <w:r>
        <w:rPr>
          <w:i/>
          <w:iCs/>
          <w:noProof/>
        </w:rPr>
        <w:t xml:space="preserve">Deep Retrofit Pilot Programme 2019 - Version 1.8. </w:t>
      </w:r>
      <w:r>
        <w:rPr>
          <w:noProof/>
        </w:rPr>
        <w:t>s.l. : SEAI, 2019.</w:t>
      </w:r>
    </w:p>
    <w:p w14:paraId="6BFAD2C2" w14:textId="77777777" w:rsidR="00A152B6" w:rsidRDefault="00A152B6" w:rsidP="00A152B6">
      <w:pPr>
        <w:pStyle w:val="Bibliografija"/>
        <w:rPr>
          <w:noProof/>
        </w:rPr>
      </w:pPr>
      <w:r>
        <w:rPr>
          <w:b/>
          <w:bCs/>
          <w:noProof/>
        </w:rPr>
        <w:t>Sveučilište u Zagrebu Ekonomski fakultet Zagreb. 2019..</w:t>
      </w:r>
      <w:r>
        <w:rPr>
          <w:noProof/>
        </w:rPr>
        <w:t xml:space="preserve"> </w:t>
      </w:r>
      <w:r>
        <w:rPr>
          <w:i/>
          <w:iCs/>
          <w:noProof/>
        </w:rPr>
        <w:t xml:space="preserve">Procjena makroekonomskih učinaka politika i mjera Integriranog nacionalnog energetskog i klimatskog plana Republike Hrvatske”. </w:t>
      </w:r>
      <w:r>
        <w:rPr>
          <w:noProof/>
        </w:rPr>
        <w:t>Zagreb : an., 2019.</w:t>
      </w:r>
    </w:p>
    <w:p w14:paraId="107454D1" w14:textId="77777777" w:rsidR="00A152B6" w:rsidRDefault="00A152B6" w:rsidP="00A152B6">
      <w:pPr>
        <w:pStyle w:val="Bibliografija"/>
        <w:rPr>
          <w:noProof/>
        </w:rPr>
      </w:pPr>
      <w:r>
        <w:rPr>
          <w:b/>
          <w:bCs/>
          <w:noProof/>
        </w:rPr>
        <w:t>Tkalec, Marina, Vizek , Maruška i Žilić, Ivan. 2018..</w:t>
      </w:r>
      <w:r>
        <w:rPr>
          <w:noProof/>
        </w:rPr>
        <w:t xml:space="preserve"> </w:t>
      </w:r>
      <w:r>
        <w:rPr>
          <w:i/>
          <w:iCs/>
          <w:noProof/>
        </w:rPr>
        <w:t xml:space="preserve">Pregled tržišta nekretnina Republike Hrvatske 2012. - 2017. </w:t>
      </w:r>
      <w:r>
        <w:rPr>
          <w:noProof/>
        </w:rPr>
        <w:t>Zagreb : MGIPU, 2018.</w:t>
      </w:r>
    </w:p>
    <w:p w14:paraId="59E67E9C" w14:textId="77777777" w:rsidR="00A152B6" w:rsidRDefault="00A152B6" w:rsidP="00A152B6">
      <w:pPr>
        <w:pStyle w:val="Bibliografija"/>
        <w:rPr>
          <w:noProof/>
        </w:rPr>
      </w:pPr>
      <w:r>
        <w:rPr>
          <w:b/>
          <w:bCs/>
          <w:noProof/>
        </w:rPr>
        <w:t>Vlada RH. 2017.</w:t>
      </w:r>
      <w:r>
        <w:rPr>
          <w:noProof/>
        </w:rPr>
        <w:t xml:space="preserve"> </w:t>
      </w:r>
      <w:r>
        <w:rPr>
          <w:i/>
          <w:iCs/>
          <w:noProof/>
        </w:rPr>
        <w:t xml:space="preserve">Dugoročna strategija za poticanje ulaganja u obnovu nacionalnog fonda zgrada Republike Hrvatske. </w:t>
      </w:r>
      <w:r>
        <w:rPr>
          <w:noProof/>
        </w:rPr>
        <w:t>Zagreb : Vlada RH, 2017.</w:t>
      </w:r>
    </w:p>
    <w:p w14:paraId="7A9418B6" w14:textId="77777777" w:rsidR="00A152B6" w:rsidRDefault="00A152B6" w:rsidP="00A152B6">
      <w:pPr>
        <w:pStyle w:val="Bibliografija"/>
        <w:rPr>
          <w:noProof/>
        </w:rPr>
      </w:pPr>
      <w:r>
        <w:rPr>
          <w:b/>
          <w:bCs/>
          <w:noProof/>
        </w:rPr>
        <w:t>—. 2019..</w:t>
      </w:r>
      <w:r>
        <w:rPr>
          <w:noProof/>
        </w:rPr>
        <w:t xml:space="preserve"> </w:t>
      </w:r>
      <w:r>
        <w:rPr>
          <w:i/>
          <w:iCs/>
          <w:noProof/>
        </w:rPr>
        <w:t xml:space="preserve">Integrirani nacionalni energetski i klimatski plan za Republiku Hrvatsku za razdoblje 2021. do 2030. </w:t>
      </w:r>
      <w:r>
        <w:rPr>
          <w:noProof/>
        </w:rPr>
        <w:t>Republika Hrvatska, Ministarstvo zaštite okoliša i energetike. Zagreb : Republika Hrvatska, Ministarstvo zaštite okoliša i energetike, 2019. str. 136.</w:t>
      </w:r>
    </w:p>
    <w:p w14:paraId="1E84E97E" w14:textId="77777777" w:rsidR="00A152B6" w:rsidRDefault="00A152B6" w:rsidP="00A152B6">
      <w:pPr>
        <w:pStyle w:val="Bibliografija"/>
        <w:rPr>
          <w:noProof/>
        </w:rPr>
      </w:pPr>
      <w:r>
        <w:rPr>
          <w:b/>
          <w:bCs/>
          <w:noProof/>
        </w:rPr>
        <w:t>—. 2019..</w:t>
      </w:r>
      <w:r>
        <w:rPr>
          <w:noProof/>
        </w:rPr>
        <w:t xml:space="preserve"> </w:t>
      </w:r>
      <w:r>
        <w:rPr>
          <w:i/>
          <w:iCs/>
          <w:noProof/>
        </w:rPr>
        <w:t xml:space="preserve">Nacrt prijedloga Strategije energetskog razvoja Republike Hrvatske do 2030. s pogledom na 2050. godinu. </w:t>
      </w:r>
      <w:r>
        <w:rPr>
          <w:noProof/>
        </w:rPr>
        <w:t>Zagreb : Republika Hrvatska, 2019.</w:t>
      </w:r>
    </w:p>
    <w:p w14:paraId="6BFE457C" w14:textId="77777777" w:rsidR="00A152B6" w:rsidRDefault="00A152B6" w:rsidP="00A152B6">
      <w:pPr>
        <w:pStyle w:val="Bibliografija"/>
        <w:rPr>
          <w:noProof/>
        </w:rPr>
      </w:pPr>
      <w:r>
        <w:rPr>
          <w:b/>
          <w:bCs/>
          <w:noProof/>
        </w:rPr>
        <w:t>—. 2020..</w:t>
      </w:r>
      <w:r>
        <w:rPr>
          <w:noProof/>
        </w:rPr>
        <w:t xml:space="preserve"> </w:t>
      </w:r>
      <w:r>
        <w:rPr>
          <w:i/>
          <w:iCs/>
          <w:noProof/>
        </w:rPr>
        <w:t xml:space="preserve">Strategija energetskog razvoja Republike Hrvatske do 2030. s pogledom na 2050. godinu. </w:t>
      </w:r>
      <w:r>
        <w:rPr>
          <w:noProof/>
        </w:rPr>
        <w:t>s.l. : Vlada RH, 2020.</w:t>
      </w:r>
    </w:p>
    <w:p w14:paraId="14BCA787" w14:textId="77777777" w:rsidR="00A152B6" w:rsidRDefault="00A152B6" w:rsidP="00A152B6">
      <w:pPr>
        <w:pStyle w:val="Bibliografija"/>
        <w:rPr>
          <w:noProof/>
        </w:rPr>
      </w:pPr>
      <w:r>
        <w:rPr>
          <w:b/>
          <w:bCs/>
          <w:noProof/>
        </w:rPr>
        <w:t>2019.</w:t>
      </w:r>
      <w:r>
        <w:rPr>
          <w:noProof/>
        </w:rPr>
        <w:t xml:space="preserve"> Zakon o gradnji. </w:t>
      </w:r>
      <w:r>
        <w:rPr>
          <w:i/>
          <w:iCs/>
          <w:noProof/>
        </w:rPr>
        <w:t xml:space="preserve">Narodne Novine. </w:t>
      </w:r>
      <w:r>
        <w:rPr>
          <w:noProof/>
        </w:rPr>
        <w:t>153/13, 20/17, 39/19, 125/19, 2019.</w:t>
      </w:r>
    </w:p>
    <w:p w14:paraId="16E70285" w14:textId="77777777" w:rsidR="00E520B6" w:rsidRDefault="00E520B6" w:rsidP="00A152B6">
      <w:r>
        <w:fldChar w:fldCharType="end"/>
      </w:r>
    </w:p>
    <w:p w14:paraId="37585E7E" w14:textId="77777777" w:rsidR="002211BF" w:rsidRDefault="002211BF" w:rsidP="002211BF"/>
    <w:p w14:paraId="542DC7C3" w14:textId="77777777" w:rsidR="00F8630A" w:rsidRPr="00F8630A" w:rsidRDefault="00F8630A" w:rsidP="00F8630A">
      <w:pPr>
        <w:rPr>
          <w:lang w:eastAsia="hr-HR"/>
        </w:rPr>
      </w:pPr>
    </w:p>
    <w:p w14:paraId="7B556252" w14:textId="77777777" w:rsidR="00243E47" w:rsidRPr="007F0DF0" w:rsidRDefault="00243E47" w:rsidP="003954BC">
      <w:pPr>
        <w:rPr>
          <w:lang w:eastAsia="hr-HR"/>
        </w:rPr>
      </w:pPr>
    </w:p>
    <w:sectPr w:rsidR="00243E47" w:rsidRPr="007F0DF0" w:rsidSect="008C7825">
      <w:headerReference w:type="default" r:id="rId39"/>
      <w:footerReference w:type="default" r:id="rId40"/>
      <w:pgSz w:w="11906" w:h="16838" w:code="9"/>
      <w:pgMar w:top="1247" w:right="1134" w:bottom="124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F6D78" w14:textId="77777777" w:rsidR="009F1B9F" w:rsidRDefault="009F1B9F" w:rsidP="007F13E7">
      <w:r>
        <w:separator/>
      </w:r>
    </w:p>
    <w:p w14:paraId="47778609" w14:textId="77777777" w:rsidR="009F1B9F" w:rsidRDefault="009F1B9F" w:rsidP="007F13E7"/>
    <w:p w14:paraId="4F5DE142" w14:textId="77777777" w:rsidR="009F1B9F" w:rsidRDefault="009F1B9F" w:rsidP="007F13E7"/>
  </w:endnote>
  <w:endnote w:type="continuationSeparator" w:id="0">
    <w:p w14:paraId="522CCBA4" w14:textId="77777777" w:rsidR="009F1B9F" w:rsidRDefault="009F1B9F" w:rsidP="007F13E7">
      <w:r>
        <w:continuationSeparator/>
      </w:r>
    </w:p>
    <w:p w14:paraId="1B8D218E" w14:textId="77777777" w:rsidR="009F1B9F" w:rsidRDefault="009F1B9F" w:rsidP="007F13E7"/>
    <w:p w14:paraId="104D094C" w14:textId="77777777" w:rsidR="009F1B9F" w:rsidRDefault="009F1B9F" w:rsidP="007F13E7"/>
  </w:endnote>
  <w:endnote w:type="continuationNotice" w:id="1">
    <w:p w14:paraId="6C9A4449" w14:textId="77777777" w:rsidR="009F1B9F" w:rsidRDefault="009F1B9F" w:rsidP="007F1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Myriad Pro Cond">
    <w:altName w:val="Arial"/>
    <w:panose1 w:val="00000000000000000000"/>
    <w:charset w:val="00"/>
    <w:family w:val="swiss"/>
    <w:notTrueType/>
    <w:pitch w:val="variable"/>
    <w:sig w:usb0="A00002AF" w:usb1="5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582047"/>
      <w:docPartObj>
        <w:docPartGallery w:val="Page Numbers (Bottom of Page)"/>
        <w:docPartUnique/>
      </w:docPartObj>
    </w:sdtPr>
    <w:sdtEndPr/>
    <w:sdtContent>
      <w:p w14:paraId="447D1480" w14:textId="394F5CE2" w:rsidR="00C634EA" w:rsidRDefault="00C634EA">
        <w:pPr>
          <w:pStyle w:val="Podnoje"/>
          <w:jc w:val="center"/>
        </w:pPr>
        <w:r>
          <w:fldChar w:fldCharType="begin"/>
        </w:r>
        <w:r>
          <w:instrText>PAGE   \* MERGEFORMAT</w:instrText>
        </w:r>
        <w:r>
          <w:fldChar w:fldCharType="separate"/>
        </w:r>
        <w:r w:rsidR="00A50909">
          <w:rPr>
            <w:noProof/>
          </w:rPr>
          <w:t>21</w:t>
        </w:r>
        <w:r>
          <w:fldChar w:fldCharType="end"/>
        </w:r>
      </w:p>
    </w:sdtContent>
  </w:sdt>
  <w:p w14:paraId="0D884CCB" w14:textId="77777777" w:rsidR="00C634EA" w:rsidRDefault="00C634E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AF4A2" w14:textId="77777777" w:rsidR="00C634EA" w:rsidRPr="009C2AF5" w:rsidRDefault="00C634EA" w:rsidP="007F13E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62FCC" w14:textId="77777777" w:rsidR="009F1B9F" w:rsidRDefault="009F1B9F" w:rsidP="007F13E7">
      <w:r>
        <w:separator/>
      </w:r>
    </w:p>
  </w:footnote>
  <w:footnote w:type="continuationSeparator" w:id="0">
    <w:p w14:paraId="60A975FE" w14:textId="77777777" w:rsidR="009F1B9F" w:rsidRDefault="009F1B9F" w:rsidP="007F13E7">
      <w:r>
        <w:continuationSeparator/>
      </w:r>
    </w:p>
  </w:footnote>
  <w:footnote w:type="continuationNotice" w:id="1">
    <w:p w14:paraId="5A65FEEB" w14:textId="77777777" w:rsidR="009F1B9F" w:rsidRDefault="009F1B9F" w:rsidP="007F13E7"/>
  </w:footnote>
  <w:footnote w:id="2">
    <w:p w14:paraId="2B4FF28B" w14:textId="77777777" w:rsidR="00C634EA" w:rsidRPr="00E031CB" w:rsidRDefault="00C634EA">
      <w:pPr>
        <w:pStyle w:val="Tekstfusnote"/>
      </w:pPr>
      <w:r>
        <w:rPr>
          <w:rStyle w:val="Referencafusnote"/>
        </w:rPr>
        <w:footnoteRef/>
      </w:r>
      <w:r>
        <w:t xml:space="preserve"> </w:t>
      </w:r>
      <w:sdt>
        <w:sdtPr>
          <w:id w:val="-957866934"/>
          <w:citation/>
        </w:sdtPr>
        <w:sdtEndPr/>
        <w:sdtContent>
          <w:r>
            <w:fldChar w:fldCharType="begin"/>
          </w:r>
          <w:r>
            <w:rPr>
              <w:lang w:val="de-DE"/>
            </w:rPr>
            <w:instrText xml:space="preserve">CITATION NECP \l 1033 </w:instrText>
          </w:r>
          <w:r>
            <w:fldChar w:fldCharType="separate"/>
          </w:r>
          <w:r>
            <w:rPr>
              <w:noProof/>
              <w:lang w:val="de-DE"/>
            </w:rPr>
            <w:t>(Vlada RH, 2019.)</w:t>
          </w:r>
          <w:r>
            <w:fldChar w:fldCharType="end"/>
          </w:r>
        </w:sdtContent>
      </w:sdt>
      <w:r>
        <w:t xml:space="preserve"> 2021. – 2030. ukupno 10.930.698 m² novih zgrada, 2031. – 2040. 14.721.602 m², </w:t>
      </w:r>
    </w:p>
  </w:footnote>
  <w:footnote w:id="3">
    <w:p w14:paraId="35189AA9" w14:textId="77777777" w:rsidR="00C634EA" w:rsidRDefault="00C634EA" w:rsidP="00A91662">
      <w:pPr>
        <w:pStyle w:val="Tekstfusnote"/>
      </w:pPr>
      <w:r>
        <w:rPr>
          <w:rStyle w:val="Referencafusnote"/>
          <w:rFonts w:cs="Myriad Pro"/>
        </w:rPr>
        <w:footnoteRef/>
      </w:r>
      <w:r w:rsidRPr="00334A49">
        <w:t xml:space="preserve"> Odluka o diskontnoj (eskontnoj) stopi HNB, Narodne novine 66/2011</w:t>
      </w:r>
    </w:p>
  </w:footnote>
  <w:footnote w:id="4">
    <w:p w14:paraId="0BF208E9" w14:textId="77777777" w:rsidR="00C634EA" w:rsidRDefault="00C634EA" w:rsidP="007E50D7">
      <w:pPr>
        <w:pStyle w:val="Tekstfusnote"/>
      </w:pPr>
      <w:r w:rsidRPr="00336D7B">
        <w:rPr>
          <w:rStyle w:val="Referencafusnote"/>
          <w:rFonts w:cs="Myriad Pro"/>
          <w:i w:val="0"/>
          <w:szCs w:val="16"/>
        </w:rPr>
        <w:footnoteRef/>
      </w:r>
      <w:r w:rsidRPr="00336D7B">
        <w:rPr>
          <w:i w:val="0"/>
          <w:szCs w:val="16"/>
        </w:rPr>
        <w:t xml:space="preserve">Ministarstvo gospodarstva, poduzetništva i obrta (2014.), dostupno na: </w:t>
      </w:r>
      <w:hyperlink r:id="rId1" w:history="1">
        <w:r w:rsidRPr="00336D7B">
          <w:rPr>
            <w:rStyle w:val="Hiperveza"/>
            <w:i w:val="0"/>
            <w:szCs w:val="16"/>
          </w:rPr>
          <w:t>https://www.mingo.hr/public/investicije/OPKK_2014_2020_31316.pdf [2017</w:t>
        </w:r>
      </w:hyperlink>
      <w:r w:rsidRPr="00336D7B">
        <w:rPr>
          <w:i w:val="0"/>
          <w:szCs w:val="16"/>
        </w:rPr>
        <w:t xml:space="preserve">.] </w:t>
      </w:r>
    </w:p>
  </w:footnote>
  <w:footnote w:id="5">
    <w:p w14:paraId="5F4C7902" w14:textId="77777777" w:rsidR="00C634EA" w:rsidRDefault="00C634EA" w:rsidP="007E50D7">
      <w:r w:rsidRPr="00336D7B">
        <w:rPr>
          <w:rStyle w:val="Referencafusnote"/>
          <w:rFonts w:cs="Myriad Pro"/>
          <w:sz w:val="16"/>
          <w:szCs w:val="16"/>
        </w:rPr>
        <w:footnoteRef/>
      </w:r>
      <w:r w:rsidRPr="00336D7B">
        <w:rPr>
          <w:sz w:val="16"/>
          <w:szCs w:val="16"/>
        </w:rPr>
        <w:t xml:space="preserve">Ministarstvo regionalnoga razvoja i fondova Europske unije (2017.), dostupno na: </w:t>
      </w:r>
      <w:hyperlink r:id="rId2" w:history="1">
        <w:r w:rsidRPr="00336D7B">
          <w:rPr>
            <w:rStyle w:val="Hiperveza"/>
            <w:sz w:val="16"/>
            <w:szCs w:val="16"/>
          </w:rPr>
          <w:t>http://www.strukturnifondovi.hr/UserDocsImages/Publikacije/Instrument_pretpristupne_pomoci_IPA.pdf</w:t>
        </w:r>
      </w:hyperlink>
      <w:r w:rsidRPr="00336D7B">
        <w:rPr>
          <w:sz w:val="16"/>
          <w:szCs w:val="16"/>
        </w:rPr>
        <w:t xml:space="preserve"> [30. travnja, 2017.]</w:t>
      </w:r>
    </w:p>
  </w:footnote>
  <w:footnote w:id="6">
    <w:p w14:paraId="13CB1B92" w14:textId="77777777" w:rsidR="00C634EA" w:rsidRDefault="00C634EA" w:rsidP="007E50D7">
      <w:r w:rsidRPr="00336D7B">
        <w:rPr>
          <w:rStyle w:val="Referencafusnote"/>
          <w:rFonts w:cs="Myriad Pro"/>
          <w:sz w:val="16"/>
          <w:szCs w:val="16"/>
        </w:rPr>
        <w:footnoteRef/>
      </w:r>
      <w:r w:rsidRPr="00336D7B">
        <w:rPr>
          <w:sz w:val="16"/>
          <w:szCs w:val="16"/>
        </w:rPr>
        <w:t xml:space="preserve">Europska komisija (2014.), dostupno na: </w:t>
      </w:r>
      <w:hyperlink r:id="rId3" w:history="1">
        <w:r w:rsidRPr="00336D7B">
          <w:rPr>
            <w:rStyle w:val="Hiperveza"/>
            <w:sz w:val="16"/>
            <w:szCs w:val="16"/>
          </w:rPr>
          <w:t>http://www.concertoplus.eu/</w:t>
        </w:r>
      </w:hyperlink>
      <w:r w:rsidRPr="00336D7B">
        <w:rPr>
          <w:sz w:val="16"/>
          <w:szCs w:val="16"/>
        </w:rPr>
        <w:t xml:space="preserve"> </w:t>
      </w:r>
      <w:bookmarkStart w:id="111" w:name="_Hlk483400477"/>
      <w:r w:rsidRPr="00336D7B">
        <w:rPr>
          <w:sz w:val="16"/>
          <w:szCs w:val="16"/>
        </w:rPr>
        <w:t>[30. travnja, 2017.]</w:t>
      </w:r>
      <w:bookmarkEnd w:id="111"/>
    </w:p>
  </w:footnote>
  <w:footnote w:id="7">
    <w:p w14:paraId="71ED5B58" w14:textId="77777777" w:rsidR="00C634EA" w:rsidRDefault="00C634EA" w:rsidP="007E50D7">
      <w:pPr>
        <w:pStyle w:val="Tekstfusnote"/>
      </w:pPr>
      <w:r w:rsidRPr="00336D7B">
        <w:rPr>
          <w:rStyle w:val="Referencafusnote"/>
          <w:rFonts w:cs="Myriad Pro"/>
          <w:i w:val="0"/>
          <w:szCs w:val="16"/>
        </w:rPr>
        <w:footnoteRef/>
      </w:r>
      <w:r w:rsidRPr="00336D7B">
        <w:rPr>
          <w:i w:val="0"/>
          <w:szCs w:val="16"/>
        </w:rPr>
        <w:t xml:space="preserve">Europska komisija (2014.), dostupno na: </w:t>
      </w:r>
      <w:hyperlink r:id="rId4" w:history="1">
        <w:r w:rsidRPr="00336D7B">
          <w:rPr>
            <w:rStyle w:val="Hiperveza"/>
            <w:i w:val="0"/>
            <w:szCs w:val="16"/>
          </w:rPr>
          <w:t>http://ec.europa.eu/cip/</w:t>
        </w:r>
      </w:hyperlink>
      <w:r w:rsidRPr="00336D7B">
        <w:rPr>
          <w:i w:val="0"/>
          <w:szCs w:val="16"/>
        </w:rPr>
        <w:t xml:space="preserve"> [30. travnja, 2017.]</w:t>
      </w:r>
    </w:p>
  </w:footnote>
  <w:footnote w:id="8">
    <w:p w14:paraId="39D63EB9" w14:textId="77777777" w:rsidR="00C634EA" w:rsidRDefault="00C634EA" w:rsidP="007E50D7">
      <w:pPr>
        <w:pStyle w:val="Tekstfusnote"/>
      </w:pPr>
      <w:r w:rsidRPr="00336D7B">
        <w:rPr>
          <w:rStyle w:val="Referencafusnote"/>
          <w:rFonts w:cs="Myriad Pro"/>
          <w:i w:val="0"/>
          <w:szCs w:val="16"/>
        </w:rPr>
        <w:footnoteRef/>
      </w:r>
      <w:r w:rsidRPr="00336D7B">
        <w:rPr>
          <w:i w:val="0"/>
          <w:szCs w:val="16"/>
        </w:rPr>
        <w:t xml:space="preserve">Agencija za mobilnost i programe EU (2017.), dostupno na: </w:t>
      </w:r>
      <w:hyperlink r:id="rId5" w:history="1">
        <w:r w:rsidRPr="00336D7B">
          <w:rPr>
            <w:rStyle w:val="Hiperveza"/>
            <w:i w:val="0"/>
            <w:szCs w:val="16"/>
          </w:rPr>
          <w:t>http://www.obzor2020.hr/</w:t>
        </w:r>
      </w:hyperlink>
      <w:r w:rsidRPr="00336D7B">
        <w:rPr>
          <w:i w:val="0"/>
          <w:szCs w:val="16"/>
        </w:rPr>
        <w:t xml:space="preserve"> [2017.]</w:t>
      </w:r>
    </w:p>
  </w:footnote>
  <w:footnote w:id="9">
    <w:p w14:paraId="6B310D81" w14:textId="77777777" w:rsidR="00C634EA" w:rsidRDefault="00C634EA" w:rsidP="007E50D7">
      <w:pPr>
        <w:pStyle w:val="Tekstfusnote"/>
      </w:pPr>
      <w:r w:rsidRPr="00336D7B">
        <w:rPr>
          <w:rStyle w:val="Referencafusnote"/>
          <w:rFonts w:cs="Myriad Pro"/>
          <w:i w:val="0"/>
          <w:szCs w:val="16"/>
        </w:rPr>
        <w:footnoteRef/>
      </w:r>
      <w:r w:rsidRPr="00336D7B">
        <w:rPr>
          <w:i w:val="0"/>
          <w:szCs w:val="16"/>
        </w:rPr>
        <w:t xml:space="preserve">Fond za zaštitu okoliša i energetsku učinkovitost (2017.), dostupno na: </w:t>
      </w:r>
      <w:hyperlink r:id="rId6" w:history="1">
        <w:r w:rsidRPr="00336D7B">
          <w:rPr>
            <w:rStyle w:val="Hiperveza"/>
            <w:i w:val="0"/>
            <w:szCs w:val="16"/>
          </w:rPr>
          <w:t>http://www.fzoeu.hr/hr/energetska_ucinkovitost/enu_u_zgradarstvu/</w:t>
        </w:r>
      </w:hyperlink>
      <w:r w:rsidRPr="00336D7B">
        <w:rPr>
          <w:i w:val="0"/>
          <w:szCs w:val="16"/>
        </w:rPr>
        <w:t xml:space="preserve"> [2017.]</w:t>
      </w:r>
    </w:p>
  </w:footnote>
  <w:footnote w:id="10">
    <w:p w14:paraId="53E006F2" w14:textId="77777777" w:rsidR="00C634EA" w:rsidRDefault="00C634EA" w:rsidP="007E50D7">
      <w:pPr>
        <w:pStyle w:val="Tekstfusnote"/>
      </w:pPr>
      <w:r w:rsidRPr="00336D7B">
        <w:rPr>
          <w:rStyle w:val="Referencafusnote"/>
          <w:rFonts w:cs="Myriad Pro"/>
          <w:i w:val="0"/>
          <w:szCs w:val="16"/>
        </w:rPr>
        <w:footnoteRef/>
      </w:r>
      <w:r w:rsidRPr="00336D7B">
        <w:rPr>
          <w:i w:val="0"/>
          <w:szCs w:val="16"/>
        </w:rPr>
        <w:t xml:space="preserve">Hrvatska banka za obnovu i razvitak (2017.), dostupno na: </w:t>
      </w:r>
      <w:hyperlink r:id="rId7" w:history="1">
        <w:r w:rsidRPr="00336D7B">
          <w:rPr>
            <w:rStyle w:val="Hiperveza"/>
            <w:i w:val="0"/>
            <w:szCs w:val="16"/>
          </w:rPr>
          <w:t>https://www.hbor.hr/wp-content/uploads/2017/05/Za%C5%A1tita-okoli%C5%A1a-Pk-projekata-za%C5%A1tite-okoli%C5%A1a-energetske-u%C4%8Dinkovitosti -1612-1704.pdf</w:t>
        </w:r>
      </w:hyperlink>
      <w:r w:rsidRPr="00336D7B">
        <w:rPr>
          <w:i w:val="0"/>
          <w:szCs w:val="16"/>
        </w:rPr>
        <w:t xml:space="preserve"> [2017.]</w:t>
      </w:r>
    </w:p>
  </w:footnote>
  <w:footnote w:id="11">
    <w:p w14:paraId="54776022" w14:textId="77777777" w:rsidR="00C634EA" w:rsidRDefault="00C634EA" w:rsidP="007E50D7">
      <w:pPr>
        <w:pStyle w:val="Tekstfusnote"/>
      </w:pPr>
      <w:r w:rsidRPr="00336D7B">
        <w:rPr>
          <w:rStyle w:val="Referencafusnote"/>
          <w:rFonts w:cs="Myriad Pro"/>
          <w:i w:val="0"/>
          <w:szCs w:val="16"/>
        </w:rPr>
        <w:footnoteRef/>
      </w:r>
      <w:r w:rsidRPr="00336D7B">
        <w:rPr>
          <w:i w:val="0"/>
          <w:szCs w:val="16"/>
        </w:rPr>
        <w:t xml:space="preserve">Europska banka za obnovu i razvoj (2017.), dostupno na: </w:t>
      </w:r>
      <w:hyperlink r:id="rId8" w:history="1">
        <w:r w:rsidRPr="00336D7B">
          <w:rPr>
            <w:rStyle w:val="Hiperveza"/>
            <w:i w:val="0"/>
            <w:szCs w:val="16"/>
          </w:rPr>
          <w:t>http://www.wb-reep.org/</w:t>
        </w:r>
      </w:hyperlink>
      <w:r w:rsidRPr="00336D7B">
        <w:rPr>
          <w:i w:val="0"/>
          <w:szCs w:val="16"/>
        </w:rPr>
        <w:t xml:space="preserve"> [2017.]</w:t>
      </w:r>
    </w:p>
  </w:footnote>
  <w:footnote w:id="12">
    <w:p w14:paraId="02AFD99D" w14:textId="77777777" w:rsidR="00C634EA" w:rsidRDefault="00C634EA" w:rsidP="007E50D7">
      <w:pPr>
        <w:pStyle w:val="Tekstfusnote"/>
      </w:pPr>
      <w:r w:rsidRPr="00336D7B">
        <w:rPr>
          <w:rStyle w:val="Referencafusnote"/>
          <w:rFonts w:cs="Myriad Pro"/>
          <w:i w:val="0"/>
          <w:szCs w:val="16"/>
        </w:rPr>
        <w:footnoteRef/>
      </w:r>
      <w:r w:rsidRPr="00336D7B">
        <w:rPr>
          <w:i w:val="0"/>
          <w:szCs w:val="16"/>
        </w:rPr>
        <w:t xml:space="preserve">UNDP Projekt Poticanja energetske efikasnosti u Hrvatskoj (2012.), dostupno na: </w:t>
      </w:r>
      <w:hyperlink r:id="rId9" w:history="1">
        <w:r w:rsidRPr="00336D7B">
          <w:rPr>
            <w:rStyle w:val="Hiperveza"/>
            <w:i w:val="0"/>
            <w:szCs w:val="16"/>
          </w:rPr>
          <w:t>http://www.enu.fzoeu.hr/</w:t>
        </w:r>
      </w:hyperlink>
      <w:r w:rsidRPr="00336D7B">
        <w:rPr>
          <w:i w:val="0"/>
          <w:szCs w:val="16"/>
        </w:rPr>
        <w:t xml:space="preserve"> [2012.]</w:t>
      </w:r>
    </w:p>
  </w:footnote>
  <w:footnote w:id="13">
    <w:p w14:paraId="2F3C06AC" w14:textId="77777777" w:rsidR="00C634EA" w:rsidRDefault="00C634EA" w:rsidP="007E50D7">
      <w:r w:rsidRPr="00336D7B">
        <w:rPr>
          <w:sz w:val="16"/>
          <w:szCs w:val="16"/>
          <w:vertAlign w:val="superscript"/>
        </w:rPr>
        <w:footnoteRef/>
      </w:r>
      <w:r w:rsidRPr="00336D7B">
        <w:rPr>
          <w:sz w:val="16"/>
          <w:szCs w:val="16"/>
        </w:rPr>
        <w:t xml:space="preserve">Poslovno-inovacijska agencija Republike Hrvatske (2013.), dostupno na: </w:t>
      </w:r>
      <w:hyperlink r:id="rId10" w:history="1">
        <w:r w:rsidRPr="00336D7B">
          <w:rPr>
            <w:rStyle w:val="Hiperveza"/>
            <w:sz w:val="16"/>
            <w:szCs w:val="16"/>
          </w:rPr>
          <w:t>http://www.hamagbicro.hr/inovacije/javni-sektor/test/</w:t>
        </w:r>
      </w:hyperlink>
      <w:r w:rsidRPr="00336D7B">
        <w:rPr>
          <w:sz w:val="16"/>
          <w:szCs w:val="16"/>
        </w:rPr>
        <w:t xml:space="preserve"> [31. prosinca, 2013.]</w:t>
      </w:r>
    </w:p>
  </w:footnote>
  <w:footnote w:id="14">
    <w:p w14:paraId="2CD8B587" w14:textId="77777777" w:rsidR="00C634EA" w:rsidRDefault="00C634EA" w:rsidP="007E50D7">
      <w:r w:rsidRPr="00336D7B">
        <w:rPr>
          <w:sz w:val="16"/>
          <w:szCs w:val="16"/>
          <w:vertAlign w:val="superscript"/>
        </w:rPr>
        <w:footnoteRef/>
      </w:r>
      <w:r w:rsidRPr="00336D7B">
        <w:rPr>
          <w:sz w:val="16"/>
          <w:szCs w:val="16"/>
        </w:rPr>
        <w:t xml:space="preserve">Ministarstvo gospodarstva, poduzetništva i obrta (2012.), dostupno na: </w:t>
      </w:r>
      <w:hyperlink r:id="rId11" w:history="1">
        <w:r w:rsidRPr="00336D7B">
          <w:rPr>
            <w:rStyle w:val="Hiperveza"/>
            <w:sz w:val="16"/>
            <w:szCs w:val="16"/>
          </w:rPr>
          <w:t>http://www.mingo.hr/userdocsimages/STRATE%C5%A0KI%20PLAN%20MINGO%202013-2015%20kona%C4%8Dno.doc</w:t>
        </w:r>
      </w:hyperlink>
      <w:r w:rsidRPr="00336D7B">
        <w:rPr>
          <w:sz w:val="16"/>
          <w:szCs w:val="16"/>
        </w:rPr>
        <w:t xml:space="preserve"> </w:t>
      </w:r>
      <w:bookmarkStart w:id="112" w:name="_Hlk483401321"/>
      <w:bookmarkStart w:id="113" w:name="_Hlk483400290"/>
      <w:r w:rsidRPr="00336D7B">
        <w:rPr>
          <w:sz w:val="16"/>
          <w:szCs w:val="16"/>
        </w:rPr>
        <w:t>[30. travnja, 2017.]</w:t>
      </w:r>
      <w:bookmarkEnd w:id="112"/>
      <w:bookmarkEnd w:id="113"/>
    </w:p>
  </w:footnote>
  <w:footnote w:id="15">
    <w:p w14:paraId="10B8B9A3" w14:textId="77777777" w:rsidR="00C634EA" w:rsidRDefault="00C634EA" w:rsidP="007E50D7">
      <w:pPr>
        <w:pStyle w:val="Tekstfusnote"/>
      </w:pPr>
      <w:r w:rsidRPr="00336D7B">
        <w:rPr>
          <w:rStyle w:val="Referencafusnote"/>
          <w:rFonts w:cs="Myriad Pro"/>
          <w:szCs w:val="16"/>
        </w:rPr>
        <w:footnoteRef/>
      </w:r>
      <w:r w:rsidRPr="00336D7B">
        <w:rPr>
          <w:szCs w:val="16"/>
        </w:rPr>
        <w:t xml:space="preserve">Ministarstvo znanosti i obrazovanja (2008.), dostupno na: </w:t>
      </w:r>
      <w:hyperlink r:id="rId12" w:history="1">
        <w:r w:rsidRPr="00336D7B">
          <w:rPr>
            <w:rStyle w:val="Hiperveza"/>
            <w:szCs w:val="16"/>
          </w:rPr>
          <w:t>http://novebojeznanja.hr/UserDocsImages/Dokumenti%20i%20publikacije/Dokumenti%20i%20publikacije%20referirani%20u%20SOZTu%20(popis%201)/146%20Akcijski%20plan%20za%20poticanje%20ulaganja%20u%20znanost%20i%20istra%C5%BEivanje.pdf</w:t>
        </w:r>
      </w:hyperlink>
      <w:r w:rsidRPr="00336D7B">
        <w:rPr>
          <w:szCs w:val="16"/>
        </w:rPr>
        <w:t xml:space="preserve"> [30. travnja, 2008.]</w:t>
      </w:r>
    </w:p>
  </w:footnote>
  <w:footnote w:id="16">
    <w:p w14:paraId="19B66188" w14:textId="77777777" w:rsidR="00C634EA" w:rsidRDefault="00C634EA" w:rsidP="007E50D7">
      <w:r w:rsidRPr="00336D7B">
        <w:rPr>
          <w:sz w:val="16"/>
          <w:szCs w:val="16"/>
          <w:vertAlign w:val="superscript"/>
        </w:rPr>
        <w:footnoteRef/>
      </w:r>
      <w:r w:rsidRPr="00336D7B">
        <w:rPr>
          <w:sz w:val="16"/>
          <w:szCs w:val="16"/>
        </w:rPr>
        <w:t xml:space="preserve">Ministarstvo gospodarstva, poduzetništva i obrta (2016.), dostupno na: </w:t>
      </w:r>
      <w:hyperlink r:id="rId13" w:history="1">
        <w:r w:rsidRPr="00336D7B">
          <w:rPr>
            <w:rStyle w:val="Hiperveza"/>
            <w:sz w:val="16"/>
            <w:szCs w:val="16"/>
          </w:rPr>
          <w:t>http://www.strukturnifondovi.hr/natjecaji/1276</w:t>
        </w:r>
      </w:hyperlink>
      <w:r w:rsidRPr="00336D7B">
        <w:rPr>
          <w:sz w:val="16"/>
          <w:szCs w:val="16"/>
        </w:rPr>
        <w:t xml:space="preserve">  [30. rujna, 2016.]</w:t>
      </w:r>
    </w:p>
  </w:footnote>
  <w:footnote w:id="17">
    <w:p w14:paraId="04C8648B" w14:textId="77777777" w:rsidR="00C634EA" w:rsidRDefault="00C634EA" w:rsidP="007E50D7">
      <w:pPr>
        <w:pStyle w:val="Tekstfusnote"/>
      </w:pPr>
      <w:r w:rsidRPr="00336D7B">
        <w:rPr>
          <w:rStyle w:val="Referencafusnote"/>
          <w:rFonts w:cs="Myriad Pro"/>
          <w:szCs w:val="16"/>
        </w:rPr>
        <w:footnoteRef/>
      </w:r>
      <w:r w:rsidRPr="00336D7B">
        <w:rPr>
          <w:szCs w:val="16"/>
        </w:rPr>
        <w:t xml:space="preserve">Sveučilište u Zagrebu, Građevinski fakultet (2015.), dostupno na: </w:t>
      </w:r>
      <w:hyperlink r:id="rId14" w:history="1">
        <w:r w:rsidRPr="00336D7B">
          <w:rPr>
            <w:rStyle w:val="Hiperveza"/>
            <w:szCs w:val="16"/>
          </w:rPr>
          <w:t>http://www.eco-sandwich.hr/hr/</w:t>
        </w:r>
      </w:hyperlink>
    </w:p>
  </w:footnote>
  <w:footnote w:id="18">
    <w:p w14:paraId="16C5DC93" w14:textId="77777777" w:rsidR="00C634EA" w:rsidRDefault="00C634EA" w:rsidP="007E50D7">
      <w:r w:rsidRPr="00336D7B">
        <w:rPr>
          <w:sz w:val="16"/>
          <w:szCs w:val="16"/>
          <w:vertAlign w:val="superscript"/>
        </w:rPr>
        <w:footnoteRef/>
      </w:r>
      <w:r w:rsidRPr="00336D7B">
        <w:rPr>
          <w:sz w:val="16"/>
          <w:szCs w:val="16"/>
        </w:rPr>
        <w:t xml:space="preserve">European Union, dostupno na: </w:t>
      </w:r>
      <w:hyperlink r:id="rId15" w:history="1">
        <w:r w:rsidRPr="00336D7B">
          <w:rPr>
            <w:rStyle w:val="Hiperveza"/>
            <w:sz w:val="16"/>
            <w:szCs w:val="16"/>
          </w:rPr>
          <w:t>https://ec.europa.eu/info/funding-tenders_en</w:t>
        </w:r>
      </w:hyperlink>
      <w:r w:rsidRPr="00336D7B">
        <w:rPr>
          <w:sz w:val="16"/>
          <w:szCs w:val="16"/>
        </w:rPr>
        <w:t xml:space="preserve"> [30. travnja, 2017.]</w:t>
      </w:r>
    </w:p>
  </w:footnote>
  <w:footnote w:id="19">
    <w:p w14:paraId="3FABB018" w14:textId="77777777" w:rsidR="00C634EA" w:rsidRDefault="00C634EA" w:rsidP="007E50D7">
      <w:pPr>
        <w:pStyle w:val="Tekstfusnote"/>
      </w:pPr>
      <w:r w:rsidRPr="00336D7B">
        <w:rPr>
          <w:rStyle w:val="Referencafusnote"/>
          <w:rFonts w:cs="Myriad Pro"/>
          <w:szCs w:val="16"/>
        </w:rPr>
        <w:footnoteRef/>
      </w:r>
      <w:r w:rsidRPr="00336D7B">
        <w:rPr>
          <w:szCs w:val="16"/>
        </w:rPr>
        <w:t xml:space="preserve">EU projekt BUILD UPON, dostupno na: </w:t>
      </w:r>
      <w:hyperlink r:id="rId16" w:history="1">
        <w:r w:rsidRPr="00336D7B">
          <w:rPr>
            <w:rStyle w:val="Hiperveza"/>
            <w:szCs w:val="16"/>
          </w:rPr>
          <w:t>http://buildupon.eu/hr/</w:t>
        </w:r>
      </w:hyperlink>
      <w:r w:rsidRPr="00336D7B">
        <w:rPr>
          <w:szCs w:val="16"/>
        </w:rPr>
        <w:t xml:space="preserve"> </w:t>
      </w:r>
    </w:p>
  </w:footnote>
  <w:footnote w:id="20">
    <w:p w14:paraId="388F6781" w14:textId="77777777" w:rsidR="00C634EA" w:rsidRDefault="00C634EA" w:rsidP="007E50D7">
      <w:pPr>
        <w:jc w:val="left"/>
      </w:pPr>
      <w:r w:rsidRPr="00336D7B">
        <w:rPr>
          <w:sz w:val="16"/>
          <w:szCs w:val="16"/>
          <w:vertAlign w:val="superscript"/>
        </w:rPr>
        <w:footnoteRef/>
      </w:r>
      <w:r w:rsidRPr="00336D7B">
        <w:rPr>
          <w:sz w:val="16"/>
          <w:szCs w:val="16"/>
        </w:rPr>
        <w:t xml:space="preserve">European Union, dostupno na: </w:t>
      </w:r>
      <w:hyperlink r:id="rId17" w:history="1">
        <w:r w:rsidRPr="00336D7B">
          <w:rPr>
            <w:rStyle w:val="Hiperveza"/>
            <w:sz w:val="16"/>
            <w:szCs w:val="16"/>
          </w:rPr>
          <w:t>http://ec.europa.eu/programmes/horizon2020/</w:t>
        </w:r>
      </w:hyperlink>
      <w:r w:rsidRPr="00336D7B">
        <w:rPr>
          <w:sz w:val="16"/>
          <w:szCs w:val="16"/>
        </w:rPr>
        <w:t xml:space="preserve"> [30. travnja, 2017.]</w:t>
      </w:r>
    </w:p>
  </w:footnote>
  <w:footnote w:id="21">
    <w:p w14:paraId="70829115" w14:textId="77777777" w:rsidR="00C634EA" w:rsidRPr="00334A49" w:rsidRDefault="00C634EA">
      <w:pPr>
        <w:pStyle w:val="Tekstfusnote"/>
        <w:rPr>
          <w:lang w:val="de-DE"/>
        </w:rPr>
      </w:pPr>
      <w:r>
        <w:rPr>
          <w:rStyle w:val="Referencafusnote"/>
        </w:rPr>
        <w:footnoteRef/>
      </w:r>
      <w:r>
        <w:t xml:space="preserve"> </w:t>
      </w:r>
      <w:r w:rsidRPr="00334A49">
        <w:rPr>
          <w:lang w:val="de-DE"/>
        </w:rPr>
        <w:t xml:space="preserve">Izvor: </w:t>
      </w:r>
      <w:hyperlink r:id="rId18" w:history="1">
        <w:r w:rsidRPr="00334A49">
          <w:rPr>
            <w:rStyle w:val="Hiperveza"/>
            <w:rFonts w:cs="Myriad Pro"/>
            <w:lang w:val="de-DE"/>
          </w:rPr>
          <w:t>https://mgipu.gov.hr/UserDocsImages/dokumenti/EnergetskaUcinkovitost/1_Otvoreni_dijalog_5_IKS.pdf</w:t>
        </w:r>
      </w:hyperlink>
      <w:r w:rsidRPr="00334A49">
        <w:rPr>
          <w:lang w:val="de-DE"/>
        </w:rPr>
        <w:t xml:space="preserve"> </w:t>
      </w:r>
    </w:p>
  </w:footnote>
  <w:footnote w:id="22">
    <w:p w14:paraId="5C04CEEF" w14:textId="77777777" w:rsidR="00C634EA" w:rsidRPr="00334A49" w:rsidRDefault="00C634EA">
      <w:pPr>
        <w:pStyle w:val="Tekstfusnote"/>
      </w:pPr>
      <w:r>
        <w:rPr>
          <w:rStyle w:val="Referencafusnote"/>
        </w:rPr>
        <w:footnoteRef/>
      </w:r>
      <w:r>
        <w:t xml:space="preserve"> Cjelovita ili dubinska obnova je, prema Zakona o gradnji (NN br. </w:t>
      </w:r>
      <w:r w:rsidRPr="00421A8B">
        <w:t>153/13, 20/17, 39/19, 125/19</w:t>
      </w:r>
      <w:r>
        <w:t>), u Hrvatskoj definirana kao energetska obnova zgrade koja obuhvaća mjere energetske učinkovitosti na ovojnici i tehničkim sustavima te rezultira smanjenjem potrošnje energije za grijanje (Q</w:t>
      </w:r>
      <w:r>
        <w:rPr>
          <w:vertAlign w:val="subscript"/>
        </w:rPr>
        <w:t>H,nd</w:t>
      </w:r>
      <w:r>
        <w:t>) i primarne energije (E</w:t>
      </w:r>
      <w:r>
        <w:rPr>
          <w:vertAlign w:val="subscript"/>
        </w:rPr>
        <w:t>prim</w:t>
      </w:r>
      <w:r>
        <w:t>) na godišnjoj razini [kWh/(m</w:t>
      </w:r>
      <w:r>
        <w:rPr>
          <w:vertAlign w:val="superscript"/>
        </w:rPr>
        <w:t>2</w:t>
      </w:r>
      <w:r>
        <w:t>·a)] od najmanje 50 % u odnosu na potrošnju energije prije obnove.</w:t>
      </w:r>
    </w:p>
  </w:footnote>
  <w:footnote w:id="23">
    <w:p w14:paraId="3F838DDA" w14:textId="77777777" w:rsidR="00C634EA" w:rsidRDefault="00C634EA" w:rsidP="007D21A2">
      <w:pPr>
        <w:pStyle w:val="Tekstfusnote"/>
      </w:pPr>
      <w:r w:rsidRPr="004820AD">
        <w:rPr>
          <w:rStyle w:val="Referencafusnote"/>
          <w:rFonts w:cs="Myriad Pro"/>
          <w:i w:val="0"/>
          <w:szCs w:val="16"/>
        </w:rPr>
        <w:footnoteRef/>
      </w:r>
      <w:r w:rsidRPr="004820AD">
        <w:rPr>
          <w:i w:val="0"/>
          <w:szCs w:val="16"/>
        </w:rPr>
        <w:t>Istraživanje je provedeno u Irskoj 2012. godine na uzorku od 20.000 nekretnina, izvor: Martin Vaché, Institut Wohnen und Umwelt, Darmstadt</w:t>
      </w:r>
    </w:p>
  </w:footnote>
  <w:footnote w:id="24">
    <w:p w14:paraId="34E5B4AB" w14:textId="77777777" w:rsidR="00C634EA" w:rsidRDefault="00C634EA" w:rsidP="00482834">
      <w:r w:rsidRPr="00DE47AE">
        <w:rPr>
          <w:i/>
          <w:iCs/>
          <w:szCs w:val="16"/>
          <w:vertAlign w:val="superscript"/>
        </w:rPr>
        <w:footnoteRef/>
      </w:r>
      <w:r>
        <w:rPr>
          <w:sz w:val="16"/>
          <w:szCs w:val="16"/>
        </w:rPr>
        <w:t xml:space="preserve"> </w:t>
      </w:r>
      <w:r w:rsidRPr="00DE47AE">
        <w:rPr>
          <w:sz w:val="16"/>
          <w:szCs w:val="16"/>
        </w:rPr>
        <w:t>Building Performance Institute Europe – BPIE:Europe's Buildings under the Microscope, October 2011</w:t>
      </w:r>
    </w:p>
  </w:footnote>
  <w:footnote w:id="25">
    <w:p w14:paraId="6B50E11B" w14:textId="77777777" w:rsidR="00C634EA" w:rsidRDefault="00C634EA" w:rsidP="00482834">
      <w:pPr>
        <w:pStyle w:val="Tekstfusnote"/>
      </w:pPr>
      <w:r w:rsidRPr="008E359A">
        <w:rPr>
          <w:rStyle w:val="Referencafusnote"/>
          <w:rFonts w:cs="Myriad Pro"/>
          <w:i w:val="0"/>
          <w:szCs w:val="16"/>
        </w:rPr>
        <w:footnoteRef/>
      </w:r>
      <w:r>
        <w:rPr>
          <w:i w:val="0"/>
          <w:szCs w:val="16"/>
        </w:rPr>
        <w:t xml:space="preserve"> </w:t>
      </w:r>
      <w:r w:rsidRPr="008E359A">
        <w:rPr>
          <w:i w:val="0"/>
          <w:szCs w:val="16"/>
        </w:rPr>
        <w:t>Ugovor o projektiranju i izvođenju (Design and Build/D&amp;B) traži ekonomski najpovoljniju ponudu, koja će pritom garantirati funkcionalnu građevinu te da će se projektom smanjiti cjelokupni životni troškovi. Riječ je o modelu koji se odvija na način „ključ u ruke“. Javni partner raspisuje natječaj, a novac privatnom partneru isplaćuje tek po završetku projekta. Troškovni rizik i rizik kvalitete izgrađenog prenosi se na privatnog partnera, dok financiranje i troškove financiranja snosi javni partner.</w:t>
      </w:r>
    </w:p>
  </w:footnote>
  <w:footnote w:id="26">
    <w:p w14:paraId="18D8B29C" w14:textId="77777777" w:rsidR="00C634EA" w:rsidRDefault="00C634EA" w:rsidP="00482834">
      <w:pPr>
        <w:pStyle w:val="Tekstfusnote"/>
      </w:pPr>
      <w:r w:rsidRPr="008E359A">
        <w:rPr>
          <w:rStyle w:val="Referencafusnote"/>
          <w:rFonts w:cs="Myriad Pro"/>
          <w:i w:val="0"/>
          <w:szCs w:val="16"/>
        </w:rPr>
        <w:footnoteRef/>
      </w:r>
      <w:r>
        <w:rPr>
          <w:i w:val="0"/>
          <w:szCs w:val="16"/>
        </w:rPr>
        <w:t xml:space="preserve"> </w:t>
      </w:r>
      <w:r w:rsidRPr="008E359A">
        <w:rPr>
          <w:i w:val="0"/>
          <w:szCs w:val="16"/>
        </w:rPr>
        <w:t>Kod Ugovora o energetskom učinku javni partner raspisuje natječaj, privatni partner se prijavljuje na isti i dobiva ga u slučaju (kao i kod D&amp;B modela) da garantira ekonomski najpovoljnije uvjete u smislu smanjenja cjelokupnih životnih troškova na temelju planiranih energetskih ušteda. No, u ovom modelu privatni partner prvu uplatu dobiva tek nakon provedenog projekta rekonstrukcije i to na mjesečnoj osnovi za svaki mjesec idućih deset godina (ovisno na koliko se potpisuje ugovor) i to isključivo ako projekt pokazuje ostvarivanje planiranih energetskih ušteda, odnosno ako su isporučena energetske usluga i ostali standardi u skladu s ugovorenim uvjetima. U slučaju da se to ne dogodi privatni partner snosi rizik i dobiva manju naknadu od dogovorene, jer očito posao nije obavio onako dobro kako se obvezao ugovorom.</w:t>
      </w:r>
    </w:p>
  </w:footnote>
  <w:footnote w:id="27">
    <w:p w14:paraId="4C48D06E" w14:textId="77777777" w:rsidR="00C634EA" w:rsidRDefault="00C634EA">
      <w:pPr>
        <w:pStyle w:val="Tekstfusnote"/>
      </w:pPr>
      <w:r w:rsidRPr="008E359A">
        <w:rPr>
          <w:rStyle w:val="Referencafusnote"/>
          <w:rFonts w:cs="Myriad Pro"/>
          <w:i w:val="0"/>
        </w:rPr>
        <w:footnoteRef/>
      </w:r>
      <w:r>
        <w:t xml:space="preserve"> </w:t>
      </w:r>
      <w:r>
        <w:rPr>
          <w:i w:val="0"/>
        </w:rPr>
        <w:t xml:space="preserve">Više informacija na: </w:t>
      </w:r>
      <w:hyperlink r:id="rId19" w:history="1">
        <w:r w:rsidRPr="00785280">
          <w:rPr>
            <w:rStyle w:val="Hiperveza"/>
            <w:rFonts w:cs="Myriad Pro"/>
            <w:i w:val="0"/>
          </w:rPr>
          <w:t>http://apn.hr/energetska-obnova-zgrada-javnog-sektora/program-2016-2020/opcenito</w:t>
        </w:r>
      </w:hyperlink>
      <w:r>
        <w:rPr>
          <w:i w:val="0"/>
        </w:rPr>
        <w:t xml:space="preserve"> (datum pristupa: 07.11.2019.)</w:t>
      </w:r>
    </w:p>
  </w:footnote>
  <w:footnote w:id="28">
    <w:p w14:paraId="2070E9EC" w14:textId="77777777" w:rsidR="00C634EA" w:rsidRDefault="00C634EA" w:rsidP="00EA4139">
      <w:r>
        <w:rPr>
          <w:sz w:val="18"/>
          <w:szCs w:val="18"/>
          <w:vertAlign w:val="superscript"/>
        </w:rPr>
        <w:footnoteRef/>
      </w:r>
      <w:r>
        <w:rPr>
          <w:sz w:val="18"/>
          <w:szCs w:val="18"/>
        </w:rPr>
        <w:t>A guide to developing strategies for building energy renovation, BPIE, veljača 2013.</w:t>
      </w:r>
    </w:p>
  </w:footnote>
  <w:footnote w:id="29">
    <w:p w14:paraId="26CAD409" w14:textId="77777777" w:rsidR="00C634EA" w:rsidRDefault="00C634EA" w:rsidP="001449A5">
      <w:pPr>
        <w:pStyle w:val="Tekstfusnote"/>
        <w:jc w:val="left"/>
      </w:pPr>
      <w:r w:rsidRPr="00513F60">
        <w:rPr>
          <w:rStyle w:val="Referencafusnote"/>
          <w:rFonts w:cs="Myriad Pro"/>
          <w:sz w:val="18"/>
          <w:szCs w:val="18"/>
        </w:rPr>
        <w:footnoteRef/>
      </w:r>
      <w:r w:rsidRPr="00513F60">
        <w:rPr>
          <w:sz w:val="18"/>
          <w:szCs w:val="18"/>
        </w:rPr>
        <w:t>Institut za javne financije (2013): Analiza sustava poticanja stambene štednje u Republici Hrvatskoj. Zagr</w:t>
      </w:r>
      <w:r>
        <w:rPr>
          <w:sz w:val="18"/>
          <w:szCs w:val="18"/>
        </w:rPr>
        <w:t>eb: Institut za javne financije, d</w:t>
      </w:r>
      <w:r w:rsidRPr="00513F60">
        <w:rPr>
          <w:sz w:val="18"/>
          <w:szCs w:val="18"/>
        </w:rPr>
        <w:t xml:space="preserve">ostupno na: </w:t>
      </w:r>
      <w:hyperlink r:id="rId20" w:history="1">
        <w:r w:rsidRPr="00513F60">
          <w:rPr>
            <w:rStyle w:val="Hiperveza"/>
            <w:sz w:val="18"/>
            <w:szCs w:val="18"/>
          </w:rPr>
          <w:t>http://www.ijf.hr/upload/files/file/projekti/Analiza_sustava_poticanja_stambene_stednje_u_Republici_Hrvatskoj.pdf</w:t>
        </w:r>
      </w:hyperlink>
      <w:r w:rsidRPr="00513F60">
        <w:rPr>
          <w:sz w:val="18"/>
          <w:szCs w:val="18"/>
        </w:rPr>
        <w:t xml:space="preserve"> [1</w:t>
      </w:r>
      <w:r>
        <w:rPr>
          <w:sz w:val="18"/>
          <w:szCs w:val="18"/>
        </w:rPr>
        <w:t>0</w:t>
      </w:r>
      <w:r w:rsidRPr="00513F60">
        <w:rPr>
          <w:sz w:val="18"/>
          <w:szCs w:val="18"/>
        </w:rPr>
        <w:t>. svibnja 2017.]</w:t>
      </w:r>
    </w:p>
  </w:footnote>
  <w:footnote w:id="30">
    <w:p w14:paraId="4E3513D1" w14:textId="77777777" w:rsidR="00C634EA" w:rsidRDefault="00C634EA">
      <w:pPr>
        <w:pStyle w:val="Tekstfusnote"/>
      </w:pPr>
      <w:r>
        <w:rPr>
          <w:rStyle w:val="Referencafusnote"/>
          <w:rFonts w:cs="Myriad Pro"/>
        </w:rPr>
        <w:footnoteRef/>
      </w:r>
      <w:r>
        <w:t xml:space="preserve"> </w:t>
      </w:r>
      <w:r>
        <w:rPr>
          <w:lang w:val="en-GB"/>
        </w:rPr>
        <w:t>Izvor: “</w:t>
      </w:r>
      <w:r w:rsidRPr="008E756E">
        <w:rPr>
          <w:lang w:val="en-GB"/>
        </w:rPr>
        <w:t>Overcoming the split incentive barrier in the building sector</w:t>
      </w:r>
      <w:r>
        <w:rPr>
          <w:lang w:val="en-GB"/>
        </w:rPr>
        <w:t xml:space="preserve"> - </w:t>
      </w:r>
      <w:r w:rsidRPr="0069289E">
        <w:rPr>
          <w:lang w:val="en-GB"/>
        </w:rPr>
        <w:t>Unlockingthe energy efficiency potential in the rental &amp; multifamily sectors</w:t>
      </w:r>
      <w:r>
        <w:rPr>
          <w:lang w:val="en-GB"/>
        </w:rPr>
        <w:t>”, JRC, 2017</w:t>
      </w:r>
    </w:p>
  </w:footnote>
  <w:footnote w:id="31">
    <w:p w14:paraId="65461BC1" w14:textId="77777777" w:rsidR="00C634EA" w:rsidRDefault="00C634EA">
      <w:pPr>
        <w:pStyle w:val="Tekstfusnote"/>
      </w:pPr>
      <w:r>
        <w:rPr>
          <w:rStyle w:val="Referencafusnote"/>
          <w:rFonts w:cs="Myriad Pro"/>
        </w:rPr>
        <w:footnoteRef/>
      </w:r>
      <w:r>
        <w:t xml:space="preserve"> </w:t>
      </w:r>
      <w:r w:rsidRPr="00154C6D">
        <w:rPr>
          <w:lang w:val="de-DE"/>
        </w:rPr>
        <w:t xml:space="preserve">Izvor: </w:t>
      </w:r>
      <w:hyperlink r:id="rId21" w:history="1">
        <w:r w:rsidRPr="00154C6D">
          <w:rPr>
            <w:rStyle w:val="Hiperveza"/>
            <w:rFonts w:cs="Myriad Pro"/>
            <w:lang w:val="de-DE"/>
          </w:rPr>
          <w:t>https://www.statista.com/statistics/246355/home-ownership-rate-in-europe/</w:t>
        </w:r>
      </w:hyperlink>
      <w:r w:rsidRPr="00154C6D">
        <w:rPr>
          <w:lang w:val="de-DE"/>
        </w:rPr>
        <w:t xml:space="preserve"> (datum pristupa: 08.11.2019.)</w:t>
      </w:r>
    </w:p>
  </w:footnote>
  <w:footnote w:id="32">
    <w:p w14:paraId="4DA3AB5B" w14:textId="77777777" w:rsidR="00C634EA" w:rsidRPr="00334A49" w:rsidRDefault="00C634EA">
      <w:pPr>
        <w:pStyle w:val="Tekstfusnote"/>
      </w:pPr>
      <w:r>
        <w:rPr>
          <w:rStyle w:val="Referencafusnote"/>
        </w:rPr>
        <w:footnoteRef/>
      </w:r>
      <w:r>
        <w:t xml:space="preserve"> </w:t>
      </w:r>
      <w:r w:rsidRPr="00334A49">
        <w:t xml:space="preserve">Više informacija može se pronaći na: </w:t>
      </w:r>
      <w:hyperlink r:id="rId22" w:history="1">
        <w:r w:rsidRPr="00334A49">
          <w:rPr>
            <w:rStyle w:val="Hiperveza"/>
            <w:rFonts w:cs="Myriad Pro"/>
          </w:rPr>
          <w:t>https://mgipu.gov.hr/vijesti/drugi-otvoreni-dijalog-partnera-energetsko-siromastvo/8938</w:t>
        </w:r>
      </w:hyperlink>
      <w:r w:rsidRPr="00334A49">
        <w:t xml:space="preserve"> </w:t>
      </w:r>
    </w:p>
  </w:footnote>
  <w:footnote w:id="33">
    <w:p w14:paraId="1AF19FA6" w14:textId="77777777" w:rsidR="00C634EA" w:rsidRDefault="00C634EA" w:rsidP="00FA2B5B">
      <w:r>
        <w:rPr>
          <w:i/>
          <w:iCs/>
          <w:sz w:val="18"/>
          <w:vertAlign w:val="superscript"/>
        </w:rPr>
        <w:footnoteRef/>
      </w:r>
      <w:r>
        <w:rPr>
          <w:sz w:val="18"/>
          <w:szCs w:val="18"/>
        </w:rPr>
        <w:t xml:space="preserve"> Plan ciljeva energetske obnove za operativne Programe energetske obnove zgrada raznih tipologija, Ministarstvo graditeljstva i prostornoga uređenja prema Europskom putokazu do 2050. godine Europske komisije</w:t>
      </w:r>
    </w:p>
  </w:footnote>
  <w:footnote w:id="34">
    <w:p w14:paraId="428651C3" w14:textId="77777777" w:rsidR="00C634EA" w:rsidRDefault="00C634EA" w:rsidP="004E2FFF">
      <w:pPr>
        <w:pStyle w:val="Tekstfusnote"/>
      </w:pPr>
      <w:r>
        <w:rPr>
          <w:rStyle w:val="Referencafusnote"/>
          <w:rFonts w:cs="Myriad Pro"/>
        </w:rPr>
        <w:footnoteRef/>
      </w:r>
      <w:r>
        <w:t xml:space="preserve"> </w:t>
      </w:r>
      <w:r w:rsidRPr="001927FE">
        <w:t xml:space="preserve">Izvor: </w:t>
      </w:r>
      <w:r>
        <w:t xml:space="preserve">Analize i podloge za izradu Strategije energetskog razvoja Republike Hrvatske – Zelena knjiga </w:t>
      </w:r>
    </w:p>
  </w:footnote>
  <w:footnote w:id="35">
    <w:p w14:paraId="35FB70FE" w14:textId="77777777" w:rsidR="00C634EA" w:rsidRDefault="00C634EA" w:rsidP="004E2FFF">
      <w:pPr>
        <w:pStyle w:val="Tekstfusnote"/>
      </w:pPr>
      <w:r>
        <w:rPr>
          <w:rStyle w:val="Referencafusnote"/>
          <w:rFonts w:cs="Myriad Pro"/>
        </w:rPr>
        <w:footnoteRef/>
      </w:r>
      <w:r>
        <w:t xml:space="preserve"> </w:t>
      </w:r>
      <w:r w:rsidRPr="001927FE">
        <w:t>Ibid.</w:t>
      </w:r>
    </w:p>
  </w:footnote>
  <w:footnote w:id="36">
    <w:p w14:paraId="0A2AA13C" w14:textId="77777777" w:rsidR="00C634EA" w:rsidRPr="00B22E31" w:rsidRDefault="00C634EA">
      <w:pPr>
        <w:pStyle w:val="Tekstfusnote"/>
      </w:pPr>
      <w:r>
        <w:rPr>
          <w:rStyle w:val="Referencafusnote"/>
        </w:rPr>
        <w:footnoteRef/>
      </w:r>
      <w:r>
        <w:t xml:space="preserve"> </w:t>
      </w:r>
      <w:r w:rsidRPr="00334A49">
        <w:t xml:space="preserve">Svi podatci preuzeti su iz </w:t>
      </w:r>
      <w:r>
        <w:rPr>
          <w:lang w:eastAsia="hr-HR"/>
        </w:rPr>
        <w:t>Integriranog nacionalnog energetskog i klimatskog plana.</w:t>
      </w:r>
    </w:p>
  </w:footnote>
  <w:footnote w:id="37">
    <w:p w14:paraId="20782FEC" w14:textId="77777777" w:rsidR="00C634EA" w:rsidRPr="00334A49" w:rsidRDefault="00C634EA" w:rsidP="00A3410C">
      <w:pPr>
        <w:pStyle w:val="Tekstfusnote"/>
      </w:pPr>
      <w:r>
        <w:rPr>
          <w:rStyle w:val="Referencafusnote"/>
        </w:rPr>
        <w:footnoteRef/>
      </w:r>
      <w:r>
        <w:t xml:space="preserve"> </w:t>
      </w:r>
      <w:r w:rsidRPr="00334A49">
        <w:t xml:space="preserve">Svi podatci preuzeti su iz </w:t>
      </w:r>
      <w:r>
        <w:rPr>
          <w:lang w:eastAsia="hr-HR"/>
        </w:rPr>
        <w:t>Integriranog nacionalnog energetskog i klimatskog plana.</w:t>
      </w:r>
    </w:p>
  </w:footnote>
  <w:footnote w:id="38">
    <w:p w14:paraId="3DD34242" w14:textId="77777777" w:rsidR="00C634EA" w:rsidRDefault="00C634EA" w:rsidP="002C5217">
      <w:pPr>
        <w:pStyle w:val="Tekstfusnote"/>
      </w:pPr>
      <w:r>
        <w:rPr>
          <w:rStyle w:val="Referencafusnote"/>
          <w:rFonts w:cs="Myriad Pro"/>
        </w:rPr>
        <w:footnoteRef/>
      </w:r>
      <w:r>
        <w:t xml:space="preserve"> </w:t>
      </w:r>
      <w:r w:rsidRPr="004E2FFF">
        <w:fldChar w:fldCharType="begin"/>
      </w:r>
      <w:r>
        <w:instrText xml:space="preserve">CITATION EIH19 \l 1033 </w:instrText>
      </w:r>
      <w:r w:rsidRPr="004E2FFF">
        <w:fldChar w:fldCharType="separate"/>
      </w:r>
      <w:r>
        <w:rPr>
          <w:noProof/>
        </w:rPr>
        <w:t xml:space="preserve"> (Vlada RH, 2019.)</w:t>
      </w:r>
      <w:r w:rsidRPr="004E2FFF">
        <w:fldChar w:fldCharType="end"/>
      </w:r>
    </w:p>
  </w:footnote>
  <w:footnote w:id="39">
    <w:p w14:paraId="6CA1A96D" w14:textId="77777777" w:rsidR="00C634EA" w:rsidRDefault="00C634EA" w:rsidP="0022174D">
      <w:pPr>
        <w:pStyle w:val="Tekstfusnote"/>
      </w:pPr>
      <w:r w:rsidRPr="00A45FA3">
        <w:rPr>
          <w:rStyle w:val="Referencafusnote"/>
          <w:rFonts w:cs="Myriad Pro"/>
        </w:rPr>
        <w:footnoteRef/>
      </w:r>
      <w:r w:rsidRPr="00A45FA3">
        <w:t xml:space="preserve"> Izvor: “Procjena makroekonomskih učinaka politika i mjera Integriranog nacionalnog energetskog i klimatskog plana Republike Hrvatske”</w:t>
      </w:r>
      <w:r>
        <w:t>, Sveučilište u Zagrebu Ekonomski fakultet Zagreb, 2019</w:t>
      </w:r>
    </w:p>
  </w:footnote>
  <w:footnote w:id="40">
    <w:p w14:paraId="10EDB76E" w14:textId="77777777" w:rsidR="00C634EA" w:rsidRDefault="00C634EA">
      <w:pPr>
        <w:pStyle w:val="Tekstfusnote"/>
      </w:pPr>
      <w:r>
        <w:rPr>
          <w:rStyle w:val="Referencafusnote"/>
          <w:rFonts w:cs="Myriad Pro"/>
        </w:rPr>
        <w:footnoteRef/>
      </w:r>
      <w:r>
        <w:t xml:space="preserve"> </w:t>
      </w:r>
      <w:r w:rsidRPr="00154C6D">
        <w:t>Izvor:</w:t>
      </w:r>
      <w:r w:rsidRPr="0069423F">
        <w:t xml:space="preserve"> </w:t>
      </w:r>
      <w:r w:rsidRPr="00A45FA3">
        <w:t>Procjena makroekonomskih učinaka politika i mjera Integriranog nacionalnog energetskog i klimatskog plana Republike Hrvatske”</w:t>
      </w:r>
      <w:r>
        <w:t>, Sveučilište u Zagrebu Ekonomski fakultet Zagreb, 2019</w:t>
      </w:r>
    </w:p>
  </w:footnote>
  <w:footnote w:id="41">
    <w:p w14:paraId="0AA2C21E" w14:textId="77777777" w:rsidR="00C634EA" w:rsidRDefault="00C634EA">
      <w:pPr>
        <w:pStyle w:val="Tekstfusnote"/>
      </w:pPr>
      <w:r>
        <w:rPr>
          <w:rStyle w:val="Referencafusnote"/>
          <w:rFonts w:cs="Myriad Pro"/>
        </w:rPr>
        <w:footnoteRef/>
      </w:r>
      <w:r>
        <w:t xml:space="preserve"> </w:t>
      </w:r>
      <w:r>
        <w:rPr>
          <w:lang w:val="en-GB"/>
        </w:rPr>
        <w:t>Ibid.</w:t>
      </w:r>
    </w:p>
  </w:footnote>
  <w:footnote w:id="42">
    <w:p w14:paraId="20FDB37F" w14:textId="77777777" w:rsidR="00C634EA" w:rsidRDefault="00C634EA" w:rsidP="00ED2A26">
      <w:pPr>
        <w:pStyle w:val="Tekstfusnote"/>
      </w:pPr>
      <w:r w:rsidRPr="00D21A35">
        <w:rPr>
          <w:rStyle w:val="Referencafusnote"/>
          <w:rFonts w:cs="Myriad Pro"/>
          <w:i w:val="0"/>
          <w:sz w:val="18"/>
          <w:szCs w:val="18"/>
        </w:rPr>
        <w:footnoteRef/>
      </w:r>
      <w:r w:rsidRPr="00D21A35">
        <w:rPr>
          <w:i w:val="0"/>
          <w:sz w:val="18"/>
          <w:szCs w:val="18"/>
        </w:rPr>
        <w:t xml:space="preserve">Prema: </w:t>
      </w:r>
      <w:hyperlink r:id="rId23" w:history="1">
        <w:r w:rsidRPr="00D21A35">
          <w:rPr>
            <w:rStyle w:val="Hiperveza"/>
            <w:i w:val="0"/>
            <w:sz w:val="18"/>
            <w:szCs w:val="18"/>
          </w:rPr>
          <w:t>Ahec Šonje, Čeh Časni i Vizek (2014).</w:t>
        </w:r>
      </w:hyperlink>
    </w:p>
  </w:footnote>
  <w:footnote w:id="43">
    <w:p w14:paraId="3FDBC443" w14:textId="77777777" w:rsidR="00C634EA" w:rsidRPr="00334A49" w:rsidRDefault="00C634EA">
      <w:pPr>
        <w:pStyle w:val="Tekstfusnote"/>
        <w:rPr>
          <w:lang w:val="de-DE"/>
        </w:rPr>
      </w:pPr>
      <w:r>
        <w:rPr>
          <w:rStyle w:val="Referencafusnote"/>
        </w:rPr>
        <w:footnoteRef/>
      </w:r>
      <w:r>
        <w:t xml:space="preserve"> </w:t>
      </w:r>
      <w:r w:rsidRPr="00334A49">
        <w:rPr>
          <w:lang w:val="de-DE"/>
        </w:rPr>
        <w:t xml:space="preserve">Izvor: </w:t>
      </w:r>
      <w:hyperlink r:id="rId24" w:history="1">
        <w:r w:rsidRPr="00334A49">
          <w:rPr>
            <w:rStyle w:val="Hiperveza"/>
            <w:rFonts w:cs="Myriad Pro"/>
            <w:lang w:val="de-DE"/>
          </w:rPr>
          <w:t>https://www.velux.com/health/healthy-homes-barometer-frontpage</w:t>
        </w:r>
      </w:hyperlink>
      <w:r w:rsidRPr="00334A49">
        <w:rPr>
          <w:lang w:val="de-DE"/>
        </w:rPr>
        <w:t xml:space="preserve"> </w:t>
      </w:r>
    </w:p>
  </w:footnote>
  <w:footnote w:id="44">
    <w:p w14:paraId="6D050FDC" w14:textId="77777777" w:rsidR="00C634EA" w:rsidRDefault="00C634EA" w:rsidP="00E00985">
      <w:pPr>
        <w:pStyle w:val="Tekstfusnote"/>
      </w:pPr>
      <w:r w:rsidRPr="00447032">
        <w:rPr>
          <w:rStyle w:val="Referencafusnote"/>
          <w:rFonts w:cs="Myriad Pro"/>
          <w:szCs w:val="16"/>
        </w:rPr>
        <w:footnoteRef/>
      </w:r>
      <w:r w:rsidRPr="00447032">
        <w:rPr>
          <w:szCs w:val="16"/>
          <w:vertAlign w:val="superscript"/>
        </w:rPr>
        <w:t xml:space="preserve"> </w:t>
      </w:r>
      <w:r w:rsidRPr="006337E1">
        <w:t>Prema Pozivu na dostavu projektnih prijedloga „Energetska obnova višestambenih zgrada“ (referentni broj: KK.04.2.2.01) maksimalno prihvatljivi investicijski trošak za energetsku obnovu iznosi 1.000,00 kn/m</w:t>
      </w:r>
      <w:r w:rsidRPr="007D59F0">
        <w:rPr>
          <w:vertAlign w:val="superscript"/>
        </w:rPr>
        <w:t>2</w:t>
      </w:r>
      <w:r w:rsidRPr="006337E1">
        <w:t>. Zbog ciljanog usmjeravanja energetske obnove prema nZEB standardu, ova je vrijednost uvećana 50%. Što se tiče nestambenih zgrada, vrijednost specifične investicije preuzeta je iz Poziva na dostavu projektnih prijedloga „Energetska obnova zgrada javnog sektora“ (referentni broj: KK.04.2.1.04).</w:t>
      </w:r>
    </w:p>
  </w:footnote>
  <w:footnote w:id="45">
    <w:p w14:paraId="763E5CBC" w14:textId="77777777" w:rsidR="00C634EA" w:rsidRDefault="00C634EA" w:rsidP="0057783A">
      <w:r w:rsidRPr="000C732D">
        <w:rPr>
          <w:sz w:val="16"/>
          <w:szCs w:val="16"/>
          <w:vertAlign w:val="superscript"/>
        </w:rPr>
        <w:footnoteRef/>
      </w:r>
      <w:r w:rsidRPr="000C732D">
        <w:rPr>
          <w:sz w:val="16"/>
          <w:szCs w:val="16"/>
        </w:rPr>
        <w:t xml:space="preserve">Official Journal of the European Union (OJ C 83, 30.03.2010.). Consolidated version of the Treaty on the Functioning of the European Union, dostupno na: </w:t>
      </w:r>
      <w:hyperlink r:id="rId25" w:history="1">
        <w:r w:rsidRPr="000C732D">
          <w:rPr>
            <w:rStyle w:val="Hiperveza"/>
            <w:sz w:val="16"/>
            <w:szCs w:val="16"/>
          </w:rPr>
          <w:t>http://eur-lex.europa.eu/resource.html?uri=cellar:c382f65d-618a-4c72-9135-1e68087499fa.0006.02/DOC_3&amp;format=PDF</w:t>
        </w:r>
      </w:hyperlink>
      <w:r w:rsidRPr="000C732D">
        <w:rPr>
          <w:sz w:val="16"/>
          <w:szCs w:val="16"/>
        </w:rPr>
        <w:t xml:space="preserve"> [26.10. 2012.]</w:t>
      </w:r>
    </w:p>
  </w:footnote>
  <w:footnote w:id="46">
    <w:p w14:paraId="51789534" w14:textId="77777777" w:rsidR="00C634EA" w:rsidRDefault="00C634EA" w:rsidP="0057783A">
      <w:r w:rsidRPr="000C732D">
        <w:rPr>
          <w:sz w:val="16"/>
          <w:szCs w:val="16"/>
          <w:vertAlign w:val="superscript"/>
        </w:rPr>
        <w:footnoteRef/>
      </w:r>
      <w:r w:rsidRPr="000C732D">
        <w:rPr>
          <w:sz w:val="16"/>
          <w:szCs w:val="16"/>
        </w:rPr>
        <w:t>Fondovi Kohezijske politike sastoje se o Europskog fonda za regionalni razvoj (EFRR), Europskog socijalnog fonda (ESF) i Kohezijskog fonda (KF). Europski strukturni i investicijski Fondovi (ESI Fondovi) odnose se na tri navedena fonda te Europski poljoprivredni fond za ruralni razvoj (EPFRR) i Europski fond za pomorstvo i ribarstvo</w:t>
      </w:r>
    </w:p>
  </w:footnote>
  <w:footnote w:id="47">
    <w:p w14:paraId="1A00BDF1" w14:textId="77777777" w:rsidR="00C634EA" w:rsidRDefault="00C634EA" w:rsidP="0057783A">
      <w:r w:rsidRPr="000C732D">
        <w:rPr>
          <w:sz w:val="16"/>
          <w:szCs w:val="16"/>
          <w:vertAlign w:val="superscript"/>
        </w:rPr>
        <w:footnoteRef/>
      </w:r>
      <w:r w:rsidRPr="000C732D">
        <w:rPr>
          <w:sz w:val="16"/>
          <w:szCs w:val="16"/>
        </w:rPr>
        <w:t xml:space="preserve"> Sredstva EFRR također se mogu koristiti za Tematski cilj 4 s kojim alokacija sredstava iznosi 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CC70B" w14:textId="06EF5569" w:rsidR="00C634EA" w:rsidRDefault="00C41147" w:rsidP="007F13E7">
    <w:bookmarkStart w:id="5" w:name="_Hlk46745581"/>
    <w:r>
      <w:rPr>
        <w:noProof/>
        <w:lang w:eastAsia="hr-HR"/>
      </w:rPr>
      <w:drawing>
        <wp:inline distT="0" distB="0" distL="0" distR="0" wp14:anchorId="654E363A" wp14:editId="0CA13765">
          <wp:extent cx="2842932" cy="8191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659" cy="820224"/>
                  </a:xfrm>
                  <a:prstGeom prst="rect">
                    <a:avLst/>
                  </a:prstGeom>
                  <a:noFill/>
                  <a:ln>
                    <a:noFill/>
                  </a:ln>
                </pic:spPr>
              </pic:pic>
            </a:graphicData>
          </a:graphic>
        </wp:inline>
      </w:drawing>
    </w:r>
    <w:bookmarkEnd w:id="5"/>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B91FC" w14:textId="77777777" w:rsidR="00C634EA" w:rsidRDefault="00C634EA" w:rsidP="007F13E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435B7" w14:textId="77777777" w:rsidR="00C634EA" w:rsidRDefault="00C634EA" w:rsidP="007F13E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9262C2"/>
    <w:lvl w:ilvl="0">
      <w:start w:val="1"/>
      <w:numFmt w:val="decimal"/>
      <w:pStyle w:val="Naslov4"/>
      <w:lvlText w:val="%1."/>
      <w:lvlJc w:val="left"/>
      <w:pPr>
        <w:tabs>
          <w:tab w:val="num" w:pos="1492"/>
        </w:tabs>
        <w:ind w:left="1492" w:hanging="360"/>
      </w:pPr>
      <w:rPr>
        <w:rFonts w:cs="Times New Roman"/>
      </w:rPr>
    </w:lvl>
  </w:abstractNum>
  <w:abstractNum w:abstractNumId="1" w15:restartNumberingAfterBreak="0">
    <w:nsid w:val="FFFFFF89"/>
    <w:multiLevelType w:val="singleLevel"/>
    <w:tmpl w:val="06A421F0"/>
    <w:lvl w:ilvl="0">
      <w:start w:val="1"/>
      <w:numFmt w:val="bullet"/>
      <w:pStyle w:val="Naslov5"/>
      <w:lvlText w:val=""/>
      <w:lvlJc w:val="left"/>
      <w:pPr>
        <w:tabs>
          <w:tab w:val="num" w:pos="360"/>
        </w:tabs>
        <w:ind w:left="360" w:hanging="360"/>
      </w:pPr>
      <w:rPr>
        <w:rFonts w:ascii="Symbol" w:hAnsi="Symbol" w:hint="default"/>
      </w:rPr>
    </w:lvl>
  </w:abstractNum>
  <w:abstractNum w:abstractNumId="2" w15:restartNumberingAfterBreak="0">
    <w:nsid w:val="004B66F5"/>
    <w:multiLevelType w:val="hybridMultilevel"/>
    <w:tmpl w:val="2AA2D66E"/>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3" w15:restartNumberingAfterBreak="0">
    <w:nsid w:val="03EE6FAC"/>
    <w:multiLevelType w:val="multilevel"/>
    <w:tmpl w:val="041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6A47650"/>
    <w:multiLevelType w:val="multilevel"/>
    <w:tmpl w:val="A66C13A4"/>
    <w:lvl w:ilvl="0">
      <w:start w:val="1"/>
      <w:numFmt w:val="decimal"/>
      <w:lvlText w:val="%1."/>
      <w:lvlJc w:val="left"/>
      <w:pPr>
        <w:ind w:left="363" w:hanging="360"/>
      </w:pPr>
      <w:rPr>
        <w:rFonts w:hint="default"/>
      </w:rPr>
    </w:lvl>
    <w:lvl w:ilvl="1">
      <w:start w:val="418"/>
      <w:numFmt w:val="decimal"/>
      <w:isLgl/>
      <w:lvlText w:val="%1.%2"/>
      <w:lvlJc w:val="left"/>
      <w:pPr>
        <w:ind w:left="567" w:hanging="564"/>
      </w:pPr>
      <w:rPr>
        <w:rFonts w:hint="default"/>
      </w:rPr>
    </w:lvl>
    <w:lvl w:ilvl="2">
      <w:start w:val="1"/>
      <w:numFmt w:val="decimal"/>
      <w:isLgl/>
      <w:lvlText w:val="%1.%2.%3"/>
      <w:lvlJc w:val="left"/>
      <w:pPr>
        <w:ind w:left="723" w:hanging="720"/>
      </w:pPr>
      <w:rPr>
        <w:rFonts w:hint="default"/>
      </w:rPr>
    </w:lvl>
    <w:lvl w:ilvl="3">
      <w:start w:val="1"/>
      <w:numFmt w:val="decimal"/>
      <w:isLgl/>
      <w:lvlText w:val="%1.%2.%3.%4"/>
      <w:lvlJc w:val="left"/>
      <w:pPr>
        <w:ind w:left="1083" w:hanging="108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443" w:hanging="144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803" w:hanging="1800"/>
      </w:pPr>
      <w:rPr>
        <w:rFonts w:hint="default"/>
      </w:rPr>
    </w:lvl>
    <w:lvl w:ilvl="8">
      <w:start w:val="1"/>
      <w:numFmt w:val="decimal"/>
      <w:isLgl/>
      <w:lvlText w:val="%1.%2.%3.%4.%5.%6.%7.%8.%9"/>
      <w:lvlJc w:val="left"/>
      <w:pPr>
        <w:ind w:left="1803" w:hanging="1800"/>
      </w:pPr>
      <w:rPr>
        <w:rFonts w:hint="default"/>
      </w:rPr>
    </w:lvl>
  </w:abstractNum>
  <w:abstractNum w:abstractNumId="5" w15:restartNumberingAfterBreak="0">
    <w:nsid w:val="072F474A"/>
    <w:multiLevelType w:val="hybridMultilevel"/>
    <w:tmpl w:val="4336EAF2"/>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6" w15:restartNumberingAfterBreak="0">
    <w:nsid w:val="0B5E3C72"/>
    <w:multiLevelType w:val="hybridMultilevel"/>
    <w:tmpl w:val="B24EF2DC"/>
    <w:lvl w:ilvl="0" w:tplc="C53885CE">
      <w:start w:val="10"/>
      <w:numFmt w:val="bullet"/>
      <w:lvlText w:val="-"/>
      <w:lvlJc w:val="left"/>
      <w:pPr>
        <w:ind w:left="720" w:hanging="360"/>
      </w:pPr>
      <w:rPr>
        <w:rFonts w:ascii="Tahoma" w:eastAsia="Times New Roman" w:hAnsi="Tahoma" w:cs="Tahoma"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D1706A"/>
    <w:multiLevelType w:val="hybridMultilevel"/>
    <w:tmpl w:val="E996D642"/>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8" w15:restartNumberingAfterBreak="0">
    <w:nsid w:val="0DBE7732"/>
    <w:multiLevelType w:val="hybridMultilevel"/>
    <w:tmpl w:val="F22058DA"/>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9" w15:restartNumberingAfterBreak="0">
    <w:nsid w:val="0E7F5AD1"/>
    <w:multiLevelType w:val="hybridMultilevel"/>
    <w:tmpl w:val="B150D0A4"/>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10" w15:restartNumberingAfterBreak="0">
    <w:nsid w:val="0F75348A"/>
    <w:multiLevelType w:val="hybridMultilevel"/>
    <w:tmpl w:val="9BC4164A"/>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cs="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cs="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cs="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11" w15:restartNumberingAfterBreak="0">
    <w:nsid w:val="119B111F"/>
    <w:multiLevelType w:val="hybridMultilevel"/>
    <w:tmpl w:val="680CEBA2"/>
    <w:lvl w:ilvl="0" w:tplc="52BC8088">
      <w:start w:val="3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13426CF9"/>
    <w:multiLevelType w:val="multilevel"/>
    <w:tmpl w:val="835C0540"/>
    <w:styleLink w:val="StyleBulletedBold"/>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b/>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59255C"/>
    <w:multiLevelType w:val="hybridMultilevel"/>
    <w:tmpl w:val="73B8D962"/>
    <w:lvl w:ilvl="0" w:tplc="85DA7556">
      <w:numFmt w:val="bullet"/>
      <w:lvlText w:val="•"/>
      <w:lvlJc w:val="left"/>
      <w:pPr>
        <w:ind w:left="866" w:hanging="435"/>
      </w:pPr>
      <w:rPr>
        <w:rFonts w:ascii="Tahoma" w:eastAsia="Times New Roman" w:hAnsi="Tahoma" w:hint="default"/>
      </w:rPr>
    </w:lvl>
    <w:lvl w:ilvl="1" w:tplc="1CE4AD62">
      <w:start w:val="3"/>
      <w:numFmt w:val="bullet"/>
      <w:lvlText w:val="-"/>
      <w:lvlJc w:val="left"/>
      <w:pPr>
        <w:ind w:left="1943" w:hanging="435"/>
      </w:pPr>
      <w:rPr>
        <w:rFonts w:ascii="Tahoma" w:eastAsia="Times New Roman" w:hAnsi="Tahoma"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14" w15:restartNumberingAfterBreak="0">
    <w:nsid w:val="18B105E7"/>
    <w:multiLevelType w:val="hybridMultilevel"/>
    <w:tmpl w:val="A32A20A2"/>
    <w:lvl w:ilvl="0" w:tplc="50DEE772">
      <w:numFmt w:val="bullet"/>
      <w:lvlText w:val="-"/>
      <w:lvlJc w:val="left"/>
      <w:pPr>
        <w:ind w:left="720" w:hanging="360"/>
      </w:pPr>
      <w:rPr>
        <w:rFonts w:ascii="Arial" w:eastAsia="Times New Roman" w:hAnsi="Arial" w:hint="default"/>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91437C3"/>
    <w:multiLevelType w:val="hybridMultilevel"/>
    <w:tmpl w:val="E08844F0"/>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16" w15:restartNumberingAfterBreak="0">
    <w:nsid w:val="196E4854"/>
    <w:multiLevelType w:val="hybridMultilevel"/>
    <w:tmpl w:val="1A385D4A"/>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17" w15:restartNumberingAfterBreak="0">
    <w:nsid w:val="1D8A6D46"/>
    <w:multiLevelType w:val="hybridMultilevel"/>
    <w:tmpl w:val="9410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683A79"/>
    <w:multiLevelType w:val="hybridMultilevel"/>
    <w:tmpl w:val="C1186696"/>
    <w:lvl w:ilvl="0" w:tplc="85DA7556">
      <w:numFmt w:val="bullet"/>
      <w:lvlText w:val="•"/>
      <w:lvlJc w:val="left"/>
      <w:pPr>
        <w:ind w:left="438" w:hanging="435"/>
      </w:pPr>
      <w:rPr>
        <w:rFonts w:ascii="Tahoma" w:eastAsia="Times New Roman" w:hAnsi="Tahoma" w:hint="default"/>
      </w:rPr>
    </w:lvl>
    <w:lvl w:ilvl="1" w:tplc="041A0003" w:tentative="1">
      <w:start w:val="1"/>
      <w:numFmt w:val="bullet"/>
      <w:lvlText w:val="o"/>
      <w:lvlJc w:val="left"/>
      <w:pPr>
        <w:ind w:left="1083" w:hanging="360"/>
      </w:pPr>
      <w:rPr>
        <w:rFonts w:ascii="Courier New" w:hAnsi="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19" w15:restartNumberingAfterBreak="0">
    <w:nsid w:val="1F9E2387"/>
    <w:multiLevelType w:val="hybridMultilevel"/>
    <w:tmpl w:val="31F268F4"/>
    <w:lvl w:ilvl="0" w:tplc="C0E0D510">
      <w:start w:val="1"/>
      <w:numFmt w:val="bullet"/>
      <w:pStyle w:val="Uvlaka2"/>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0" w15:restartNumberingAfterBreak="0">
    <w:nsid w:val="20C019FB"/>
    <w:multiLevelType w:val="multilevel"/>
    <w:tmpl w:val="DED88280"/>
    <w:styleLink w:val="StyleBulletedWingdingssymbol12ptGray-50Left15cm"/>
    <w:lvl w:ilvl="0">
      <w:start w:val="1"/>
      <w:numFmt w:val="bullet"/>
      <w:lvlText w:val=""/>
      <w:lvlJc w:val="left"/>
      <w:pPr>
        <w:tabs>
          <w:tab w:val="num" w:pos="2138"/>
        </w:tabs>
        <w:ind w:left="2138" w:hanging="360"/>
      </w:pPr>
      <w:rPr>
        <w:rFonts w:ascii="Tahoma" w:hAnsi="Tahoma"/>
        <w:color w:val="80808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290ECA"/>
    <w:multiLevelType w:val="hybridMultilevel"/>
    <w:tmpl w:val="40B2380E"/>
    <w:lvl w:ilvl="0" w:tplc="041A0001">
      <w:start w:val="1"/>
      <w:numFmt w:val="bullet"/>
      <w:lvlText w:val=""/>
      <w:lvlJc w:val="left"/>
      <w:pPr>
        <w:ind w:left="720" w:hanging="360"/>
      </w:pPr>
      <w:rPr>
        <w:rFonts w:ascii="Symbol" w:hAnsi="Symbol" w:hint="default"/>
      </w:rPr>
    </w:lvl>
    <w:lvl w:ilvl="1" w:tplc="C9D802BE">
      <w:start w:val="4"/>
      <w:numFmt w:val="bullet"/>
      <w:lvlText w:val="-"/>
      <w:lvlJc w:val="left"/>
      <w:pPr>
        <w:ind w:left="1440" w:hanging="360"/>
      </w:pPr>
      <w:rPr>
        <w:rFonts w:ascii="Calibri" w:eastAsia="Times New Roman" w:hAnsi="Calibri"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285E4CA9"/>
    <w:multiLevelType w:val="hybridMultilevel"/>
    <w:tmpl w:val="490000AE"/>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23" w15:restartNumberingAfterBreak="0">
    <w:nsid w:val="289A49CC"/>
    <w:multiLevelType w:val="hybridMultilevel"/>
    <w:tmpl w:val="97CA98CE"/>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24" w15:restartNumberingAfterBreak="0">
    <w:nsid w:val="291849A6"/>
    <w:multiLevelType w:val="multilevel"/>
    <w:tmpl w:val="53FC5620"/>
    <w:lvl w:ilvl="0">
      <w:start w:val="1"/>
      <w:numFmt w:val="decimal"/>
      <w:pStyle w:val="Naslov2"/>
      <w:lvlText w:val="%1."/>
      <w:lvlJc w:val="left"/>
      <w:pPr>
        <w:ind w:left="360" w:hanging="360"/>
      </w:pPr>
      <w:rPr>
        <w:rFonts w:cs="Times New Roman" w:hint="default"/>
      </w:rPr>
    </w:lvl>
    <w:lvl w:ilvl="1">
      <w:start w:val="1"/>
      <w:numFmt w:val="decimal"/>
      <w:pStyle w:val="Naslov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2A635B26"/>
    <w:multiLevelType w:val="multilevel"/>
    <w:tmpl w:val="75244BC2"/>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C562B3D"/>
    <w:multiLevelType w:val="hybridMultilevel"/>
    <w:tmpl w:val="1DA47F2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7" w15:restartNumberingAfterBreak="0">
    <w:nsid w:val="2E7B69F2"/>
    <w:multiLevelType w:val="singleLevel"/>
    <w:tmpl w:val="BCF81EAA"/>
    <w:lvl w:ilvl="0">
      <w:start w:val="1"/>
      <w:numFmt w:val="bullet"/>
      <w:pStyle w:val="Spiegelstrich3"/>
      <w:lvlText w:val=""/>
      <w:lvlJc w:val="left"/>
      <w:pPr>
        <w:tabs>
          <w:tab w:val="num" w:pos="851"/>
        </w:tabs>
        <w:ind w:left="851" w:hanging="284"/>
      </w:pPr>
      <w:rPr>
        <w:rFonts w:ascii="Symbol" w:hAnsi="Symbol" w:hint="default"/>
        <w:sz w:val="16"/>
      </w:rPr>
    </w:lvl>
  </w:abstractNum>
  <w:abstractNum w:abstractNumId="28" w15:restartNumberingAfterBreak="0">
    <w:nsid w:val="2F3A7C30"/>
    <w:multiLevelType w:val="hybridMultilevel"/>
    <w:tmpl w:val="72D02554"/>
    <w:lvl w:ilvl="0" w:tplc="041A000F">
      <w:start w:val="1"/>
      <w:numFmt w:val="decimal"/>
      <w:lvlText w:val="%1."/>
      <w:lvlJc w:val="left"/>
      <w:pPr>
        <w:ind w:left="1440" w:hanging="360"/>
      </w:pPr>
      <w:rPr>
        <w:rFonts w:cs="Times New Roman"/>
      </w:rPr>
    </w:lvl>
    <w:lvl w:ilvl="1" w:tplc="51742EEC">
      <w:start w:val="6"/>
      <w:numFmt w:val="bullet"/>
      <w:lvlText w:val="-"/>
      <w:lvlJc w:val="left"/>
      <w:pPr>
        <w:ind w:left="2160" w:hanging="360"/>
      </w:pPr>
      <w:rPr>
        <w:rFonts w:ascii="Calibri" w:eastAsia="Times New Roman" w:hAnsi="Calibri" w:hint="default"/>
      </w:rPr>
    </w:lvl>
    <w:lvl w:ilvl="2" w:tplc="041A001B">
      <w:start w:val="1"/>
      <w:numFmt w:val="lowerRoman"/>
      <w:lvlText w:val="%3."/>
      <w:lvlJc w:val="right"/>
      <w:pPr>
        <w:ind w:left="2880" w:hanging="180"/>
      </w:pPr>
      <w:rPr>
        <w:rFonts w:cs="Times New Roman"/>
      </w:rPr>
    </w:lvl>
    <w:lvl w:ilvl="3" w:tplc="041A000F">
      <w:start w:val="1"/>
      <w:numFmt w:val="decimal"/>
      <w:lvlText w:val="%4."/>
      <w:lvlJc w:val="left"/>
      <w:pPr>
        <w:ind w:left="3600" w:hanging="360"/>
      </w:pPr>
      <w:rPr>
        <w:rFonts w:cs="Times New Roman"/>
      </w:rPr>
    </w:lvl>
    <w:lvl w:ilvl="4" w:tplc="041A0019">
      <w:start w:val="1"/>
      <w:numFmt w:val="lowerLetter"/>
      <w:lvlText w:val="%5."/>
      <w:lvlJc w:val="left"/>
      <w:pPr>
        <w:ind w:left="4320" w:hanging="360"/>
      </w:pPr>
      <w:rPr>
        <w:rFonts w:cs="Times New Roman"/>
      </w:rPr>
    </w:lvl>
    <w:lvl w:ilvl="5" w:tplc="041A001B">
      <w:start w:val="1"/>
      <w:numFmt w:val="lowerRoman"/>
      <w:lvlText w:val="%6."/>
      <w:lvlJc w:val="right"/>
      <w:pPr>
        <w:ind w:left="5040" w:hanging="180"/>
      </w:pPr>
      <w:rPr>
        <w:rFonts w:cs="Times New Roman"/>
      </w:rPr>
    </w:lvl>
    <w:lvl w:ilvl="6" w:tplc="041A000F">
      <w:start w:val="1"/>
      <w:numFmt w:val="decimal"/>
      <w:lvlText w:val="%7."/>
      <w:lvlJc w:val="left"/>
      <w:pPr>
        <w:ind w:left="5760" w:hanging="360"/>
      </w:pPr>
      <w:rPr>
        <w:rFonts w:cs="Times New Roman"/>
      </w:rPr>
    </w:lvl>
    <w:lvl w:ilvl="7" w:tplc="041A0019">
      <w:start w:val="1"/>
      <w:numFmt w:val="lowerLetter"/>
      <w:lvlText w:val="%8."/>
      <w:lvlJc w:val="left"/>
      <w:pPr>
        <w:ind w:left="6480" w:hanging="360"/>
      </w:pPr>
      <w:rPr>
        <w:rFonts w:cs="Times New Roman"/>
      </w:rPr>
    </w:lvl>
    <w:lvl w:ilvl="8" w:tplc="041A001B">
      <w:start w:val="1"/>
      <w:numFmt w:val="lowerRoman"/>
      <w:lvlText w:val="%9."/>
      <w:lvlJc w:val="right"/>
      <w:pPr>
        <w:ind w:left="7200" w:hanging="180"/>
      </w:pPr>
      <w:rPr>
        <w:rFonts w:cs="Times New Roman"/>
      </w:rPr>
    </w:lvl>
  </w:abstractNum>
  <w:abstractNum w:abstractNumId="29" w15:restartNumberingAfterBreak="0">
    <w:nsid w:val="31943A2B"/>
    <w:multiLevelType w:val="multilevel"/>
    <w:tmpl w:val="B4AA6AE4"/>
    <w:lvl w:ilvl="0">
      <w:start w:val="1"/>
      <w:numFmt w:val="decimal"/>
      <w:pStyle w:val="Naslov10"/>
      <w:lvlText w:val="%1"/>
      <w:lvlJc w:val="left"/>
      <w:pPr>
        <w:ind w:left="432" w:hanging="432"/>
      </w:pPr>
      <w:rPr>
        <w:rFonts w:hint="default"/>
      </w:rPr>
    </w:lvl>
    <w:lvl w:ilvl="1">
      <w:start w:val="1"/>
      <w:numFmt w:val="decimal"/>
      <w:pStyle w:val="Naslov20"/>
      <w:lvlText w:val="%1.%2"/>
      <w:lvlJc w:val="left"/>
      <w:pPr>
        <w:ind w:left="2278"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0"/>
      <w:lvlText w:val="%1.%2.%3.%4"/>
      <w:lvlJc w:val="left"/>
      <w:pPr>
        <w:ind w:left="864" w:hanging="864"/>
      </w:pPr>
      <w:rPr>
        <w:rFonts w:hint="default"/>
      </w:rPr>
    </w:lvl>
    <w:lvl w:ilvl="4">
      <w:start w:val="1"/>
      <w:numFmt w:val="decimal"/>
      <w:pStyle w:val="Naslov50"/>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0" w15:restartNumberingAfterBreak="0">
    <w:nsid w:val="38CD60C4"/>
    <w:multiLevelType w:val="multilevel"/>
    <w:tmpl w:val="C8840F10"/>
    <w:styleLink w:val="StyleBulleted"/>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C57173"/>
    <w:multiLevelType w:val="hybridMultilevel"/>
    <w:tmpl w:val="2C7AB3B6"/>
    <w:lvl w:ilvl="0" w:tplc="041A0001">
      <w:start w:val="1"/>
      <w:numFmt w:val="bullet"/>
      <w:lvlText w:val=""/>
      <w:lvlJc w:val="left"/>
      <w:pPr>
        <w:ind w:left="720" w:hanging="360"/>
      </w:pPr>
      <w:rPr>
        <w:rFonts w:ascii="Symbol" w:hAnsi="Symbol" w:hint="default"/>
      </w:rPr>
    </w:lvl>
    <w:lvl w:ilvl="1" w:tplc="041A000F">
      <w:start w:val="1"/>
      <w:numFmt w:val="decimal"/>
      <w:lvlText w:val="%2."/>
      <w:lvlJc w:val="left"/>
      <w:pPr>
        <w:ind w:left="1440" w:hanging="360"/>
      </w:pPr>
      <w:rPr>
        <w:rFonts w:cs="Times New Roman"/>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2" w15:restartNumberingAfterBreak="0">
    <w:nsid w:val="3ACC677C"/>
    <w:multiLevelType w:val="hybridMultilevel"/>
    <w:tmpl w:val="94F053A0"/>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33" w15:restartNumberingAfterBreak="0">
    <w:nsid w:val="3EBA3978"/>
    <w:multiLevelType w:val="hybridMultilevel"/>
    <w:tmpl w:val="C390F1B8"/>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34" w15:restartNumberingAfterBreak="0">
    <w:nsid w:val="42C3023D"/>
    <w:multiLevelType w:val="hybridMultilevel"/>
    <w:tmpl w:val="1A6016E4"/>
    <w:lvl w:ilvl="0" w:tplc="FFFFFFFF">
      <w:start w:val="1"/>
      <w:numFmt w:val="decimal"/>
      <w:pStyle w:val="zaglavlje"/>
      <w:lvlText w:val="%1."/>
      <w:lvlJc w:val="left"/>
      <w:pPr>
        <w:tabs>
          <w:tab w:val="num" w:pos="357"/>
        </w:tabs>
        <w:ind w:left="357" w:hanging="357"/>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43BC3C9E"/>
    <w:multiLevelType w:val="hybridMultilevel"/>
    <w:tmpl w:val="67A48C88"/>
    <w:lvl w:ilvl="0" w:tplc="AD401928">
      <w:start w:val="1"/>
      <w:numFmt w:val="decimal"/>
      <w:pStyle w:val="Izvor"/>
      <w:lvlText w:val="[%1]"/>
      <w:lvlJc w:val="left"/>
      <w:pPr>
        <w:ind w:left="2215" w:hanging="360"/>
      </w:pPr>
      <w:rPr>
        <w:rFonts w:cs="Times New Roman" w:hint="default"/>
      </w:rPr>
    </w:lvl>
    <w:lvl w:ilvl="1" w:tplc="041A0019" w:tentative="1">
      <w:start w:val="1"/>
      <w:numFmt w:val="lowerLetter"/>
      <w:lvlText w:val="%2."/>
      <w:lvlJc w:val="left"/>
      <w:pPr>
        <w:ind w:left="2935" w:hanging="360"/>
      </w:pPr>
      <w:rPr>
        <w:rFonts w:cs="Times New Roman"/>
      </w:rPr>
    </w:lvl>
    <w:lvl w:ilvl="2" w:tplc="041A001B" w:tentative="1">
      <w:start w:val="1"/>
      <w:numFmt w:val="lowerRoman"/>
      <w:lvlText w:val="%3."/>
      <w:lvlJc w:val="right"/>
      <w:pPr>
        <w:ind w:left="3655" w:hanging="180"/>
      </w:pPr>
      <w:rPr>
        <w:rFonts w:cs="Times New Roman"/>
      </w:rPr>
    </w:lvl>
    <w:lvl w:ilvl="3" w:tplc="041A000F" w:tentative="1">
      <w:start w:val="1"/>
      <w:numFmt w:val="decimal"/>
      <w:lvlText w:val="%4."/>
      <w:lvlJc w:val="left"/>
      <w:pPr>
        <w:ind w:left="4375" w:hanging="360"/>
      </w:pPr>
      <w:rPr>
        <w:rFonts w:cs="Times New Roman"/>
      </w:rPr>
    </w:lvl>
    <w:lvl w:ilvl="4" w:tplc="041A0019" w:tentative="1">
      <w:start w:val="1"/>
      <w:numFmt w:val="lowerLetter"/>
      <w:lvlText w:val="%5."/>
      <w:lvlJc w:val="left"/>
      <w:pPr>
        <w:ind w:left="5095" w:hanging="360"/>
      </w:pPr>
      <w:rPr>
        <w:rFonts w:cs="Times New Roman"/>
      </w:rPr>
    </w:lvl>
    <w:lvl w:ilvl="5" w:tplc="041A001B" w:tentative="1">
      <w:start w:val="1"/>
      <w:numFmt w:val="lowerRoman"/>
      <w:lvlText w:val="%6."/>
      <w:lvlJc w:val="right"/>
      <w:pPr>
        <w:ind w:left="5815" w:hanging="180"/>
      </w:pPr>
      <w:rPr>
        <w:rFonts w:cs="Times New Roman"/>
      </w:rPr>
    </w:lvl>
    <w:lvl w:ilvl="6" w:tplc="041A000F" w:tentative="1">
      <w:start w:val="1"/>
      <w:numFmt w:val="decimal"/>
      <w:lvlText w:val="%7."/>
      <w:lvlJc w:val="left"/>
      <w:pPr>
        <w:ind w:left="6535" w:hanging="360"/>
      </w:pPr>
      <w:rPr>
        <w:rFonts w:cs="Times New Roman"/>
      </w:rPr>
    </w:lvl>
    <w:lvl w:ilvl="7" w:tplc="041A0019" w:tentative="1">
      <w:start w:val="1"/>
      <w:numFmt w:val="lowerLetter"/>
      <w:lvlText w:val="%8."/>
      <w:lvlJc w:val="left"/>
      <w:pPr>
        <w:ind w:left="7255" w:hanging="360"/>
      </w:pPr>
      <w:rPr>
        <w:rFonts w:cs="Times New Roman"/>
      </w:rPr>
    </w:lvl>
    <w:lvl w:ilvl="8" w:tplc="041A001B" w:tentative="1">
      <w:start w:val="1"/>
      <w:numFmt w:val="lowerRoman"/>
      <w:lvlText w:val="%9."/>
      <w:lvlJc w:val="right"/>
      <w:pPr>
        <w:ind w:left="7975" w:hanging="180"/>
      </w:pPr>
      <w:rPr>
        <w:rFonts w:cs="Times New Roman"/>
      </w:rPr>
    </w:lvl>
  </w:abstractNum>
  <w:abstractNum w:abstractNumId="36" w15:restartNumberingAfterBreak="0">
    <w:nsid w:val="442C019A"/>
    <w:multiLevelType w:val="hybridMultilevel"/>
    <w:tmpl w:val="152225BE"/>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37" w15:restartNumberingAfterBreak="0">
    <w:nsid w:val="44CC1250"/>
    <w:multiLevelType w:val="multilevel"/>
    <w:tmpl w:val="FE78CD6A"/>
    <w:styleLink w:val="bulleti"/>
    <w:lvl w:ilvl="0">
      <w:numFmt w:val="bullet"/>
      <w:lvlText w:val="o"/>
      <w:lvlJc w:val="left"/>
      <w:pPr>
        <w:tabs>
          <w:tab w:val="num" w:pos="567"/>
        </w:tabs>
        <w:ind w:left="567" w:hanging="207"/>
      </w:pPr>
      <w:rPr>
        <w:rFonts w:ascii="Courier New" w:hAnsi="Courier New" w:hint="default"/>
        <w:sz w:val="22"/>
      </w:rPr>
    </w:lvl>
    <w:lvl w:ilvl="1">
      <w:start w:val="1"/>
      <w:numFmt w:val="bullet"/>
      <w:lvlText w:val="-"/>
      <w:lvlJc w:val="left"/>
      <w:pPr>
        <w:tabs>
          <w:tab w:val="num" w:pos="1440"/>
        </w:tabs>
        <w:ind w:left="1440" w:hanging="360"/>
      </w:pPr>
      <w:rPr>
        <w:rFonts w:ascii="Tahoma" w:hAnsi="Tahom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5CB336C"/>
    <w:multiLevelType w:val="hybridMultilevel"/>
    <w:tmpl w:val="C8A0397E"/>
    <w:lvl w:ilvl="0" w:tplc="F16EBD8C">
      <w:start w:val="1"/>
      <w:numFmt w:val="bullet"/>
      <w:lvlText w:val="•"/>
      <w:lvlJc w:val="left"/>
      <w:pPr>
        <w:tabs>
          <w:tab w:val="num" w:pos="720"/>
        </w:tabs>
        <w:ind w:left="720" w:hanging="360"/>
      </w:pPr>
      <w:rPr>
        <w:rFonts w:ascii="Arial" w:hAnsi="Arial" w:cs="Times New Roman" w:hint="default"/>
      </w:rPr>
    </w:lvl>
    <w:lvl w:ilvl="1" w:tplc="23A49AE0">
      <w:start w:val="1"/>
      <w:numFmt w:val="bullet"/>
      <w:lvlText w:val="•"/>
      <w:lvlJc w:val="left"/>
      <w:pPr>
        <w:tabs>
          <w:tab w:val="num" w:pos="1440"/>
        </w:tabs>
        <w:ind w:left="1440" w:hanging="360"/>
      </w:pPr>
      <w:rPr>
        <w:rFonts w:ascii="Arial" w:hAnsi="Arial" w:cs="Times New Roman" w:hint="default"/>
      </w:rPr>
    </w:lvl>
    <w:lvl w:ilvl="2" w:tplc="FF6A1400">
      <w:start w:val="1"/>
      <w:numFmt w:val="bullet"/>
      <w:lvlText w:val="•"/>
      <w:lvlJc w:val="left"/>
      <w:pPr>
        <w:tabs>
          <w:tab w:val="num" w:pos="2160"/>
        </w:tabs>
        <w:ind w:left="2160" w:hanging="360"/>
      </w:pPr>
      <w:rPr>
        <w:rFonts w:ascii="Arial" w:hAnsi="Arial" w:cs="Times New Roman" w:hint="default"/>
      </w:rPr>
    </w:lvl>
    <w:lvl w:ilvl="3" w:tplc="C7EAE4B8">
      <w:start w:val="1"/>
      <w:numFmt w:val="bullet"/>
      <w:lvlText w:val="•"/>
      <w:lvlJc w:val="left"/>
      <w:pPr>
        <w:tabs>
          <w:tab w:val="num" w:pos="2880"/>
        </w:tabs>
        <w:ind w:left="2880" w:hanging="360"/>
      </w:pPr>
      <w:rPr>
        <w:rFonts w:ascii="Arial" w:hAnsi="Arial" w:cs="Times New Roman" w:hint="default"/>
      </w:rPr>
    </w:lvl>
    <w:lvl w:ilvl="4" w:tplc="2A30C726">
      <w:start w:val="1"/>
      <w:numFmt w:val="bullet"/>
      <w:lvlText w:val="•"/>
      <w:lvlJc w:val="left"/>
      <w:pPr>
        <w:tabs>
          <w:tab w:val="num" w:pos="3600"/>
        </w:tabs>
        <w:ind w:left="3600" w:hanging="360"/>
      </w:pPr>
      <w:rPr>
        <w:rFonts w:ascii="Arial" w:hAnsi="Arial" w:cs="Times New Roman" w:hint="default"/>
      </w:rPr>
    </w:lvl>
    <w:lvl w:ilvl="5" w:tplc="A06E1554">
      <w:start w:val="1"/>
      <w:numFmt w:val="bullet"/>
      <w:lvlText w:val="•"/>
      <w:lvlJc w:val="left"/>
      <w:pPr>
        <w:tabs>
          <w:tab w:val="num" w:pos="4320"/>
        </w:tabs>
        <w:ind w:left="4320" w:hanging="360"/>
      </w:pPr>
      <w:rPr>
        <w:rFonts w:ascii="Arial" w:hAnsi="Arial" w:cs="Times New Roman" w:hint="default"/>
      </w:rPr>
    </w:lvl>
    <w:lvl w:ilvl="6" w:tplc="80829A48">
      <w:start w:val="1"/>
      <w:numFmt w:val="bullet"/>
      <w:lvlText w:val="•"/>
      <w:lvlJc w:val="left"/>
      <w:pPr>
        <w:tabs>
          <w:tab w:val="num" w:pos="5040"/>
        </w:tabs>
        <w:ind w:left="5040" w:hanging="360"/>
      </w:pPr>
      <w:rPr>
        <w:rFonts w:ascii="Arial" w:hAnsi="Arial" w:cs="Times New Roman" w:hint="default"/>
      </w:rPr>
    </w:lvl>
    <w:lvl w:ilvl="7" w:tplc="5F34C856">
      <w:start w:val="1"/>
      <w:numFmt w:val="bullet"/>
      <w:lvlText w:val="•"/>
      <w:lvlJc w:val="left"/>
      <w:pPr>
        <w:tabs>
          <w:tab w:val="num" w:pos="5760"/>
        </w:tabs>
        <w:ind w:left="5760" w:hanging="360"/>
      </w:pPr>
      <w:rPr>
        <w:rFonts w:ascii="Arial" w:hAnsi="Arial" w:cs="Times New Roman" w:hint="default"/>
      </w:rPr>
    </w:lvl>
    <w:lvl w:ilvl="8" w:tplc="30406C38">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47CA44E4"/>
    <w:multiLevelType w:val="hybridMultilevel"/>
    <w:tmpl w:val="1E28487A"/>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40" w15:restartNumberingAfterBreak="0">
    <w:nsid w:val="48152368"/>
    <w:multiLevelType w:val="hybridMultilevel"/>
    <w:tmpl w:val="2A5E9E44"/>
    <w:lvl w:ilvl="0" w:tplc="48E61854">
      <w:start w:val="1"/>
      <w:numFmt w:val="bullet"/>
      <w:lvlText w:val=""/>
      <w:lvlJc w:val="left"/>
      <w:pPr>
        <w:ind w:left="1287" w:hanging="360"/>
      </w:pPr>
      <w:rPr>
        <w:rFonts w:ascii="Symbol" w:hAnsi="Symbol" w:hint="default"/>
        <w:sz w:val="24"/>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1" w15:restartNumberingAfterBreak="0">
    <w:nsid w:val="487A339B"/>
    <w:multiLevelType w:val="hybridMultilevel"/>
    <w:tmpl w:val="F0D4A5C4"/>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42" w15:restartNumberingAfterBreak="0">
    <w:nsid w:val="4C214B1E"/>
    <w:multiLevelType w:val="hybridMultilevel"/>
    <w:tmpl w:val="FBC69B0A"/>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43" w15:restartNumberingAfterBreak="0">
    <w:nsid w:val="4D17335F"/>
    <w:multiLevelType w:val="multilevel"/>
    <w:tmpl w:val="041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4" w15:restartNumberingAfterBreak="0">
    <w:nsid w:val="4DF874CF"/>
    <w:multiLevelType w:val="hybridMultilevel"/>
    <w:tmpl w:val="E8DCF20A"/>
    <w:lvl w:ilvl="0" w:tplc="041A0017">
      <w:start w:val="1"/>
      <w:numFmt w:val="lowerLetter"/>
      <w:lvlText w:val="%1)"/>
      <w:lvlJc w:val="left"/>
      <w:pPr>
        <w:ind w:left="723" w:hanging="360"/>
      </w:pPr>
      <w:rPr>
        <w:rFonts w:cs="Times New Roman"/>
      </w:rPr>
    </w:lvl>
    <w:lvl w:ilvl="1" w:tplc="041A0019" w:tentative="1">
      <w:start w:val="1"/>
      <w:numFmt w:val="lowerLetter"/>
      <w:lvlText w:val="%2."/>
      <w:lvlJc w:val="left"/>
      <w:pPr>
        <w:ind w:left="1443" w:hanging="360"/>
      </w:pPr>
      <w:rPr>
        <w:rFonts w:cs="Times New Roman"/>
      </w:rPr>
    </w:lvl>
    <w:lvl w:ilvl="2" w:tplc="041A001B" w:tentative="1">
      <w:start w:val="1"/>
      <w:numFmt w:val="lowerRoman"/>
      <w:lvlText w:val="%3."/>
      <w:lvlJc w:val="right"/>
      <w:pPr>
        <w:ind w:left="2163" w:hanging="180"/>
      </w:pPr>
      <w:rPr>
        <w:rFonts w:cs="Times New Roman"/>
      </w:rPr>
    </w:lvl>
    <w:lvl w:ilvl="3" w:tplc="041A000F" w:tentative="1">
      <w:start w:val="1"/>
      <w:numFmt w:val="decimal"/>
      <w:lvlText w:val="%4."/>
      <w:lvlJc w:val="left"/>
      <w:pPr>
        <w:ind w:left="2883" w:hanging="360"/>
      </w:pPr>
      <w:rPr>
        <w:rFonts w:cs="Times New Roman"/>
      </w:rPr>
    </w:lvl>
    <w:lvl w:ilvl="4" w:tplc="041A0019" w:tentative="1">
      <w:start w:val="1"/>
      <w:numFmt w:val="lowerLetter"/>
      <w:lvlText w:val="%5."/>
      <w:lvlJc w:val="left"/>
      <w:pPr>
        <w:ind w:left="3603" w:hanging="360"/>
      </w:pPr>
      <w:rPr>
        <w:rFonts w:cs="Times New Roman"/>
      </w:rPr>
    </w:lvl>
    <w:lvl w:ilvl="5" w:tplc="041A001B" w:tentative="1">
      <w:start w:val="1"/>
      <w:numFmt w:val="lowerRoman"/>
      <w:lvlText w:val="%6."/>
      <w:lvlJc w:val="right"/>
      <w:pPr>
        <w:ind w:left="4323" w:hanging="180"/>
      </w:pPr>
      <w:rPr>
        <w:rFonts w:cs="Times New Roman"/>
      </w:rPr>
    </w:lvl>
    <w:lvl w:ilvl="6" w:tplc="041A000F" w:tentative="1">
      <w:start w:val="1"/>
      <w:numFmt w:val="decimal"/>
      <w:lvlText w:val="%7."/>
      <w:lvlJc w:val="left"/>
      <w:pPr>
        <w:ind w:left="5043" w:hanging="360"/>
      </w:pPr>
      <w:rPr>
        <w:rFonts w:cs="Times New Roman"/>
      </w:rPr>
    </w:lvl>
    <w:lvl w:ilvl="7" w:tplc="041A0019" w:tentative="1">
      <w:start w:val="1"/>
      <w:numFmt w:val="lowerLetter"/>
      <w:lvlText w:val="%8."/>
      <w:lvlJc w:val="left"/>
      <w:pPr>
        <w:ind w:left="5763" w:hanging="360"/>
      </w:pPr>
      <w:rPr>
        <w:rFonts w:cs="Times New Roman"/>
      </w:rPr>
    </w:lvl>
    <w:lvl w:ilvl="8" w:tplc="041A001B" w:tentative="1">
      <w:start w:val="1"/>
      <w:numFmt w:val="lowerRoman"/>
      <w:lvlText w:val="%9."/>
      <w:lvlJc w:val="right"/>
      <w:pPr>
        <w:ind w:left="6483" w:hanging="180"/>
      </w:pPr>
      <w:rPr>
        <w:rFonts w:cs="Times New Roman"/>
      </w:rPr>
    </w:lvl>
  </w:abstractNum>
  <w:abstractNum w:abstractNumId="45" w15:restartNumberingAfterBreak="0">
    <w:nsid w:val="4E0D1DB7"/>
    <w:multiLevelType w:val="hybridMultilevel"/>
    <w:tmpl w:val="4B4403C6"/>
    <w:lvl w:ilvl="0" w:tplc="9B964672">
      <w:start w:val="3"/>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E874AD7"/>
    <w:multiLevelType w:val="multilevel"/>
    <w:tmpl w:val="5BB6DB4E"/>
    <w:styleLink w:val="TOC2"/>
    <w:lvl w:ilvl="0">
      <w:start w:val="1"/>
      <w:numFmt w:val="upperRoman"/>
      <w:lvlText w:val="PART %1:"/>
      <w:lvlJc w:val="left"/>
      <w:pPr>
        <w:tabs>
          <w:tab w:val="num" w:pos="1134"/>
        </w:tabs>
        <w:ind w:left="1134" w:hanging="1134"/>
      </w:pPr>
      <w:rPr>
        <w:rFonts w:ascii="Arial" w:hAnsi="Arial" w:cs="Times New Roman"/>
        <w:b/>
        <w:caps/>
        <w:color w:val="333399"/>
        <w:sz w:val="24"/>
      </w:rPr>
    </w:lvl>
    <w:lvl w:ilvl="1">
      <w:start w:val="1"/>
      <w:numFmt w:val="decimal"/>
      <w:lvlRestart w:val="0"/>
      <w:lvlText w:val="Chapter %2:"/>
      <w:lvlJc w:val="left"/>
      <w:pPr>
        <w:tabs>
          <w:tab w:val="num" w:pos="1304"/>
        </w:tabs>
        <w:ind w:left="1304" w:hanging="1304"/>
      </w:pPr>
      <w:rPr>
        <w:rFonts w:ascii="Arial" w:hAnsi="Arial" w:cs="Times New Roman" w:hint="default"/>
        <w:b/>
        <w:i w:val="0"/>
        <w:color w:val="333399"/>
        <w:sz w:val="24"/>
      </w:rPr>
    </w:lvl>
    <w:lvl w:ilvl="2">
      <w:start w:val="1"/>
      <w:numFmt w:val="decimal"/>
      <w:lvlText w:val="%2.%3."/>
      <w:lvlJc w:val="left"/>
      <w:pPr>
        <w:tabs>
          <w:tab w:val="num" w:pos="794"/>
        </w:tabs>
        <w:ind w:left="794" w:hanging="737"/>
      </w:pPr>
      <w:rPr>
        <w:rFonts w:ascii="Arial" w:hAnsi="Arial" w:cs="Times New Roman" w:hint="default"/>
        <w:b/>
        <w:i/>
        <w:color w:val="333399"/>
        <w:sz w:val="24"/>
      </w:rPr>
    </w:lvl>
    <w:lvl w:ilvl="3">
      <w:start w:val="1"/>
      <w:numFmt w:val="decimal"/>
      <w:lvlText w:val="%2.%3.%4."/>
      <w:lvlJc w:val="left"/>
      <w:pPr>
        <w:tabs>
          <w:tab w:val="num" w:pos="902"/>
        </w:tabs>
        <w:ind w:left="902" w:hanging="562"/>
      </w:pPr>
      <w:rPr>
        <w:rFonts w:ascii="Arial" w:hAnsi="Arial" w:cs="Times New Roman" w:hint="default"/>
        <w:b/>
        <w:i w:val="0"/>
        <w:color w:val="auto"/>
        <w:sz w:val="20"/>
      </w:rPr>
    </w:lvl>
    <w:lvl w:ilvl="4">
      <w:start w:val="1"/>
      <w:numFmt w:val="decimal"/>
      <w:lvlRestart w:val="0"/>
      <w:lvlText w:val="Figure %2.%5:"/>
      <w:lvlJc w:val="left"/>
      <w:pPr>
        <w:tabs>
          <w:tab w:val="num" w:pos="1077"/>
        </w:tabs>
        <w:ind w:left="1077" w:hanging="175"/>
      </w:pPr>
      <w:rPr>
        <w:rFonts w:ascii="Arial" w:hAnsi="Arial" w:cs="Times New Roman" w:hint="default"/>
        <w:b w:val="0"/>
        <w:i/>
        <w:color w:val="auto"/>
        <w:sz w:val="20"/>
        <w:u w:val="single"/>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7" w15:restartNumberingAfterBreak="0">
    <w:nsid w:val="4F694650"/>
    <w:multiLevelType w:val="hybridMultilevel"/>
    <w:tmpl w:val="DBACE368"/>
    <w:lvl w:ilvl="0" w:tplc="9698F380">
      <w:start w:val="1"/>
      <w:numFmt w:val="bullet"/>
      <w:pStyle w:val="Uvlaka1"/>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64B35E2"/>
    <w:multiLevelType w:val="hybridMultilevel"/>
    <w:tmpl w:val="A37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116145"/>
    <w:multiLevelType w:val="multilevel"/>
    <w:tmpl w:val="27BA83EC"/>
    <w:styleLink w:val="lanaksekcija"/>
    <w:lvl w:ilvl="0">
      <w:start w:val="1"/>
      <w:numFmt w:val="decimal"/>
      <w:lvlText w:val="%1."/>
      <w:lvlJc w:val="left"/>
      <w:pPr>
        <w:tabs>
          <w:tab w:val="num" w:pos="1080"/>
        </w:tabs>
        <w:ind w:left="1080" w:hanging="360"/>
      </w:pPr>
      <w:rPr>
        <w:rFonts w:cs="Times New Roman"/>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1944"/>
        </w:tabs>
        <w:ind w:left="1944" w:hanging="504"/>
      </w:pPr>
      <w:rPr>
        <w:rFonts w:cs="Times New Roman"/>
      </w:rPr>
    </w:lvl>
    <w:lvl w:ilvl="3">
      <w:start w:val="1"/>
      <w:numFmt w:val="decimal"/>
      <w:lvlText w:val="%1.%2.%3.%4."/>
      <w:lvlJc w:val="left"/>
      <w:pPr>
        <w:tabs>
          <w:tab w:val="num" w:pos="2448"/>
        </w:tabs>
        <w:ind w:left="2448" w:hanging="648"/>
      </w:pPr>
      <w:rPr>
        <w:rFonts w:cs="Times New Roman"/>
      </w:rPr>
    </w:lvl>
    <w:lvl w:ilvl="4">
      <w:start w:val="1"/>
      <w:numFmt w:val="decimal"/>
      <w:lvlText w:val="%1.%2.%3.%4.%5."/>
      <w:lvlJc w:val="left"/>
      <w:pPr>
        <w:tabs>
          <w:tab w:val="num" w:pos="2952"/>
        </w:tabs>
        <w:ind w:left="2952" w:hanging="792"/>
      </w:pPr>
      <w:rPr>
        <w:rFonts w:cs="Times New Roman"/>
      </w:rPr>
    </w:lvl>
    <w:lvl w:ilvl="5">
      <w:start w:val="1"/>
      <w:numFmt w:val="decimal"/>
      <w:lvlText w:val="%1.%2.%3.%4.%5.%6."/>
      <w:lvlJc w:val="left"/>
      <w:pPr>
        <w:tabs>
          <w:tab w:val="num" w:pos="3456"/>
        </w:tabs>
        <w:ind w:left="3456" w:hanging="936"/>
      </w:pPr>
      <w:rPr>
        <w:rFonts w:cs="Times New Roman"/>
      </w:rPr>
    </w:lvl>
    <w:lvl w:ilvl="6">
      <w:start w:val="1"/>
      <w:numFmt w:val="decimal"/>
      <w:lvlText w:val="%1.%2.%3.%4.%5.%6.%7."/>
      <w:lvlJc w:val="left"/>
      <w:pPr>
        <w:tabs>
          <w:tab w:val="num" w:pos="3960"/>
        </w:tabs>
        <w:ind w:left="3960" w:hanging="1080"/>
      </w:pPr>
      <w:rPr>
        <w:rFonts w:cs="Times New Roman"/>
      </w:rPr>
    </w:lvl>
    <w:lvl w:ilvl="7">
      <w:start w:val="1"/>
      <w:numFmt w:val="decimal"/>
      <w:lvlText w:val="%1.%2.%3.%4.%5.%6.%7.%8."/>
      <w:lvlJc w:val="left"/>
      <w:pPr>
        <w:tabs>
          <w:tab w:val="num" w:pos="4464"/>
        </w:tabs>
        <w:ind w:left="4464" w:hanging="1224"/>
      </w:pPr>
      <w:rPr>
        <w:rFonts w:cs="Times New Roman"/>
      </w:rPr>
    </w:lvl>
    <w:lvl w:ilvl="8">
      <w:start w:val="1"/>
      <w:numFmt w:val="decimal"/>
      <w:lvlText w:val="%1.%2.%3.%4.%5.%6.%7.%8.%9."/>
      <w:lvlJc w:val="left"/>
      <w:pPr>
        <w:tabs>
          <w:tab w:val="num" w:pos="5040"/>
        </w:tabs>
        <w:ind w:left="5040" w:hanging="1440"/>
      </w:pPr>
      <w:rPr>
        <w:rFonts w:cs="Times New Roman"/>
      </w:rPr>
    </w:lvl>
  </w:abstractNum>
  <w:abstractNum w:abstractNumId="50" w15:restartNumberingAfterBreak="0">
    <w:nsid w:val="600455D6"/>
    <w:multiLevelType w:val="hybridMultilevel"/>
    <w:tmpl w:val="5978BC52"/>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51" w15:restartNumberingAfterBreak="0">
    <w:nsid w:val="61DF64BB"/>
    <w:multiLevelType w:val="hybridMultilevel"/>
    <w:tmpl w:val="3BCEA406"/>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cs="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cs="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cs="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52" w15:restartNumberingAfterBreak="0">
    <w:nsid w:val="652B63C4"/>
    <w:multiLevelType w:val="hybridMultilevel"/>
    <w:tmpl w:val="92E01218"/>
    <w:lvl w:ilvl="0" w:tplc="79E0F8D8">
      <w:start w:val="1"/>
      <w:numFmt w:val="bullet"/>
      <w:pStyle w:val="Uvlaka3"/>
      <w:lvlText w:val="o"/>
      <w:lvlJc w:val="left"/>
      <w:pPr>
        <w:ind w:left="1854" w:hanging="360"/>
      </w:pPr>
      <w:rPr>
        <w:rFonts w:ascii="Courier New" w:hAnsi="Courier New" w:hint="default"/>
      </w:rPr>
    </w:lvl>
    <w:lvl w:ilvl="1" w:tplc="041A0003" w:tentative="1">
      <w:start w:val="1"/>
      <w:numFmt w:val="bullet"/>
      <w:lvlText w:val="o"/>
      <w:lvlJc w:val="left"/>
      <w:pPr>
        <w:ind w:left="2574" w:hanging="360"/>
      </w:pPr>
      <w:rPr>
        <w:rFonts w:ascii="Courier New" w:hAnsi="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53" w15:restartNumberingAfterBreak="0">
    <w:nsid w:val="65DF7952"/>
    <w:multiLevelType w:val="hybridMultilevel"/>
    <w:tmpl w:val="18F26BB8"/>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54" w15:restartNumberingAfterBreak="0">
    <w:nsid w:val="65EE1ECD"/>
    <w:multiLevelType w:val="hybridMultilevel"/>
    <w:tmpl w:val="6AAE2050"/>
    <w:lvl w:ilvl="0" w:tplc="26BA1D0A">
      <w:start w:val="1"/>
      <w:numFmt w:val="decimal"/>
      <w:lvlText w:val="%1."/>
      <w:lvlJc w:val="left"/>
      <w:pPr>
        <w:ind w:left="720" w:hanging="360"/>
      </w:pPr>
      <w:rPr>
        <w:rFonts w:cs="Times New Roman"/>
      </w:rPr>
    </w:lvl>
    <w:lvl w:ilvl="1" w:tplc="6D7E0A00">
      <w:start w:val="1"/>
      <w:numFmt w:val="decimal"/>
      <w:lvlText w:val="%2."/>
      <w:lvlJc w:val="left"/>
      <w:pPr>
        <w:ind w:left="1440" w:hanging="360"/>
      </w:pPr>
      <w:rPr>
        <w:rFonts w:cs="Times New Roman"/>
      </w:rPr>
    </w:lvl>
    <w:lvl w:ilvl="2" w:tplc="F2EE1C96">
      <w:start w:val="1"/>
      <w:numFmt w:val="lowerRoman"/>
      <w:pStyle w:val="Broj3"/>
      <w:lvlText w:val="%3."/>
      <w:lvlJc w:val="left"/>
      <w:pPr>
        <w:ind w:left="2160" w:hanging="180"/>
      </w:pPr>
      <w:rPr>
        <w:rFonts w:cs="Times New Roman" w:hint="default"/>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5" w15:restartNumberingAfterBreak="0">
    <w:nsid w:val="6AD5386D"/>
    <w:multiLevelType w:val="hybridMultilevel"/>
    <w:tmpl w:val="E55E040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6" w15:restartNumberingAfterBreak="0">
    <w:nsid w:val="6BCA7420"/>
    <w:multiLevelType w:val="hybridMultilevel"/>
    <w:tmpl w:val="6AACC130"/>
    <w:lvl w:ilvl="0" w:tplc="85DA7556">
      <w:numFmt w:val="bullet"/>
      <w:lvlText w:val="•"/>
      <w:lvlJc w:val="left"/>
      <w:pPr>
        <w:ind w:left="441" w:hanging="435"/>
      </w:pPr>
      <w:rPr>
        <w:rFonts w:ascii="Tahoma" w:eastAsia="Times New Roman" w:hAnsi="Tahoma"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57" w15:restartNumberingAfterBreak="0">
    <w:nsid w:val="6DDD7420"/>
    <w:multiLevelType w:val="hybridMultilevel"/>
    <w:tmpl w:val="BACE039A"/>
    <w:lvl w:ilvl="0" w:tplc="7D72067E">
      <w:start w:val="1"/>
      <w:numFmt w:val="decimal"/>
      <w:pStyle w:val="Odlomakpopisa"/>
      <w:lvlText w:val="%1."/>
      <w:lvlJc w:val="left"/>
      <w:pPr>
        <w:ind w:left="4320" w:hanging="360"/>
      </w:pPr>
      <w:rPr>
        <w:rFonts w:cs="Times New Roman"/>
      </w:rPr>
    </w:lvl>
    <w:lvl w:ilvl="1" w:tplc="6D7E0A00">
      <w:start w:val="1"/>
      <w:numFmt w:val="decimal"/>
      <w:pStyle w:val="Broj2"/>
      <w:lvlText w:val="%2."/>
      <w:lvlJc w:val="left"/>
      <w:pPr>
        <w:ind w:left="5040" w:hanging="360"/>
      </w:pPr>
      <w:rPr>
        <w:rFonts w:cs="Times New Roman"/>
      </w:rPr>
    </w:lvl>
    <w:lvl w:ilvl="2" w:tplc="7B281908">
      <w:start w:val="1"/>
      <w:numFmt w:val="lowerRoman"/>
      <w:lvlText w:val="%3."/>
      <w:lvlJc w:val="right"/>
      <w:pPr>
        <w:ind w:left="5760" w:hanging="180"/>
      </w:pPr>
      <w:rPr>
        <w:rFonts w:cs="Times New Roman"/>
      </w:rPr>
    </w:lvl>
    <w:lvl w:ilvl="3" w:tplc="041A000F" w:tentative="1">
      <w:start w:val="1"/>
      <w:numFmt w:val="decimal"/>
      <w:lvlText w:val="%4."/>
      <w:lvlJc w:val="left"/>
      <w:pPr>
        <w:ind w:left="6480" w:hanging="360"/>
      </w:pPr>
      <w:rPr>
        <w:rFonts w:cs="Times New Roman"/>
      </w:rPr>
    </w:lvl>
    <w:lvl w:ilvl="4" w:tplc="041A0019" w:tentative="1">
      <w:start w:val="1"/>
      <w:numFmt w:val="lowerLetter"/>
      <w:lvlText w:val="%5."/>
      <w:lvlJc w:val="left"/>
      <w:pPr>
        <w:ind w:left="7200" w:hanging="360"/>
      </w:pPr>
      <w:rPr>
        <w:rFonts w:cs="Times New Roman"/>
      </w:rPr>
    </w:lvl>
    <w:lvl w:ilvl="5" w:tplc="041A001B" w:tentative="1">
      <w:start w:val="1"/>
      <w:numFmt w:val="lowerRoman"/>
      <w:lvlText w:val="%6."/>
      <w:lvlJc w:val="right"/>
      <w:pPr>
        <w:ind w:left="7920" w:hanging="180"/>
      </w:pPr>
      <w:rPr>
        <w:rFonts w:cs="Times New Roman"/>
      </w:rPr>
    </w:lvl>
    <w:lvl w:ilvl="6" w:tplc="041A000F" w:tentative="1">
      <w:start w:val="1"/>
      <w:numFmt w:val="decimal"/>
      <w:lvlText w:val="%7."/>
      <w:lvlJc w:val="left"/>
      <w:pPr>
        <w:ind w:left="8640" w:hanging="360"/>
      </w:pPr>
      <w:rPr>
        <w:rFonts w:cs="Times New Roman"/>
      </w:rPr>
    </w:lvl>
    <w:lvl w:ilvl="7" w:tplc="041A0019" w:tentative="1">
      <w:start w:val="1"/>
      <w:numFmt w:val="lowerLetter"/>
      <w:lvlText w:val="%8."/>
      <w:lvlJc w:val="left"/>
      <w:pPr>
        <w:ind w:left="9360" w:hanging="360"/>
      </w:pPr>
      <w:rPr>
        <w:rFonts w:cs="Times New Roman"/>
      </w:rPr>
    </w:lvl>
    <w:lvl w:ilvl="8" w:tplc="041A001B" w:tentative="1">
      <w:start w:val="1"/>
      <w:numFmt w:val="lowerRoman"/>
      <w:lvlText w:val="%9."/>
      <w:lvlJc w:val="right"/>
      <w:pPr>
        <w:ind w:left="10080" w:hanging="180"/>
      </w:pPr>
      <w:rPr>
        <w:rFonts w:cs="Times New Roman"/>
      </w:rPr>
    </w:lvl>
  </w:abstractNum>
  <w:abstractNum w:abstractNumId="58" w15:restartNumberingAfterBreak="0">
    <w:nsid w:val="6E306AE6"/>
    <w:multiLevelType w:val="singleLevel"/>
    <w:tmpl w:val="8294DB18"/>
    <w:name w:val="List Dash"/>
    <w:lvl w:ilvl="0">
      <w:start w:val="1"/>
      <w:numFmt w:val="bullet"/>
      <w:lvlText w:val=""/>
      <w:legacy w:legacy="1" w:legacySpace="0" w:legacyIndent="283"/>
      <w:lvlJc w:val="left"/>
      <w:pPr>
        <w:ind w:left="1003" w:hanging="283"/>
      </w:pPr>
      <w:rPr>
        <w:rFonts w:ascii="Symbol" w:hAnsi="Symbol" w:hint="default"/>
      </w:rPr>
    </w:lvl>
  </w:abstractNum>
  <w:abstractNum w:abstractNumId="59" w15:restartNumberingAfterBreak="0">
    <w:nsid w:val="6EEF2540"/>
    <w:multiLevelType w:val="hybridMultilevel"/>
    <w:tmpl w:val="9478641C"/>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60" w15:restartNumberingAfterBreak="0">
    <w:nsid w:val="6FB552D8"/>
    <w:multiLevelType w:val="multilevel"/>
    <w:tmpl w:val="A5C02844"/>
    <w:styleLink w:val="StyleBulletedWingdingssymbol12ptBoldGray-50Left1"/>
    <w:lvl w:ilvl="0">
      <w:start w:val="1"/>
      <w:numFmt w:val="bullet"/>
      <w:lvlText w:val=""/>
      <w:lvlJc w:val="left"/>
      <w:pPr>
        <w:tabs>
          <w:tab w:val="num" w:pos="1040"/>
        </w:tabs>
        <w:ind w:left="1040" w:hanging="360"/>
      </w:pPr>
      <w:rPr>
        <w:rFonts w:ascii="Tahoma" w:hAnsi="Tahoma" w:hint="default"/>
        <w:color w:val="808080"/>
      </w:rPr>
    </w:lvl>
    <w:lvl w:ilvl="1">
      <w:start w:val="1"/>
      <w:numFmt w:val="bullet"/>
      <w:lvlText w:val=""/>
      <w:lvlJc w:val="left"/>
      <w:pPr>
        <w:ind w:left="342" w:hanging="360"/>
      </w:pPr>
      <w:rPr>
        <w:rFonts w:ascii="Wingdings" w:hAnsi="Wingdings" w:hint="default"/>
        <w:color w:val="808080"/>
      </w:rPr>
    </w:lvl>
    <w:lvl w:ilvl="2">
      <w:start w:val="1"/>
      <w:numFmt w:val="bullet"/>
      <w:lvlText w:val=""/>
      <w:lvlJc w:val="left"/>
      <w:pPr>
        <w:ind w:left="1062" w:hanging="360"/>
      </w:pPr>
      <w:rPr>
        <w:rFonts w:ascii="Wingdings" w:hAnsi="Wingdings"/>
        <w:b/>
        <w:color w:val="808080"/>
        <w:sz w:val="24"/>
      </w:rPr>
    </w:lvl>
    <w:lvl w:ilvl="3">
      <w:start w:val="1"/>
      <w:numFmt w:val="bullet"/>
      <w:lvlText w:val=""/>
      <w:lvlJc w:val="left"/>
      <w:pPr>
        <w:ind w:left="1782" w:hanging="360"/>
      </w:pPr>
      <w:rPr>
        <w:rFonts w:ascii="Symbol" w:hAnsi="Symbol" w:hint="default"/>
      </w:rPr>
    </w:lvl>
    <w:lvl w:ilvl="4">
      <w:start w:val="1"/>
      <w:numFmt w:val="bullet"/>
      <w:lvlText w:val="o"/>
      <w:lvlJc w:val="left"/>
      <w:pPr>
        <w:ind w:left="2502" w:hanging="360"/>
      </w:pPr>
      <w:rPr>
        <w:rFonts w:ascii="Courier New" w:hAnsi="Courier New" w:hint="default"/>
      </w:rPr>
    </w:lvl>
    <w:lvl w:ilvl="5">
      <w:start w:val="1"/>
      <w:numFmt w:val="bullet"/>
      <w:lvlText w:val=""/>
      <w:lvlJc w:val="left"/>
      <w:pPr>
        <w:ind w:left="3222" w:hanging="360"/>
      </w:pPr>
      <w:rPr>
        <w:rFonts w:ascii="Wingdings" w:hAnsi="Wingdings" w:hint="default"/>
      </w:rPr>
    </w:lvl>
    <w:lvl w:ilvl="6">
      <w:start w:val="1"/>
      <w:numFmt w:val="bullet"/>
      <w:lvlText w:val=""/>
      <w:lvlJc w:val="left"/>
      <w:pPr>
        <w:ind w:left="3942" w:hanging="360"/>
      </w:pPr>
      <w:rPr>
        <w:rFonts w:ascii="Symbol" w:hAnsi="Symbol" w:hint="default"/>
      </w:rPr>
    </w:lvl>
    <w:lvl w:ilvl="7">
      <w:start w:val="1"/>
      <w:numFmt w:val="bullet"/>
      <w:lvlText w:val="o"/>
      <w:lvlJc w:val="left"/>
      <w:pPr>
        <w:ind w:left="4662" w:hanging="360"/>
      </w:pPr>
      <w:rPr>
        <w:rFonts w:ascii="Courier New" w:hAnsi="Courier New" w:hint="default"/>
      </w:rPr>
    </w:lvl>
    <w:lvl w:ilvl="8">
      <w:start w:val="1"/>
      <w:numFmt w:val="bullet"/>
      <w:lvlText w:val=""/>
      <w:lvlJc w:val="left"/>
      <w:pPr>
        <w:ind w:left="5382" w:hanging="360"/>
      </w:pPr>
      <w:rPr>
        <w:rFonts w:ascii="Wingdings" w:hAnsi="Wingdings" w:hint="default"/>
      </w:rPr>
    </w:lvl>
  </w:abstractNum>
  <w:abstractNum w:abstractNumId="61" w15:restartNumberingAfterBreak="0">
    <w:nsid w:val="701E6F40"/>
    <w:multiLevelType w:val="hybridMultilevel"/>
    <w:tmpl w:val="6E029D22"/>
    <w:lvl w:ilvl="0" w:tplc="D0E22EBE">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62" w15:restartNumberingAfterBreak="0">
    <w:nsid w:val="71D83927"/>
    <w:multiLevelType w:val="hybridMultilevel"/>
    <w:tmpl w:val="A808D412"/>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63" w15:restartNumberingAfterBreak="0">
    <w:nsid w:val="73AA00F7"/>
    <w:multiLevelType w:val="hybridMultilevel"/>
    <w:tmpl w:val="8A6E14A4"/>
    <w:lvl w:ilvl="0" w:tplc="44CEE52C">
      <w:start w:val="1"/>
      <w:numFmt w:val="bullet"/>
      <w:lvlText w:val="•"/>
      <w:lvlJc w:val="left"/>
      <w:pPr>
        <w:ind w:left="720" w:hanging="360"/>
      </w:pPr>
      <w:rPr>
        <w:rFonts w:ascii="Arial" w:hAnsi="Arial" w:cs="Times New Roman" w:hint="default"/>
        <w:sz w:val="24"/>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4" w15:restartNumberingAfterBreak="0">
    <w:nsid w:val="753F4EC3"/>
    <w:multiLevelType w:val="hybridMultilevel"/>
    <w:tmpl w:val="9D649844"/>
    <w:lvl w:ilvl="0" w:tplc="041A0017">
      <w:start w:val="1"/>
      <w:numFmt w:val="lowerLetter"/>
      <w:lvlText w:val="%1)"/>
      <w:lvlJc w:val="left"/>
      <w:pPr>
        <w:ind w:left="723" w:hanging="360"/>
      </w:pPr>
      <w:rPr>
        <w:rFonts w:cs="Times New Roman"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65" w15:restartNumberingAfterBreak="0">
    <w:nsid w:val="7C145269"/>
    <w:multiLevelType w:val="hybridMultilevel"/>
    <w:tmpl w:val="7EECCA52"/>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cs="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cs="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cs="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66" w15:restartNumberingAfterBreak="0">
    <w:nsid w:val="7C232A91"/>
    <w:multiLevelType w:val="hybridMultilevel"/>
    <w:tmpl w:val="10BA2978"/>
    <w:lvl w:ilvl="0" w:tplc="4DD8A556">
      <w:start w:val="1"/>
      <w:numFmt w:val="bullet"/>
      <w:pStyle w:val="Naslov3-"/>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CFB0E92"/>
    <w:multiLevelType w:val="hybridMultilevel"/>
    <w:tmpl w:val="1F22E024"/>
    <w:lvl w:ilvl="0" w:tplc="E9CE3312">
      <w:numFmt w:val="bullet"/>
      <w:lvlText w:val="•"/>
      <w:lvlJc w:val="left"/>
      <w:pPr>
        <w:ind w:left="720" w:hanging="720"/>
      </w:pPr>
      <w:rPr>
        <w:rFonts w:ascii="Calibri" w:eastAsia="Times New Roma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8" w15:restartNumberingAfterBreak="0">
    <w:nsid w:val="7F3C7E89"/>
    <w:multiLevelType w:val="hybridMultilevel"/>
    <w:tmpl w:val="434E5960"/>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69" w15:restartNumberingAfterBreak="0">
    <w:nsid w:val="7F8E516B"/>
    <w:multiLevelType w:val="hybridMultilevel"/>
    <w:tmpl w:val="9372F8F4"/>
    <w:lvl w:ilvl="0" w:tplc="44CEE52C">
      <w:start w:val="1"/>
      <w:numFmt w:val="bullet"/>
      <w:lvlText w:val="•"/>
      <w:lvlJc w:val="left"/>
      <w:pPr>
        <w:tabs>
          <w:tab w:val="num" w:pos="720"/>
        </w:tabs>
        <w:ind w:left="720" w:hanging="360"/>
      </w:pPr>
      <w:rPr>
        <w:rFonts w:ascii="Arial" w:hAnsi="Arial" w:cs="Times New Roman" w:hint="default"/>
      </w:rPr>
    </w:lvl>
    <w:lvl w:ilvl="1" w:tplc="64BE42B8">
      <w:start w:val="1"/>
      <w:numFmt w:val="bullet"/>
      <w:lvlText w:val="•"/>
      <w:lvlJc w:val="left"/>
      <w:pPr>
        <w:tabs>
          <w:tab w:val="num" w:pos="1440"/>
        </w:tabs>
        <w:ind w:left="1440" w:hanging="360"/>
      </w:pPr>
      <w:rPr>
        <w:rFonts w:ascii="Arial" w:hAnsi="Arial" w:cs="Times New Roman" w:hint="default"/>
      </w:rPr>
    </w:lvl>
    <w:lvl w:ilvl="2" w:tplc="E21A9A0C">
      <w:start w:val="1"/>
      <w:numFmt w:val="bullet"/>
      <w:lvlText w:val="•"/>
      <w:lvlJc w:val="left"/>
      <w:pPr>
        <w:tabs>
          <w:tab w:val="num" w:pos="2160"/>
        </w:tabs>
        <w:ind w:left="2160" w:hanging="360"/>
      </w:pPr>
      <w:rPr>
        <w:rFonts w:ascii="Arial" w:hAnsi="Arial" w:cs="Times New Roman" w:hint="default"/>
      </w:rPr>
    </w:lvl>
    <w:lvl w:ilvl="3" w:tplc="2AC085D0">
      <w:start w:val="1"/>
      <w:numFmt w:val="bullet"/>
      <w:lvlText w:val="•"/>
      <w:lvlJc w:val="left"/>
      <w:pPr>
        <w:tabs>
          <w:tab w:val="num" w:pos="2880"/>
        </w:tabs>
        <w:ind w:left="2880" w:hanging="360"/>
      </w:pPr>
      <w:rPr>
        <w:rFonts w:ascii="Arial" w:hAnsi="Arial" w:cs="Times New Roman" w:hint="default"/>
      </w:rPr>
    </w:lvl>
    <w:lvl w:ilvl="4" w:tplc="169802C4">
      <w:start w:val="1"/>
      <w:numFmt w:val="bullet"/>
      <w:lvlText w:val="•"/>
      <w:lvlJc w:val="left"/>
      <w:pPr>
        <w:tabs>
          <w:tab w:val="num" w:pos="3600"/>
        </w:tabs>
        <w:ind w:left="3600" w:hanging="360"/>
      </w:pPr>
      <w:rPr>
        <w:rFonts w:ascii="Arial" w:hAnsi="Arial" w:cs="Times New Roman" w:hint="default"/>
      </w:rPr>
    </w:lvl>
    <w:lvl w:ilvl="5" w:tplc="61A8E91E">
      <w:start w:val="1"/>
      <w:numFmt w:val="bullet"/>
      <w:lvlText w:val="•"/>
      <w:lvlJc w:val="left"/>
      <w:pPr>
        <w:tabs>
          <w:tab w:val="num" w:pos="4320"/>
        </w:tabs>
        <w:ind w:left="4320" w:hanging="360"/>
      </w:pPr>
      <w:rPr>
        <w:rFonts w:ascii="Arial" w:hAnsi="Arial" w:cs="Times New Roman" w:hint="default"/>
      </w:rPr>
    </w:lvl>
    <w:lvl w:ilvl="6" w:tplc="C22CB6A2">
      <w:start w:val="1"/>
      <w:numFmt w:val="bullet"/>
      <w:lvlText w:val="•"/>
      <w:lvlJc w:val="left"/>
      <w:pPr>
        <w:tabs>
          <w:tab w:val="num" w:pos="5040"/>
        </w:tabs>
        <w:ind w:left="5040" w:hanging="360"/>
      </w:pPr>
      <w:rPr>
        <w:rFonts w:ascii="Arial" w:hAnsi="Arial" w:cs="Times New Roman" w:hint="default"/>
      </w:rPr>
    </w:lvl>
    <w:lvl w:ilvl="7" w:tplc="0F5CA530">
      <w:start w:val="1"/>
      <w:numFmt w:val="bullet"/>
      <w:lvlText w:val="•"/>
      <w:lvlJc w:val="left"/>
      <w:pPr>
        <w:tabs>
          <w:tab w:val="num" w:pos="5760"/>
        </w:tabs>
        <w:ind w:left="5760" w:hanging="360"/>
      </w:pPr>
      <w:rPr>
        <w:rFonts w:ascii="Arial" w:hAnsi="Arial" w:cs="Times New Roman" w:hint="default"/>
      </w:rPr>
    </w:lvl>
    <w:lvl w:ilvl="8" w:tplc="B9CC7798">
      <w:start w:val="1"/>
      <w:numFmt w:val="bullet"/>
      <w:lvlText w:val="•"/>
      <w:lvlJc w:val="left"/>
      <w:pPr>
        <w:tabs>
          <w:tab w:val="num" w:pos="6480"/>
        </w:tabs>
        <w:ind w:left="6480" w:hanging="360"/>
      </w:pPr>
      <w:rPr>
        <w:rFonts w:ascii="Arial" w:hAnsi="Arial" w:cs="Times New Roman" w:hint="default"/>
      </w:rPr>
    </w:lvl>
  </w:abstractNum>
  <w:abstractNum w:abstractNumId="70" w15:restartNumberingAfterBreak="0">
    <w:nsid w:val="7FAB1F04"/>
    <w:multiLevelType w:val="hybridMultilevel"/>
    <w:tmpl w:val="97122602"/>
    <w:name w:val="Tiret 0__2"/>
    <w:lvl w:ilvl="0" w:tplc="AB7ADC56">
      <w:start w:val="1"/>
      <w:numFmt w:val="bullet"/>
      <w:lvlText w:val=""/>
      <w:lvlJc w:val="left"/>
      <w:pPr>
        <w:tabs>
          <w:tab w:val="num" w:pos="284"/>
        </w:tabs>
        <w:ind w:left="284" w:hanging="284"/>
      </w:pPr>
      <w:rPr>
        <w:rFonts w:ascii="Symbol" w:hAnsi="Symbol" w:hint="default"/>
      </w:rPr>
    </w:lvl>
    <w:lvl w:ilvl="1" w:tplc="799483A8">
      <w:start w:val="1"/>
      <w:numFmt w:val="decimal"/>
      <w:lvlText w:val="%2."/>
      <w:lvlJc w:val="left"/>
      <w:pPr>
        <w:tabs>
          <w:tab w:val="num" w:pos="1440"/>
        </w:tabs>
        <w:ind w:left="1440" w:hanging="360"/>
      </w:pPr>
      <w:rPr>
        <w:rFonts w:cs="Times New Roman"/>
      </w:rPr>
    </w:lvl>
    <w:lvl w:ilvl="2" w:tplc="40869E30">
      <w:start w:val="1"/>
      <w:numFmt w:val="decimal"/>
      <w:lvlText w:val="%3."/>
      <w:lvlJc w:val="left"/>
      <w:pPr>
        <w:tabs>
          <w:tab w:val="num" w:pos="2160"/>
        </w:tabs>
        <w:ind w:left="2160" w:hanging="360"/>
      </w:pPr>
      <w:rPr>
        <w:rFonts w:cs="Times New Roman"/>
      </w:rPr>
    </w:lvl>
    <w:lvl w:ilvl="3" w:tplc="20A832C0">
      <w:start w:val="1"/>
      <w:numFmt w:val="bullet"/>
      <w:lvlText w:val=""/>
      <w:lvlJc w:val="left"/>
      <w:pPr>
        <w:tabs>
          <w:tab w:val="num" w:pos="2880"/>
        </w:tabs>
        <w:ind w:left="2880" w:hanging="360"/>
      </w:pPr>
      <w:rPr>
        <w:rFonts w:ascii="Symbol" w:hAnsi="Symbol" w:hint="default"/>
      </w:rPr>
    </w:lvl>
    <w:lvl w:ilvl="4" w:tplc="503C7AF8">
      <w:start w:val="1"/>
      <w:numFmt w:val="decimal"/>
      <w:lvlText w:val="%5."/>
      <w:lvlJc w:val="left"/>
      <w:pPr>
        <w:tabs>
          <w:tab w:val="num" w:pos="3600"/>
        </w:tabs>
        <w:ind w:left="3600" w:hanging="360"/>
      </w:pPr>
      <w:rPr>
        <w:rFonts w:cs="Times New Roman"/>
      </w:rPr>
    </w:lvl>
    <w:lvl w:ilvl="5" w:tplc="234EB2B6">
      <w:start w:val="1"/>
      <w:numFmt w:val="decimal"/>
      <w:lvlText w:val="%6."/>
      <w:lvlJc w:val="left"/>
      <w:pPr>
        <w:tabs>
          <w:tab w:val="num" w:pos="4320"/>
        </w:tabs>
        <w:ind w:left="4320" w:hanging="360"/>
      </w:pPr>
      <w:rPr>
        <w:rFonts w:cs="Times New Roman"/>
      </w:rPr>
    </w:lvl>
    <w:lvl w:ilvl="6" w:tplc="9D0C82B6">
      <w:start w:val="1"/>
      <w:numFmt w:val="decimal"/>
      <w:lvlText w:val="%7."/>
      <w:lvlJc w:val="left"/>
      <w:pPr>
        <w:tabs>
          <w:tab w:val="num" w:pos="5040"/>
        </w:tabs>
        <w:ind w:left="5040" w:hanging="360"/>
      </w:pPr>
      <w:rPr>
        <w:rFonts w:cs="Times New Roman"/>
      </w:rPr>
    </w:lvl>
    <w:lvl w:ilvl="7" w:tplc="E9586102">
      <w:start w:val="1"/>
      <w:numFmt w:val="decimal"/>
      <w:lvlText w:val="%8."/>
      <w:lvlJc w:val="left"/>
      <w:pPr>
        <w:tabs>
          <w:tab w:val="num" w:pos="5760"/>
        </w:tabs>
        <w:ind w:left="5760" w:hanging="360"/>
      </w:pPr>
      <w:rPr>
        <w:rFonts w:cs="Times New Roman"/>
      </w:rPr>
    </w:lvl>
    <w:lvl w:ilvl="8" w:tplc="F104D414">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52"/>
  </w:num>
  <w:num w:numId="4">
    <w:abstractNumId w:val="19"/>
  </w:num>
  <w:num w:numId="5">
    <w:abstractNumId w:val="57"/>
  </w:num>
  <w:num w:numId="6">
    <w:abstractNumId w:val="54"/>
  </w:num>
  <w:num w:numId="7">
    <w:abstractNumId w:val="30"/>
  </w:num>
  <w:num w:numId="8">
    <w:abstractNumId w:val="12"/>
  </w:num>
  <w:num w:numId="9">
    <w:abstractNumId w:val="46"/>
  </w:num>
  <w:num w:numId="10">
    <w:abstractNumId w:val="20"/>
  </w:num>
  <w:num w:numId="11">
    <w:abstractNumId w:val="60"/>
  </w:num>
  <w:num w:numId="12">
    <w:abstractNumId w:val="43"/>
  </w:num>
  <w:num w:numId="13">
    <w:abstractNumId w:val="3"/>
  </w:num>
  <w:num w:numId="14">
    <w:abstractNumId w:val="49"/>
  </w:num>
  <w:num w:numId="15">
    <w:abstractNumId w:val="37"/>
  </w:num>
  <w:num w:numId="16">
    <w:abstractNumId w:val="24"/>
  </w:num>
  <w:num w:numId="17">
    <w:abstractNumId w:val="47"/>
  </w:num>
  <w:num w:numId="18">
    <w:abstractNumId w:val="35"/>
  </w:num>
  <w:num w:numId="19">
    <w:abstractNumId w:val="27"/>
  </w:num>
  <w:num w:numId="20">
    <w:abstractNumId w:val="18"/>
  </w:num>
  <w:num w:numId="21">
    <w:abstractNumId w:val="56"/>
  </w:num>
  <w:num w:numId="22">
    <w:abstractNumId w:val="32"/>
  </w:num>
  <w:num w:numId="23">
    <w:abstractNumId w:val="39"/>
  </w:num>
  <w:num w:numId="24">
    <w:abstractNumId w:val="15"/>
  </w:num>
  <w:num w:numId="25">
    <w:abstractNumId w:val="42"/>
  </w:num>
  <w:num w:numId="26">
    <w:abstractNumId w:val="41"/>
  </w:num>
  <w:num w:numId="27">
    <w:abstractNumId w:val="8"/>
  </w:num>
  <w:num w:numId="28">
    <w:abstractNumId w:val="50"/>
  </w:num>
  <w:num w:numId="29">
    <w:abstractNumId w:val="13"/>
  </w:num>
  <w:num w:numId="30">
    <w:abstractNumId w:val="16"/>
  </w:num>
  <w:num w:numId="31">
    <w:abstractNumId w:val="53"/>
  </w:num>
  <w:num w:numId="32">
    <w:abstractNumId w:val="59"/>
  </w:num>
  <w:num w:numId="33">
    <w:abstractNumId w:val="68"/>
  </w:num>
  <w:num w:numId="34">
    <w:abstractNumId w:val="33"/>
  </w:num>
  <w:num w:numId="35">
    <w:abstractNumId w:val="44"/>
  </w:num>
  <w:num w:numId="36">
    <w:abstractNumId w:val="62"/>
  </w:num>
  <w:num w:numId="37">
    <w:abstractNumId w:val="61"/>
  </w:num>
  <w:num w:numId="38">
    <w:abstractNumId w:val="67"/>
  </w:num>
  <w:num w:numId="39">
    <w:abstractNumId w:val="9"/>
  </w:num>
  <w:num w:numId="40">
    <w:abstractNumId w:val="2"/>
  </w:num>
  <w:num w:numId="41">
    <w:abstractNumId w:val="36"/>
  </w:num>
  <w:num w:numId="42">
    <w:abstractNumId w:val="5"/>
  </w:num>
  <w:num w:numId="43">
    <w:abstractNumId w:val="23"/>
  </w:num>
  <w:num w:numId="44">
    <w:abstractNumId w:val="64"/>
  </w:num>
  <w:num w:numId="45">
    <w:abstractNumId w:val="21"/>
  </w:num>
  <w:num w:numId="46">
    <w:abstractNumId w:val="55"/>
  </w:num>
  <w:num w:numId="47">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45"/>
  </w:num>
  <w:num w:numId="50">
    <w:abstractNumId w:val="14"/>
  </w:num>
  <w:num w:numId="51">
    <w:abstractNumId w:val="7"/>
  </w:num>
  <w:num w:numId="52">
    <w:abstractNumId w:val="22"/>
  </w:num>
  <w:num w:numId="53">
    <w:abstractNumId w:val="31"/>
  </w:num>
  <w:num w:numId="54">
    <w:abstractNumId w:val="6"/>
  </w:num>
  <w:num w:numId="55">
    <w:abstractNumId w:val="4"/>
  </w:num>
  <w:num w:numId="56">
    <w:abstractNumId w:val="25"/>
  </w:num>
  <w:num w:numId="57">
    <w:abstractNumId w:val="29"/>
  </w:num>
  <w:num w:numId="58">
    <w:abstractNumId w:val="69"/>
  </w:num>
  <w:num w:numId="59">
    <w:abstractNumId w:val="38"/>
  </w:num>
  <w:num w:numId="60">
    <w:abstractNumId w:val="63"/>
  </w:num>
  <w:num w:numId="61">
    <w:abstractNumId w:val="26"/>
  </w:num>
  <w:num w:numId="62">
    <w:abstractNumId w:val="11"/>
  </w:num>
  <w:num w:numId="63">
    <w:abstractNumId w:val="51"/>
  </w:num>
  <w:num w:numId="64">
    <w:abstractNumId w:val="17"/>
  </w:num>
  <w:num w:numId="65">
    <w:abstractNumId w:val="48"/>
  </w:num>
  <w:num w:numId="66">
    <w:abstractNumId w:val="28"/>
  </w:num>
  <w:num w:numId="67">
    <w:abstractNumId w:val="40"/>
  </w:num>
  <w:num w:numId="68">
    <w:abstractNumId w:val="65"/>
  </w:num>
  <w:num w:numId="69">
    <w:abstractNumId w:val="2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num>
  <w:num w:numId="71">
    <w:abstractNumId w:val="66"/>
  </w:num>
  <w:num w:numId="72">
    <w:abstractNumId w:val="57"/>
  </w:num>
  <w:num w:numId="73">
    <w:abstractNumId w:val="57"/>
  </w:num>
  <w:num w:numId="74">
    <w:abstractNumId w:val="57"/>
  </w:num>
  <w:num w:numId="75">
    <w:abstractNumId w:val="57"/>
  </w:num>
  <w:num w:numId="76">
    <w:abstractNumId w:val="57"/>
  </w:num>
  <w:num w:numId="77">
    <w:abstractNumId w:val="57"/>
  </w:num>
  <w:num w:numId="78">
    <w:abstractNumId w:val="2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stylePaneSortMethod w:val="0000"/>
  <w:defaultTabStop w:val="567"/>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D2B"/>
    <w:rsid w:val="00000218"/>
    <w:rsid w:val="000006CE"/>
    <w:rsid w:val="000009E9"/>
    <w:rsid w:val="00000B5F"/>
    <w:rsid w:val="00000D94"/>
    <w:rsid w:val="00000E36"/>
    <w:rsid w:val="00000EF6"/>
    <w:rsid w:val="000014E5"/>
    <w:rsid w:val="0000151F"/>
    <w:rsid w:val="00001837"/>
    <w:rsid w:val="0000188F"/>
    <w:rsid w:val="0000199D"/>
    <w:rsid w:val="00001A28"/>
    <w:rsid w:val="00001ED6"/>
    <w:rsid w:val="000023BD"/>
    <w:rsid w:val="00002AC3"/>
    <w:rsid w:val="00002AE5"/>
    <w:rsid w:val="000030BB"/>
    <w:rsid w:val="000039BE"/>
    <w:rsid w:val="00003C7D"/>
    <w:rsid w:val="00004371"/>
    <w:rsid w:val="0000533F"/>
    <w:rsid w:val="0000580C"/>
    <w:rsid w:val="0000581D"/>
    <w:rsid w:val="000059DB"/>
    <w:rsid w:val="00005A89"/>
    <w:rsid w:val="00005D1E"/>
    <w:rsid w:val="00005E93"/>
    <w:rsid w:val="0000604B"/>
    <w:rsid w:val="000069BF"/>
    <w:rsid w:val="00007084"/>
    <w:rsid w:val="000070AE"/>
    <w:rsid w:val="00007A79"/>
    <w:rsid w:val="00007E14"/>
    <w:rsid w:val="0001022E"/>
    <w:rsid w:val="00010C13"/>
    <w:rsid w:val="00010DF5"/>
    <w:rsid w:val="00010E37"/>
    <w:rsid w:val="00011038"/>
    <w:rsid w:val="00011401"/>
    <w:rsid w:val="00011432"/>
    <w:rsid w:val="00011A1F"/>
    <w:rsid w:val="00011F99"/>
    <w:rsid w:val="00012300"/>
    <w:rsid w:val="00012337"/>
    <w:rsid w:val="000125AF"/>
    <w:rsid w:val="000125C6"/>
    <w:rsid w:val="00012800"/>
    <w:rsid w:val="00012A22"/>
    <w:rsid w:val="00012F54"/>
    <w:rsid w:val="000131D9"/>
    <w:rsid w:val="00013339"/>
    <w:rsid w:val="000139D5"/>
    <w:rsid w:val="000144E3"/>
    <w:rsid w:val="000148FD"/>
    <w:rsid w:val="00014DEC"/>
    <w:rsid w:val="000152A2"/>
    <w:rsid w:val="000156CA"/>
    <w:rsid w:val="00015C97"/>
    <w:rsid w:val="000160EC"/>
    <w:rsid w:val="00016A58"/>
    <w:rsid w:val="00017130"/>
    <w:rsid w:val="00017D94"/>
    <w:rsid w:val="000205A0"/>
    <w:rsid w:val="00020A25"/>
    <w:rsid w:val="00020B08"/>
    <w:rsid w:val="00020EAF"/>
    <w:rsid w:val="0002107D"/>
    <w:rsid w:val="000214EF"/>
    <w:rsid w:val="0002182B"/>
    <w:rsid w:val="00021AF8"/>
    <w:rsid w:val="0002277D"/>
    <w:rsid w:val="00022826"/>
    <w:rsid w:val="00022B71"/>
    <w:rsid w:val="00023415"/>
    <w:rsid w:val="00023590"/>
    <w:rsid w:val="0002442A"/>
    <w:rsid w:val="00024A1D"/>
    <w:rsid w:val="00024EFE"/>
    <w:rsid w:val="00025437"/>
    <w:rsid w:val="00026618"/>
    <w:rsid w:val="000268C7"/>
    <w:rsid w:val="00026AA6"/>
    <w:rsid w:val="00026D4F"/>
    <w:rsid w:val="00026FDA"/>
    <w:rsid w:val="0003098E"/>
    <w:rsid w:val="00031D37"/>
    <w:rsid w:val="00031DA4"/>
    <w:rsid w:val="00031FD5"/>
    <w:rsid w:val="0003220B"/>
    <w:rsid w:val="00032964"/>
    <w:rsid w:val="00032AF4"/>
    <w:rsid w:val="00032C88"/>
    <w:rsid w:val="00032CCE"/>
    <w:rsid w:val="0003327C"/>
    <w:rsid w:val="00034544"/>
    <w:rsid w:val="000350F1"/>
    <w:rsid w:val="0003514C"/>
    <w:rsid w:val="000353F9"/>
    <w:rsid w:val="00035448"/>
    <w:rsid w:val="00035777"/>
    <w:rsid w:val="000358A8"/>
    <w:rsid w:val="00036276"/>
    <w:rsid w:val="00036292"/>
    <w:rsid w:val="000362C1"/>
    <w:rsid w:val="00036671"/>
    <w:rsid w:val="00036910"/>
    <w:rsid w:val="0003697F"/>
    <w:rsid w:val="00036C21"/>
    <w:rsid w:val="00036F1A"/>
    <w:rsid w:val="00037B70"/>
    <w:rsid w:val="00037D70"/>
    <w:rsid w:val="00037E3A"/>
    <w:rsid w:val="0004050E"/>
    <w:rsid w:val="00040C3C"/>
    <w:rsid w:val="00041421"/>
    <w:rsid w:val="0004144E"/>
    <w:rsid w:val="00042E97"/>
    <w:rsid w:val="00042EC5"/>
    <w:rsid w:val="00042FC5"/>
    <w:rsid w:val="00043477"/>
    <w:rsid w:val="00044222"/>
    <w:rsid w:val="0004452B"/>
    <w:rsid w:val="00044AC8"/>
    <w:rsid w:val="00044CAA"/>
    <w:rsid w:val="000452CE"/>
    <w:rsid w:val="000453B0"/>
    <w:rsid w:val="00045483"/>
    <w:rsid w:val="000458B3"/>
    <w:rsid w:val="00045B32"/>
    <w:rsid w:val="00046A9B"/>
    <w:rsid w:val="00047208"/>
    <w:rsid w:val="0004723B"/>
    <w:rsid w:val="00047351"/>
    <w:rsid w:val="0004796D"/>
    <w:rsid w:val="00050032"/>
    <w:rsid w:val="000509E7"/>
    <w:rsid w:val="00051373"/>
    <w:rsid w:val="00051729"/>
    <w:rsid w:val="00051CF2"/>
    <w:rsid w:val="000520D8"/>
    <w:rsid w:val="0005211A"/>
    <w:rsid w:val="00052183"/>
    <w:rsid w:val="00053558"/>
    <w:rsid w:val="0005395A"/>
    <w:rsid w:val="00053DF3"/>
    <w:rsid w:val="00053E53"/>
    <w:rsid w:val="00054370"/>
    <w:rsid w:val="00054380"/>
    <w:rsid w:val="00054513"/>
    <w:rsid w:val="000546CB"/>
    <w:rsid w:val="00054702"/>
    <w:rsid w:val="0005536D"/>
    <w:rsid w:val="00055953"/>
    <w:rsid w:val="00055E6E"/>
    <w:rsid w:val="000565BC"/>
    <w:rsid w:val="000566F8"/>
    <w:rsid w:val="000568AD"/>
    <w:rsid w:val="00056965"/>
    <w:rsid w:val="00056988"/>
    <w:rsid w:val="00056D43"/>
    <w:rsid w:val="0005710F"/>
    <w:rsid w:val="00057BAC"/>
    <w:rsid w:val="00057C03"/>
    <w:rsid w:val="00060168"/>
    <w:rsid w:val="000602DB"/>
    <w:rsid w:val="00060E70"/>
    <w:rsid w:val="00060FAF"/>
    <w:rsid w:val="000612CE"/>
    <w:rsid w:val="00061739"/>
    <w:rsid w:val="00061B5A"/>
    <w:rsid w:val="00061C9C"/>
    <w:rsid w:val="00061D8C"/>
    <w:rsid w:val="000626C2"/>
    <w:rsid w:val="000638C6"/>
    <w:rsid w:val="00063CA4"/>
    <w:rsid w:val="00063CF1"/>
    <w:rsid w:val="00064A7C"/>
    <w:rsid w:val="00064F9F"/>
    <w:rsid w:val="00065483"/>
    <w:rsid w:val="00065589"/>
    <w:rsid w:val="0006591D"/>
    <w:rsid w:val="00065CC1"/>
    <w:rsid w:val="000660D1"/>
    <w:rsid w:val="000667A6"/>
    <w:rsid w:val="00066C26"/>
    <w:rsid w:val="00066D0C"/>
    <w:rsid w:val="00066F57"/>
    <w:rsid w:val="00067DCA"/>
    <w:rsid w:val="00067E66"/>
    <w:rsid w:val="000702A8"/>
    <w:rsid w:val="00070BEF"/>
    <w:rsid w:val="00071B40"/>
    <w:rsid w:val="00071D89"/>
    <w:rsid w:val="00071DDD"/>
    <w:rsid w:val="00072139"/>
    <w:rsid w:val="00072200"/>
    <w:rsid w:val="00072940"/>
    <w:rsid w:val="00072A30"/>
    <w:rsid w:val="000731B4"/>
    <w:rsid w:val="00073D2A"/>
    <w:rsid w:val="000745F6"/>
    <w:rsid w:val="00074A56"/>
    <w:rsid w:val="00075652"/>
    <w:rsid w:val="0007596F"/>
    <w:rsid w:val="000768F1"/>
    <w:rsid w:val="00076F4E"/>
    <w:rsid w:val="00077255"/>
    <w:rsid w:val="00077486"/>
    <w:rsid w:val="00077F38"/>
    <w:rsid w:val="000805C7"/>
    <w:rsid w:val="00080DBD"/>
    <w:rsid w:val="0008113F"/>
    <w:rsid w:val="00081324"/>
    <w:rsid w:val="00081375"/>
    <w:rsid w:val="000813C0"/>
    <w:rsid w:val="00081858"/>
    <w:rsid w:val="00082425"/>
    <w:rsid w:val="0008252D"/>
    <w:rsid w:val="0008422B"/>
    <w:rsid w:val="00085568"/>
    <w:rsid w:val="000859B1"/>
    <w:rsid w:val="00085AE9"/>
    <w:rsid w:val="00086591"/>
    <w:rsid w:val="000869CD"/>
    <w:rsid w:val="00087785"/>
    <w:rsid w:val="000878DC"/>
    <w:rsid w:val="00087B78"/>
    <w:rsid w:val="00087BD4"/>
    <w:rsid w:val="00087D10"/>
    <w:rsid w:val="00087E35"/>
    <w:rsid w:val="0009052B"/>
    <w:rsid w:val="00090BBE"/>
    <w:rsid w:val="00090BF4"/>
    <w:rsid w:val="00091C58"/>
    <w:rsid w:val="00091F7C"/>
    <w:rsid w:val="0009208E"/>
    <w:rsid w:val="000926E2"/>
    <w:rsid w:val="00092AA3"/>
    <w:rsid w:val="000931A7"/>
    <w:rsid w:val="000937F4"/>
    <w:rsid w:val="00093E41"/>
    <w:rsid w:val="00093F00"/>
    <w:rsid w:val="0009429B"/>
    <w:rsid w:val="0009449E"/>
    <w:rsid w:val="00094732"/>
    <w:rsid w:val="00094745"/>
    <w:rsid w:val="00094F07"/>
    <w:rsid w:val="00095217"/>
    <w:rsid w:val="000953BC"/>
    <w:rsid w:val="0009542E"/>
    <w:rsid w:val="00095DBF"/>
    <w:rsid w:val="00095F73"/>
    <w:rsid w:val="000960A4"/>
    <w:rsid w:val="000967B2"/>
    <w:rsid w:val="00096852"/>
    <w:rsid w:val="0009720D"/>
    <w:rsid w:val="00097570"/>
    <w:rsid w:val="000975A3"/>
    <w:rsid w:val="000979AA"/>
    <w:rsid w:val="000979F3"/>
    <w:rsid w:val="00097D6D"/>
    <w:rsid w:val="000A075B"/>
    <w:rsid w:val="000A1068"/>
    <w:rsid w:val="000A15B5"/>
    <w:rsid w:val="000A1CDF"/>
    <w:rsid w:val="000A282D"/>
    <w:rsid w:val="000A2980"/>
    <w:rsid w:val="000A2B99"/>
    <w:rsid w:val="000A2CDA"/>
    <w:rsid w:val="000A3293"/>
    <w:rsid w:val="000A3B09"/>
    <w:rsid w:val="000A3B6B"/>
    <w:rsid w:val="000A42BE"/>
    <w:rsid w:val="000A464B"/>
    <w:rsid w:val="000A477C"/>
    <w:rsid w:val="000A5048"/>
    <w:rsid w:val="000A50AE"/>
    <w:rsid w:val="000A5D1C"/>
    <w:rsid w:val="000A5D2F"/>
    <w:rsid w:val="000A62B7"/>
    <w:rsid w:val="000A6790"/>
    <w:rsid w:val="000A69B6"/>
    <w:rsid w:val="000A6D66"/>
    <w:rsid w:val="000A6E1B"/>
    <w:rsid w:val="000A6F3B"/>
    <w:rsid w:val="000A6F57"/>
    <w:rsid w:val="000A7512"/>
    <w:rsid w:val="000A7AC1"/>
    <w:rsid w:val="000A7BA6"/>
    <w:rsid w:val="000A7FC0"/>
    <w:rsid w:val="000B054C"/>
    <w:rsid w:val="000B0663"/>
    <w:rsid w:val="000B1DC2"/>
    <w:rsid w:val="000B1E95"/>
    <w:rsid w:val="000B20F2"/>
    <w:rsid w:val="000B21CB"/>
    <w:rsid w:val="000B23C8"/>
    <w:rsid w:val="000B2F01"/>
    <w:rsid w:val="000B2F0C"/>
    <w:rsid w:val="000B33DF"/>
    <w:rsid w:val="000B380A"/>
    <w:rsid w:val="000B38AC"/>
    <w:rsid w:val="000B3921"/>
    <w:rsid w:val="000B3BAA"/>
    <w:rsid w:val="000B4557"/>
    <w:rsid w:val="000B475F"/>
    <w:rsid w:val="000B4D91"/>
    <w:rsid w:val="000B51D7"/>
    <w:rsid w:val="000B6067"/>
    <w:rsid w:val="000B6494"/>
    <w:rsid w:val="000B72D9"/>
    <w:rsid w:val="000B73FD"/>
    <w:rsid w:val="000B756C"/>
    <w:rsid w:val="000B7655"/>
    <w:rsid w:val="000B7F32"/>
    <w:rsid w:val="000C025A"/>
    <w:rsid w:val="000C030C"/>
    <w:rsid w:val="000C0482"/>
    <w:rsid w:val="000C18B9"/>
    <w:rsid w:val="000C1BB2"/>
    <w:rsid w:val="000C2280"/>
    <w:rsid w:val="000C25D0"/>
    <w:rsid w:val="000C2AE4"/>
    <w:rsid w:val="000C2B93"/>
    <w:rsid w:val="000C3290"/>
    <w:rsid w:val="000C4B09"/>
    <w:rsid w:val="000C5B96"/>
    <w:rsid w:val="000C6107"/>
    <w:rsid w:val="000C6498"/>
    <w:rsid w:val="000C6CF2"/>
    <w:rsid w:val="000C6E94"/>
    <w:rsid w:val="000C6F3C"/>
    <w:rsid w:val="000C732D"/>
    <w:rsid w:val="000C7F0E"/>
    <w:rsid w:val="000D060B"/>
    <w:rsid w:val="000D0983"/>
    <w:rsid w:val="000D0AA6"/>
    <w:rsid w:val="000D1E94"/>
    <w:rsid w:val="000D21FE"/>
    <w:rsid w:val="000D2203"/>
    <w:rsid w:val="000D222F"/>
    <w:rsid w:val="000D23C8"/>
    <w:rsid w:val="000D247B"/>
    <w:rsid w:val="000D263B"/>
    <w:rsid w:val="000D292B"/>
    <w:rsid w:val="000D294F"/>
    <w:rsid w:val="000D31A3"/>
    <w:rsid w:val="000D3BB4"/>
    <w:rsid w:val="000D3E1D"/>
    <w:rsid w:val="000D3F06"/>
    <w:rsid w:val="000D4713"/>
    <w:rsid w:val="000D4B1C"/>
    <w:rsid w:val="000D4F40"/>
    <w:rsid w:val="000D5162"/>
    <w:rsid w:val="000D51F7"/>
    <w:rsid w:val="000D526F"/>
    <w:rsid w:val="000D5939"/>
    <w:rsid w:val="000D5A65"/>
    <w:rsid w:val="000D5CB9"/>
    <w:rsid w:val="000D61DF"/>
    <w:rsid w:val="000D6B78"/>
    <w:rsid w:val="000D6FB1"/>
    <w:rsid w:val="000D7163"/>
    <w:rsid w:val="000D7305"/>
    <w:rsid w:val="000D78CF"/>
    <w:rsid w:val="000D7CBF"/>
    <w:rsid w:val="000D7F72"/>
    <w:rsid w:val="000E0656"/>
    <w:rsid w:val="000E0FFE"/>
    <w:rsid w:val="000E1478"/>
    <w:rsid w:val="000E1C6F"/>
    <w:rsid w:val="000E2052"/>
    <w:rsid w:val="000E2419"/>
    <w:rsid w:val="000E2597"/>
    <w:rsid w:val="000E2989"/>
    <w:rsid w:val="000E2F84"/>
    <w:rsid w:val="000E30C8"/>
    <w:rsid w:val="000E356F"/>
    <w:rsid w:val="000E3BA7"/>
    <w:rsid w:val="000E3C21"/>
    <w:rsid w:val="000E405B"/>
    <w:rsid w:val="000E442C"/>
    <w:rsid w:val="000E519B"/>
    <w:rsid w:val="000E5479"/>
    <w:rsid w:val="000E56C5"/>
    <w:rsid w:val="000E5B3F"/>
    <w:rsid w:val="000E6591"/>
    <w:rsid w:val="000E6C0B"/>
    <w:rsid w:val="000E758D"/>
    <w:rsid w:val="000E77E7"/>
    <w:rsid w:val="000F0149"/>
    <w:rsid w:val="000F074B"/>
    <w:rsid w:val="000F1198"/>
    <w:rsid w:val="000F15E0"/>
    <w:rsid w:val="000F1657"/>
    <w:rsid w:val="000F1E28"/>
    <w:rsid w:val="000F1F3C"/>
    <w:rsid w:val="000F27B5"/>
    <w:rsid w:val="000F3216"/>
    <w:rsid w:val="000F3378"/>
    <w:rsid w:val="000F34CA"/>
    <w:rsid w:val="000F355F"/>
    <w:rsid w:val="000F40DC"/>
    <w:rsid w:val="000F4345"/>
    <w:rsid w:val="000F45F2"/>
    <w:rsid w:val="000F5605"/>
    <w:rsid w:val="000F5B66"/>
    <w:rsid w:val="000F5F8E"/>
    <w:rsid w:val="000F66B6"/>
    <w:rsid w:val="000F7278"/>
    <w:rsid w:val="000F75FA"/>
    <w:rsid w:val="000F76B1"/>
    <w:rsid w:val="000F7A7F"/>
    <w:rsid w:val="000F7D81"/>
    <w:rsid w:val="00100425"/>
    <w:rsid w:val="0010065D"/>
    <w:rsid w:val="00100D27"/>
    <w:rsid w:val="00101185"/>
    <w:rsid w:val="00101913"/>
    <w:rsid w:val="00101AA2"/>
    <w:rsid w:val="00101D4B"/>
    <w:rsid w:val="00101F31"/>
    <w:rsid w:val="00102C3B"/>
    <w:rsid w:val="00103392"/>
    <w:rsid w:val="001034CA"/>
    <w:rsid w:val="00104F1F"/>
    <w:rsid w:val="00105267"/>
    <w:rsid w:val="001053D5"/>
    <w:rsid w:val="00105A55"/>
    <w:rsid w:val="00105FAD"/>
    <w:rsid w:val="00106232"/>
    <w:rsid w:val="001063B5"/>
    <w:rsid w:val="0010654E"/>
    <w:rsid w:val="00106A02"/>
    <w:rsid w:val="00106FB1"/>
    <w:rsid w:val="0010736A"/>
    <w:rsid w:val="00107605"/>
    <w:rsid w:val="001103DB"/>
    <w:rsid w:val="001104F5"/>
    <w:rsid w:val="001108C4"/>
    <w:rsid w:val="00110FA4"/>
    <w:rsid w:val="001111BE"/>
    <w:rsid w:val="0011162A"/>
    <w:rsid w:val="00111B97"/>
    <w:rsid w:val="001121FD"/>
    <w:rsid w:val="001127A5"/>
    <w:rsid w:val="001127E3"/>
    <w:rsid w:val="00112A12"/>
    <w:rsid w:val="00112AD9"/>
    <w:rsid w:val="00112CAE"/>
    <w:rsid w:val="001137B3"/>
    <w:rsid w:val="00113D4F"/>
    <w:rsid w:val="00114044"/>
    <w:rsid w:val="001143DA"/>
    <w:rsid w:val="00114675"/>
    <w:rsid w:val="0011469A"/>
    <w:rsid w:val="00115593"/>
    <w:rsid w:val="0011581C"/>
    <w:rsid w:val="0011599F"/>
    <w:rsid w:val="00115BDC"/>
    <w:rsid w:val="00116504"/>
    <w:rsid w:val="00116668"/>
    <w:rsid w:val="00116D16"/>
    <w:rsid w:val="00116D96"/>
    <w:rsid w:val="00117462"/>
    <w:rsid w:val="00117596"/>
    <w:rsid w:val="0011766F"/>
    <w:rsid w:val="00117DEC"/>
    <w:rsid w:val="00117F6A"/>
    <w:rsid w:val="001203EB"/>
    <w:rsid w:val="00120440"/>
    <w:rsid w:val="001204AE"/>
    <w:rsid w:val="00120647"/>
    <w:rsid w:val="001211CC"/>
    <w:rsid w:val="001213DB"/>
    <w:rsid w:val="00121EE9"/>
    <w:rsid w:val="00122B5A"/>
    <w:rsid w:val="00123AAD"/>
    <w:rsid w:val="00123B72"/>
    <w:rsid w:val="00124354"/>
    <w:rsid w:val="001257B9"/>
    <w:rsid w:val="00125950"/>
    <w:rsid w:val="0012617D"/>
    <w:rsid w:val="001269B8"/>
    <w:rsid w:val="00126A2F"/>
    <w:rsid w:val="00126A3D"/>
    <w:rsid w:val="001271F0"/>
    <w:rsid w:val="00130190"/>
    <w:rsid w:val="0013098C"/>
    <w:rsid w:val="00130D0D"/>
    <w:rsid w:val="00131728"/>
    <w:rsid w:val="00131816"/>
    <w:rsid w:val="00131969"/>
    <w:rsid w:val="00131972"/>
    <w:rsid w:val="00132DA8"/>
    <w:rsid w:val="0013324B"/>
    <w:rsid w:val="0013346B"/>
    <w:rsid w:val="00133523"/>
    <w:rsid w:val="00133E57"/>
    <w:rsid w:val="00134878"/>
    <w:rsid w:val="00134C86"/>
    <w:rsid w:val="00134EF8"/>
    <w:rsid w:val="0013555D"/>
    <w:rsid w:val="00135BBA"/>
    <w:rsid w:val="00135F0A"/>
    <w:rsid w:val="00135F4E"/>
    <w:rsid w:val="001369AF"/>
    <w:rsid w:val="00136C61"/>
    <w:rsid w:val="00137225"/>
    <w:rsid w:val="0013737C"/>
    <w:rsid w:val="00137793"/>
    <w:rsid w:val="00137C0B"/>
    <w:rsid w:val="00137E79"/>
    <w:rsid w:val="00140622"/>
    <w:rsid w:val="00141E80"/>
    <w:rsid w:val="001421E1"/>
    <w:rsid w:val="00142977"/>
    <w:rsid w:val="00142B30"/>
    <w:rsid w:val="00142D47"/>
    <w:rsid w:val="00142EE4"/>
    <w:rsid w:val="00142F66"/>
    <w:rsid w:val="001431F4"/>
    <w:rsid w:val="001433C1"/>
    <w:rsid w:val="001433E3"/>
    <w:rsid w:val="00143477"/>
    <w:rsid w:val="00143721"/>
    <w:rsid w:val="00143A1D"/>
    <w:rsid w:val="00143C1C"/>
    <w:rsid w:val="00143CE2"/>
    <w:rsid w:val="001440C5"/>
    <w:rsid w:val="001442D8"/>
    <w:rsid w:val="00144427"/>
    <w:rsid w:val="001446EF"/>
    <w:rsid w:val="001449A5"/>
    <w:rsid w:val="0014595B"/>
    <w:rsid w:val="00145981"/>
    <w:rsid w:val="00146021"/>
    <w:rsid w:val="00146416"/>
    <w:rsid w:val="00146D61"/>
    <w:rsid w:val="00146EDB"/>
    <w:rsid w:val="00146EE5"/>
    <w:rsid w:val="00147904"/>
    <w:rsid w:val="00147F82"/>
    <w:rsid w:val="00150A4E"/>
    <w:rsid w:val="00150FD9"/>
    <w:rsid w:val="00151C37"/>
    <w:rsid w:val="00151ED9"/>
    <w:rsid w:val="00152818"/>
    <w:rsid w:val="00152853"/>
    <w:rsid w:val="00152950"/>
    <w:rsid w:val="00152A74"/>
    <w:rsid w:val="00152AFC"/>
    <w:rsid w:val="001532AD"/>
    <w:rsid w:val="00153B65"/>
    <w:rsid w:val="00154625"/>
    <w:rsid w:val="00154705"/>
    <w:rsid w:val="00154853"/>
    <w:rsid w:val="00154C6D"/>
    <w:rsid w:val="00155D09"/>
    <w:rsid w:val="00155EA9"/>
    <w:rsid w:val="00155F90"/>
    <w:rsid w:val="0015636C"/>
    <w:rsid w:val="00156B4F"/>
    <w:rsid w:val="00156D83"/>
    <w:rsid w:val="00156E4A"/>
    <w:rsid w:val="00157381"/>
    <w:rsid w:val="00157397"/>
    <w:rsid w:val="0015739C"/>
    <w:rsid w:val="00160279"/>
    <w:rsid w:val="001605BA"/>
    <w:rsid w:val="001606EF"/>
    <w:rsid w:val="001609B8"/>
    <w:rsid w:val="00160E3F"/>
    <w:rsid w:val="00161199"/>
    <w:rsid w:val="00161AA1"/>
    <w:rsid w:val="00161E36"/>
    <w:rsid w:val="00161F82"/>
    <w:rsid w:val="001627DF"/>
    <w:rsid w:val="00162976"/>
    <w:rsid w:val="001634C5"/>
    <w:rsid w:val="0016393C"/>
    <w:rsid w:val="00163FC6"/>
    <w:rsid w:val="00164A3E"/>
    <w:rsid w:val="0016530B"/>
    <w:rsid w:val="0016628A"/>
    <w:rsid w:val="001665C5"/>
    <w:rsid w:val="0016684C"/>
    <w:rsid w:val="00167216"/>
    <w:rsid w:val="00167E8A"/>
    <w:rsid w:val="00170234"/>
    <w:rsid w:val="001703CD"/>
    <w:rsid w:val="0017055A"/>
    <w:rsid w:val="0017188E"/>
    <w:rsid w:val="00171ECE"/>
    <w:rsid w:val="001721DE"/>
    <w:rsid w:val="00172359"/>
    <w:rsid w:val="00172CE1"/>
    <w:rsid w:val="0017327D"/>
    <w:rsid w:val="001734E4"/>
    <w:rsid w:val="00173CBF"/>
    <w:rsid w:val="00174394"/>
    <w:rsid w:val="0017507B"/>
    <w:rsid w:val="001755E0"/>
    <w:rsid w:val="00175706"/>
    <w:rsid w:val="00175A97"/>
    <w:rsid w:val="00175B2B"/>
    <w:rsid w:val="00175C42"/>
    <w:rsid w:val="00176025"/>
    <w:rsid w:val="0017604E"/>
    <w:rsid w:val="00176210"/>
    <w:rsid w:val="00176283"/>
    <w:rsid w:val="0017650D"/>
    <w:rsid w:val="0017652D"/>
    <w:rsid w:val="00176BC3"/>
    <w:rsid w:val="00176DFF"/>
    <w:rsid w:val="00177551"/>
    <w:rsid w:val="00177623"/>
    <w:rsid w:val="00177689"/>
    <w:rsid w:val="00180254"/>
    <w:rsid w:val="001815C3"/>
    <w:rsid w:val="00181949"/>
    <w:rsid w:val="00182FD3"/>
    <w:rsid w:val="001833F8"/>
    <w:rsid w:val="001837ED"/>
    <w:rsid w:val="00183FFE"/>
    <w:rsid w:val="001845CF"/>
    <w:rsid w:val="00184D24"/>
    <w:rsid w:val="001858A0"/>
    <w:rsid w:val="00185C4F"/>
    <w:rsid w:val="00186369"/>
    <w:rsid w:val="00186803"/>
    <w:rsid w:val="00186A09"/>
    <w:rsid w:val="00186B14"/>
    <w:rsid w:val="00186B1C"/>
    <w:rsid w:val="00186B5D"/>
    <w:rsid w:val="00186B65"/>
    <w:rsid w:val="00187472"/>
    <w:rsid w:val="00187640"/>
    <w:rsid w:val="001879CB"/>
    <w:rsid w:val="001906D8"/>
    <w:rsid w:val="001907CD"/>
    <w:rsid w:val="00190F35"/>
    <w:rsid w:val="00191F6B"/>
    <w:rsid w:val="001926D5"/>
    <w:rsid w:val="001927FE"/>
    <w:rsid w:val="00192A74"/>
    <w:rsid w:val="00193102"/>
    <w:rsid w:val="0019397C"/>
    <w:rsid w:val="00193C34"/>
    <w:rsid w:val="00193EE8"/>
    <w:rsid w:val="00194212"/>
    <w:rsid w:val="001947DE"/>
    <w:rsid w:val="00194B1D"/>
    <w:rsid w:val="00194D7E"/>
    <w:rsid w:val="0019688F"/>
    <w:rsid w:val="00197830"/>
    <w:rsid w:val="001978E4"/>
    <w:rsid w:val="00197C4F"/>
    <w:rsid w:val="00197DAB"/>
    <w:rsid w:val="001A0B01"/>
    <w:rsid w:val="001A0B47"/>
    <w:rsid w:val="001A10A9"/>
    <w:rsid w:val="001A16CB"/>
    <w:rsid w:val="001A19C9"/>
    <w:rsid w:val="001A29DB"/>
    <w:rsid w:val="001A2C35"/>
    <w:rsid w:val="001A2EDD"/>
    <w:rsid w:val="001A2F81"/>
    <w:rsid w:val="001A387B"/>
    <w:rsid w:val="001A3BE1"/>
    <w:rsid w:val="001A4280"/>
    <w:rsid w:val="001A47C1"/>
    <w:rsid w:val="001A56B3"/>
    <w:rsid w:val="001A57C5"/>
    <w:rsid w:val="001A5922"/>
    <w:rsid w:val="001A5A7A"/>
    <w:rsid w:val="001A6937"/>
    <w:rsid w:val="001A6BA5"/>
    <w:rsid w:val="001A7704"/>
    <w:rsid w:val="001A7DFF"/>
    <w:rsid w:val="001B0038"/>
    <w:rsid w:val="001B027F"/>
    <w:rsid w:val="001B0402"/>
    <w:rsid w:val="001B0767"/>
    <w:rsid w:val="001B17B5"/>
    <w:rsid w:val="001B1C85"/>
    <w:rsid w:val="001B2641"/>
    <w:rsid w:val="001B2A67"/>
    <w:rsid w:val="001B312F"/>
    <w:rsid w:val="001B3937"/>
    <w:rsid w:val="001B4900"/>
    <w:rsid w:val="001B4D7A"/>
    <w:rsid w:val="001B4EE0"/>
    <w:rsid w:val="001B5010"/>
    <w:rsid w:val="001B524D"/>
    <w:rsid w:val="001B5B64"/>
    <w:rsid w:val="001B5EE6"/>
    <w:rsid w:val="001B5FAA"/>
    <w:rsid w:val="001B63C3"/>
    <w:rsid w:val="001B695B"/>
    <w:rsid w:val="001B6973"/>
    <w:rsid w:val="001B7486"/>
    <w:rsid w:val="001B7975"/>
    <w:rsid w:val="001B7FA7"/>
    <w:rsid w:val="001C035C"/>
    <w:rsid w:val="001C0581"/>
    <w:rsid w:val="001C0E20"/>
    <w:rsid w:val="001C1053"/>
    <w:rsid w:val="001C13A1"/>
    <w:rsid w:val="001C1768"/>
    <w:rsid w:val="001C1A25"/>
    <w:rsid w:val="001C22F6"/>
    <w:rsid w:val="001C246F"/>
    <w:rsid w:val="001C24DA"/>
    <w:rsid w:val="001C25D2"/>
    <w:rsid w:val="001C29FA"/>
    <w:rsid w:val="001C2FA8"/>
    <w:rsid w:val="001C3114"/>
    <w:rsid w:val="001C330B"/>
    <w:rsid w:val="001C3598"/>
    <w:rsid w:val="001C37BB"/>
    <w:rsid w:val="001C3FCC"/>
    <w:rsid w:val="001C4723"/>
    <w:rsid w:val="001C5A4C"/>
    <w:rsid w:val="001C5ADB"/>
    <w:rsid w:val="001C5EBF"/>
    <w:rsid w:val="001C65BA"/>
    <w:rsid w:val="001C6608"/>
    <w:rsid w:val="001C6913"/>
    <w:rsid w:val="001C69C0"/>
    <w:rsid w:val="001C6B3D"/>
    <w:rsid w:val="001C76D4"/>
    <w:rsid w:val="001C7BD4"/>
    <w:rsid w:val="001C7E76"/>
    <w:rsid w:val="001D004F"/>
    <w:rsid w:val="001D0698"/>
    <w:rsid w:val="001D06F5"/>
    <w:rsid w:val="001D0A02"/>
    <w:rsid w:val="001D15A0"/>
    <w:rsid w:val="001D19A3"/>
    <w:rsid w:val="001D1ECB"/>
    <w:rsid w:val="001D1FB9"/>
    <w:rsid w:val="001D2BCE"/>
    <w:rsid w:val="001D3590"/>
    <w:rsid w:val="001D3BDC"/>
    <w:rsid w:val="001D4CBD"/>
    <w:rsid w:val="001D633C"/>
    <w:rsid w:val="001D6620"/>
    <w:rsid w:val="001D668A"/>
    <w:rsid w:val="001D6920"/>
    <w:rsid w:val="001D6A07"/>
    <w:rsid w:val="001D725A"/>
    <w:rsid w:val="001D75D5"/>
    <w:rsid w:val="001D7691"/>
    <w:rsid w:val="001D7927"/>
    <w:rsid w:val="001D7D08"/>
    <w:rsid w:val="001D7FA2"/>
    <w:rsid w:val="001E0272"/>
    <w:rsid w:val="001E0707"/>
    <w:rsid w:val="001E0840"/>
    <w:rsid w:val="001E09F6"/>
    <w:rsid w:val="001E0A06"/>
    <w:rsid w:val="001E0ECA"/>
    <w:rsid w:val="001E1076"/>
    <w:rsid w:val="001E11CA"/>
    <w:rsid w:val="001E2325"/>
    <w:rsid w:val="001E3149"/>
    <w:rsid w:val="001E3191"/>
    <w:rsid w:val="001E3E3C"/>
    <w:rsid w:val="001E450E"/>
    <w:rsid w:val="001E4E22"/>
    <w:rsid w:val="001E512B"/>
    <w:rsid w:val="001E5579"/>
    <w:rsid w:val="001E561D"/>
    <w:rsid w:val="001E5840"/>
    <w:rsid w:val="001E598B"/>
    <w:rsid w:val="001E5AFC"/>
    <w:rsid w:val="001E6876"/>
    <w:rsid w:val="001F00C7"/>
    <w:rsid w:val="001F0216"/>
    <w:rsid w:val="001F0436"/>
    <w:rsid w:val="001F0B45"/>
    <w:rsid w:val="001F0E5F"/>
    <w:rsid w:val="001F0FF5"/>
    <w:rsid w:val="001F1267"/>
    <w:rsid w:val="001F1491"/>
    <w:rsid w:val="001F1AC4"/>
    <w:rsid w:val="001F1C60"/>
    <w:rsid w:val="001F1CFA"/>
    <w:rsid w:val="001F1FD8"/>
    <w:rsid w:val="001F2976"/>
    <w:rsid w:val="001F33CA"/>
    <w:rsid w:val="001F3A00"/>
    <w:rsid w:val="001F3AD2"/>
    <w:rsid w:val="001F3CF7"/>
    <w:rsid w:val="001F3D49"/>
    <w:rsid w:val="001F420D"/>
    <w:rsid w:val="001F4238"/>
    <w:rsid w:val="001F4921"/>
    <w:rsid w:val="001F4B36"/>
    <w:rsid w:val="001F5B34"/>
    <w:rsid w:val="001F6312"/>
    <w:rsid w:val="001F66E6"/>
    <w:rsid w:val="001F6C19"/>
    <w:rsid w:val="001F6DD2"/>
    <w:rsid w:val="001F703F"/>
    <w:rsid w:val="001F7AF9"/>
    <w:rsid w:val="00200C13"/>
    <w:rsid w:val="00201412"/>
    <w:rsid w:val="0020166C"/>
    <w:rsid w:val="00201F54"/>
    <w:rsid w:val="002028BF"/>
    <w:rsid w:val="00202B6E"/>
    <w:rsid w:val="00202D31"/>
    <w:rsid w:val="00202E79"/>
    <w:rsid w:val="002035BE"/>
    <w:rsid w:val="0020382D"/>
    <w:rsid w:val="00203A13"/>
    <w:rsid w:val="002040A8"/>
    <w:rsid w:val="0020411B"/>
    <w:rsid w:val="00204530"/>
    <w:rsid w:val="00204773"/>
    <w:rsid w:val="00205612"/>
    <w:rsid w:val="00205645"/>
    <w:rsid w:val="00205FB8"/>
    <w:rsid w:val="002068F6"/>
    <w:rsid w:val="00206929"/>
    <w:rsid w:val="00206963"/>
    <w:rsid w:val="00206B85"/>
    <w:rsid w:val="0020727C"/>
    <w:rsid w:val="002078C7"/>
    <w:rsid w:val="00207BFD"/>
    <w:rsid w:val="00210032"/>
    <w:rsid w:val="00210090"/>
    <w:rsid w:val="002102F6"/>
    <w:rsid w:val="00210670"/>
    <w:rsid w:val="00210EAA"/>
    <w:rsid w:val="0021117D"/>
    <w:rsid w:val="00211E7E"/>
    <w:rsid w:val="00211EB3"/>
    <w:rsid w:val="002120E9"/>
    <w:rsid w:val="002128CC"/>
    <w:rsid w:val="002130FB"/>
    <w:rsid w:val="00213472"/>
    <w:rsid w:val="002137C6"/>
    <w:rsid w:val="00213837"/>
    <w:rsid w:val="002139B7"/>
    <w:rsid w:val="002139E8"/>
    <w:rsid w:val="002144C1"/>
    <w:rsid w:val="00214E70"/>
    <w:rsid w:val="00215306"/>
    <w:rsid w:val="00216886"/>
    <w:rsid w:val="00216D4C"/>
    <w:rsid w:val="00216EE9"/>
    <w:rsid w:val="002172B9"/>
    <w:rsid w:val="00217C5A"/>
    <w:rsid w:val="00217CCF"/>
    <w:rsid w:val="00220227"/>
    <w:rsid w:val="002205A1"/>
    <w:rsid w:val="002206E2"/>
    <w:rsid w:val="0022112F"/>
    <w:rsid w:val="002211BF"/>
    <w:rsid w:val="0022141A"/>
    <w:rsid w:val="0022174D"/>
    <w:rsid w:val="0022174E"/>
    <w:rsid w:val="00221B34"/>
    <w:rsid w:val="00221BFC"/>
    <w:rsid w:val="00221F6D"/>
    <w:rsid w:val="002227B4"/>
    <w:rsid w:val="0022282E"/>
    <w:rsid w:val="002229AE"/>
    <w:rsid w:val="00222C2B"/>
    <w:rsid w:val="00222DB8"/>
    <w:rsid w:val="00223709"/>
    <w:rsid w:val="00223B7B"/>
    <w:rsid w:val="00223DB9"/>
    <w:rsid w:val="00223DF2"/>
    <w:rsid w:val="00224105"/>
    <w:rsid w:val="002243EC"/>
    <w:rsid w:val="0022490F"/>
    <w:rsid w:val="00224C17"/>
    <w:rsid w:val="00224FC8"/>
    <w:rsid w:val="002253A6"/>
    <w:rsid w:val="00225757"/>
    <w:rsid w:val="0022617E"/>
    <w:rsid w:val="0022652E"/>
    <w:rsid w:val="002267B6"/>
    <w:rsid w:val="0022721A"/>
    <w:rsid w:val="0022751D"/>
    <w:rsid w:val="002278F6"/>
    <w:rsid w:val="00227BE5"/>
    <w:rsid w:val="00230174"/>
    <w:rsid w:val="00230B14"/>
    <w:rsid w:val="00230FDD"/>
    <w:rsid w:val="002312A0"/>
    <w:rsid w:val="00231777"/>
    <w:rsid w:val="002318D4"/>
    <w:rsid w:val="00231C40"/>
    <w:rsid w:val="002321A9"/>
    <w:rsid w:val="002323AD"/>
    <w:rsid w:val="00232561"/>
    <w:rsid w:val="00232D59"/>
    <w:rsid w:val="00233407"/>
    <w:rsid w:val="00233B77"/>
    <w:rsid w:val="00233DE8"/>
    <w:rsid w:val="0023435D"/>
    <w:rsid w:val="0023476D"/>
    <w:rsid w:val="0023480B"/>
    <w:rsid w:val="0023484F"/>
    <w:rsid w:val="002348AA"/>
    <w:rsid w:val="00234E99"/>
    <w:rsid w:val="00235169"/>
    <w:rsid w:val="002356B5"/>
    <w:rsid w:val="00236040"/>
    <w:rsid w:val="002363C3"/>
    <w:rsid w:val="0023661F"/>
    <w:rsid w:val="00236E8C"/>
    <w:rsid w:val="002375AA"/>
    <w:rsid w:val="00240157"/>
    <w:rsid w:val="00240384"/>
    <w:rsid w:val="00241887"/>
    <w:rsid w:val="00241CC0"/>
    <w:rsid w:val="00241FB0"/>
    <w:rsid w:val="002421EB"/>
    <w:rsid w:val="00242432"/>
    <w:rsid w:val="0024295E"/>
    <w:rsid w:val="00242C51"/>
    <w:rsid w:val="00242CB1"/>
    <w:rsid w:val="00243849"/>
    <w:rsid w:val="00243C21"/>
    <w:rsid w:val="00243E47"/>
    <w:rsid w:val="00244633"/>
    <w:rsid w:val="00244945"/>
    <w:rsid w:val="00244DB7"/>
    <w:rsid w:val="0024503B"/>
    <w:rsid w:val="00245780"/>
    <w:rsid w:val="00245B74"/>
    <w:rsid w:val="00245C8A"/>
    <w:rsid w:val="0024602C"/>
    <w:rsid w:val="00246E52"/>
    <w:rsid w:val="00247085"/>
    <w:rsid w:val="00247275"/>
    <w:rsid w:val="00247D25"/>
    <w:rsid w:val="002508A7"/>
    <w:rsid w:val="002508D9"/>
    <w:rsid w:val="002508DB"/>
    <w:rsid w:val="00252110"/>
    <w:rsid w:val="002525D3"/>
    <w:rsid w:val="00252EE6"/>
    <w:rsid w:val="002534B8"/>
    <w:rsid w:val="00253567"/>
    <w:rsid w:val="002536D0"/>
    <w:rsid w:val="00253DD9"/>
    <w:rsid w:val="00253F9C"/>
    <w:rsid w:val="00254627"/>
    <w:rsid w:val="002553A3"/>
    <w:rsid w:val="0025577A"/>
    <w:rsid w:val="00255EF7"/>
    <w:rsid w:val="00255FF1"/>
    <w:rsid w:val="00256254"/>
    <w:rsid w:val="002563BA"/>
    <w:rsid w:val="00256721"/>
    <w:rsid w:val="00256830"/>
    <w:rsid w:val="0025740E"/>
    <w:rsid w:val="002575AA"/>
    <w:rsid w:val="002577A7"/>
    <w:rsid w:val="00257E1B"/>
    <w:rsid w:val="00260958"/>
    <w:rsid w:val="00260981"/>
    <w:rsid w:val="002611D5"/>
    <w:rsid w:val="00261B33"/>
    <w:rsid w:val="002628CF"/>
    <w:rsid w:val="00262915"/>
    <w:rsid w:val="00262A9D"/>
    <w:rsid w:val="00262C37"/>
    <w:rsid w:val="00262EAA"/>
    <w:rsid w:val="0026311D"/>
    <w:rsid w:val="0026365B"/>
    <w:rsid w:val="002636FD"/>
    <w:rsid w:val="00263F4F"/>
    <w:rsid w:val="00264513"/>
    <w:rsid w:val="00264601"/>
    <w:rsid w:val="002648CE"/>
    <w:rsid w:val="00264992"/>
    <w:rsid w:val="00264BA1"/>
    <w:rsid w:val="002653D2"/>
    <w:rsid w:val="00265574"/>
    <w:rsid w:val="002656D6"/>
    <w:rsid w:val="002661EC"/>
    <w:rsid w:val="00266255"/>
    <w:rsid w:val="002663F3"/>
    <w:rsid w:val="0026648F"/>
    <w:rsid w:val="002665D0"/>
    <w:rsid w:val="00266827"/>
    <w:rsid w:val="00266BCB"/>
    <w:rsid w:val="00267466"/>
    <w:rsid w:val="002702C2"/>
    <w:rsid w:val="00270EA5"/>
    <w:rsid w:val="00271130"/>
    <w:rsid w:val="00271591"/>
    <w:rsid w:val="00271804"/>
    <w:rsid w:val="00271F25"/>
    <w:rsid w:val="0027270A"/>
    <w:rsid w:val="0027279E"/>
    <w:rsid w:val="0027349C"/>
    <w:rsid w:val="002734D5"/>
    <w:rsid w:val="00273F92"/>
    <w:rsid w:val="00273FB0"/>
    <w:rsid w:val="0027405E"/>
    <w:rsid w:val="002748B3"/>
    <w:rsid w:val="00274D06"/>
    <w:rsid w:val="00274E0B"/>
    <w:rsid w:val="00275039"/>
    <w:rsid w:val="002751D8"/>
    <w:rsid w:val="002752AD"/>
    <w:rsid w:val="002753F2"/>
    <w:rsid w:val="00275BAA"/>
    <w:rsid w:val="00275F71"/>
    <w:rsid w:val="002762D5"/>
    <w:rsid w:val="00276558"/>
    <w:rsid w:val="00276B00"/>
    <w:rsid w:val="00276C51"/>
    <w:rsid w:val="00277AFC"/>
    <w:rsid w:val="0028025D"/>
    <w:rsid w:val="00281158"/>
    <w:rsid w:val="00281CB8"/>
    <w:rsid w:val="00282187"/>
    <w:rsid w:val="00282F2D"/>
    <w:rsid w:val="002833F5"/>
    <w:rsid w:val="00283593"/>
    <w:rsid w:val="00283711"/>
    <w:rsid w:val="0028396B"/>
    <w:rsid w:val="00283F5D"/>
    <w:rsid w:val="00284B1F"/>
    <w:rsid w:val="00284F05"/>
    <w:rsid w:val="002854C9"/>
    <w:rsid w:val="0028591B"/>
    <w:rsid w:val="0028624C"/>
    <w:rsid w:val="002863BD"/>
    <w:rsid w:val="002867A2"/>
    <w:rsid w:val="00286A86"/>
    <w:rsid w:val="00286AF4"/>
    <w:rsid w:val="00286DE3"/>
    <w:rsid w:val="00286E0C"/>
    <w:rsid w:val="00287929"/>
    <w:rsid w:val="002903CE"/>
    <w:rsid w:val="00290B24"/>
    <w:rsid w:val="002916E5"/>
    <w:rsid w:val="00291F0D"/>
    <w:rsid w:val="00292134"/>
    <w:rsid w:val="00292327"/>
    <w:rsid w:val="002930A2"/>
    <w:rsid w:val="00293A34"/>
    <w:rsid w:val="00294453"/>
    <w:rsid w:val="00294667"/>
    <w:rsid w:val="002950D4"/>
    <w:rsid w:val="002955AA"/>
    <w:rsid w:val="002958B2"/>
    <w:rsid w:val="00295D2E"/>
    <w:rsid w:val="002960A8"/>
    <w:rsid w:val="0029749F"/>
    <w:rsid w:val="002A08D3"/>
    <w:rsid w:val="002A1F69"/>
    <w:rsid w:val="002A22A5"/>
    <w:rsid w:val="002A2A22"/>
    <w:rsid w:val="002A2D3F"/>
    <w:rsid w:val="002A3C1E"/>
    <w:rsid w:val="002A3D44"/>
    <w:rsid w:val="002A3EDD"/>
    <w:rsid w:val="002A3FEA"/>
    <w:rsid w:val="002A4DBE"/>
    <w:rsid w:val="002A5B66"/>
    <w:rsid w:val="002A5F04"/>
    <w:rsid w:val="002B0114"/>
    <w:rsid w:val="002B0517"/>
    <w:rsid w:val="002B1138"/>
    <w:rsid w:val="002B177F"/>
    <w:rsid w:val="002B188D"/>
    <w:rsid w:val="002B18EF"/>
    <w:rsid w:val="002B1923"/>
    <w:rsid w:val="002B1A24"/>
    <w:rsid w:val="002B1CB6"/>
    <w:rsid w:val="002B1D66"/>
    <w:rsid w:val="002B1F97"/>
    <w:rsid w:val="002B215C"/>
    <w:rsid w:val="002B21FB"/>
    <w:rsid w:val="002B2268"/>
    <w:rsid w:val="002B2A29"/>
    <w:rsid w:val="002B31F7"/>
    <w:rsid w:val="002B33D3"/>
    <w:rsid w:val="002B3C2E"/>
    <w:rsid w:val="002B3CA8"/>
    <w:rsid w:val="002B400F"/>
    <w:rsid w:val="002B413C"/>
    <w:rsid w:val="002B5147"/>
    <w:rsid w:val="002B55D0"/>
    <w:rsid w:val="002B581C"/>
    <w:rsid w:val="002B58A5"/>
    <w:rsid w:val="002B61D6"/>
    <w:rsid w:val="002B6942"/>
    <w:rsid w:val="002B6A55"/>
    <w:rsid w:val="002B7159"/>
    <w:rsid w:val="002B76DA"/>
    <w:rsid w:val="002B7E00"/>
    <w:rsid w:val="002B7E41"/>
    <w:rsid w:val="002C08A3"/>
    <w:rsid w:val="002C25CB"/>
    <w:rsid w:val="002C2803"/>
    <w:rsid w:val="002C315B"/>
    <w:rsid w:val="002C3200"/>
    <w:rsid w:val="002C3BCA"/>
    <w:rsid w:val="002C3CEB"/>
    <w:rsid w:val="002C3FF0"/>
    <w:rsid w:val="002C4341"/>
    <w:rsid w:val="002C456C"/>
    <w:rsid w:val="002C457A"/>
    <w:rsid w:val="002C49EC"/>
    <w:rsid w:val="002C4DFC"/>
    <w:rsid w:val="002C5217"/>
    <w:rsid w:val="002C61EB"/>
    <w:rsid w:val="002C7E2D"/>
    <w:rsid w:val="002C7F76"/>
    <w:rsid w:val="002D01C8"/>
    <w:rsid w:val="002D09C2"/>
    <w:rsid w:val="002D09DD"/>
    <w:rsid w:val="002D0BDE"/>
    <w:rsid w:val="002D0C41"/>
    <w:rsid w:val="002D0FE8"/>
    <w:rsid w:val="002D1C15"/>
    <w:rsid w:val="002D1E78"/>
    <w:rsid w:val="002D2023"/>
    <w:rsid w:val="002D258B"/>
    <w:rsid w:val="002D2E5A"/>
    <w:rsid w:val="002D3043"/>
    <w:rsid w:val="002D342D"/>
    <w:rsid w:val="002D347A"/>
    <w:rsid w:val="002D3B4C"/>
    <w:rsid w:val="002D3B7F"/>
    <w:rsid w:val="002D43B7"/>
    <w:rsid w:val="002D5522"/>
    <w:rsid w:val="002D5BD8"/>
    <w:rsid w:val="002D5CFD"/>
    <w:rsid w:val="002D6AFE"/>
    <w:rsid w:val="002D6E7D"/>
    <w:rsid w:val="002D75DB"/>
    <w:rsid w:val="002D780E"/>
    <w:rsid w:val="002D7BED"/>
    <w:rsid w:val="002E084F"/>
    <w:rsid w:val="002E08BA"/>
    <w:rsid w:val="002E098C"/>
    <w:rsid w:val="002E0C4D"/>
    <w:rsid w:val="002E141F"/>
    <w:rsid w:val="002E17BB"/>
    <w:rsid w:val="002E1A26"/>
    <w:rsid w:val="002E1B48"/>
    <w:rsid w:val="002E248C"/>
    <w:rsid w:val="002E2562"/>
    <w:rsid w:val="002E2BD6"/>
    <w:rsid w:val="002E34B9"/>
    <w:rsid w:val="002E38CD"/>
    <w:rsid w:val="002E3C45"/>
    <w:rsid w:val="002E3E6A"/>
    <w:rsid w:val="002E41CA"/>
    <w:rsid w:val="002E5752"/>
    <w:rsid w:val="002E5BFC"/>
    <w:rsid w:val="002E61BA"/>
    <w:rsid w:val="002E64B8"/>
    <w:rsid w:val="002E69C6"/>
    <w:rsid w:val="002E6CEE"/>
    <w:rsid w:val="002E706B"/>
    <w:rsid w:val="002E7D70"/>
    <w:rsid w:val="002F033F"/>
    <w:rsid w:val="002F07DA"/>
    <w:rsid w:val="002F08F6"/>
    <w:rsid w:val="002F1944"/>
    <w:rsid w:val="002F1F90"/>
    <w:rsid w:val="002F215D"/>
    <w:rsid w:val="002F28AD"/>
    <w:rsid w:val="002F3769"/>
    <w:rsid w:val="002F3849"/>
    <w:rsid w:val="002F3932"/>
    <w:rsid w:val="002F3BA4"/>
    <w:rsid w:val="002F3D1E"/>
    <w:rsid w:val="002F4BA2"/>
    <w:rsid w:val="002F531F"/>
    <w:rsid w:val="002F56EC"/>
    <w:rsid w:val="002F5A25"/>
    <w:rsid w:val="002F5A6F"/>
    <w:rsid w:val="002F61FB"/>
    <w:rsid w:val="002F6261"/>
    <w:rsid w:val="002F663E"/>
    <w:rsid w:val="002F669D"/>
    <w:rsid w:val="002F684A"/>
    <w:rsid w:val="002F7075"/>
    <w:rsid w:val="002F7ACC"/>
    <w:rsid w:val="002F7C12"/>
    <w:rsid w:val="00300F6D"/>
    <w:rsid w:val="003014E2"/>
    <w:rsid w:val="00301CCE"/>
    <w:rsid w:val="00301CEF"/>
    <w:rsid w:val="00301F97"/>
    <w:rsid w:val="003026B8"/>
    <w:rsid w:val="003028C4"/>
    <w:rsid w:val="00304034"/>
    <w:rsid w:val="003041CA"/>
    <w:rsid w:val="0030423D"/>
    <w:rsid w:val="00304CBF"/>
    <w:rsid w:val="003053D9"/>
    <w:rsid w:val="003065A3"/>
    <w:rsid w:val="003065DF"/>
    <w:rsid w:val="00307629"/>
    <w:rsid w:val="003076D2"/>
    <w:rsid w:val="0030770B"/>
    <w:rsid w:val="00307B0B"/>
    <w:rsid w:val="00307CB8"/>
    <w:rsid w:val="003100AD"/>
    <w:rsid w:val="0031010D"/>
    <w:rsid w:val="003107CC"/>
    <w:rsid w:val="003108DD"/>
    <w:rsid w:val="0031096B"/>
    <w:rsid w:val="00310AB0"/>
    <w:rsid w:val="00310C1D"/>
    <w:rsid w:val="00310DFF"/>
    <w:rsid w:val="00310E0C"/>
    <w:rsid w:val="0031150E"/>
    <w:rsid w:val="0031175C"/>
    <w:rsid w:val="00311A86"/>
    <w:rsid w:val="00312850"/>
    <w:rsid w:val="0031293D"/>
    <w:rsid w:val="00312BC4"/>
    <w:rsid w:val="00313EDC"/>
    <w:rsid w:val="003140A9"/>
    <w:rsid w:val="003143DE"/>
    <w:rsid w:val="0031481E"/>
    <w:rsid w:val="00314C7C"/>
    <w:rsid w:val="00314DB0"/>
    <w:rsid w:val="0031553D"/>
    <w:rsid w:val="003159EE"/>
    <w:rsid w:val="00315D17"/>
    <w:rsid w:val="00316301"/>
    <w:rsid w:val="003172DB"/>
    <w:rsid w:val="0031747E"/>
    <w:rsid w:val="0031794D"/>
    <w:rsid w:val="00317A4F"/>
    <w:rsid w:val="00317AC4"/>
    <w:rsid w:val="00320325"/>
    <w:rsid w:val="003203E0"/>
    <w:rsid w:val="00320457"/>
    <w:rsid w:val="003206AF"/>
    <w:rsid w:val="00320BB3"/>
    <w:rsid w:val="00320D25"/>
    <w:rsid w:val="00320EB1"/>
    <w:rsid w:val="0032165D"/>
    <w:rsid w:val="00321664"/>
    <w:rsid w:val="003216C3"/>
    <w:rsid w:val="00321CDA"/>
    <w:rsid w:val="00321D36"/>
    <w:rsid w:val="00321FB6"/>
    <w:rsid w:val="00323247"/>
    <w:rsid w:val="00323932"/>
    <w:rsid w:val="003239CB"/>
    <w:rsid w:val="003243A1"/>
    <w:rsid w:val="00324537"/>
    <w:rsid w:val="00324EBB"/>
    <w:rsid w:val="0032508B"/>
    <w:rsid w:val="003252F7"/>
    <w:rsid w:val="0032534A"/>
    <w:rsid w:val="00325771"/>
    <w:rsid w:val="00325A32"/>
    <w:rsid w:val="00325C28"/>
    <w:rsid w:val="0032630F"/>
    <w:rsid w:val="003266B3"/>
    <w:rsid w:val="00326BAE"/>
    <w:rsid w:val="00326F79"/>
    <w:rsid w:val="003276F2"/>
    <w:rsid w:val="00327A50"/>
    <w:rsid w:val="00327BDA"/>
    <w:rsid w:val="00327C66"/>
    <w:rsid w:val="00330C56"/>
    <w:rsid w:val="00330CA3"/>
    <w:rsid w:val="00330DA1"/>
    <w:rsid w:val="00330FDC"/>
    <w:rsid w:val="00331932"/>
    <w:rsid w:val="00331EB4"/>
    <w:rsid w:val="00331F13"/>
    <w:rsid w:val="003322A0"/>
    <w:rsid w:val="00332310"/>
    <w:rsid w:val="003323C4"/>
    <w:rsid w:val="00333F91"/>
    <w:rsid w:val="00334A49"/>
    <w:rsid w:val="00334CB1"/>
    <w:rsid w:val="00334F77"/>
    <w:rsid w:val="00335095"/>
    <w:rsid w:val="00335941"/>
    <w:rsid w:val="00335D9C"/>
    <w:rsid w:val="00336CB5"/>
    <w:rsid w:val="00336D7A"/>
    <w:rsid w:val="00336D7B"/>
    <w:rsid w:val="0033725B"/>
    <w:rsid w:val="00340630"/>
    <w:rsid w:val="00340FD5"/>
    <w:rsid w:val="00341355"/>
    <w:rsid w:val="00342997"/>
    <w:rsid w:val="003437E7"/>
    <w:rsid w:val="00343CD1"/>
    <w:rsid w:val="00343D8B"/>
    <w:rsid w:val="00343F4E"/>
    <w:rsid w:val="0034426E"/>
    <w:rsid w:val="00344559"/>
    <w:rsid w:val="00344783"/>
    <w:rsid w:val="00344E08"/>
    <w:rsid w:val="00345205"/>
    <w:rsid w:val="0034549C"/>
    <w:rsid w:val="0034584B"/>
    <w:rsid w:val="00346324"/>
    <w:rsid w:val="00346884"/>
    <w:rsid w:val="00346970"/>
    <w:rsid w:val="00346EA3"/>
    <w:rsid w:val="00347454"/>
    <w:rsid w:val="00347B6A"/>
    <w:rsid w:val="00347F9A"/>
    <w:rsid w:val="003506CD"/>
    <w:rsid w:val="00350EFA"/>
    <w:rsid w:val="003523D0"/>
    <w:rsid w:val="00352CC3"/>
    <w:rsid w:val="0035319A"/>
    <w:rsid w:val="00353736"/>
    <w:rsid w:val="00353778"/>
    <w:rsid w:val="00353F21"/>
    <w:rsid w:val="00354513"/>
    <w:rsid w:val="0035500E"/>
    <w:rsid w:val="0035540A"/>
    <w:rsid w:val="00355996"/>
    <w:rsid w:val="00355BB8"/>
    <w:rsid w:val="00355DAE"/>
    <w:rsid w:val="00355E46"/>
    <w:rsid w:val="00355E79"/>
    <w:rsid w:val="00355F17"/>
    <w:rsid w:val="0035605A"/>
    <w:rsid w:val="0035666C"/>
    <w:rsid w:val="00356D81"/>
    <w:rsid w:val="0035715E"/>
    <w:rsid w:val="00357473"/>
    <w:rsid w:val="0035791B"/>
    <w:rsid w:val="00357B2E"/>
    <w:rsid w:val="00357EFC"/>
    <w:rsid w:val="00357F03"/>
    <w:rsid w:val="00360199"/>
    <w:rsid w:val="00361522"/>
    <w:rsid w:val="0036163F"/>
    <w:rsid w:val="00361886"/>
    <w:rsid w:val="00361F8B"/>
    <w:rsid w:val="00362411"/>
    <w:rsid w:val="003628B7"/>
    <w:rsid w:val="00362924"/>
    <w:rsid w:val="00362C1D"/>
    <w:rsid w:val="00363A3D"/>
    <w:rsid w:val="00363CFB"/>
    <w:rsid w:val="00364606"/>
    <w:rsid w:val="00364929"/>
    <w:rsid w:val="00364A07"/>
    <w:rsid w:val="00364D00"/>
    <w:rsid w:val="00364F4A"/>
    <w:rsid w:val="00365AFE"/>
    <w:rsid w:val="00365D6D"/>
    <w:rsid w:val="003660EC"/>
    <w:rsid w:val="00366606"/>
    <w:rsid w:val="00366E3D"/>
    <w:rsid w:val="00366F6C"/>
    <w:rsid w:val="00366FEA"/>
    <w:rsid w:val="003675D0"/>
    <w:rsid w:val="0036784A"/>
    <w:rsid w:val="00367984"/>
    <w:rsid w:val="003679AF"/>
    <w:rsid w:val="00367A19"/>
    <w:rsid w:val="003701A3"/>
    <w:rsid w:val="00370655"/>
    <w:rsid w:val="003708F5"/>
    <w:rsid w:val="0037138A"/>
    <w:rsid w:val="003724CC"/>
    <w:rsid w:val="0037279E"/>
    <w:rsid w:val="003732F4"/>
    <w:rsid w:val="003737E6"/>
    <w:rsid w:val="00373887"/>
    <w:rsid w:val="00373F95"/>
    <w:rsid w:val="003745EE"/>
    <w:rsid w:val="00375517"/>
    <w:rsid w:val="00375F78"/>
    <w:rsid w:val="00376365"/>
    <w:rsid w:val="00376483"/>
    <w:rsid w:val="0037657A"/>
    <w:rsid w:val="00376928"/>
    <w:rsid w:val="00376BF6"/>
    <w:rsid w:val="00376FE9"/>
    <w:rsid w:val="00377C5E"/>
    <w:rsid w:val="00377ED6"/>
    <w:rsid w:val="00380812"/>
    <w:rsid w:val="00380963"/>
    <w:rsid w:val="00380CA3"/>
    <w:rsid w:val="003810B3"/>
    <w:rsid w:val="003817BF"/>
    <w:rsid w:val="00381AF9"/>
    <w:rsid w:val="00381D6F"/>
    <w:rsid w:val="0038238C"/>
    <w:rsid w:val="00382623"/>
    <w:rsid w:val="00382C91"/>
    <w:rsid w:val="00382DBA"/>
    <w:rsid w:val="003840FC"/>
    <w:rsid w:val="0038442B"/>
    <w:rsid w:val="00384DB8"/>
    <w:rsid w:val="003853B4"/>
    <w:rsid w:val="003860E5"/>
    <w:rsid w:val="00386308"/>
    <w:rsid w:val="0038669D"/>
    <w:rsid w:val="00386928"/>
    <w:rsid w:val="003870BD"/>
    <w:rsid w:val="003871A5"/>
    <w:rsid w:val="00387427"/>
    <w:rsid w:val="0038784A"/>
    <w:rsid w:val="00390184"/>
    <w:rsid w:val="00390313"/>
    <w:rsid w:val="00390816"/>
    <w:rsid w:val="003908A1"/>
    <w:rsid w:val="00391404"/>
    <w:rsid w:val="00392113"/>
    <w:rsid w:val="00392861"/>
    <w:rsid w:val="003935B6"/>
    <w:rsid w:val="00393DE9"/>
    <w:rsid w:val="0039451D"/>
    <w:rsid w:val="00394A7C"/>
    <w:rsid w:val="00395247"/>
    <w:rsid w:val="003954BC"/>
    <w:rsid w:val="00395649"/>
    <w:rsid w:val="0039575A"/>
    <w:rsid w:val="00395786"/>
    <w:rsid w:val="00397407"/>
    <w:rsid w:val="003978B9"/>
    <w:rsid w:val="00397A54"/>
    <w:rsid w:val="003A0899"/>
    <w:rsid w:val="003A0C53"/>
    <w:rsid w:val="003A1C68"/>
    <w:rsid w:val="003A1F1A"/>
    <w:rsid w:val="003A27CB"/>
    <w:rsid w:val="003A2902"/>
    <w:rsid w:val="003A3397"/>
    <w:rsid w:val="003A36BA"/>
    <w:rsid w:val="003A39B8"/>
    <w:rsid w:val="003A3ABD"/>
    <w:rsid w:val="003A3F86"/>
    <w:rsid w:val="003A4043"/>
    <w:rsid w:val="003A40C4"/>
    <w:rsid w:val="003A447B"/>
    <w:rsid w:val="003A56F9"/>
    <w:rsid w:val="003A5BAB"/>
    <w:rsid w:val="003A5ECE"/>
    <w:rsid w:val="003A6265"/>
    <w:rsid w:val="003A69DB"/>
    <w:rsid w:val="003A6EE1"/>
    <w:rsid w:val="003A78D2"/>
    <w:rsid w:val="003A7C5F"/>
    <w:rsid w:val="003B0509"/>
    <w:rsid w:val="003B0703"/>
    <w:rsid w:val="003B0BD5"/>
    <w:rsid w:val="003B0CE0"/>
    <w:rsid w:val="003B0D52"/>
    <w:rsid w:val="003B132E"/>
    <w:rsid w:val="003B20F4"/>
    <w:rsid w:val="003B250C"/>
    <w:rsid w:val="003B2E6D"/>
    <w:rsid w:val="003B2E79"/>
    <w:rsid w:val="003B2EF3"/>
    <w:rsid w:val="003B3956"/>
    <w:rsid w:val="003B3D3D"/>
    <w:rsid w:val="003B50EA"/>
    <w:rsid w:val="003B5174"/>
    <w:rsid w:val="003B63C3"/>
    <w:rsid w:val="003B68A6"/>
    <w:rsid w:val="003B6D47"/>
    <w:rsid w:val="003B6DA7"/>
    <w:rsid w:val="003B7C01"/>
    <w:rsid w:val="003C0373"/>
    <w:rsid w:val="003C04C0"/>
    <w:rsid w:val="003C0CC5"/>
    <w:rsid w:val="003C0CD1"/>
    <w:rsid w:val="003C0D85"/>
    <w:rsid w:val="003C0DE9"/>
    <w:rsid w:val="003C0E07"/>
    <w:rsid w:val="003C118A"/>
    <w:rsid w:val="003C17D4"/>
    <w:rsid w:val="003C1C8E"/>
    <w:rsid w:val="003C1DBA"/>
    <w:rsid w:val="003C2B0F"/>
    <w:rsid w:val="003C3043"/>
    <w:rsid w:val="003C313F"/>
    <w:rsid w:val="003C33F6"/>
    <w:rsid w:val="003C3D16"/>
    <w:rsid w:val="003C4613"/>
    <w:rsid w:val="003C4672"/>
    <w:rsid w:val="003C4E91"/>
    <w:rsid w:val="003C53C2"/>
    <w:rsid w:val="003C5466"/>
    <w:rsid w:val="003C568C"/>
    <w:rsid w:val="003C5B28"/>
    <w:rsid w:val="003C5B48"/>
    <w:rsid w:val="003C5DBA"/>
    <w:rsid w:val="003C5E29"/>
    <w:rsid w:val="003C6336"/>
    <w:rsid w:val="003C66AC"/>
    <w:rsid w:val="003C747D"/>
    <w:rsid w:val="003C7C1E"/>
    <w:rsid w:val="003C7DA4"/>
    <w:rsid w:val="003D0522"/>
    <w:rsid w:val="003D092B"/>
    <w:rsid w:val="003D09EE"/>
    <w:rsid w:val="003D0DCB"/>
    <w:rsid w:val="003D1167"/>
    <w:rsid w:val="003D1D48"/>
    <w:rsid w:val="003D2089"/>
    <w:rsid w:val="003D23B0"/>
    <w:rsid w:val="003D40A4"/>
    <w:rsid w:val="003D40F3"/>
    <w:rsid w:val="003D428A"/>
    <w:rsid w:val="003D42C4"/>
    <w:rsid w:val="003D4935"/>
    <w:rsid w:val="003D4FAE"/>
    <w:rsid w:val="003D54BD"/>
    <w:rsid w:val="003D5A40"/>
    <w:rsid w:val="003D5BC6"/>
    <w:rsid w:val="003D5DB8"/>
    <w:rsid w:val="003D62C0"/>
    <w:rsid w:val="003D7727"/>
    <w:rsid w:val="003D7AC2"/>
    <w:rsid w:val="003E03F2"/>
    <w:rsid w:val="003E056C"/>
    <w:rsid w:val="003E05B9"/>
    <w:rsid w:val="003E095C"/>
    <w:rsid w:val="003E0AD8"/>
    <w:rsid w:val="003E1317"/>
    <w:rsid w:val="003E17AE"/>
    <w:rsid w:val="003E19BE"/>
    <w:rsid w:val="003E1B33"/>
    <w:rsid w:val="003E2AE6"/>
    <w:rsid w:val="003E3081"/>
    <w:rsid w:val="003E3904"/>
    <w:rsid w:val="003E3DD0"/>
    <w:rsid w:val="003E4521"/>
    <w:rsid w:val="003E470D"/>
    <w:rsid w:val="003E5025"/>
    <w:rsid w:val="003E5176"/>
    <w:rsid w:val="003E5912"/>
    <w:rsid w:val="003E5932"/>
    <w:rsid w:val="003E5AAC"/>
    <w:rsid w:val="003E678A"/>
    <w:rsid w:val="003E67AF"/>
    <w:rsid w:val="003E6E1C"/>
    <w:rsid w:val="003E723F"/>
    <w:rsid w:val="003F00B4"/>
    <w:rsid w:val="003F06A4"/>
    <w:rsid w:val="003F09B1"/>
    <w:rsid w:val="003F0DFF"/>
    <w:rsid w:val="003F1062"/>
    <w:rsid w:val="003F2564"/>
    <w:rsid w:val="003F270E"/>
    <w:rsid w:val="003F27ED"/>
    <w:rsid w:val="003F2A74"/>
    <w:rsid w:val="003F2F04"/>
    <w:rsid w:val="003F3336"/>
    <w:rsid w:val="003F3555"/>
    <w:rsid w:val="003F3850"/>
    <w:rsid w:val="003F408D"/>
    <w:rsid w:val="003F5678"/>
    <w:rsid w:val="003F5CA3"/>
    <w:rsid w:val="003F5EE9"/>
    <w:rsid w:val="003F6503"/>
    <w:rsid w:val="003F653B"/>
    <w:rsid w:val="003F66EB"/>
    <w:rsid w:val="003F6BCC"/>
    <w:rsid w:val="003F79E0"/>
    <w:rsid w:val="003F7AB0"/>
    <w:rsid w:val="0040045A"/>
    <w:rsid w:val="00400BAD"/>
    <w:rsid w:val="004011EC"/>
    <w:rsid w:val="004013F5"/>
    <w:rsid w:val="0040210D"/>
    <w:rsid w:val="00402EF3"/>
    <w:rsid w:val="0040345F"/>
    <w:rsid w:val="0040373B"/>
    <w:rsid w:val="004037D8"/>
    <w:rsid w:val="00403986"/>
    <w:rsid w:val="004045AE"/>
    <w:rsid w:val="00404763"/>
    <w:rsid w:val="00404A1E"/>
    <w:rsid w:val="00404CC8"/>
    <w:rsid w:val="00404F8B"/>
    <w:rsid w:val="00405044"/>
    <w:rsid w:val="0040544C"/>
    <w:rsid w:val="00405A97"/>
    <w:rsid w:val="00406288"/>
    <w:rsid w:val="004067BE"/>
    <w:rsid w:val="00406832"/>
    <w:rsid w:val="00406C38"/>
    <w:rsid w:val="00406DE3"/>
    <w:rsid w:val="0040748A"/>
    <w:rsid w:val="00407805"/>
    <w:rsid w:val="00410C22"/>
    <w:rsid w:val="00411322"/>
    <w:rsid w:val="0041143D"/>
    <w:rsid w:val="00412767"/>
    <w:rsid w:val="00412FDA"/>
    <w:rsid w:val="00413429"/>
    <w:rsid w:val="004135CD"/>
    <w:rsid w:val="0041378E"/>
    <w:rsid w:val="00413E52"/>
    <w:rsid w:val="0041428C"/>
    <w:rsid w:val="0041518A"/>
    <w:rsid w:val="00415221"/>
    <w:rsid w:val="004152CC"/>
    <w:rsid w:val="00415C90"/>
    <w:rsid w:val="00416382"/>
    <w:rsid w:val="0041647B"/>
    <w:rsid w:val="0041704E"/>
    <w:rsid w:val="00420067"/>
    <w:rsid w:val="0042035E"/>
    <w:rsid w:val="00420710"/>
    <w:rsid w:val="00420CF3"/>
    <w:rsid w:val="00420F80"/>
    <w:rsid w:val="00420F98"/>
    <w:rsid w:val="0042189F"/>
    <w:rsid w:val="00421A86"/>
    <w:rsid w:val="00421A8B"/>
    <w:rsid w:val="00421E09"/>
    <w:rsid w:val="004226A0"/>
    <w:rsid w:val="00422CA5"/>
    <w:rsid w:val="00422EC0"/>
    <w:rsid w:val="004234C2"/>
    <w:rsid w:val="0042369B"/>
    <w:rsid w:val="0042424B"/>
    <w:rsid w:val="00424340"/>
    <w:rsid w:val="00424D28"/>
    <w:rsid w:val="00424DAC"/>
    <w:rsid w:val="00425491"/>
    <w:rsid w:val="004268A9"/>
    <w:rsid w:val="00427861"/>
    <w:rsid w:val="00427F95"/>
    <w:rsid w:val="0043030F"/>
    <w:rsid w:val="00430B03"/>
    <w:rsid w:val="00431022"/>
    <w:rsid w:val="00431B43"/>
    <w:rsid w:val="00431EF0"/>
    <w:rsid w:val="00432485"/>
    <w:rsid w:val="00432895"/>
    <w:rsid w:val="00432BC6"/>
    <w:rsid w:val="00433B6A"/>
    <w:rsid w:val="00433B8F"/>
    <w:rsid w:val="00433F49"/>
    <w:rsid w:val="0043401B"/>
    <w:rsid w:val="004342B6"/>
    <w:rsid w:val="004347F3"/>
    <w:rsid w:val="00434C18"/>
    <w:rsid w:val="00435243"/>
    <w:rsid w:val="004353A5"/>
    <w:rsid w:val="00435697"/>
    <w:rsid w:val="004358B6"/>
    <w:rsid w:val="00435DDA"/>
    <w:rsid w:val="00435E7F"/>
    <w:rsid w:val="00436561"/>
    <w:rsid w:val="00436599"/>
    <w:rsid w:val="0043694A"/>
    <w:rsid w:val="00436A7C"/>
    <w:rsid w:val="00436E81"/>
    <w:rsid w:val="00436FD3"/>
    <w:rsid w:val="004370AC"/>
    <w:rsid w:val="00437532"/>
    <w:rsid w:val="00437E32"/>
    <w:rsid w:val="00437F60"/>
    <w:rsid w:val="004400FA"/>
    <w:rsid w:val="0044093F"/>
    <w:rsid w:val="00441219"/>
    <w:rsid w:val="00441B6C"/>
    <w:rsid w:val="00442B01"/>
    <w:rsid w:val="00443985"/>
    <w:rsid w:val="00443FB8"/>
    <w:rsid w:val="004443A1"/>
    <w:rsid w:val="00444516"/>
    <w:rsid w:val="0044460B"/>
    <w:rsid w:val="00445481"/>
    <w:rsid w:val="00445682"/>
    <w:rsid w:val="00445D4D"/>
    <w:rsid w:val="0044617A"/>
    <w:rsid w:val="00446B8B"/>
    <w:rsid w:val="00446CC9"/>
    <w:rsid w:val="00447032"/>
    <w:rsid w:val="00447268"/>
    <w:rsid w:val="00447553"/>
    <w:rsid w:val="00447616"/>
    <w:rsid w:val="00450CB9"/>
    <w:rsid w:val="00450E50"/>
    <w:rsid w:val="00450EB0"/>
    <w:rsid w:val="0045137C"/>
    <w:rsid w:val="00451BAE"/>
    <w:rsid w:val="00451E8E"/>
    <w:rsid w:val="0045221F"/>
    <w:rsid w:val="00452750"/>
    <w:rsid w:val="004527FD"/>
    <w:rsid w:val="0045291E"/>
    <w:rsid w:val="00452C95"/>
    <w:rsid w:val="00453C1D"/>
    <w:rsid w:val="0045429F"/>
    <w:rsid w:val="004542F9"/>
    <w:rsid w:val="00454788"/>
    <w:rsid w:val="0045482A"/>
    <w:rsid w:val="0045503F"/>
    <w:rsid w:val="00455778"/>
    <w:rsid w:val="004559B0"/>
    <w:rsid w:val="00455B99"/>
    <w:rsid w:val="00456044"/>
    <w:rsid w:val="004571DA"/>
    <w:rsid w:val="0045731E"/>
    <w:rsid w:val="00457C93"/>
    <w:rsid w:val="00457E54"/>
    <w:rsid w:val="004607ED"/>
    <w:rsid w:val="00460E80"/>
    <w:rsid w:val="00460EBB"/>
    <w:rsid w:val="00460EC3"/>
    <w:rsid w:val="0046183D"/>
    <w:rsid w:val="00461852"/>
    <w:rsid w:val="00461912"/>
    <w:rsid w:val="00462AD9"/>
    <w:rsid w:val="00462C8F"/>
    <w:rsid w:val="00462D9E"/>
    <w:rsid w:val="00462DCC"/>
    <w:rsid w:val="004633FE"/>
    <w:rsid w:val="00463A70"/>
    <w:rsid w:val="00463E34"/>
    <w:rsid w:val="00463E93"/>
    <w:rsid w:val="00464769"/>
    <w:rsid w:val="0046545B"/>
    <w:rsid w:val="004654E4"/>
    <w:rsid w:val="00465C6A"/>
    <w:rsid w:val="004662B6"/>
    <w:rsid w:val="004675C3"/>
    <w:rsid w:val="00467F61"/>
    <w:rsid w:val="00467F85"/>
    <w:rsid w:val="00470086"/>
    <w:rsid w:val="00470B06"/>
    <w:rsid w:val="00470C3E"/>
    <w:rsid w:val="00471711"/>
    <w:rsid w:val="00471AAC"/>
    <w:rsid w:val="0047299F"/>
    <w:rsid w:val="00472DD1"/>
    <w:rsid w:val="004733D8"/>
    <w:rsid w:val="00473835"/>
    <w:rsid w:val="00473BAF"/>
    <w:rsid w:val="00473E43"/>
    <w:rsid w:val="00475167"/>
    <w:rsid w:val="004755A5"/>
    <w:rsid w:val="00476081"/>
    <w:rsid w:val="00476460"/>
    <w:rsid w:val="004771E3"/>
    <w:rsid w:val="00477641"/>
    <w:rsid w:val="00477892"/>
    <w:rsid w:val="00480E8A"/>
    <w:rsid w:val="004819F9"/>
    <w:rsid w:val="00481DE8"/>
    <w:rsid w:val="00481F93"/>
    <w:rsid w:val="004820AD"/>
    <w:rsid w:val="00482834"/>
    <w:rsid w:val="00482F1C"/>
    <w:rsid w:val="00483CF9"/>
    <w:rsid w:val="00483F4C"/>
    <w:rsid w:val="00484216"/>
    <w:rsid w:val="00484D0B"/>
    <w:rsid w:val="00484E14"/>
    <w:rsid w:val="004852AE"/>
    <w:rsid w:val="00485876"/>
    <w:rsid w:val="0048611A"/>
    <w:rsid w:val="0049001B"/>
    <w:rsid w:val="0049105E"/>
    <w:rsid w:val="004912A3"/>
    <w:rsid w:val="00491310"/>
    <w:rsid w:val="0049135E"/>
    <w:rsid w:val="00491483"/>
    <w:rsid w:val="00491698"/>
    <w:rsid w:val="00491C1A"/>
    <w:rsid w:val="0049205C"/>
    <w:rsid w:val="00492353"/>
    <w:rsid w:val="004926DC"/>
    <w:rsid w:val="004928A0"/>
    <w:rsid w:val="004929D4"/>
    <w:rsid w:val="00492CB4"/>
    <w:rsid w:val="004936B5"/>
    <w:rsid w:val="00493C22"/>
    <w:rsid w:val="00493CBD"/>
    <w:rsid w:val="00493E0E"/>
    <w:rsid w:val="0049409A"/>
    <w:rsid w:val="0049429C"/>
    <w:rsid w:val="00494AF6"/>
    <w:rsid w:val="004950FA"/>
    <w:rsid w:val="00495B6F"/>
    <w:rsid w:val="00496406"/>
    <w:rsid w:val="00496955"/>
    <w:rsid w:val="00496D2E"/>
    <w:rsid w:val="00496D5E"/>
    <w:rsid w:val="00497BC5"/>
    <w:rsid w:val="00497F0E"/>
    <w:rsid w:val="004A00CA"/>
    <w:rsid w:val="004A1096"/>
    <w:rsid w:val="004A128D"/>
    <w:rsid w:val="004A1AD8"/>
    <w:rsid w:val="004A1BCF"/>
    <w:rsid w:val="004A2005"/>
    <w:rsid w:val="004A232E"/>
    <w:rsid w:val="004A2A08"/>
    <w:rsid w:val="004A2F57"/>
    <w:rsid w:val="004A347C"/>
    <w:rsid w:val="004A3556"/>
    <w:rsid w:val="004A3C5D"/>
    <w:rsid w:val="004A3D89"/>
    <w:rsid w:val="004A4356"/>
    <w:rsid w:val="004A4C2B"/>
    <w:rsid w:val="004A5084"/>
    <w:rsid w:val="004A55CE"/>
    <w:rsid w:val="004A569B"/>
    <w:rsid w:val="004A58A8"/>
    <w:rsid w:val="004A5B3B"/>
    <w:rsid w:val="004A6A8E"/>
    <w:rsid w:val="004A6CA6"/>
    <w:rsid w:val="004A6D36"/>
    <w:rsid w:val="004A6FEC"/>
    <w:rsid w:val="004A7159"/>
    <w:rsid w:val="004A76C4"/>
    <w:rsid w:val="004A7813"/>
    <w:rsid w:val="004A7C39"/>
    <w:rsid w:val="004B08EA"/>
    <w:rsid w:val="004B0A9E"/>
    <w:rsid w:val="004B0EBF"/>
    <w:rsid w:val="004B0F33"/>
    <w:rsid w:val="004B1221"/>
    <w:rsid w:val="004B2023"/>
    <w:rsid w:val="004B2860"/>
    <w:rsid w:val="004B2CA4"/>
    <w:rsid w:val="004B329C"/>
    <w:rsid w:val="004B3613"/>
    <w:rsid w:val="004B37E4"/>
    <w:rsid w:val="004B3DC6"/>
    <w:rsid w:val="004B3EA9"/>
    <w:rsid w:val="004B40F0"/>
    <w:rsid w:val="004B445D"/>
    <w:rsid w:val="004B4BDA"/>
    <w:rsid w:val="004B4C97"/>
    <w:rsid w:val="004B5217"/>
    <w:rsid w:val="004B570E"/>
    <w:rsid w:val="004B5C13"/>
    <w:rsid w:val="004B5C80"/>
    <w:rsid w:val="004B5D3C"/>
    <w:rsid w:val="004B5FA2"/>
    <w:rsid w:val="004B6174"/>
    <w:rsid w:val="004B62CA"/>
    <w:rsid w:val="004B6B88"/>
    <w:rsid w:val="004B738D"/>
    <w:rsid w:val="004B74FC"/>
    <w:rsid w:val="004B7C49"/>
    <w:rsid w:val="004B7E9E"/>
    <w:rsid w:val="004B7F5C"/>
    <w:rsid w:val="004C00E0"/>
    <w:rsid w:val="004C00F6"/>
    <w:rsid w:val="004C0264"/>
    <w:rsid w:val="004C0C35"/>
    <w:rsid w:val="004C0E82"/>
    <w:rsid w:val="004C103C"/>
    <w:rsid w:val="004C1052"/>
    <w:rsid w:val="004C11AB"/>
    <w:rsid w:val="004C1846"/>
    <w:rsid w:val="004C187B"/>
    <w:rsid w:val="004C24A8"/>
    <w:rsid w:val="004C2670"/>
    <w:rsid w:val="004C2C9B"/>
    <w:rsid w:val="004C313E"/>
    <w:rsid w:val="004C3440"/>
    <w:rsid w:val="004C34E2"/>
    <w:rsid w:val="004C35DA"/>
    <w:rsid w:val="004C37B0"/>
    <w:rsid w:val="004C3930"/>
    <w:rsid w:val="004C3D49"/>
    <w:rsid w:val="004C42AE"/>
    <w:rsid w:val="004C454B"/>
    <w:rsid w:val="004C5552"/>
    <w:rsid w:val="004C56AF"/>
    <w:rsid w:val="004C5819"/>
    <w:rsid w:val="004C5A66"/>
    <w:rsid w:val="004C64CE"/>
    <w:rsid w:val="004C7509"/>
    <w:rsid w:val="004C7853"/>
    <w:rsid w:val="004C7B6E"/>
    <w:rsid w:val="004D0257"/>
    <w:rsid w:val="004D0291"/>
    <w:rsid w:val="004D047C"/>
    <w:rsid w:val="004D0A67"/>
    <w:rsid w:val="004D0D03"/>
    <w:rsid w:val="004D170B"/>
    <w:rsid w:val="004D2E02"/>
    <w:rsid w:val="004D3089"/>
    <w:rsid w:val="004D4747"/>
    <w:rsid w:val="004D4A76"/>
    <w:rsid w:val="004D5506"/>
    <w:rsid w:val="004D6684"/>
    <w:rsid w:val="004D7563"/>
    <w:rsid w:val="004D7DD1"/>
    <w:rsid w:val="004D7EAF"/>
    <w:rsid w:val="004E0066"/>
    <w:rsid w:val="004E082B"/>
    <w:rsid w:val="004E1172"/>
    <w:rsid w:val="004E13E3"/>
    <w:rsid w:val="004E2188"/>
    <w:rsid w:val="004E224C"/>
    <w:rsid w:val="004E25AD"/>
    <w:rsid w:val="004E2693"/>
    <w:rsid w:val="004E2759"/>
    <w:rsid w:val="004E2864"/>
    <w:rsid w:val="004E2FFF"/>
    <w:rsid w:val="004E3267"/>
    <w:rsid w:val="004E384F"/>
    <w:rsid w:val="004E3A19"/>
    <w:rsid w:val="004E3D28"/>
    <w:rsid w:val="004E3E4E"/>
    <w:rsid w:val="004E452A"/>
    <w:rsid w:val="004E4564"/>
    <w:rsid w:val="004E4B40"/>
    <w:rsid w:val="004E4FB1"/>
    <w:rsid w:val="004E55F6"/>
    <w:rsid w:val="004E5A57"/>
    <w:rsid w:val="004E5EA1"/>
    <w:rsid w:val="004E6244"/>
    <w:rsid w:val="004E63B8"/>
    <w:rsid w:val="004E6951"/>
    <w:rsid w:val="004E6EB7"/>
    <w:rsid w:val="004E71EE"/>
    <w:rsid w:val="004E7EC1"/>
    <w:rsid w:val="004E7FC6"/>
    <w:rsid w:val="004F018A"/>
    <w:rsid w:val="004F018E"/>
    <w:rsid w:val="004F02E6"/>
    <w:rsid w:val="004F0D02"/>
    <w:rsid w:val="004F1270"/>
    <w:rsid w:val="004F1AF9"/>
    <w:rsid w:val="004F2527"/>
    <w:rsid w:val="004F2773"/>
    <w:rsid w:val="004F3E76"/>
    <w:rsid w:val="004F40B5"/>
    <w:rsid w:val="004F446F"/>
    <w:rsid w:val="004F45E9"/>
    <w:rsid w:val="004F4809"/>
    <w:rsid w:val="004F4E96"/>
    <w:rsid w:val="004F56AC"/>
    <w:rsid w:val="004F5AF0"/>
    <w:rsid w:val="004F5BF1"/>
    <w:rsid w:val="004F6905"/>
    <w:rsid w:val="004F6FA1"/>
    <w:rsid w:val="004F7793"/>
    <w:rsid w:val="004F78A6"/>
    <w:rsid w:val="005002ED"/>
    <w:rsid w:val="0050058B"/>
    <w:rsid w:val="005009FF"/>
    <w:rsid w:val="00500A81"/>
    <w:rsid w:val="00500C4C"/>
    <w:rsid w:val="00500E59"/>
    <w:rsid w:val="0050120F"/>
    <w:rsid w:val="0050204C"/>
    <w:rsid w:val="00502065"/>
    <w:rsid w:val="00502735"/>
    <w:rsid w:val="00502980"/>
    <w:rsid w:val="00502A1D"/>
    <w:rsid w:val="00502F1D"/>
    <w:rsid w:val="0050331B"/>
    <w:rsid w:val="005033EA"/>
    <w:rsid w:val="005039D2"/>
    <w:rsid w:val="00503B56"/>
    <w:rsid w:val="005050DE"/>
    <w:rsid w:val="005052EA"/>
    <w:rsid w:val="00505344"/>
    <w:rsid w:val="00505549"/>
    <w:rsid w:val="00506144"/>
    <w:rsid w:val="00506280"/>
    <w:rsid w:val="005062C9"/>
    <w:rsid w:val="0050690E"/>
    <w:rsid w:val="00506B50"/>
    <w:rsid w:val="005073BD"/>
    <w:rsid w:val="00507A6E"/>
    <w:rsid w:val="00507CED"/>
    <w:rsid w:val="0051098A"/>
    <w:rsid w:val="00510F00"/>
    <w:rsid w:val="0051228B"/>
    <w:rsid w:val="005127EC"/>
    <w:rsid w:val="00512911"/>
    <w:rsid w:val="0051295F"/>
    <w:rsid w:val="00512AFD"/>
    <w:rsid w:val="00512DC4"/>
    <w:rsid w:val="005135A5"/>
    <w:rsid w:val="00513B8C"/>
    <w:rsid w:val="00513CAC"/>
    <w:rsid w:val="00513F60"/>
    <w:rsid w:val="005144F9"/>
    <w:rsid w:val="005146F6"/>
    <w:rsid w:val="0051508C"/>
    <w:rsid w:val="00515A3D"/>
    <w:rsid w:val="00516528"/>
    <w:rsid w:val="00516D44"/>
    <w:rsid w:val="00517099"/>
    <w:rsid w:val="00517176"/>
    <w:rsid w:val="00517993"/>
    <w:rsid w:val="00517AB0"/>
    <w:rsid w:val="00520070"/>
    <w:rsid w:val="005203D9"/>
    <w:rsid w:val="005209C6"/>
    <w:rsid w:val="00520A7A"/>
    <w:rsid w:val="0052103D"/>
    <w:rsid w:val="00521ADA"/>
    <w:rsid w:val="00522EF4"/>
    <w:rsid w:val="00522F95"/>
    <w:rsid w:val="00523550"/>
    <w:rsid w:val="00523DF4"/>
    <w:rsid w:val="00523FB6"/>
    <w:rsid w:val="0052438B"/>
    <w:rsid w:val="005244A4"/>
    <w:rsid w:val="005245FF"/>
    <w:rsid w:val="0052538E"/>
    <w:rsid w:val="00525848"/>
    <w:rsid w:val="00526A2D"/>
    <w:rsid w:val="00526A35"/>
    <w:rsid w:val="00526BC9"/>
    <w:rsid w:val="005270E4"/>
    <w:rsid w:val="00531112"/>
    <w:rsid w:val="005313D1"/>
    <w:rsid w:val="005313F5"/>
    <w:rsid w:val="005318E4"/>
    <w:rsid w:val="00531D66"/>
    <w:rsid w:val="00532241"/>
    <w:rsid w:val="00532253"/>
    <w:rsid w:val="0053240C"/>
    <w:rsid w:val="00532BE1"/>
    <w:rsid w:val="0053300E"/>
    <w:rsid w:val="00533A11"/>
    <w:rsid w:val="00533C56"/>
    <w:rsid w:val="005343F8"/>
    <w:rsid w:val="00534B6F"/>
    <w:rsid w:val="00534F34"/>
    <w:rsid w:val="00535B27"/>
    <w:rsid w:val="00535C3B"/>
    <w:rsid w:val="00536D3B"/>
    <w:rsid w:val="00536FA7"/>
    <w:rsid w:val="0053785B"/>
    <w:rsid w:val="00537ACE"/>
    <w:rsid w:val="00537B7B"/>
    <w:rsid w:val="00540132"/>
    <w:rsid w:val="00540278"/>
    <w:rsid w:val="0054029F"/>
    <w:rsid w:val="00540991"/>
    <w:rsid w:val="00541097"/>
    <w:rsid w:val="00541168"/>
    <w:rsid w:val="00541385"/>
    <w:rsid w:val="00541C98"/>
    <w:rsid w:val="00541F6C"/>
    <w:rsid w:val="00542646"/>
    <w:rsid w:val="00542978"/>
    <w:rsid w:val="00543317"/>
    <w:rsid w:val="005434E5"/>
    <w:rsid w:val="0054387B"/>
    <w:rsid w:val="005439F4"/>
    <w:rsid w:val="00543E05"/>
    <w:rsid w:val="00544070"/>
    <w:rsid w:val="00544112"/>
    <w:rsid w:val="00544A64"/>
    <w:rsid w:val="00544BEF"/>
    <w:rsid w:val="00544C5A"/>
    <w:rsid w:val="00544CB9"/>
    <w:rsid w:val="00544D89"/>
    <w:rsid w:val="00546362"/>
    <w:rsid w:val="005464F7"/>
    <w:rsid w:val="00546A3E"/>
    <w:rsid w:val="00546D64"/>
    <w:rsid w:val="005470E1"/>
    <w:rsid w:val="00547501"/>
    <w:rsid w:val="00547676"/>
    <w:rsid w:val="00547AA5"/>
    <w:rsid w:val="00547CB2"/>
    <w:rsid w:val="0055011B"/>
    <w:rsid w:val="005508F4"/>
    <w:rsid w:val="00550AA2"/>
    <w:rsid w:val="00550E94"/>
    <w:rsid w:val="005511C9"/>
    <w:rsid w:val="00551C0B"/>
    <w:rsid w:val="005520BE"/>
    <w:rsid w:val="00552109"/>
    <w:rsid w:val="00552907"/>
    <w:rsid w:val="00552C1C"/>
    <w:rsid w:val="00552CEB"/>
    <w:rsid w:val="0055379D"/>
    <w:rsid w:val="00553A36"/>
    <w:rsid w:val="00553CA8"/>
    <w:rsid w:val="00553CEE"/>
    <w:rsid w:val="00553D0A"/>
    <w:rsid w:val="00553D9D"/>
    <w:rsid w:val="00553ED0"/>
    <w:rsid w:val="00553F68"/>
    <w:rsid w:val="0055429B"/>
    <w:rsid w:val="005542D6"/>
    <w:rsid w:val="00554694"/>
    <w:rsid w:val="00554A8A"/>
    <w:rsid w:val="00554FE9"/>
    <w:rsid w:val="00555B7C"/>
    <w:rsid w:val="0055653F"/>
    <w:rsid w:val="00556B8F"/>
    <w:rsid w:val="00556D3D"/>
    <w:rsid w:val="00557756"/>
    <w:rsid w:val="005577AC"/>
    <w:rsid w:val="00557826"/>
    <w:rsid w:val="00560723"/>
    <w:rsid w:val="005609A7"/>
    <w:rsid w:val="00560C32"/>
    <w:rsid w:val="00560EB6"/>
    <w:rsid w:val="005610DA"/>
    <w:rsid w:val="00561B6C"/>
    <w:rsid w:val="00561CEF"/>
    <w:rsid w:val="00561E0D"/>
    <w:rsid w:val="00561EED"/>
    <w:rsid w:val="00562818"/>
    <w:rsid w:val="00562AA8"/>
    <w:rsid w:val="00563310"/>
    <w:rsid w:val="005637B3"/>
    <w:rsid w:val="005637D0"/>
    <w:rsid w:val="00563CF6"/>
    <w:rsid w:val="00564212"/>
    <w:rsid w:val="005642E8"/>
    <w:rsid w:val="00564306"/>
    <w:rsid w:val="00564766"/>
    <w:rsid w:val="0056479C"/>
    <w:rsid w:val="0056514F"/>
    <w:rsid w:val="00565829"/>
    <w:rsid w:val="00565ADE"/>
    <w:rsid w:val="0056630C"/>
    <w:rsid w:val="00566315"/>
    <w:rsid w:val="005667BA"/>
    <w:rsid w:val="00566FD6"/>
    <w:rsid w:val="005671A6"/>
    <w:rsid w:val="00567684"/>
    <w:rsid w:val="00567C86"/>
    <w:rsid w:val="005705F0"/>
    <w:rsid w:val="005705F8"/>
    <w:rsid w:val="005705FD"/>
    <w:rsid w:val="00570FD3"/>
    <w:rsid w:val="005710EB"/>
    <w:rsid w:val="0057144E"/>
    <w:rsid w:val="00571520"/>
    <w:rsid w:val="005717A0"/>
    <w:rsid w:val="00571ACC"/>
    <w:rsid w:val="00571E0B"/>
    <w:rsid w:val="00572455"/>
    <w:rsid w:val="00572D05"/>
    <w:rsid w:val="00572FAB"/>
    <w:rsid w:val="0057352C"/>
    <w:rsid w:val="0057396E"/>
    <w:rsid w:val="00573C99"/>
    <w:rsid w:val="00573DE4"/>
    <w:rsid w:val="00573FBC"/>
    <w:rsid w:val="00574345"/>
    <w:rsid w:val="0057447A"/>
    <w:rsid w:val="00574544"/>
    <w:rsid w:val="005747EF"/>
    <w:rsid w:val="00574B62"/>
    <w:rsid w:val="00574C83"/>
    <w:rsid w:val="00574CA1"/>
    <w:rsid w:val="00575DEF"/>
    <w:rsid w:val="005769D1"/>
    <w:rsid w:val="00576E2C"/>
    <w:rsid w:val="00576E41"/>
    <w:rsid w:val="00576E52"/>
    <w:rsid w:val="00577200"/>
    <w:rsid w:val="0057755A"/>
    <w:rsid w:val="0057783A"/>
    <w:rsid w:val="005779E9"/>
    <w:rsid w:val="00577F0C"/>
    <w:rsid w:val="0058076A"/>
    <w:rsid w:val="00581D6B"/>
    <w:rsid w:val="00581D8B"/>
    <w:rsid w:val="0058291F"/>
    <w:rsid w:val="00582A2B"/>
    <w:rsid w:val="005838F8"/>
    <w:rsid w:val="00583DD0"/>
    <w:rsid w:val="0058405B"/>
    <w:rsid w:val="005840C3"/>
    <w:rsid w:val="0058420C"/>
    <w:rsid w:val="0058474E"/>
    <w:rsid w:val="00584C1E"/>
    <w:rsid w:val="00585155"/>
    <w:rsid w:val="005857D8"/>
    <w:rsid w:val="00585A7F"/>
    <w:rsid w:val="00586C24"/>
    <w:rsid w:val="005878AF"/>
    <w:rsid w:val="00587A32"/>
    <w:rsid w:val="00587A57"/>
    <w:rsid w:val="00587B0C"/>
    <w:rsid w:val="00587B40"/>
    <w:rsid w:val="00587C08"/>
    <w:rsid w:val="0059020F"/>
    <w:rsid w:val="005912D3"/>
    <w:rsid w:val="0059132E"/>
    <w:rsid w:val="005914F1"/>
    <w:rsid w:val="00591982"/>
    <w:rsid w:val="0059250D"/>
    <w:rsid w:val="0059329E"/>
    <w:rsid w:val="00593D3F"/>
    <w:rsid w:val="00593E8A"/>
    <w:rsid w:val="00594C11"/>
    <w:rsid w:val="0059502D"/>
    <w:rsid w:val="005952A6"/>
    <w:rsid w:val="0059549E"/>
    <w:rsid w:val="0059570B"/>
    <w:rsid w:val="00595ABF"/>
    <w:rsid w:val="00595E8D"/>
    <w:rsid w:val="00596509"/>
    <w:rsid w:val="00596BEA"/>
    <w:rsid w:val="00597241"/>
    <w:rsid w:val="00597469"/>
    <w:rsid w:val="005979DB"/>
    <w:rsid w:val="00597AFA"/>
    <w:rsid w:val="005A076D"/>
    <w:rsid w:val="005A0AFE"/>
    <w:rsid w:val="005A1F83"/>
    <w:rsid w:val="005A247B"/>
    <w:rsid w:val="005A360E"/>
    <w:rsid w:val="005A3835"/>
    <w:rsid w:val="005A3B4B"/>
    <w:rsid w:val="005A50D5"/>
    <w:rsid w:val="005A52EC"/>
    <w:rsid w:val="005A56AF"/>
    <w:rsid w:val="005A582E"/>
    <w:rsid w:val="005A5D10"/>
    <w:rsid w:val="005A603C"/>
    <w:rsid w:val="005A6697"/>
    <w:rsid w:val="005A6F63"/>
    <w:rsid w:val="005A7945"/>
    <w:rsid w:val="005A7D68"/>
    <w:rsid w:val="005B083D"/>
    <w:rsid w:val="005B1646"/>
    <w:rsid w:val="005B2257"/>
    <w:rsid w:val="005B2424"/>
    <w:rsid w:val="005B29BB"/>
    <w:rsid w:val="005B2B67"/>
    <w:rsid w:val="005B2B7A"/>
    <w:rsid w:val="005B2D9B"/>
    <w:rsid w:val="005B3093"/>
    <w:rsid w:val="005B4EE4"/>
    <w:rsid w:val="005B4FDE"/>
    <w:rsid w:val="005B60A7"/>
    <w:rsid w:val="005B69D2"/>
    <w:rsid w:val="005B71EF"/>
    <w:rsid w:val="005B7307"/>
    <w:rsid w:val="005B77A9"/>
    <w:rsid w:val="005B7805"/>
    <w:rsid w:val="005B7B9B"/>
    <w:rsid w:val="005B7F16"/>
    <w:rsid w:val="005C020F"/>
    <w:rsid w:val="005C02E0"/>
    <w:rsid w:val="005C037A"/>
    <w:rsid w:val="005C0489"/>
    <w:rsid w:val="005C073E"/>
    <w:rsid w:val="005C18DF"/>
    <w:rsid w:val="005C2D0B"/>
    <w:rsid w:val="005C329B"/>
    <w:rsid w:val="005C3334"/>
    <w:rsid w:val="005C39BE"/>
    <w:rsid w:val="005C3FEA"/>
    <w:rsid w:val="005C46B7"/>
    <w:rsid w:val="005C4803"/>
    <w:rsid w:val="005C50A2"/>
    <w:rsid w:val="005C5E0B"/>
    <w:rsid w:val="005C6047"/>
    <w:rsid w:val="005C60EB"/>
    <w:rsid w:val="005C6566"/>
    <w:rsid w:val="005C6778"/>
    <w:rsid w:val="005C723E"/>
    <w:rsid w:val="005C765B"/>
    <w:rsid w:val="005C7C35"/>
    <w:rsid w:val="005C7D7D"/>
    <w:rsid w:val="005D0638"/>
    <w:rsid w:val="005D15D5"/>
    <w:rsid w:val="005D1740"/>
    <w:rsid w:val="005D194F"/>
    <w:rsid w:val="005D1C6B"/>
    <w:rsid w:val="005D1E60"/>
    <w:rsid w:val="005D2477"/>
    <w:rsid w:val="005D2637"/>
    <w:rsid w:val="005D37BD"/>
    <w:rsid w:val="005D3D3C"/>
    <w:rsid w:val="005D4276"/>
    <w:rsid w:val="005D4708"/>
    <w:rsid w:val="005D4B00"/>
    <w:rsid w:val="005D50C7"/>
    <w:rsid w:val="005D54F9"/>
    <w:rsid w:val="005D5C16"/>
    <w:rsid w:val="005D5E2E"/>
    <w:rsid w:val="005D62C0"/>
    <w:rsid w:val="005D6A10"/>
    <w:rsid w:val="005D6A56"/>
    <w:rsid w:val="005D7172"/>
    <w:rsid w:val="005D76FD"/>
    <w:rsid w:val="005D7C72"/>
    <w:rsid w:val="005D7F6E"/>
    <w:rsid w:val="005E0E78"/>
    <w:rsid w:val="005E0F82"/>
    <w:rsid w:val="005E25B6"/>
    <w:rsid w:val="005E2DFF"/>
    <w:rsid w:val="005E34AE"/>
    <w:rsid w:val="005E34C8"/>
    <w:rsid w:val="005E3ACA"/>
    <w:rsid w:val="005E3AEE"/>
    <w:rsid w:val="005E3B5E"/>
    <w:rsid w:val="005E44CD"/>
    <w:rsid w:val="005E4584"/>
    <w:rsid w:val="005E4952"/>
    <w:rsid w:val="005E4B9A"/>
    <w:rsid w:val="005E546A"/>
    <w:rsid w:val="005E5ADA"/>
    <w:rsid w:val="005E5F53"/>
    <w:rsid w:val="005E640A"/>
    <w:rsid w:val="005E69B9"/>
    <w:rsid w:val="005E6A7F"/>
    <w:rsid w:val="005E6ADA"/>
    <w:rsid w:val="005E6C1F"/>
    <w:rsid w:val="005E7002"/>
    <w:rsid w:val="005E71DF"/>
    <w:rsid w:val="005E7491"/>
    <w:rsid w:val="005E7A83"/>
    <w:rsid w:val="005F0246"/>
    <w:rsid w:val="005F048D"/>
    <w:rsid w:val="005F0E24"/>
    <w:rsid w:val="005F0F79"/>
    <w:rsid w:val="005F17CA"/>
    <w:rsid w:val="005F2D44"/>
    <w:rsid w:val="005F30E0"/>
    <w:rsid w:val="005F31FE"/>
    <w:rsid w:val="005F354B"/>
    <w:rsid w:val="005F44CE"/>
    <w:rsid w:val="005F4787"/>
    <w:rsid w:val="005F496D"/>
    <w:rsid w:val="005F4A9E"/>
    <w:rsid w:val="005F5134"/>
    <w:rsid w:val="005F5616"/>
    <w:rsid w:val="005F6024"/>
    <w:rsid w:val="005F6194"/>
    <w:rsid w:val="005F6761"/>
    <w:rsid w:val="005F6AAA"/>
    <w:rsid w:val="005F7349"/>
    <w:rsid w:val="005F7765"/>
    <w:rsid w:val="005F7C35"/>
    <w:rsid w:val="0060006B"/>
    <w:rsid w:val="0060040C"/>
    <w:rsid w:val="00600746"/>
    <w:rsid w:val="00600A16"/>
    <w:rsid w:val="00600D81"/>
    <w:rsid w:val="006011FB"/>
    <w:rsid w:val="006013BA"/>
    <w:rsid w:val="006015CF"/>
    <w:rsid w:val="0060215A"/>
    <w:rsid w:val="0060290A"/>
    <w:rsid w:val="00602EC6"/>
    <w:rsid w:val="0060312E"/>
    <w:rsid w:val="00603A66"/>
    <w:rsid w:val="00605768"/>
    <w:rsid w:val="00605ACC"/>
    <w:rsid w:val="00605B35"/>
    <w:rsid w:val="00605C75"/>
    <w:rsid w:val="00605E92"/>
    <w:rsid w:val="00606052"/>
    <w:rsid w:val="00606467"/>
    <w:rsid w:val="00606E36"/>
    <w:rsid w:val="00606F8C"/>
    <w:rsid w:val="0060715A"/>
    <w:rsid w:val="006074DF"/>
    <w:rsid w:val="00607D62"/>
    <w:rsid w:val="00610045"/>
    <w:rsid w:val="006100D0"/>
    <w:rsid w:val="00610AAB"/>
    <w:rsid w:val="00610C27"/>
    <w:rsid w:val="00610F0A"/>
    <w:rsid w:val="00611212"/>
    <w:rsid w:val="0061409A"/>
    <w:rsid w:val="0061474A"/>
    <w:rsid w:val="0061495E"/>
    <w:rsid w:val="0061499E"/>
    <w:rsid w:val="00614C7E"/>
    <w:rsid w:val="00614E56"/>
    <w:rsid w:val="006150A4"/>
    <w:rsid w:val="006156D6"/>
    <w:rsid w:val="00615A98"/>
    <w:rsid w:val="00616925"/>
    <w:rsid w:val="00616B29"/>
    <w:rsid w:val="00616B85"/>
    <w:rsid w:val="0061729C"/>
    <w:rsid w:val="00617557"/>
    <w:rsid w:val="006177D2"/>
    <w:rsid w:val="006179D6"/>
    <w:rsid w:val="00617E76"/>
    <w:rsid w:val="0062016B"/>
    <w:rsid w:val="006202B5"/>
    <w:rsid w:val="00620B95"/>
    <w:rsid w:val="00620BC5"/>
    <w:rsid w:val="00621169"/>
    <w:rsid w:val="006212CD"/>
    <w:rsid w:val="0062156D"/>
    <w:rsid w:val="006217DC"/>
    <w:rsid w:val="00621DB2"/>
    <w:rsid w:val="00622580"/>
    <w:rsid w:val="00623005"/>
    <w:rsid w:val="00623215"/>
    <w:rsid w:val="006236BF"/>
    <w:rsid w:val="00623873"/>
    <w:rsid w:val="006245B7"/>
    <w:rsid w:val="00624861"/>
    <w:rsid w:val="00624A6B"/>
    <w:rsid w:val="00624CE8"/>
    <w:rsid w:val="006251B6"/>
    <w:rsid w:val="006251FE"/>
    <w:rsid w:val="006253D7"/>
    <w:rsid w:val="00625BFE"/>
    <w:rsid w:val="0062668A"/>
    <w:rsid w:val="0062673B"/>
    <w:rsid w:val="00626DFE"/>
    <w:rsid w:val="00626E6E"/>
    <w:rsid w:val="00627823"/>
    <w:rsid w:val="00627FE5"/>
    <w:rsid w:val="0063058D"/>
    <w:rsid w:val="006306E7"/>
    <w:rsid w:val="006315A1"/>
    <w:rsid w:val="00631B5A"/>
    <w:rsid w:val="00631BAE"/>
    <w:rsid w:val="00632060"/>
    <w:rsid w:val="006321D1"/>
    <w:rsid w:val="00632884"/>
    <w:rsid w:val="006337E1"/>
    <w:rsid w:val="006339CD"/>
    <w:rsid w:val="00634A74"/>
    <w:rsid w:val="00635337"/>
    <w:rsid w:val="00635881"/>
    <w:rsid w:val="006359B9"/>
    <w:rsid w:val="00635AC8"/>
    <w:rsid w:val="00635E0B"/>
    <w:rsid w:val="00636394"/>
    <w:rsid w:val="00636C5C"/>
    <w:rsid w:val="00636FC4"/>
    <w:rsid w:val="0063757E"/>
    <w:rsid w:val="006400D7"/>
    <w:rsid w:val="006403B3"/>
    <w:rsid w:val="00640977"/>
    <w:rsid w:val="006410FC"/>
    <w:rsid w:val="00641221"/>
    <w:rsid w:val="006425B4"/>
    <w:rsid w:val="00642836"/>
    <w:rsid w:val="006430E4"/>
    <w:rsid w:val="00643383"/>
    <w:rsid w:val="0064361B"/>
    <w:rsid w:val="00644979"/>
    <w:rsid w:val="00644DB6"/>
    <w:rsid w:val="006458C9"/>
    <w:rsid w:val="00645A0B"/>
    <w:rsid w:val="00645C3C"/>
    <w:rsid w:val="00645D5D"/>
    <w:rsid w:val="006469BC"/>
    <w:rsid w:val="00646A22"/>
    <w:rsid w:val="00647DC3"/>
    <w:rsid w:val="00650A74"/>
    <w:rsid w:val="00650AAD"/>
    <w:rsid w:val="00650D49"/>
    <w:rsid w:val="00650FCB"/>
    <w:rsid w:val="00651555"/>
    <w:rsid w:val="00651901"/>
    <w:rsid w:val="00651CF6"/>
    <w:rsid w:val="0065202E"/>
    <w:rsid w:val="00652BE7"/>
    <w:rsid w:val="00652E9F"/>
    <w:rsid w:val="00652F60"/>
    <w:rsid w:val="0065325A"/>
    <w:rsid w:val="00653B9D"/>
    <w:rsid w:val="00653FE0"/>
    <w:rsid w:val="0065439E"/>
    <w:rsid w:val="00654987"/>
    <w:rsid w:val="00654BD8"/>
    <w:rsid w:val="00654CD7"/>
    <w:rsid w:val="00654E07"/>
    <w:rsid w:val="00655281"/>
    <w:rsid w:val="006552C0"/>
    <w:rsid w:val="006555EB"/>
    <w:rsid w:val="006561AA"/>
    <w:rsid w:val="006562C5"/>
    <w:rsid w:val="00656A73"/>
    <w:rsid w:val="00656E0B"/>
    <w:rsid w:val="00657039"/>
    <w:rsid w:val="00657287"/>
    <w:rsid w:val="00657641"/>
    <w:rsid w:val="00657AD4"/>
    <w:rsid w:val="00657AEE"/>
    <w:rsid w:val="00657E44"/>
    <w:rsid w:val="00660459"/>
    <w:rsid w:val="00660630"/>
    <w:rsid w:val="0066090D"/>
    <w:rsid w:val="00660D35"/>
    <w:rsid w:val="00661903"/>
    <w:rsid w:val="0066220A"/>
    <w:rsid w:val="0066264B"/>
    <w:rsid w:val="0066354E"/>
    <w:rsid w:val="00663F3B"/>
    <w:rsid w:val="0066409C"/>
    <w:rsid w:val="006642B0"/>
    <w:rsid w:val="0066454C"/>
    <w:rsid w:val="0066471C"/>
    <w:rsid w:val="00664B53"/>
    <w:rsid w:val="00664E97"/>
    <w:rsid w:val="00665442"/>
    <w:rsid w:val="00665D2C"/>
    <w:rsid w:val="006660BD"/>
    <w:rsid w:val="006662C8"/>
    <w:rsid w:val="0066667F"/>
    <w:rsid w:val="006667F8"/>
    <w:rsid w:val="0066698C"/>
    <w:rsid w:val="00666A22"/>
    <w:rsid w:val="00666A49"/>
    <w:rsid w:val="00666AB1"/>
    <w:rsid w:val="006674CC"/>
    <w:rsid w:val="00667528"/>
    <w:rsid w:val="00667D22"/>
    <w:rsid w:val="00670295"/>
    <w:rsid w:val="00670678"/>
    <w:rsid w:val="006706F0"/>
    <w:rsid w:val="00670948"/>
    <w:rsid w:val="00670AD1"/>
    <w:rsid w:val="00671B67"/>
    <w:rsid w:val="00672424"/>
    <w:rsid w:val="006728A3"/>
    <w:rsid w:val="006739F1"/>
    <w:rsid w:val="00673FFF"/>
    <w:rsid w:val="00674532"/>
    <w:rsid w:val="00674BC0"/>
    <w:rsid w:val="006750A6"/>
    <w:rsid w:val="006755ED"/>
    <w:rsid w:val="006757D2"/>
    <w:rsid w:val="00675BA7"/>
    <w:rsid w:val="00676364"/>
    <w:rsid w:val="00676414"/>
    <w:rsid w:val="006767DC"/>
    <w:rsid w:val="00676C5C"/>
    <w:rsid w:val="006772A4"/>
    <w:rsid w:val="006772AF"/>
    <w:rsid w:val="00677360"/>
    <w:rsid w:val="00677879"/>
    <w:rsid w:val="006800B7"/>
    <w:rsid w:val="0068044F"/>
    <w:rsid w:val="0068053C"/>
    <w:rsid w:val="0068065A"/>
    <w:rsid w:val="00680DF4"/>
    <w:rsid w:val="00681162"/>
    <w:rsid w:val="00681914"/>
    <w:rsid w:val="00681940"/>
    <w:rsid w:val="00681A2E"/>
    <w:rsid w:val="00681C43"/>
    <w:rsid w:val="00681D63"/>
    <w:rsid w:val="00682084"/>
    <w:rsid w:val="006820F2"/>
    <w:rsid w:val="006826C5"/>
    <w:rsid w:val="00682744"/>
    <w:rsid w:val="0068279D"/>
    <w:rsid w:val="00682D0E"/>
    <w:rsid w:val="00682EC8"/>
    <w:rsid w:val="00683312"/>
    <w:rsid w:val="006838E7"/>
    <w:rsid w:val="00683BF0"/>
    <w:rsid w:val="00683F8D"/>
    <w:rsid w:val="006840FF"/>
    <w:rsid w:val="00684212"/>
    <w:rsid w:val="006844D6"/>
    <w:rsid w:val="006844E5"/>
    <w:rsid w:val="0068467F"/>
    <w:rsid w:val="0068481B"/>
    <w:rsid w:val="00685868"/>
    <w:rsid w:val="00685A6B"/>
    <w:rsid w:val="00687075"/>
    <w:rsid w:val="00687A95"/>
    <w:rsid w:val="00687C31"/>
    <w:rsid w:val="00690086"/>
    <w:rsid w:val="00690425"/>
    <w:rsid w:val="00690D6C"/>
    <w:rsid w:val="00690F19"/>
    <w:rsid w:val="00690F73"/>
    <w:rsid w:val="00691302"/>
    <w:rsid w:val="0069187B"/>
    <w:rsid w:val="006919F4"/>
    <w:rsid w:val="00691DBB"/>
    <w:rsid w:val="006922AA"/>
    <w:rsid w:val="006926B9"/>
    <w:rsid w:val="0069289E"/>
    <w:rsid w:val="0069350D"/>
    <w:rsid w:val="00693792"/>
    <w:rsid w:val="0069423F"/>
    <w:rsid w:val="00695AB0"/>
    <w:rsid w:val="00695D86"/>
    <w:rsid w:val="00695E49"/>
    <w:rsid w:val="006962BF"/>
    <w:rsid w:val="0069654F"/>
    <w:rsid w:val="0069680C"/>
    <w:rsid w:val="0069696C"/>
    <w:rsid w:val="006976B3"/>
    <w:rsid w:val="006976FC"/>
    <w:rsid w:val="006A07C2"/>
    <w:rsid w:val="006A0C5E"/>
    <w:rsid w:val="006A0DF5"/>
    <w:rsid w:val="006A12DC"/>
    <w:rsid w:val="006A1DDF"/>
    <w:rsid w:val="006A1E17"/>
    <w:rsid w:val="006A2161"/>
    <w:rsid w:val="006A2420"/>
    <w:rsid w:val="006A30A9"/>
    <w:rsid w:val="006A32EF"/>
    <w:rsid w:val="006A3489"/>
    <w:rsid w:val="006A4811"/>
    <w:rsid w:val="006A4908"/>
    <w:rsid w:val="006A4C03"/>
    <w:rsid w:val="006A4E2A"/>
    <w:rsid w:val="006A505F"/>
    <w:rsid w:val="006A5270"/>
    <w:rsid w:val="006A5749"/>
    <w:rsid w:val="006A5A78"/>
    <w:rsid w:val="006A5CCD"/>
    <w:rsid w:val="006A5EB2"/>
    <w:rsid w:val="006A5ED8"/>
    <w:rsid w:val="006A60EA"/>
    <w:rsid w:val="006A635C"/>
    <w:rsid w:val="006A6F31"/>
    <w:rsid w:val="006A707C"/>
    <w:rsid w:val="006A7445"/>
    <w:rsid w:val="006A7B80"/>
    <w:rsid w:val="006B058A"/>
    <w:rsid w:val="006B0B50"/>
    <w:rsid w:val="006B1127"/>
    <w:rsid w:val="006B1210"/>
    <w:rsid w:val="006B1E5E"/>
    <w:rsid w:val="006B22BC"/>
    <w:rsid w:val="006B243D"/>
    <w:rsid w:val="006B2472"/>
    <w:rsid w:val="006B2C5F"/>
    <w:rsid w:val="006B30CF"/>
    <w:rsid w:val="006B3177"/>
    <w:rsid w:val="006B32B1"/>
    <w:rsid w:val="006B357A"/>
    <w:rsid w:val="006B3740"/>
    <w:rsid w:val="006B3A2E"/>
    <w:rsid w:val="006B40CB"/>
    <w:rsid w:val="006B41B8"/>
    <w:rsid w:val="006B50BA"/>
    <w:rsid w:val="006B52F5"/>
    <w:rsid w:val="006B60CD"/>
    <w:rsid w:val="006B648A"/>
    <w:rsid w:val="006B75FC"/>
    <w:rsid w:val="006B7D53"/>
    <w:rsid w:val="006C028C"/>
    <w:rsid w:val="006C060C"/>
    <w:rsid w:val="006C0A70"/>
    <w:rsid w:val="006C0C17"/>
    <w:rsid w:val="006C1034"/>
    <w:rsid w:val="006C14C4"/>
    <w:rsid w:val="006C15F6"/>
    <w:rsid w:val="006C184C"/>
    <w:rsid w:val="006C2485"/>
    <w:rsid w:val="006C33EB"/>
    <w:rsid w:val="006C3AFD"/>
    <w:rsid w:val="006C3BF6"/>
    <w:rsid w:val="006C49FE"/>
    <w:rsid w:val="006C4AE0"/>
    <w:rsid w:val="006C4F4D"/>
    <w:rsid w:val="006C5191"/>
    <w:rsid w:val="006C51DB"/>
    <w:rsid w:val="006C56FC"/>
    <w:rsid w:val="006C6127"/>
    <w:rsid w:val="006C6289"/>
    <w:rsid w:val="006C64DA"/>
    <w:rsid w:val="006C6A70"/>
    <w:rsid w:val="006C7D95"/>
    <w:rsid w:val="006C7E3C"/>
    <w:rsid w:val="006C7F2D"/>
    <w:rsid w:val="006C7FA8"/>
    <w:rsid w:val="006D001B"/>
    <w:rsid w:val="006D01E6"/>
    <w:rsid w:val="006D06C2"/>
    <w:rsid w:val="006D08CD"/>
    <w:rsid w:val="006D10B9"/>
    <w:rsid w:val="006D128D"/>
    <w:rsid w:val="006D1607"/>
    <w:rsid w:val="006D1E9F"/>
    <w:rsid w:val="006D24C6"/>
    <w:rsid w:val="006D2DA4"/>
    <w:rsid w:val="006D3086"/>
    <w:rsid w:val="006D39EB"/>
    <w:rsid w:val="006D4308"/>
    <w:rsid w:val="006D4384"/>
    <w:rsid w:val="006D52C9"/>
    <w:rsid w:val="006D53D5"/>
    <w:rsid w:val="006D5BB8"/>
    <w:rsid w:val="006D5F6C"/>
    <w:rsid w:val="006D7771"/>
    <w:rsid w:val="006E01B6"/>
    <w:rsid w:val="006E13A2"/>
    <w:rsid w:val="006E1F92"/>
    <w:rsid w:val="006E2834"/>
    <w:rsid w:val="006E2C91"/>
    <w:rsid w:val="006E2D54"/>
    <w:rsid w:val="006E3148"/>
    <w:rsid w:val="006E410D"/>
    <w:rsid w:val="006E4A43"/>
    <w:rsid w:val="006E4BDF"/>
    <w:rsid w:val="006E55A4"/>
    <w:rsid w:val="006E55B7"/>
    <w:rsid w:val="006E55E4"/>
    <w:rsid w:val="006E5B7E"/>
    <w:rsid w:val="006E6044"/>
    <w:rsid w:val="006E6259"/>
    <w:rsid w:val="006E6A4C"/>
    <w:rsid w:val="006E6D00"/>
    <w:rsid w:val="006F09C2"/>
    <w:rsid w:val="006F1404"/>
    <w:rsid w:val="006F29E8"/>
    <w:rsid w:val="006F2A41"/>
    <w:rsid w:val="006F2B8F"/>
    <w:rsid w:val="006F31D2"/>
    <w:rsid w:val="006F33D0"/>
    <w:rsid w:val="006F35B7"/>
    <w:rsid w:val="006F37A3"/>
    <w:rsid w:val="006F3D8F"/>
    <w:rsid w:val="006F3E60"/>
    <w:rsid w:val="006F3FA0"/>
    <w:rsid w:val="006F424D"/>
    <w:rsid w:val="006F4FB1"/>
    <w:rsid w:val="006F500B"/>
    <w:rsid w:val="006F518C"/>
    <w:rsid w:val="006F5192"/>
    <w:rsid w:val="006F5404"/>
    <w:rsid w:val="006F55D1"/>
    <w:rsid w:val="006F5A15"/>
    <w:rsid w:val="006F5AAA"/>
    <w:rsid w:val="006F6168"/>
    <w:rsid w:val="006F6403"/>
    <w:rsid w:val="006F6AAB"/>
    <w:rsid w:val="006F7059"/>
    <w:rsid w:val="006F73FC"/>
    <w:rsid w:val="006F7451"/>
    <w:rsid w:val="006F763B"/>
    <w:rsid w:val="006F77F0"/>
    <w:rsid w:val="006F7831"/>
    <w:rsid w:val="00700AE3"/>
    <w:rsid w:val="0070120A"/>
    <w:rsid w:val="00701744"/>
    <w:rsid w:val="007019C8"/>
    <w:rsid w:val="00701AAB"/>
    <w:rsid w:val="00701DE0"/>
    <w:rsid w:val="00704A1B"/>
    <w:rsid w:val="00704ECE"/>
    <w:rsid w:val="00705E4F"/>
    <w:rsid w:val="007069AF"/>
    <w:rsid w:val="007069F1"/>
    <w:rsid w:val="00706D00"/>
    <w:rsid w:val="00706EE8"/>
    <w:rsid w:val="0070728D"/>
    <w:rsid w:val="00707E9F"/>
    <w:rsid w:val="00707F5C"/>
    <w:rsid w:val="00710118"/>
    <w:rsid w:val="007105F6"/>
    <w:rsid w:val="00710DEE"/>
    <w:rsid w:val="007113B1"/>
    <w:rsid w:val="00711AD1"/>
    <w:rsid w:val="00712223"/>
    <w:rsid w:val="0071246B"/>
    <w:rsid w:val="00712A10"/>
    <w:rsid w:val="00712C6F"/>
    <w:rsid w:val="00712DB2"/>
    <w:rsid w:val="00712F54"/>
    <w:rsid w:val="007132B0"/>
    <w:rsid w:val="007136B0"/>
    <w:rsid w:val="00713C24"/>
    <w:rsid w:val="00713C76"/>
    <w:rsid w:val="00713FAF"/>
    <w:rsid w:val="00713FFB"/>
    <w:rsid w:val="00714662"/>
    <w:rsid w:val="007147D5"/>
    <w:rsid w:val="0071497A"/>
    <w:rsid w:val="00714F3A"/>
    <w:rsid w:val="00715C82"/>
    <w:rsid w:val="00716A2C"/>
    <w:rsid w:val="00716D8F"/>
    <w:rsid w:val="00716E41"/>
    <w:rsid w:val="007175FA"/>
    <w:rsid w:val="00717EC1"/>
    <w:rsid w:val="00720285"/>
    <w:rsid w:val="007203A2"/>
    <w:rsid w:val="00720647"/>
    <w:rsid w:val="007206F7"/>
    <w:rsid w:val="007211F0"/>
    <w:rsid w:val="00721F4D"/>
    <w:rsid w:val="007229AF"/>
    <w:rsid w:val="00722AB0"/>
    <w:rsid w:val="0072302F"/>
    <w:rsid w:val="007231CF"/>
    <w:rsid w:val="00723299"/>
    <w:rsid w:val="00723B60"/>
    <w:rsid w:val="00723BBB"/>
    <w:rsid w:val="007245D7"/>
    <w:rsid w:val="00724601"/>
    <w:rsid w:val="00724620"/>
    <w:rsid w:val="00724905"/>
    <w:rsid w:val="00724D05"/>
    <w:rsid w:val="00724FBF"/>
    <w:rsid w:val="00725715"/>
    <w:rsid w:val="00725B47"/>
    <w:rsid w:val="00725D90"/>
    <w:rsid w:val="00726220"/>
    <w:rsid w:val="00726322"/>
    <w:rsid w:val="007268ED"/>
    <w:rsid w:val="00727026"/>
    <w:rsid w:val="00727AA1"/>
    <w:rsid w:val="00727CD1"/>
    <w:rsid w:val="00727D09"/>
    <w:rsid w:val="00727ECE"/>
    <w:rsid w:val="007302D6"/>
    <w:rsid w:val="00730A35"/>
    <w:rsid w:val="00731CCC"/>
    <w:rsid w:val="00731DC9"/>
    <w:rsid w:val="0073241B"/>
    <w:rsid w:val="0073325C"/>
    <w:rsid w:val="007334F5"/>
    <w:rsid w:val="007339B6"/>
    <w:rsid w:val="007345D0"/>
    <w:rsid w:val="0073466B"/>
    <w:rsid w:val="0073472F"/>
    <w:rsid w:val="00734980"/>
    <w:rsid w:val="00734C1C"/>
    <w:rsid w:val="00735089"/>
    <w:rsid w:val="007350C9"/>
    <w:rsid w:val="007354EA"/>
    <w:rsid w:val="007355F1"/>
    <w:rsid w:val="00735800"/>
    <w:rsid w:val="007363B6"/>
    <w:rsid w:val="0073655F"/>
    <w:rsid w:val="00736B57"/>
    <w:rsid w:val="007376E2"/>
    <w:rsid w:val="007377D7"/>
    <w:rsid w:val="00737903"/>
    <w:rsid w:val="00737F91"/>
    <w:rsid w:val="0074027E"/>
    <w:rsid w:val="007402A1"/>
    <w:rsid w:val="007403A3"/>
    <w:rsid w:val="0074042C"/>
    <w:rsid w:val="00740AA6"/>
    <w:rsid w:val="00740CEC"/>
    <w:rsid w:val="00741AEA"/>
    <w:rsid w:val="00741BED"/>
    <w:rsid w:val="00741DAD"/>
    <w:rsid w:val="0074303D"/>
    <w:rsid w:val="00743220"/>
    <w:rsid w:val="0074352B"/>
    <w:rsid w:val="00743C72"/>
    <w:rsid w:val="00743D1D"/>
    <w:rsid w:val="00743DB5"/>
    <w:rsid w:val="00744031"/>
    <w:rsid w:val="00744194"/>
    <w:rsid w:val="007446E2"/>
    <w:rsid w:val="007452EC"/>
    <w:rsid w:val="00745A35"/>
    <w:rsid w:val="00745C97"/>
    <w:rsid w:val="00746146"/>
    <w:rsid w:val="0074644D"/>
    <w:rsid w:val="0074646C"/>
    <w:rsid w:val="00746729"/>
    <w:rsid w:val="007469E5"/>
    <w:rsid w:val="0074745C"/>
    <w:rsid w:val="007479B8"/>
    <w:rsid w:val="00747A99"/>
    <w:rsid w:val="00747F5B"/>
    <w:rsid w:val="00750700"/>
    <w:rsid w:val="0075081F"/>
    <w:rsid w:val="00750852"/>
    <w:rsid w:val="00750F05"/>
    <w:rsid w:val="007510B1"/>
    <w:rsid w:val="00751A14"/>
    <w:rsid w:val="00751B4D"/>
    <w:rsid w:val="00751BDD"/>
    <w:rsid w:val="0075264B"/>
    <w:rsid w:val="00752D60"/>
    <w:rsid w:val="007533B6"/>
    <w:rsid w:val="0075402D"/>
    <w:rsid w:val="00754534"/>
    <w:rsid w:val="007550B5"/>
    <w:rsid w:val="00755249"/>
    <w:rsid w:val="00756508"/>
    <w:rsid w:val="00756708"/>
    <w:rsid w:val="00756959"/>
    <w:rsid w:val="00756C8A"/>
    <w:rsid w:val="007576A7"/>
    <w:rsid w:val="00757D0D"/>
    <w:rsid w:val="00757DCE"/>
    <w:rsid w:val="00757E57"/>
    <w:rsid w:val="00760BA7"/>
    <w:rsid w:val="00760E35"/>
    <w:rsid w:val="00761044"/>
    <w:rsid w:val="007611C0"/>
    <w:rsid w:val="00761239"/>
    <w:rsid w:val="007620E5"/>
    <w:rsid w:val="00762564"/>
    <w:rsid w:val="007636A6"/>
    <w:rsid w:val="00763E1E"/>
    <w:rsid w:val="007641A8"/>
    <w:rsid w:val="007642B0"/>
    <w:rsid w:val="00764345"/>
    <w:rsid w:val="00764477"/>
    <w:rsid w:val="0076451C"/>
    <w:rsid w:val="007647BF"/>
    <w:rsid w:val="00764999"/>
    <w:rsid w:val="007649C2"/>
    <w:rsid w:val="0076539C"/>
    <w:rsid w:val="00765885"/>
    <w:rsid w:val="00766EF3"/>
    <w:rsid w:val="007679D9"/>
    <w:rsid w:val="007703D4"/>
    <w:rsid w:val="0077095B"/>
    <w:rsid w:val="00771201"/>
    <w:rsid w:val="0077156E"/>
    <w:rsid w:val="007718D2"/>
    <w:rsid w:val="00771B65"/>
    <w:rsid w:val="007739B1"/>
    <w:rsid w:val="007739E8"/>
    <w:rsid w:val="00773AE6"/>
    <w:rsid w:val="00773C27"/>
    <w:rsid w:val="00773CDF"/>
    <w:rsid w:val="007745B0"/>
    <w:rsid w:val="007746A0"/>
    <w:rsid w:val="00774CF5"/>
    <w:rsid w:val="007752F9"/>
    <w:rsid w:val="00775814"/>
    <w:rsid w:val="00775E25"/>
    <w:rsid w:val="00775FD2"/>
    <w:rsid w:val="00776044"/>
    <w:rsid w:val="00776D8D"/>
    <w:rsid w:val="00776D97"/>
    <w:rsid w:val="007775C5"/>
    <w:rsid w:val="00780C76"/>
    <w:rsid w:val="00780F38"/>
    <w:rsid w:val="00781F48"/>
    <w:rsid w:val="00782522"/>
    <w:rsid w:val="00782786"/>
    <w:rsid w:val="007831A3"/>
    <w:rsid w:val="00783D82"/>
    <w:rsid w:val="007840B1"/>
    <w:rsid w:val="0078452E"/>
    <w:rsid w:val="00784ACC"/>
    <w:rsid w:val="00784EDF"/>
    <w:rsid w:val="00785280"/>
    <w:rsid w:val="00785D1C"/>
    <w:rsid w:val="0078678F"/>
    <w:rsid w:val="00786B28"/>
    <w:rsid w:val="00786C28"/>
    <w:rsid w:val="00786FDF"/>
    <w:rsid w:val="007870DA"/>
    <w:rsid w:val="00787619"/>
    <w:rsid w:val="007876BB"/>
    <w:rsid w:val="007879CB"/>
    <w:rsid w:val="00787FC1"/>
    <w:rsid w:val="007900B7"/>
    <w:rsid w:val="0079017B"/>
    <w:rsid w:val="007907E4"/>
    <w:rsid w:val="00790957"/>
    <w:rsid w:val="00790A90"/>
    <w:rsid w:val="00790EAE"/>
    <w:rsid w:val="00791103"/>
    <w:rsid w:val="0079151E"/>
    <w:rsid w:val="00791799"/>
    <w:rsid w:val="00791ADD"/>
    <w:rsid w:val="00791C70"/>
    <w:rsid w:val="00791C8C"/>
    <w:rsid w:val="007924FA"/>
    <w:rsid w:val="007931BA"/>
    <w:rsid w:val="00793283"/>
    <w:rsid w:val="0079331A"/>
    <w:rsid w:val="00793970"/>
    <w:rsid w:val="00794412"/>
    <w:rsid w:val="0079453E"/>
    <w:rsid w:val="00794552"/>
    <w:rsid w:val="007946C2"/>
    <w:rsid w:val="0079483A"/>
    <w:rsid w:val="00795180"/>
    <w:rsid w:val="00795CCD"/>
    <w:rsid w:val="00796375"/>
    <w:rsid w:val="0079655E"/>
    <w:rsid w:val="0079697D"/>
    <w:rsid w:val="007972C0"/>
    <w:rsid w:val="00797445"/>
    <w:rsid w:val="007975C2"/>
    <w:rsid w:val="00797AAA"/>
    <w:rsid w:val="00797C8D"/>
    <w:rsid w:val="007A00E3"/>
    <w:rsid w:val="007A04AC"/>
    <w:rsid w:val="007A0C38"/>
    <w:rsid w:val="007A1407"/>
    <w:rsid w:val="007A1985"/>
    <w:rsid w:val="007A1F51"/>
    <w:rsid w:val="007A213F"/>
    <w:rsid w:val="007A34F0"/>
    <w:rsid w:val="007A3585"/>
    <w:rsid w:val="007A3646"/>
    <w:rsid w:val="007A3827"/>
    <w:rsid w:val="007A3CAF"/>
    <w:rsid w:val="007A4223"/>
    <w:rsid w:val="007A4EB9"/>
    <w:rsid w:val="007A5383"/>
    <w:rsid w:val="007A58E1"/>
    <w:rsid w:val="007A5949"/>
    <w:rsid w:val="007A5A77"/>
    <w:rsid w:val="007A6486"/>
    <w:rsid w:val="007A6F1E"/>
    <w:rsid w:val="007A7461"/>
    <w:rsid w:val="007A7733"/>
    <w:rsid w:val="007A7B71"/>
    <w:rsid w:val="007B0626"/>
    <w:rsid w:val="007B0A83"/>
    <w:rsid w:val="007B0C57"/>
    <w:rsid w:val="007B1B71"/>
    <w:rsid w:val="007B1C1A"/>
    <w:rsid w:val="007B1D43"/>
    <w:rsid w:val="007B2661"/>
    <w:rsid w:val="007B2942"/>
    <w:rsid w:val="007B2B0A"/>
    <w:rsid w:val="007B2C73"/>
    <w:rsid w:val="007B2CDA"/>
    <w:rsid w:val="007B3302"/>
    <w:rsid w:val="007B3469"/>
    <w:rsid w:val="007B486B"/>
    <w:rsid w:val="007B6029"/>
    <w:rsid w:val="007B6B38"/>
    <w:rsid w:val="007B71A6"/>
    <w:rsid w:val="007B778A"/>
    <w:rsid w:val="007B7F9B"/>
    <w:rsid w:val="007C0210"/>
    <w:rsid w:val="007C0592"/>
    <w:rsid w:val="007C066A"/>
    <w:rsid w:val="007C070E"/>
    <w:rsid w:val="007C0927"/>
    <w:rsid w:val="007C111F"/>
    <w:rsid w:val="007C14C2"/>
    <w:rsid w:val="007C15B1"/>
    <w:rsid w:val="007C1FE1"/>
    <w:rsid w:val="007C2293"/>
    <w:rsid w:val="007C284D"/>
    <w:rsid w:val="007C28FE"/>
    <w:rsid w:val="007C2DA3"/>
    <w:rsid w:val="007C3277"/>
    <w:rsid w:val="007C3848"/>
    <w:rsid w:val="007C3860"/>
    <w:rsid w:val="007C3DB8"/>
    <w:rsid w:val="007C4961"/>
    <w:rsid w:val="007C4D80"/>
    <w:rsid w:val="007C4D9A"/>
    <w:rsid w:val="007C4E10"/>
    <w:rsid w:val="007C5307"/>
    <w:rsid w:val="007C57F1"/>
    <w:rsid w:val="007C599A"/>
    <w:rsid w:val="007C5F2B"/>
    <w:rsid w:val="007C5F3E"/>
    <w:rsid w:val="007C5FB2"/>
    <w:rsid w:val="007C604D"/>
    <w:rsid w:val="007C60B3"/>
    <w:rsid w:val="007C6729"/>
    <w:rsid w:val="007C7592"/>
    <w:rsid w:val="007C7611"/>
    <w:rsid w:val="007D02E6"/>
    <w:rsid w:val="007D09C2"/>
    <w:rsid w:val="007D0A92"/>
    <w:rsid w:val="007D0B1B"/>
    <w:rsid w:val="007D0EA7"/>
    <w:rsid w:val="007D15F5"/>
    <w:rsid w:val="007D1802"/>
    <w:rsid w:val="007D21A2"/>
    <w:rsid w:val="007D21E4"/>
    <w:rsid w:val="007D23DF"/>
    <w:rsid w:val="007D2424"/>
    <w:rsid w:val="007D290D"/>
    <w:rsid w:val="007D2D69"/>
    <w:rsid w:val="007D2F41"/>
    <w:rsid w:val="007D308E"/>
    <w:rsid w:val="007D3699"/>
    <w:rsid w:val="007D37B3"/>
    <w:rsid w:val="007D3EFE"/>
    <w:rsid w:val="007D44EF"/>
    <w:rsid w:val="007D49AF"/>
    <w:rsid w:val="007D4A4B"/>
    <w:rsid w:val="007D4EA7"/>
    <w:rsid w:val="007D5683"/>
    <w:rsid w:val="007D59F0"/>
    <w:rsid w:val="007D5E87"/>
    <w:rsid w:val="007D608B"/>
    <w:rsid w:val="007D6CC6"/>
    <w:rsid w:val="007D6DDA"/>
    <w:rsid w:val="007D7074"/>
    <w:rsid w:val="007D711B"/>
    <w:rsid w:val="007D72D3"/>
    <w:rsid w:val="007D7466"/>
    <w:rsid w:val="007D759A"/>
    <w:rsid w:val="007E0021"/>
    <w:rsid w:val="007E0079"/>
    <w:rsid w:val="007E02DE"/>
    <w:rsid w:val="007E061F"/>
    <w:rsid w:val="007E0C82"/>
    <w:rsid w:val="007E15A0"/>
    <w:rsid w:val="007E2344"/>
    <w:rsid w:val="007E23BA"/>
    <w:rsid w:val="007E31F0"/>
    <w:rsid w:val="007E35DA"/>
    <w:rsid w:val="007E3EED"/>
    <w:rsid w:val="007E46C6"/>
    <w:rsid w:val="007E47D6"/>
    <w:rsid w:val="007E4F11"/>
    <w:rsid w:val="007E50D7"/>
    <w:rsid w:val="007E5238"/>
    <w:rsid w:val="007E523E"/>
    <w:rsid w:val="007E5262"/>
    <w:rsid w:val="007E52ED"/>
    <w:rsid w:val="007E5BD9"/>
    <w:rsid w:val="007E60FF"/>
    <w:rsid w:val="007E6308"/>
    <w:rsid w:val="007E64BE"/>
    <w:rsid w:val="007E64F0"/>
    <w:rsid w:val="007E668B"/>
    <w:rsid w:val="007E697B"/>
    <w:rsid w:val="007E6BB6"/>
    <w:rsid w:val="007E7436"/>
    <w:rsid w:val="007E7553"/>
    <w:rsid w:val="007E758F"/>
    <w:rsid w:val="007E7752"/>
    <w:rsid w:val="007E7B45"/>
    <w:rsid w:val="007F002A"/>
    <w:rsid w:val="007F0DF0"/>
    <w:rsid w:val="007F1041"/>
    <w:rsid w:val="007F1344"/>
    <w:rsid w:val="007F13E7"/>
    <w:rsid w:val="007F161E"/>
    <w:rsid w:val="007F1819"/>
    <w:rsid w:val="007F1AAE"/>
    <w:rsid w:val="007F1D47"/>
    <w:rsid w:val="007F2500"/>
    <w:rsid w:val="007F2860"/>
    <w:rsid w:val="007F2EC7"/>
    <w:rsid w:val="007F2F20"/>
    <w:rsid w:val="007F3DD1"/>
    <w:rsid w:val="007F4CA8"/>
    <w:rsid w:val="007F4FF0"/>
    <w:rsid w:val="007F531C"/>
    <w:rsid w:val="007F6713"/>
    <w:rsid w:val="007F6A8A"/>
    <w:rsid w:val="007F7581"/>
    <w:rsid w:val="007F7770"/>
    <w:rsid w:val="008006C1"/>
    <w:rsid w:val="0080093C"/>
    <w:rsid w:val="00800C2A"/>
    <w:rsid w:val="00801AF0"/>
    <w:rsid w:val="0080288F"/>
    <w:rsid w:val="008034BF"/>
    <w:rsid w:val="008042A6"/>
    <w:rsid w:val="00805C1D"/>
    <w:rsid w:val="0080625F"/>
    <w:rsid w:val="008066AD"/>
    <w:rsid w:val="008076D7"/>
    <w:rsid w:val="00807C52"/>
    <w:rsid w:val="00810011"/>
    <w:rsid w:val="00810F47"/>
    <w:rsid w:val="00811025"/>
    <w:rsid w:val="008114FC"/>
    <w:rsid w:val="00812233"/>
    <w:rsid w:val="00812319"/>
    <w:rsid w:val="00812384"/>
    <w:rsid w:val="00812485"/>
    <w:rsid w:val="008129E7"/>
    <w:rsid w:val="00812D40"/>
    <w:rsid w:val="00812D9C"/>
    <w:rsid w:val="00812F12"/>
    <w:rsid w:val="00813083"/>
    <w:rsid w:val="008132D8"/>
    <w:rsid w:val="008135A8"/>
    <w:rsid w:val="00813919"/>
    <w:rsid w:val="00813E36"/>
    <w:rsid w:val="00813E38"/>
    <w:rsid w:val="0081494B"/>
    <w:rsid w:val="00814CD5"/>
    <w:rsid w:val="00816007"/>
    <w:rsid w:val="00816126"/>
    <w:rsid w:val="0081625C"/>
    <w:rsid w:val="008166B2"/>
    <w:rsid w:val="00816F04"/>
    <w:rsid w:val="0081739E"/>
    <w:rsid w:val="00817435"/>
    <w:rsid w:val="0081769D"/>
    <w:rsid w:val="00817782"/>
    <w:rsid w:val="00817DE8"/>
    <w:rsid w:val="00820150"/>
    <w:rsid w:val="0082030C"/>
    <w:rsid w:val="008205A2"/>
    <w:rsid w:val="00820A08"/>
    <w:rsid w:val="00820B88"/>
    <w:rsid w:val="0082171D"/>
    <w:rsid w:val="00821AE2"/>
    <w:rsid w:val="00821C51"/>
    <w:rsid w:val="00821ED1"/>
    <w:rsid w:val="008221D9"/>
    <w:rsid w:val="0082377F"/>
    <w:rsid w:val="0082412E"/>
    <w:rsid w:val="00824446"/>
    <w:rsid w:val="008248DC"/>
    <w:rsid w:val="0082543F"/>
    <w:rsid w:val="008258D1"/>
    <w:rsid w:val="00825AF0"/>
    <w:rsid w:val="00825B57"/>
    <w:rsid w:val="0082636D"/>
    <w:rsid w:val="008267FC"/>
    <w:rsid w:val="00826841"/>
    <w:rsid w:val="00826D9B"/>
    <w:rsid w:val="00826FD5"/>
    <w:rsid w:val="00827204"/>
    <w:rsid w:val="00827413"/>
    <w:rsid w:val="0082748E"/>
    <w:rsid w:val="008274C9"/>
    <w:rsid w:val="008278A9"/>
    <w:rsid w:val="00827A47"/>
    <w:rsid w:val="00827B0A"/>
    <w:rsid w:val="00830249"/>
    <w:rsid w:val="00830DF0"/>
    <w:rsid w:val="008310CA"/>
    <w:rsid w:val="008315DE"/>
    <w:rsid w:val="0083186F"/>
    <w:rsid w:val="00831B97"/>
    <w:rsid w:val="00831D36"/>
    <w:rsid w:val="00831FF3"/>
    <w:rsid w:val="00833000"/>
    <w:rsid w:val="00833040"/>
    <w:rsid w:val="00833907"/>
    <w:rsid w:val="008339DE"/>
    <w:rsid w:val="0083407B"/>
    <w:rsid w:val="00834384"/>
    <w:rsid w:val="00834AFA"/>
    <w:rsid w:val="00834B05"/>
    <w:rsid w:val="00834EC2"/>
    <w:rsid w:val="008355E3"/>
    <w:rsid w:val="0083564F"/>
    <w:rsid w:val="008357BF"/>
    <w:rsid w:val="00835B4C"/>
    <w:rsid w:val="00835D0F"/>
    <w:rsid w:val="00835EF5"/>
    <w:rsid w:val="00835F99"/>
    <w:rsid w:val="0083685C"/>
    <w:rsid w:val="00836B8B"/>
    <w:rsid w:val="008376CF"/>
    <w:rsid w:val="00837B2E"/>
    <w:rsid w:val="00837E2E"/>
    <w:rsid w:val="00837EF7"/>
    <w:rsid w:val="008400C2"/>
    <w:rsid w:val="008404F0"/>
    <w:rsid w:val="008405EA"/>
    <w:rsid w:val="008409A6"/>
    <w:rsid w:val="00840F53"/>
    <w:rsid w:val="00840F66"/>
    <w:rsid w:val="008412D1"/>
    <w:rsid w:val="00841557"/>
    <w:rsid w:val="00841E29"/>
    <w:rsid w:val="00841F96"/>
    <w:rsid w:val="008422F2"/>
    <w:rsid w:val="0084276B"/>
    <w:rsid w:val="008428F3"/>
    <w:rsid w:val="00842C3B"/>
    <w:rsid w:val="00843214"/>
    <w:rsid w:val="0084350A"/>
    <w:rsid w:val="00843571"/>
    <w:rsid w:val="00844494"/>
    <w:rsid w:val="0084461D"/>
    <w:rsid w:val="008448CC"/>
    <w:rsid w:val="00844A2C"/>
    <w:rsid w:val="00844B14"/>
    <w:rsid w:val="0084551D"/>
    <w:rsid w:val="0084580C"/>
    <w:rsid w:val="00845EE3"/>
    <w:rsid w:val="008460F8"/>
    <w:rsid w:val="00846704"/>
    <w:rsid w:val="00846BCD"/>
    <w:rsid w:val="008473E5"/>
    <w:rsid w:val="008477DE"/>
    <w:rsid w:val="00847863"/>
    <w:rsid w:val="00847896"/>
    <w:rsid w:val="00847C08"/>
    <w:rsid w:val="00850174"/>
    <w:rsid w:val="008504C2"/>
    <w:rsid w:val="00850519"/>
    <w:rsid w:val="008507A1"/>
    <w:rsid w:val="00850F91"/>
    <w:rsid w:val="0085153A"/>
    <w:rsid w:val="00851839"/>
    <w:rsid w:val="00851B53"/>
    <w:rsid w:val="008524EF"/>
    <w:rsid w:val="00852BCB"/>
    <w:rsid w:val="00853A80"/>
    <w:rsid w:val="00853CF3"/>
    <w:rsid w:val="00853D9C"/>
    <w:rsid w:val="00853F46"/>
    <w:rsid w:val="00854219"/>
    <w:rsid w:val="008542FE"/>
    <w:rsid w:val="00854CBF"/>
    <w:rsid w:val="00854E6F"/>
    <w:rsid w:val="00854F36"/>
    <w:rsid w:val="00854F63"/>
    <w:rsid w:val="00856105"/>
    <w:rsid w:val="0085683E"/>
    <w:rsid w:val="00856856"/>
    <w:rsid w:val="0085700B"/>
    <w:rsid w:val="0085740C"/>
    <w:rsid w:val="008576D2"/>
    <w:rsid w:val="008577B9"/>
    <w:rsid w:val="00857DC6"/>
    <w:rsid w:val="00860BD6"/>
    <w:rsid w:val="00860DDB"/>
    <w:rsid w:val="008612C7"/>
    <w:rsid w:val="008614DD"/>
    <w:rsid w:val="008616FD"/>
    <w:rsid w:val="00861742"/>
    <w:rsid w:val="00862A6C"/>
    <w:rsid w:val="008631EA"/>
    <w:rsid w:val="00863BA4"/>
    <w:rsid w:val="00864025"/>
    <w:rsid w:val="0086402E"/>
    <w:rsid w:val="008644E7"/>
    <w:rsid w:val="0086452F"/>
    <w:rsid w:val="00864BB9"/>
    <w:rsid w:val="0086513D"/>
    <w:rsid w:val="008656BE"/>
    <w:rsid w:val="008659DC"/>
    <w:rsid w:val="00866DB3"/>
    <w:rsid w:val="0086780D"/>
    <w:rsid w:val="0087045F"/>
    <w:rsid w:val="00870752"/>
    <w:rsid w:val="0087191C"/>
    <w:rsid w:val="008729BB"/>
    <w:rsid w:val="00872B2C"/>
    <w:rsid w:val="00872CF6"/>
    <w:rsid w:val="00873299"/>
    <w:rsid w:val="0087381D"/>
    <w:rsid w:val="00873C1D"/>
    <w:rsid w:val="00874580"/>
    <w:rsid w:val="008747E9"/>
    <w:rsid w:val="00874D68"/>
    <w:rsid w:val="00875112"/>
    <w:rsid w:val="0087523B"/>
    <w:rsid w:val="008756A1"/>
    <w:rsid w:val="00875789"/>
    <w:rsid w:val="0087589A"/>
    <w:rsid w:val="00875928"/>
    <w:rsid w:val="00875CB6"/>
    <w:rsid w:val="0087617E"/>
    <w:rsid w:val="00876DE8"/>
    <w:rsid w:val="008778B5"/>
    <w:rsid w:val="00880AFC"/>
    <w:rsid w:val="00880B3E"/>
    <w:rsid w:val="00880D99"/>
    <w:rsid w:val="00880FBF"/>
    <w:rsid w:val="00881ADC"/>
    <w:rsid w:val="00881AFC"/>
    <w:rsid w:val="00881E8A"/>
    <w:rsid w:val="00882013"/>
    <w:rsid w:val="00882381"/>
    <w:rsid w:val="00882411"/>
    <w:rsid w:val="00882991"/>
    <w:rsid w:val="00882ACD"/>
    <w:rsid w:val="00882F84"/>
    <w:rsid w:val="00884A4C"/>
    <w:rsid w:val="0088500A"/>
    <w:rsid w:val="00885627"/>
    <w:rsid w:val="0088585F"/>
    <w:rsid w:val="0088653C"/>
    <w:rsid w:val="00886DA7"/>
    <w:rsid w:val="008871A6"/>
    <w:rsid w:val="008902B7"/>
    <w:rsid w:val="0089065C"/>
    <w:rsid w:val="00890D52"/>
    <w:rsid w:val="0089158C"/>
    <w:rsid w:val="00891BB1"/>
    <w:rsid w:val="00891E5C"/>
    <w:rsid w:val="008923A5"/>
    <w:rsid w:val="00892EB5"/>
    <w:rsid w:val="0089309B"/>
    <w:rsid w:val="00893183"/>
    <w:rsid w:val="00893944"/>
    <w:rsid w:val="00893C8B"/>
    <w:rsid w:val="00893DB0"/>
    <w:rsid w:val="00894485"/>
    <w:rsid w:val="00894713"/>
    <w:rsid w:val="00894B02"/>
    <w:rsid w:val="00894B95"/>
    <w:rsid w:val="00894E33"/>
    <w:rsid w:val="00894F86"/>
    <w:rsid w:val="0089603A"/>
    <w:rsid w:val="00896072"/>
    <w:rsid w:val="008965AA"/>
    <w:rsid w:val="00896CBF"/>
    <w:rsid w:val="008972A8"/>
    <w:rsid w:val="008972DC"/>
    <w:rsid w:val="0089730F"/>
    <w:rsid w:val="008978AA"/>
    <w:rsid w:val="00897E4E"/>
    <w:rsid w:val="008A05F4"/>
    <w:rsid w:val="008A0FCA"/>
    <w:rsid w:val="008A19FC"/>
    <w:rsid w:val="008A22D5"/>
    <w:rsid w:val="008A2564"/>
    <w:rsid w:val="008A2680"/>
    <w:rsid w:val="008A327C"/>
    <w:rsid w:val="008A35F7"/>
    <w:rsid w:val="008A39DA"/>
    <w:rsid w:val="008A3E7E"/>
    <w:rsid w:val="008A4033"/>
    <w:rsid w:val="008A406D"/>
    <w:rsid w:val="008A40B8"/>
    <w:rsid w:val="008A4238"/>
    <w:rsid w:val="008A4836"/>
    <w:rsid w:val="008A51BC"/>
    <w:rsid w:val="008A53CD"/>
    <w:rsid w:val="008A56F9"/>
    <w:rsid w:val="008A5870"/>
    <w:rsid w:val="008A5CA7"/>
    <w:rsid w:val="008A5D31"/>
    <w:rsid w:val="008A674F"/>
    <w:rsid w:val="008A6FD2"/>
    <w:rsid w:val="008A72D8"/>
    <w:rsid w:val="008A77C1"/>
    <w:rsid w:val="008A77C3"/>
    <w:rsid w:val="008A796D"/>
    <w:rsid w:val="008B0262"/>
    <w:rsid w:val="008B0917"/>
    <w:rsid w:val="008B0B71"/>
    <w:rsid w:val="008B0F34"/>
    <w:rsid w:val="008B118F"/>
    <w:rsid w:val="008B1A72"/>
    <w:rsid w:val="008B222C"/>
    <w:rsid w:val="008B29FA"/>
    <w:rsid w:val="008B2F4A"/>
    <w:rsid w:val="008B33DC"/>
    <w:rsid w:val="008B34A6"/>
    <w:rsid w:val="008B3BC9"/>
    <w:rsid w:val="008B4018"/>
    <w:rsid w:val="008B4153"/>
    <w:rsid w:val="008B470E"/>
    <w:rsid w:val="008B4AFC"/>
    <w:rsid w:val="008B4EA2"/>
    <w:rsid w:val="008B5A42"/>
    <w:rsid w:val="008B5F99"/>
    <w:rsid w:val="008B65C1"/>
    <w:rsid w:val="008B66D9"/>
    <w:rsid w:val="008B690C"/>
    <w:rsid w:val="008B7104"/>
    <w:rsid w:val="008B7304"/>
    <w:rsid w:val="008B74A1"/>
    <w:rsid w:val="008B7573"/>
    <w:rsid w:val="008B7864"/>
    <w:rsid w:val="008B7C6A"/>
    <w:rsid w:val="008C009A"/>
    <w:rsid w:val="008C0210"/>
    <w:rsid w:val="008C03E0"/>
    <w:rsid w:val="008C06AB"/>
    <w:rsid w:val="008C1BA3"/>
    <w:rsid w:val="008C2790"/>
    <w:rsid w:val="008C282C"/>
    <w:rsid w:val="008C2A75"/>
    <w:rsid w:val="008C2FE0"/>
    <w:rsid w:val="008C307A"/>
    <w:rsid w:val="008C345F"/>
    <w:rsid w:val="008C346A"/>
    <w:rsid w:val="008C370A"/>
    <w:rsid w:val="008C3F64"/>
    <w:rsid w:val="008C47B7"/>
    <w:rsid w:val="008C4A43"/>
    <w:rsid w:val="008C4A75"/>
    <w:rsid w:val="008C4C15"/>
    <w:rsid w:val="008C52EA"/>
    <w:rsid w:val="008C530A"/>
    <w:rsid w:val="008C5369"/>
    <w:rsid w:val="008C54A5"/>
    <w:rsid w:val="008C54EB"/>
    <w:rsid w:val="008C5516"/>
    <w:rsid w:val="008C592C"/>
    <w:rsid w:val="008C5C6B"/>
    <w:rsid w:val="008C5F13"/>
    <w:rsid w:val="008C5F8E"/>
    <w:rsid w:val="008C63D3"/>
    <w:rsid w:val="008C6AF1"/>
    <w:rsid w:val="008C7749"/>
    <w:rsid w:val="008C7825"/>
    <w:rsid w:val="008C7EAC"/>
    <w:rsid w:val="008D0080"/>
    <w:rsid w:val="008D0798"/>
    <w:rsid w:val="008D11D7"/>
    <w:rsid w:val="008D11FE"/>
    <w:rsid w:val="008D172A"/>
    <w:rsid w:val="008D1758"/>
    <w:rsid w:val="008D2037"/>
    <w:rsid w:val="008D2B8C"/>
    <w:rsid w:val="008D2E6F"/>
    <w:rsid w:val="008D2F91"/>
    <w:rsid w:val="008D33D8"/>
    <w:rsid w:val="008D358B"/>
    <w:rsid w:val="008D3F0E"/>
    <w:rsid w:val="008D442A"/>
    <w:rsid w:val="008D4820"/>
    <w:rsid w:val="008D4A23"/>
    <w:rsid w:val="008D4D59"/>
    <w:rsid w:val="008D4D7C"/>
    <w:rsid w:val="008D4DFA"/>
    <w:rsid w:val="008D4E1F"/>
    <w:rsid w:val="008D596D"/>
    <w:rsid w:val="008D5B34"/>
    <w:rsid w:val="008D5F3C"/>
    <w:rsid w:val="008D63AA"/>
    <w:rsid w:val="008D6435"/>
    <w:rsid w:val="008D64E8"/>
    <w:rsid w:val="008D6BE9"/>
    <w:rsid w:val="008D6D12"/>
    <w:rsid w:val="008D76F4"/>
    <w:rsid w:val="008E0140"/>
    <w:rsid w:val="008E0424"/>
    <w:rsid w:val="008E06D0"/>
    <w:rsid w:val="008E08AE"/>
    <w:rsid w:val="008E0E29"/>
    <w:rsid w:val="008E0FD1"/>
    <w:rsid w:val="008E109D"/>
    <w:rsid w:val="008E13DE"/>
    <w:rsid w:val="008E17E8"/>
    <w:rsid w:val="008E18FE"/>
    <w:rsid w:val="008E1C57"/>
    <w:rsid w:val="008E23B1"/>
    <w:rsid w:val="008E2651"/>
    <w:rsid w:val="008E2740"/>
    <w:rsid w:val="008E359A"/>
    <w:rsid w:val="008E39A2"/>
    <w:rsid w:val="008E41BF"/>
    <w:rsid w:val="008E49B5"/>
    <w:rsid w:val="008E4A80"/>
    <w:rsid w:val="008E4EA0"/>
    <w:rsid w:val="008E5A9F"/>
    <w:rsid w:val="008E66A5"/>
    <w:rsid w:val="008E6880"/>
    <w:rsid w:val="008E6D02"/>
    <w:rsid w:val="008E6D0E"/>
    <w:rsid w:val="008E6E1A"/>
    <w:rsid w:val="008E7090"/>
    <w:rsid w:val="008E750B"/>
    <w:rsid w:val="008E756E"/>
    <w:rsid w:val="008F2164"/>
    <w:rsid w:val="008F29A4"/>
    <w:rsid w:val="008F2E3D"/>
    <w:rsid w:val="008F2F74"/>
    <w:rsid w:val="008F2F7C"/>
    <w:rsid w:val="008F334E"/>
    <w:rsid w:val="008F4867"/>
    <w:rsid w:val="008F4951"/>
    <w:rsid w:val="008F5425"/>
    <w:rsid w:val="008F5E61"/>
    <w:rsid w:val="008F6A29"/>
    <w:rsid w:val="008F6CDF"/>
    <w:rsid w:val="008F6DC2"/>
    <w:rsid w:val="008F700C"/>
    <w:rsid w:val="008F7582"/>
    <w:rsid w:val="008F7CC0"/>
    <w:rsid w:val="009004A5"/>
    <w:rsid w:val="009006A7"/>
    <w:rsid w:val="00901545"/>
    <w:rsid w:val="0090203E"/>
    <w:rsid w:val="00902109"/>
    <w:rsid w:val="00902D5A"/>
    <w:rsid w:val="00902D8A"/>
    <w:rsid w:val="009031CF"/>
    <w:rsid w:val="0090370A"/>
    <w:rsid w:val="009037D7"/>
    <w:rsid w:val="009052A0"/>
    <w:rsid w:val="009052C6"/>
    <w:rsid w:val="00905573"/>
    <w:rsid w:val="009062B2"/>
    <w:rsid w:val="00906BEE"/>
    <w:rsid w:val="009075B4"/>
    <w:rsid w:val="00907F72"/>
    <w:rsid w:val="00910076"/>
    <w:rsid w:val="00910BDB"/>
    <w:rsid w:val="00910D5B"/>
    <w:rsid w:val="00910F6A"/>
    <w:rsid w:val="00911B3C"/>
    <w:rsid w:val="00911E6C"/>
    <w:rsid w:val="009125F0"/>
    <w:rsid w:val="009125F9"/>
    <w:rsid w:val="009127C2"/>
    <w:rsid w:val="009127E1"/>
    <w:rsid w:val="0091344A"/>
    <w:rsid w:val="00913B84"/>
    <w:rsid w:val="00913C16"/>
    <w:rsid w:val="00914321"/>
    <w:rsid w:val="009146AC"/>
    <w:rsid w:val="0091542D"/>
    <w:rsid w:val="009155F0"/>
    <w:rsid w:val="009157D7"/>
    <w:rsid w:val="00915800"/>
    <w:rsid w:val="0091595A"/>
    <w:rsid w:val="009161D0"/>
    <w:rsid w:val="00916992"/>
    <w:rsid w:val="00916D2B"/>
    <w:rsid w:val="0091725C"/>
    <w:rsid w:val="00917AE7"/>
    <w:rsid w:val="00920105"/>
    <w:rsid w:val="00920305"/>
    <w:rsid w:val="009207D4"/>
    <w:rsid w:val="00920B19"/>
    <w:rsid w:val="00920B63"/>
    <w:rsid w:val="0092104D"/>
    <w:rsid w:val="00921160"/>
    <w:rsid w:val="00922482"/>
    <w:rsid w:val="00922F2B"/>
    <w:rsid w:val="0092316E"/>
    <w:rsid w:val="009232D2"/>
    <w:rsid w:val="0092336D"/>
    <w:rsid w:val="009237A4"/>
    <w:rsid w:val="00923DCA"/>
    <w:rsid w:val="00924368"/>
    <w:rsid w:val="009247AC"/>
    <w:rsid w:val="00924A57"/>
    <w:rsid w:val="00924E62"/>
    <w:rsid w:val="00924F6D"/>
    <w:rsid w:val="0092545F"/>
    <w:rsid w:val="00925A4B"/>
    <w:rsid w:val="00925AB4"/>
    <w:rsid w:val="00925E7C"/>
    <w:rsid w:val="0092654B"/>
    <w:rsid w:val="009270F1"/>
    <w:rsid w:val="009279C5"/>
    <w:rsid w:val="00927B47"/>
    <w:rsid w:val="00930377"/>
    <w:rsid w:val="009303B2"/>
    <w:rsid w:val="009305E1"/>
    <w:rsid w:val="0093151D"/>
    <w:rsid w:val="0093257E"/>
    <w:rsid w:val="009328F2"/>
    <w:rsid w:val="00932A34"/>
    <w:rsid w:val="00932B9D"/>
    <w:rsid w:val="00932DA6"/>
    <w:rsid w:val="00932EBD"/>
    <w:rsid w:val="00932F53"/>
    <w:rsid w:val="009330FB"/>
    <w:rsid w:val="0093336C"/>
    <w:rsid w:val="00933738"/>
    <w:rsid w:val="00933AFB"/>
    <w:rsid w:val="00933BCD"/>
    <w:rsid w:val="00933E23"/>
    <w:rsid w:val="00933FCB"/>
    <w:rsid w:val="00934809"/>
    <w:rsid w:val="00934925"/>
    <w:rsid w:val="009355E9"/>
    <w:rsid w:val="00935B69"/>
    <w:rsid w:val="0093677D"/>
    <w:rsid w:val="0093698C"/>
    <w:rsid w:val="00936A91"/>
    <w:rsid w:val="00936BCA"/>
    <w:rsid w:val="0093703D"/>
    <w:rsid w:val="0093721E"/>
    <w:rsid w:val="0094020B"/>
    <w:rsid w:val="0094047A"/>
    <w:rsid w:val="00940580"/>
    <w:rsid w:val="00941012"/>
    <w:rsid w:val="0094118F"/>
    <w:rsid w:val="009415E3"/>
    <w:rsid w:val="00941645"/>
    <w:rsid w:val="00941BD6"/>
    <w:rsid w:val="009420CC"/>
    <w:rsid w:val="009428EF"/>
    <w:rsid w:val="00942E3A"/>
    <w:rsid w:val="00943366"/>
    <w:rsid w:val="009436A6"/>
    <w:rsid w:val="0094382C"/>
    <w:rsid w:val="00944227"/>
    <w:rsid w:val="00944363"/>
    <w:rsid w:val="0094466F"/>
    <w:rsid w:val="00945B0A"/>
    <w:rsid w:val="00945D32"/>
    <w:rsid w:val="00946268"/>
    <w:rsid w:val="009464EA"/>
    <w:rsid w:val="009467A1"/>
    <w:rsid w:val="00946AD0"/>
    <w:rsid w:val="00946D1F"/>
    <w:rsid w:val="0094769C"/>
    <w:rsid w:val="00947CC1"/>
    <w:rsid w:val="0095045E"/>
    <w:rsid w:val="00950FD6"/>
    <w:rsid w:val="00951121"/>
    <w:rsid w:val="00952F81"/>
    <w:rsid w:val="00953222"/>
    <w:rsid w:val="009536EB"/>
    <w:rsid w:val="00953BCC"/>
    <w:rsid w:val="00953E0B"/>
    <w:rsid w:val="009549C5"/>
    <w:rsid w:val="00954C16"/>
    <w:rsid w:val="0095591F"/>
    <w:rsid w:val="009559CC"/>
    <w:rsid w:val="00955A13"/>
    <w:rsid w:val="00955A3C"/>
    <w:rsid w:val="00955BC1"/>
    <w:rsid w:val="00955EF7"/>
    <w:rsid w:val="00955F98"/>
    <w:rsid w:val="00956003"/>
    <w:rsid w:val="00956167"/>
    <w:rsid w:val="00956340"/>
    <w:rsid w:val="00956671"/>
    <w:rsid w:val="00956E61"/>
    <w:rsid w:val="009573E3"/>
    <w:rsid w:val="009600F0"/>
    <w:rsid w:val="0096088D"/>
    <w:rsid w:val="00961454"/>
    <w:rsid w:val="009627DF"/>
    <w:rsid w:val="00962B4B"/>
    <w:rsid w:val="009634C4"/>
    <w:rsid w:val="00963861"/>
    <w:rsid w:val="00963C99"/>
    <w:rsid w:val="0096419B"/>
    <w:rsid w:val="0096441C"/>
    <w:rsid w:val="009646C8"/>
    <w:rsid w:val="0096558D"/>
    <w:rsid w:val="00965F07"/>
    <w:rsid w:val="00966EA8"/>
    <w:rsid w:val="0097013C"/>
    <w:rsid w:val="0097032F"/>
    <w:rsid w:val="00970F52"/>
    <w:rsid w:val="009716A1"/>
    <w:rsid w:val="00971A22"/>
    <w:rsid w:val="00972032"/>
    <w:rsid w:val="0097218C"/>
    <w:rsid w:val="00972775"/>
    <w:rsid w:val="00972A7A"/>
    <w:rsid w:val="00972E3A"/>
    <w:rsid w:val="00973A85"/>
    <w:rsid w:val="00973AEF"/>
    <w:rsid w:val="00973EF1"/>
    <w:rsid w:val="00974469"/>
    <w:rsid w:val="009748A3"/>
    <w:rsid w:val="00974C98"/>
    <w:rsid w:val="009752B2"/>
    <w:rsid w:val="009752D5"/>
    <w:rsid w:val="009756FD"/>
    <w:rsid w:val="009757CE"/>
    <w:rsid w:val="00975924"/>
    <w:rsid w:val="00975958"/>
    <w:rsid w:val="00975FBF"/>
    <w:rsid w:val="00976491"/>
    <w:rsid w:val="009765C9"/>
    <w:rsid w:val="00976869"/>
    <w:rsid w:val="00976A81"/>
    <w:rsid w:val="00977675"/>
    <w:rsid w:val="0097783F"/>
    <w:rsid w:val="00977E78"/>
    <w:rsid w:val="009804A9"/>
    <w:rsid w:val="00980592"/>
    <w:rsid w:val="00980AE0"/>
    <w:rsid w:val="00980B40"/>
    <w:rsid w:val="00980B72"/>
    <w:rsid w:val="00980E0C"/>
    <w:rsid w:val="00980EAB"/>
    <w:rsid w:val="00981037"/>
    <w:rsid w:val="00981683"/>
    <w:rsid w:val="00981AE6"/>
    <w:rsid w:val="00982817"/>
    <w:rsid w:val="00982D2A"/>
    <w:rsid w:val="009836B8"/>
    <w:rsid w:val="009838B1"/>
    <w:rsid w:val="00983F18"/>
    <w:rsid w:val="00984533"/>
    <w:rsid w:val="00984D02"/>
    <w:rsid w:val="00985ADF"/>
    <w:rsid w:val="009861AA"/>
    <w:rsid w:val="0098645D"/>
    <w:rsid w:val="00987645"/>
    <w:rsid w:val="00987842"/>
    <w:rsid w:val="00987848"/>
    <w:rsid w:val="00987FD7"/>
    <w:rsid w:val="009907B0"/>
    <w:rsid w:val="00990E72"/>
    <w:rsid w:val="009911CE"/>
    <w:rsid w:val="009912E9"/>
    <w:rsid w:val="00991312"/>
    <w:rsid w:val="009918BD"/>
    <w:rsid w:val="00991DF8"/>
    <w:rsid w:val="00992029"/>
    <w:rsid w:val="00992173"/>
    <w:rsid w:val="00992404"/>
    <w:rsid w:val="00992FDD"/>
    <w:rsid w:val="00993C6E"/>
    <w:rsid w:val="00994DD1"/>
    <w:rsid w:val="009955B3"/>
    <w:rsid w:val="00995DA5"/>
    <w:rsid w:val="00996006"/>
    <w:rsid w:val="0099670B"/>
    <w:rsid w:val="00996A0B"/>
    <w:rsid w:val="00997115"/>
    <w:rsid w:val="00997862"/>
    <w:rsid w:val="00997CD3"/>
    <w:rsid w:val="00997D2B"/>
    <w:rsid w:val="009A020E"/>
    <w:rsid w:val="009A0B7B"/>
    <w:rsid w:val="009A12DA"/>
    <w:rsid w:val="009A1969"/>
    <w:rsid w:val="009A19A5"/>
    <w:rsid w:val="009A1D12"/>
    <w:rsid w:val="009A20BF"/>
    <w:rsid w:val="009A26CD"/>
    <w:rsid w:val="009A3142"/>
    <w:rsid w:val="009A3F9A"/>
    <w:rsid w:val="009A4593"/>
    <w:rsid w:val="009A4822"/>
    <w:rsid w:val="009A49B1"/>
    <w:rsid w:val="009A4EE6"/>
    <w:rsid w:val="009A4FE2"/>
    <w:rsid w:val="009A54E5"/>
    <w:rsid w:val="009A64A5"/>
    <w:rsid w:val="009A7015"/>
    <w:rsid w:val="009A7680"/>
    <w:rsid w:val="009A79E7"/>
    <w:rsid w:val="009A7F44"/>
    <w:rsid w:val="009B010E"/>
    <w:rsid w:val="009B0D58"/>
    <w:rsid w:val="009B0D5B"/>
    <w:rsid w:val="009B0EAA"/>
    <w:rsid w:val="009B1013"/>
    <w:rsid w:val="009B10F0"/>
    <w:rsid w:val="009B14BA"/>
    <w:rsid w:val="009B1D82"/>
    <w:rsid w:val="009B1D93"/>
    <w:rsid w:val="009B259A"/>
    <w:rsid w:val="009B2830"/>
    <w:rsid w:val="009B2A0F"/>
    <w:rsid w:val="009B2B6D"/>
    <w:rsid w:val="009B2F8C"/>
    <w:rsid w:val="009B3046"/>
    <w:rsid w:val="009B316B"/>
    <w:rsid w:val="009B3425"/>
    <w:rsid w:val="009B3882"/>
    <w:rsid w:val="009B3F52"/>
    <w:rsid w:val="009B46FB"/>
    <w:rsid w:val="009B4EF9"/>
    <w:rsid w:val="009B57DB"/>
    <w:rsid w:val="009B5E83"/>
    <w:rsid w:val="009B5F22"/>
    <w:rsid w:val="009B721A"/>
    <w:rsid w:val="009B7358"/>
    <w:rsid w:val="009B7362"/>
    <w:rsid w:val="009B74CF"/>
    <w:rsid w:val="009C01D1"/>
    <w:rsid w:val="009C02E6"/>
    <w:rsid w:val="009C037B"/>
    <w:rsid w:val="009C0678"/>
    <w:rsid w:val="009C0C8C"/>
    <w:rsid w:val="009C16F9"/>
    <w:rsid w:val="009C282E"/>
    <w:rsid w:val="009C28F4"/>
    <w:rsid w:val="009C2AF5"/>
    <w:rsid w:val="009C340C"/>
    <w:rsid w:val="009C35DC"/>
    <w:rsid w:val="009C3712"/>
    <w:rsid w:val="009C3844"/>
    <w:rsid w:val="009C3874"/>
    <w:rsid w:val="009C3891"/>
    <w:rsid w:val="009C3E71"/>
    <w:rsid w:val="009C3EC0"/>
    <w:rsid w:val="009C3EC5"/>
    <w:rsid w:val="009C4091"/>
    <w:rsid w:val="009C45A0"/>
    <w:rsid w:val="009C52C4"/>
    <w:rsid w:val="009C5650"/>
    <w:rsid w:val="009C60B8"/>
    <w:rsid w:val="009C6401"/>
    <w:rsid w:val="009C66DF"/>
    <w:rsid w:val="009C68AB"/>
    <w:rsid w:val="009C6ECB"/>
    <w:rsid w:val="009C7324"/>
    <w:rsid w:val="009C7478"/>
    <w:rsid w:val="009C757F"/>
    <w:rsid w:val="009C7911"/>
    <w:rsid w:val="009C79C9"/>
    <w:rsid w:val="009D0DD7"/>
    <w:rsid w:val="009D1A4C"/>
    <w:rsid w:val="009D1CC3"/>
    <w:rsid w:val="009D2623"/>
    <w:rsid w:val="009D2A54"/>
    <w:rsid w:val="009D31E9"/>
    <w:rsid w:val="009D32CD"/>
    <w:rsid w:val="009D3C51"/>
    <w:rsid w:val="009D4B4E"/>
    <w:rsid w:val="009D4D8A"/>
    <w:rsid w:val="009D50A6"/>
    <w:rsid w:val="009D597F"/>
    <w:rsid w:val="009D6057"/>
    <w:rsid w:val="009D639C"/>
    <w:rsid w:val="009D6904"/>
    <w:rsid w:val="009D693D"/>
    <w:rsid w:val="009D6B33"/>
    <w:rsid w:val="009D6DB7"/>
    <w:rsid w:val="009D7402"/>
    <w:rsid w:val="009D74D3"/>
    <w:rsid w:val="009E049D"/>
    <w:rsid w:val="009E04C2"/>
    <w:rsid w:val="009E06CC"/>
    <w:rsid w:val="009E0CF4"/>
    <w:rsid w:val="009E1264"/>
    <w:rsid w:val="009E12C4"/>
    <w:rsid w:val="009E2174"/>
    <w:rsid w:val="009E246B"/>
    <w:rsid w:val="009E34EE"/>
    <w:rsid w:val="009E3743"/>
    <w:rsid w:val="009E3930"/>
    <w:rsid w:val="009E3C56"/>
    <w:rsid w:val="009E3C96"/>
    <w:rsid w:val="009E3EA1"/>
    <w:rsid w:val="009E3F78"/>
    <w:rsid w:val="009E3FE2"/>
    <w:rsid w:val="009E40DC"/>
    <w:rsid w:val="009E4243"/>
    <w:rsid w:val="009E4C69"/>
    <w:rsid w:val="009E518D"/>
    <w:rsid w:val="009E69E4"/>
    <w:rsid w:val="009E6A60"/>
    <w:rsid w:val="009E7118"/>
    <w:rsid w:val="009F0694"/>
    <w:rsid w:val="009F0AE2"/>
    <w:rsid w:val="009F0ED3"/>
    <w:rsid w:val="009F15AC"/>
    <w:rsid w:val="009F1B9F"/>
    <w:rsid w:val="009F204B"/>
    <w:rsid w:val="009F238B"/>
    <w:rsid w:val="009F291E"/>
    <w:rsid w:val="009F2CC1"/>
    <w:rsid w:val="009F302F"/>
    <w:rsid w:val="009F30AF"/>
    <w:rsid w:val="009F317F"/>
    <w:rsid w:val="009F3D5C"/>
    <w:rsid w:val="009F3F54"/>
    <w:rsid w:val="009F4E3F"/>
    <w:rsid w:val="009F4FB5"/>
    <w:rsid w:val="009F516C"/>
    <w:rsid w:val="009F5CC9"/>
    <w:rsid w:val="009F5D0C"/>
    <w:rsid w:val="009F5F97"/>
    <w:rsid w:val="009F5FDA"/>
    <w:rsid w:val="009F6ACB"/>
    <w:rsid w:val="009F6E6A"/>
    <w:rsid w:val="009F7192"/>
    <w:rsid w:val="009F725C"/>
    <w:rsid w:val="009F7CDD"/>
    <w:rsid w:val="00A003AA"/>
    <w:rsid w:val="00A00CE3"/>
    <w:rsid w:val="00A00E96"/>
    <w:rsid w:val="00A014BE"/>
    <w:rsid w:val="00A01901"/>
    <w:rsid w:val="00A01D24"/>
    <w:rsid w:val="00A02801"/>
    <w:rsid w:val="00A029BC"/>
    <w:rsid w:val="00A02D56"/>
    <w:rsid w:val="00A038B7"/>
    <w:rsid w:val="00A03A94"/>
    <w:rsid w:val="00A0431E"/>
    <w:rsid w:val="00A04776"/>
    <w:rsid w:val="00A0549F"/>
    <w:rsid w:val="00A0574B"/>
    <w:rsid w:val="00A06A13"/>
    <w:rsid w:val="00A06BF2"/>
    <w:rsid w:val="00A06FC8"/>
    <w:rsid w:val="00A074E5"/>
    <w:rsid w:val="00A07659"/>
    <w:rsid w:val="00A077F5"/>
    <w:rsid w:val="00A07B1C"/>
    <w:rsid w:val="00A07CE2"/>
    <w:rsid w:val="00A107DC"/>
    <w:rsid w:val="00A11DE8"/>
    <w:rsid w:val="00A123BB"/>
    <w:rsid w:val="00A12889"/>
    <w:rsid w:val="00A12FA3"/>
    <w:rsid w:val="00A1301E"/>
    <w:rsid w:val="00A13083"/>
    <w:rsid w:val="00A1343A"/>
    <w:rsid w:val="00A13F3E"/>
    <w:rsid w:val="00A14A72"/>
    <w:rsid w:val="00A14AA9"/>
    <w:rsid w:val="00A14E1B"/>
    <w:rsid w:val="00A152B6"/>
    <w:rsid w:val="00A16033"/>
    <w:rsid w:val="00A160E3"/>
    <w:rsid w:val="00A164F7"/>
    <w:rsid w:val="00A165A3"/>
    <w:rsid w:val="00A16820"/>
    <w:rsid w:val="00A16A94"/>
    <w:rsid w:val="00A16C5F"/>
    <w:rsid w:val="00A172EA"/>
    <w:rsid w:val="00A17B80"/>
    <w:rsid w:val="00A205F8"/>
    <w:rsid w:val="00A209F1"/>
    <w:rsid w:val="00A20AE9"/>
    <w:rsid w:val="00A213C7"/>
    <w:rsid w:val="00A2197F"/>
    <w:rsid w:val="00A21EC9"/>
    <w:rsid w:val="00A22539"/>
    <w:rsid w:val="00A22DCF"/>
    <w:rsid w:val="00A2316A"/>
    <w:rsid w:val="00A236E2"/>
    <w:rsid w:val="00A23DEC"/>
    <w:rsid w:val="00A2481C"/>
    <w:rsid w:val="00A24A49"/>
    <w:rsid w:val="00A24B2A"/>
    <w:rsid w:val="00A253F3"/>
    <w:rsid w:val="00A259BB"/>
    <w:rsid w:val="00A25AB7"/>
    <w:rsid w:val="00A25ADF"/>
    <w:rsid w:val="00A25B4E"/>
    <w:rsid w:val="00A26097"/>
    <w:rsid w:val="00A266C2"/>
    <w:rsid w:val="00A266EA"/>
    <w:rsid w:val="00A26F7B"/>
    <w:rsid w:val="00A27095"/>
    <w:rsid w:val="00A27216"/>
    <w:rsid w:val="00A2734D"/>
    <w:rsid w:val="00A2745F"/>
    <w:rsid w:val="00A27723"/>
    <w:rsid w:val="00A27825"/>
    <w:rsid w:val="00A27A97"/>
    <w:rsid w:val="00A27E24"/>
    <w:rsid w:val="00A27FD0"/>
    <w:rsid w:val="00A27FF2"/>
    <w:rsid w:val="00A30A22"/>
    <w:rsid w:val="00A312CA"/>
    <w:rsid w:val="00A324A9"/>
    <w:rsid w:val="00A32B55"/>
    <w:rsid w:val="00A32D9A"/>
    <w:rsid w:val="00A32F48"/>
    <w:rsid w:val="00A3328F"/>
    <w:rsid w:val="00A332A5"/>
    <w:rsid w:val="00A3399C"/>
    <w:rsid w:val="00A33CF8"/>
    <w:rsid w:val="00A3410C"/>
    <w:rsid w:val="00A3412F"/>
    <w:rsid w:val="00A35232"/>
    <w:rsid w:val="00A3528E"/>
    <w:rsid w:val="00A36478"/>
    <w:rsid w:val="00A37058"/>
    <w:rsid w:val="00A378B4"/>
    <w:rsid w:val="00A40857"/>
    <w:rsid w:val="00A408C0"/>
    <w:rsid w:val="00A40B76"/>
    <w:rsid w:val="00A40BCE"/>
    <w:rsid w:val="00A40CAE"/>
    <w:rsid w:val="00A41211"/>
    <w:rsid w:val="00A41971"/>
    <w:rsid w:val="00A42290"/>
    <w:rsid w:val="00A422E6"/>
    <w:rsid w:val="00A42A5C"/>
    <w:rsid w:val="00A42B83"/>
    <w:rsid w:val="00A42B85"/>
    <w:rsid w:val="00A4307C"/>
    <w:rsid w:val="00A43509"/>
    <w:rsid w:val="00A4448F"/>
    <w:rsid w:val="00A453A8"/>
    <w:rsid w:val="00A457C4"/>
    <w:rsid w:val="00A45FA3"/>
    <w:rsid w:val="00A4608A"/>
    <w:rsid w:val="00A4630C"/>
    <w:rsid w:val="00A464D3"/>
    <w:rsid w:val="00A478F4"/>
    <w:rsid w:val="00A47AE4"/>
    <w:rsid w:val="00A47E03"/>
    <w:rsid w:val="00A500CE"/>
    <w:rsid w:val="00A501EB"/>
    <w:rsid w:val="00A5021F"/>
    <w:rsid w:val="00A50909"/>
    <w:rsid w:val="00A50B81"/>
    <w:rsid w:val="00A50C91"/>
    <w:rsid w:val="00A516EF"/>
    <w:rsid w:val="00A519DB"/>
    <w:rsid w:val="00A51C9F"/>
    <w:rsid w:val="00A51F0D"/>
    <w:rsid w:val="00A524F1"/>
    <w:rsid w:val="00A52F19"/>
    <w:rsid w:val="00A53A8F"/>
    <w:rsid w:val="00A53C97"/>
    <w:rsid w:val="00A54F9E"/>
    <w:rsid w:val="00A55290"/>
    <w:rsid w:val="00A552E8"/>
    <w:rsid w:val="00A55752"/>
    <w:rsid w:val="00A558D9"/>
    <w:rsid w:val="00A55A07"/>
    <w:rsid w:val="00A561A6"/>
    <w:rsid w:val="00A56692"/>
    <w:rsid w:val="00A57487"/>
    <w:rsid w:val="00A57829"/>
    <w:rsid w:val="00A6130A"/>
    <w:rsid w:val="00A61D53"/>
    <w:rsid w:val="00A62F9E"/>
    <w:rsid w:val="00A64C6D"/>
    <w:rsid w:val="00A64D22"/>
    <w:rsid w:val="00A64D66"/>
    <w:rsid w:val="00A65410"/>
    <w:rsid w:val="00A65FDF"/>
    <w:rsid w:val="00A662BC"/>
    <w:rsid w:val="00A66A10"/>
    <w:rsid w:val="00A66E20"/>
    <w:rsid w:val="00A67170"/>
    <w:rsid w:val="00A701FB"/>
    <w:rsid w:val="00A70877"/>
    <w:rsid w:val="00A70A6A"/>
    <w:rsid w:val="00A70B35"/>
    <w:rsid w:val="00A711A6"/>
    <w:rsid w:val="00A71694"/>
    <w:rsid w:val="00A71B79"/>
    <w:rsid w:val="00A72281"/>
    <w:rsid w:val="00A7285D"/>
    <w:rsid w:val="00A729A1"/>
    <w:rsid w:val="00A732FC"/>
    <w:rsid w:val="00A7345C"/>
    <w:rsid w:val="00A73797"/>
    <w:rsid w:val="00A738B4"/>
    <w:rsid w:val="00A740AE"/>
    <w:rsid w:val="00A742A3"/>
    <w:rsid w:val="00A743C3"/>
    <w:rsid w:val="00A74D90"/>
    <w:rsid w:val="00A75102"/>
    <w:rsid w:val="00A7559F"/>
    <w:rsid w:val="00A75FA3"/>
    <w:rsid w:val="00A76467"/>
    <w:rsid w:val="00A779DB"/>
    <w:rsid w:val="00A800B6"/>
    <w:rsid w:val="00A80148"/>
    <w:rsid w:val="00A8025F"/>
    <w:rsid w:val="00A80619"/>
    <w:rsid w:val="00A80BF2"/>
    <w:rsid w:val="00A8101E"/>
    <w:rsid w:val="00A81034"/>
    <w:rsid w:val="00A81165"/>
    <w:rsid w:val="00A813CB"/>
    <w:rsid w:val="00A81666"/>
    <w:rsid w:val="00A8171E"/>
    <w:rsid w:val="00A81892"/>
    <w:rsid w:val="00A81F8B"/>
    <w:rsid w:val="00A82042"/>
    <w:rsid w:val="00A8234E"/>
    <w:rsid w:val="00A826EB"/>
    <w:rsid w:val="00A829B7"/>
    <w:rsid w:val="00A82B8D"/>
    <w:rsid w:val="00A8326B"/>
    <w:rsid w:val="00A83C96"/>
    <w:rsid w:val="00A83DF3"/>
    <w:rsid w:val="00A84596"/>
    <w:rsid w:val="00A848CB"/>
    <w:rsid w:val="00A84943"/>
    <w:rsid w:val="00A84A6C"/>
    <w:rsid w:val="00A84BA4"/>
    <w:rsid w:val="00A85666"/>
    <w:rsid w:val="00A85E89"/>
    <w:rsid w:val="00A86029"/>
    <w:rsid w:val="00A86CA6"/>
    <w:rsid w:val="00A86EC8"/>
    <w:rsid w:val="00A872A0"/>
    <w:rsid w:val="00A87548"/>
    <w:rsid w:val="00A877FD"/>
    <w:rsid w:val="00A87D5E"/>
    <w:rsid w:val="00A9013B"/>
    <w:rsid w:val="00A908A0"/>
    <w:rsid w:val="00A90A8A"/>
    <w:rsid w:val="00A91526"/>
    <w:rsid w:val="00A91662"/>
    <w:rsid w:val="00A9176B"/>
    <w:rsid w:val="00A92255"/>
    <w:rsid w:val="00A92753"/>
    <w:rsid w:val="00A927A2"/>
    <w:rsid w:val="00A92887"/>
    <w:rsid w:val="00A92969"/>
    <w:rsid w:val="00A92C0C"/>
    <w:rsid w:val="00A92DED"/>
    <w:rsid w:val="00A92E41"/>
    <w:rsid w:val="00A93414"/>
    <w:rsid w:val="00A93667"/>
    <w:rsid w:val="00A93D0C"/>
    <w:rsid w:val="00A9404E"/>
    <w:rsid w:val="00A94D42"/>
    <w:rsid w:val="00A94E59"/>
    <w:rsid w:val="00A95868"/>
    <w:rsid w:val="00A95C18"/>
    <w:rsid w:val="00A95F49"/>
    <w:rsid w:val="00A96011"/>
    <w:rsid w:val="00A961C3"/>
    <w:rsid w:val="00A96492"/>
    <w:rsid w:val="00A970B0"/>
    <w:rsid w:val="00A97585"/>
    <w:rsid w:val="00A97C0E"/>
    <w:rsid w:val="00AA0321"/>
    <w:rsid w:val="00AA048E"/>
    <w:rsid w:val="00AA073E"/>
    <w:rsid w:val="00AA0953"/>
    <w:rsid w:val="00AA18BF"/>
    <w:rsid w:val="00AA1D69"/>
    <w:rsid w:val="00AA1F5B"/>
    <w:rsid w:val="00AA3115"/>
    <w:rsid w:val="00AA3BD2"/>
    <w:rsid w:val="00AA40FA"/>
    <w:rsid w:val="00AA4632"/>
    <w:rsid w:val="00AA4658"/>
    <w:rsid w:val="00AA4764"/>
    <w:rsid w:val="00AA53D3"/>
    <w:rsid w:val="00AA5939"/>
    <w:rsid w:val="00AA651C"/>
    <w:rsid w:val="00AA675B"/>
    <w:rsid w:val="00AA7607"/>
    <w:rsid w:val="00AA7810"/>
    <w:rsid w:val="00AA7FAD"/>
    <w:rsid w:val="00AB0702"/>
    <w:rsid w:val="00AB166A"/>
    <w:rsid w:val="00AB1D75"/>
    <w:rsid w:val="00AB2323"/>
    <w:rsid w:val="00AB2621"/>
    <w:rsid w:val="00AB30E4"/>
    <w:rsid w:val="00AB4430"/>
    <w:rsid w:val="00AB4D6A"/>
    <w:rsid w:val="00AB4FF3"/>
    <w:rsid w:val="00AB5274"/>
    <w:rsid w:val="00AB53B7"/>
    <w:rsid w:val="00AB555F"/>
    <w:rsid w:val="00AB5B22"/>
    <w:rsid w:val="00AB6286"/>
    <w:rsid w:val="00AB633A"/>
    <w:rsid w:val="00AB644F"/>
    <w:rsid w:val="00AB691D"/>
    <w:rsid w:val="00AB7BA4"/>
    <w:rsid w:val="00AC0BE6"/>
    <w:rsid w:val="00AC18A2"/>
    <w:rsid w:val="00AC1A1B"/>
    <w:rsid w:val="00AC2144"/>
    <w:rsid w:val="00AC2423"/>
    <w:rsid w:val="00AC2751"/>
    <w:rsid w:val="00AC2E0A"/>
    <w:rsid w:val="00AC2F82"/>
    <w:rsid w:val="00AC30A4"/>
    <w:rsid w:val="00AC33B6"/>
    <w:rsid w:val="00AC3775"/>
    <w:rsid w:val="00AC3832"/>
    <w:rsid w:val="00AC3CA2"/>
    <w:rsid w:val="00AC4129"/>
    <w:rsid w:val="00AC5314"/>
    <w:rsid w:val="00AC57E1"/>
    <w:rsid w:val="00AC673F"/>
    <w:rsid w:val="00AC71EB"/>
    <w:rsid w:val="00AC7C63"/>
    <w:rsid w:val="00AD0553"/>
    <w:rsid w:val="00AD0A87"/>
    <w:rsid w:val="00AD0B5C"/>
    <w:rsid w:val="00AD1455"/>
    <w:rsid w:val="00AD1462"/>
    <w:rsid w:val="00AD1742"/>
    <w:rsid w:val="00AD21CD"/>
    <w:rsid w:val="00AD2B15"/>
    <w:rsid w:val="00AD3044"/>
    <w:rsid w:val="00AD308D"/>
    <w:rsid w:val="00AD38C6"/>
    <w:rsid w:val="00AD3A3F"/>
    <w:rsid w:val="00AD3D40"/>
    <w:rsid w:val="00AD443E"/>
    <w:rsid w:val="00AD449B"/>
    <w:rsid w:val="00AD47D7"/>
    <w:rsid w:val="00AD4978"/>
    <w:rsid w:val="00AD4C1D"/>
    <w:rsid w:val="00AD5127"/>
    <w:rsid w:val="00AD5BBD"/>
    <w:rsid w:val="00AD5D7F"/>
    <w:rsid w:val="00AD6074"/>
    <w:rsid w:val="00AD724B"/>
    <w:rsid w:val="00AE0164"/>
    <w:rsid w:val="00AE029C"/>
    <w:rsid w:val="00AE0403"/>
    <w:rsid w:val="00AE04C1"/>
    <w:rsid w:val="00AE0A38"/>
    <w:rsid w:val="00AE0E93"/>
    <w:rsid w:val="00AE1919"/>
    <w:rsid w:val="00AE2397"/>
    <w:rsid w:val="00AE25DB"/>
    <w:rsid w:val="00AE26CE"/>
    <w:rsid w:val="00AE35AD"/>
    <w:rsid w:val="00AE3A89"/>
    <w:rsid w:val="00AE3E0D"/>
    <w:rsid w:val="00AE3F9E"/>
    <w:rsid w:val="00AE3FB9"/>
    <w:rsid w:val="00AE4303"/>
    <w:rsid w:val="00AE4374"/>
    <w:rsid w:val="00AE4700"/>
    <w:rsid w:val="00AE4818"/>
    <w:rsid w:val="00AE4B94"/>
    <w:rsid w:val="00AE4C73"/>
    <w:rsid w:val="00AE66B9"/>
    <w:rsid w:val="00AE6719"/>
    <w:rsid w:val="00AE69AE"/>
    <w:rsid w:val="00AE6A8A"/>
    <w:rsid w:val="00AE6D4D"/>
    <w:rsid w:val="00AE7968"/>
    <w:rsid w:val="00AF1DF3"/>
    <w:rsid w:val="00AF2179"/>
    <w:rsid w:val="00AF3354"/>
    <w:rsid w:val="00AF415A"/>
    <w:rsid w:val="00AF4276"/>
    <w:rsid w:val="00AF4856"/>
    <w:rsid w:val="00AF6575"/>
    <w:rsid w:val="00AF72FD"/>
    <w:rsid w:val="00AF7748"/>
    <w:rsid w:val="00AF7FED"/>
    <w:rsid w:val="00B0004D"/>
    <w:rsid w:val="00B00681"/>
    <w:rsid w:val="00B00F15"/>
    <w:rsid w:val="00B01278"/>
    <w:rsid w:val="00B015CF"/>
    <w:rsid w:val="00B01B7F"/>
    <w:rsid w:val="00B02200"/>
    <w:rsid w:val="00B025ED"/>
    <w:rsid w:val="00B026A3"/>
    <w:rsid w:val="00B0272C"/>
    <w:rsid w:val="00B02AB4"/>
    <w:rsid w:val="00B03191"/>
    <w:rsid w:val="00B0324F"/>
    <w:rsid w:val="00B03CAC"/>
    <w:rsid w:val="00B04886"/>
    <w:rsid w:val="00B048C0"/>
    <w:rsid w:val="00B048F9"/>
    <w:rsid w:val="00B04BF5"/>
    <w:rsid w:val="00B052AA"/>
    <w:rsid w:val="00B05361"/>
    <w:rsid w:val="00B055DA"/>
    <w:rsid w:val="00B05798"/>
    <w:rsid w:val="00B0581C"/>
    <w:rsid w:val="00B05869"/>
    <w:rsid w:val="00B05B34"/>
    <w:rsid w:val="00B06B1B"/>
    <w:rsid w:val="00B06C54"/>
    <w:rsid w:val="00B070C8"/>
    <w:rsid w:val="00B0720F"/>
    <w:rsid w:val="00B07B71"/>
    <w:rsid w:val="00B10FD8"/>
    <w:rsid w:val="00B1171D"/>
    <w:rsid w:val="00B11A56"/>
    <w:rsid w:val="00B12798"/>
    <w:rsid w:val="00B1286C"/>
    <w:rsid w:val="00B130E7"/>
    <w:rsid w:val="00B131EE"/>
    <w:rsid w:val="00B13239"/>
    <w:rsid w:val="00B137F5"/>
    <w:rsid w:val="00B145E9"/>
    <w:rsid w:val="00B14CD4"/>
    <w:rsid w:val="00B15C35"/>
    <w:rsid w:val="00B16AA1"/>
    <w:rsid w:val="00B170A9"/>
    <w:rsid w:val="00B17772"/>
    <w:rsid w:val="00B17CC1"/>
    <w:rsid w:val="00B17D7C"/>
    <w:rsid w:val="00B17FE7"/>
    <w:rsid w:val="00B20352"/>
    <w:rsid w:val="00B20621"/>
    <w:rsid w:val="00B20870"/>
    <w:rsid w:val="00B20EE7"/>
    <w:rsid w:val="00B21553"/>
    <w:rsid w:val="00B2166A"/>
    <w:rsid w:val="00B21B4D"/>
    <w:rsid w:val="00B22048"/>
    <w:rsid w:val="00B220D9"/>
    <w:rsid w:val="00B228F1"/>
    <w:rsid w:val="00B22E31"/>
    <w:rsid w:val="00B22F25"/>
    <w:rsid w:val="00B2330A"/>
    <w:rsid w:val="00B23C22"/>
    <w:rsid w:val="00B2404D"/>
    <w:rsid w:val="00B24381"/>
    <w:rsid w:val="00B24581"/>
    <w:rsid w:val="00B24869"/>
    <w:rsid w:val="00B250C1"/>
    <w:rsid w:val="00B252A7"/>
    <w:rsid w:val="00B2531B"/>
    <w:rsid w:val="00B25648"/>
    <w:rsid w:val="00B25D8D"/>
    <w:rsid w:val="00B25FB7"/>
    <w:rsid w:val="00B26221"/>
    <w:rsid w:val="00B267B6"/>
    <w:rsid w:val="00B267F3"/>
    <w:rsid w:val="00B26A30"/>
    <w:rsid w:val="00B27839"/>
    <w:rsid w:val="00B27D01"/>
    <w:rsid w:val="00B30086"/>
    <w:rsid w:val="00B30A89"/>
    <w:rsid w:val="00B30A9D"/>
    <w:rsid w:val="00B30DA1"/>
    <w:rsid w:val="00B311B0"/>
    <w:rsid w:val="00B3142B"/>
    <w:rsid w:val="00B3148C"/>
    <w:rsid w:val="00B31965"/>
    <w:rsid w:val="00B3206A"/>
    <w:rsid w:val="00B323FE"/>
    <w:rsid w:val="00B324A5"/>
    <w:rsid w:val="00B329E3"/>
    <w:rsid w:val="00B32C70"/>
    <w:rsid w:val="00B32D46"/>
    <w:rsid w:val="00B33CAA"/>
    <w:rsid w:val="00B340A1"/>
    <w:rsid w:val="00B34111"/>
    <w:rsid w:val="00B3434B"/>
    <w:rsid w:val="00B34F81"/>
    <w:rsid w:val="00B35281"/>
    <w:rsid w:val="00B35F92"/>
    <w:rsid w:val="00B36357"/>
    <w:rsid w:val="00B369C6"/>
    <w:rsid w:val="00B36AAC"/>
    <w:rsid w:val="00B36D76"/>
    <w:rsid w:val="00B375AA"/>
    <w:rsid w:val="00B37C13"/>
    <w:rsid w:val="00B37F1F"/>
    <w:rsid w:val="00B40247"/>
    <w:rsid w:val="00B4049D"/>
    <w:rsid w:val="00B40B0D"/>
    <w:rsid w:val="00B411AD"/>
    <w:rsid w:val="00B41261"/>
    <w:rsid w:val="00B41381"/>
    <w:rsid w:val="00B4193E"/>
    <w:rsid w:val="00B424D1"/>
    <w:rsid w:val="00B424EF"/>
    <w:rsid w:val="00B424FD"/>
    <w:rsid w:val="00B42743"/>
    <w:rsid w:val="00B428FC"/>
    <w:rsid w:val="00B42C0C"/>
    <w:rsid w:val="00B43006"/>
    <w:rsid w:val="00B432F8"/>
    <w:rsid w:val="00B43D07"/>
    <w:rsid w:val="00B43F71"/>
    <w:rsid w:val="00B442C0"/>
    <w:rsid w:val="00B4452A"/>
    <w:rsid w:val="00B4459B"/>
    <w:rsid w:val="00B44A22"/>
    <w:rsid w:val="00B45174"/>
    <w:rsid w:val="00B461B6"/>
    <w:rsid w:val="00B46459"/>
    <w:rsid w:val="00B47062"/>
    <w:rsid w:val="00B472A3"/>
    <w:rsid w:val="00B479A8"/>
    <w:rsid w:val="00B501E3"/>
    <w:rsid w:val="00B51437"/>
    <w:rsid w:val="00B52050"/>
    <w:rsid w:val="00B52129"/>
    <w:rsid w:val="00B52702"/>
    <w:rsid w:val="00B52EB6"/>
    <w:rsid w:val="00B52ED8"/>
    <w:rsid w:val="00B53100"/>
    <w:rsid w:val="00B53633"/>
    <w:rsid w:val="00B536FB"/>
    <w:rsid w:val="00B53746"/>
    <w:rsid w:val="00B54DEB"/>
    <w:rsid w:val="00B5517B"/>
    <w:rsid w:val="00B556F6"/>
    <w:rsid w:val="00B55EED"/>
    <w:rsid w:val="00B56C6E"/>
    <w:rsid w:val="00B57986"/>
    <w:rsid w:val="00B57DE6"/>
    <w:rsid w:val="00B601D4"/>
    <w:rsid w:val="00B606BE"/>
    <w:rsid w:val="00B609CE"/>
    <w:rsid w:val="00B60A64"/>
    <w:rsid w:val="00B60DC8"/>
    <w:rsid w:val="00B60FFD"/>
    <w:rsid w:val="00B6136A"/>
    <w:rsid w:val="00B62486"/>
    <w:rsid w:val="00B62556"/>
    <w:rsid w:val="00B62726"/>
    <w:rsid w:val="00B628F2"/>
    <w:rsid w:val="00B62D1C"/>
    <w:rsid w:val="00B63178"/>
    <w:rsid w:val="00B63FC7"/>
    <w:rsid w:val="00B64680"/>
    <w:rsid w:val="00B64AB6"/>
    <w:rsid w:val="00B64BB6"/>
    <w:rsid w:val="00B650BF"/>
    <w:rsid w:val="00B65A56"/>
    <w:rsid w:val="00B65F75"/>
    <w:rsid w:val="00B66C33"/>
    <w:rsid w:val="00B67061"/>
    <w:rsid w:val="00B67087"/>
    <w:rsid w:val="00B67350"/>
    <w:rsid w:val="00B67DC4"/>
    <w:rsid w:val="00B67E1B"/>
    <w:rsid w:val="00B703D4"/>
    <w:rsid w:val="00B70F56"/>
    <w:rsid w:val="00B714D3"/>
    <w:rsid w:val="00B71790"/>
    <w:rsid w:val="00B71809"/>
    <w:rsid w:val="00B71CDF"/>
    <w:rsid w:val="00B723BB"/>
    <w:rsid w:val="00B724AB"/>
    <w:rsid w:val="00B72716"/>
    <w:rsid w:val="00B72748"/>
    <w:rsid w:val="00B72C92"/>
    <w:rsid w:val="00B72EF7"/>
    <w:rsid w:val="00B72F37"/>
    <w:rsid w:val="00B72FB0"/>
    <w:rsid w:val="00B735ED"/>
    <w:rsid w:val="00B73B1E"/>
    <w:rsid w:val="00B74714"/>
    <w:rsid w:val="00B74907"/>
    <w:rsid w:val="00B74963"/>
    <w:rsid w:val="00B7522E"/>
    <w:rsid w:val="00B75349"/>
    <w:rsid w:val="00B75AC5"/>
    <w:rsid w:val="00B7624E"/>
    <w:rsid w:val="00B762CE"/>
    <w:rsid w:val="00B76325"/>
    <w:rsid w:val="00B771F9"/>
    <w:rsid w:val="00B77203"/>
    <w:rsid w:val="00B77786"/>
    <w:rsid w:val="00B7791B"/>
    <w:rsid w:val="00B77D14"/>
    <w:rsid w:val="00B8046B"/>
    <w:rsid w:val="00B80496"/>
    <w:rsid w:val="00B80894"/>
    <w:rsid w:val="00B80CBA"/>
    <w:rsid w:val="00B80CD7"/>
    <w:rsid w:val="00B81645"/>
    <w:rsid w:val="00B82233"/>
    <w:rsid w:val="00B82A2C"/>
    <w:rsid w:val="00B82ADE"/>
    <w:rsid w:val="00B8324C"/>
    <w:rsid w:val="00B8375C"/>
    <w:rsid w:val="00B83BE6"/>
    <w:rsid w:val="00B83C90"/>
    <w:rsid w:val="00B842F9"/>
    <w:rsid w:val="00B85DB6"/>
    <w:rsid w:val="00B85E49"/>
    <w:rsid w:val="00B85FDF"/>
    <w:rsid w:val="00B86CEE"/>
    <w:rsid w:val="00B86E7C"/>
    <w:rsid w:val="00B8710E"/>
    <w:rsid w:val="00B871AE"/>
    <w:rsid w:val="00B873D4"/>
    <w:rsid w:val="00B87B62"/>
    <w:rsid w:val="00B90063"/>
    <w:rsid w:val="00B90124"/>
    <w:rsid w:val="00B91756"/>
    <w:rsid w:val="00B922C6"/>
    <w:rsid w:val="00B9314B"/>
    <w:rsid w:val="00B933C8"/>
    <w:rsid w:val="00B93410"/>
    <w:rsid w:val="00B948C1"/>
    <w:rsid w:val="00B94D29"/>
    <w:rsid w:val="00B94DA5"/>
    <w:rsid w:val="00B9513C"/>
    <w:rsid w:val="00B955E7"/>
    <w:rsid w:val="00B96230"/>
    <w:rsid w:val="00B96AF8"/>
    <w:rsid w:val="00B96D98"/>
    <w:rsid w:val="00B96F1D"/>
    <w:rsid w:val="00B97C3E"/>
    <w:rsid w:val="00B97C6A"/>
    <w:rsid w:val="00B97D1C"/>
    <w:rsid w:val="00BA108C"/>
    <w:rsid w:val="00BA1625"/>
    <w:rsid w:val="00BA18A9"/>
    <w:rsid w:val="00BA18EC"/>
    <w:rsid w:val="00BA1F14"/>
    <w:rsid w:val="00BA1F95"/>
    <w:rsid w:val="00BA21E4"/>
    <w:rsid w:val="00BA2EC3"/>
    <w:rsid w:val="00BA2F20"/>
    <w:rsid w:val="00BA316F"/>
    <w:rsid w:val="00BA34B7"/>
    <w:rsid w:val="00BA375E"/>
    <w:rsid w:val="00BA3BE9"/>
    <w:rsid w:val="00BA3E81"/>
    <w:rsid w:val="00BA4BDA"/>
    <w:rsid w:val="00BA4EFF"/>
    <w:rsid w:val="00BA51C4"/>
    <w:rsid w:val="00BA5938"/>
    <w:rsid w:val="00BA642F"/>
    <w:rsid w:val="00BA6C81"/>
    <w:rsid w:val="00BA7A9F"/>
    <w:rsid w:val="00BB0038"/>
    <w:rsid w:val="00BB01BB"/>
    <w:rsid w:val="00BB02FE"/>
    <w:rsid w:val="00BB03FC"/>
    <w:rsid w:val="00BB0A1C"/>
    <w:rsid w:val="00BB0D0C"/>
    <w:rsid w:val="00BB1384"/>
    <w:rsid w:val="00BB2072"/>
    <w:rsid w:val="00BB25E0"/>
    <w:rsid w:val="00BB280C"/>
    <w:rsid w:val="00BB2D26"/>
    <w:rsid w:val="00BB3483"/>
    <w:rsid w:val="00BB3607"/>
    <w:rsid w:val="00BB378C"/>
    <w:rsid w:val="00BB433A"/>
    <w:rsid w:val="00BB45CB"/>
    <w:rsid w:val="00BB5414"/>
    <w:rsid w:val="00BB5501"/>
    <w:rsid w:val="00BB568E"/>
    <w:rsid w:val="00BB5C5A"/>
    <w:rsid w:val="00BB5CAD"/>
    <w:rsid w:val="00BB665B"/>
    <w:rsid w:val="00BB7770"/>
    <w:rsid w:val="00BB78BC"/>
    <w:rsid w:val="00BC094A"/>
    <w:rsid w:val="00BC11B5"/>
    <w:rsid w:val="00BC1933"/>
    <w:rsid w:val="00BC1B50"/>
    <w:rsid w:val="00BC1E60"/>
    <w:rsid w:val="00BC1EB0"/>
    <w:rsid w:val="00BC2135"/>
    <w:rsid w:val="00BC26B8"/>
    <w:rsid w:val="00BC3491"/>
    <w:rsid w:val="00BC34E0"/>
    <w:rsid w:val="00BC39BF"/>
    <w:rsid w:val="00BC3A94"/>
    <w:rsid w:val="00BC4081"/>
    <w:rsid w:val="00BC4414"/>
    <w:rsid w:val="00BC450E"/>
    <w:rsid w:val="00BC50A8"/>
    <w:rsid w:val="00BC51E8"/>
    <w:rsid w:val="00BC5AF7"/>
    <w:rsid w:val="00BC625E"/>
    <w:rsid w:val="00BC6F5A"/>
    <w:rsid w:val="00BC709C"/>
    <w:rsid w:val="00BC7CD1"/>
    <w:rsid w:val="00BC7E9D"/>
    <w:rsid w:val="00BD0352"/>
    <w:rsid w:val="00BD0641"/>
    <w:rsid w:val="00BD0A40"/>
    <w:rsid w:val="00BD0E1A"/>
    <w:rsid w:val="00BD0EF0"/>
    <w:rsid w:val="00BD0F46"/>
    <w:rsid w:val="00BD1077"/>
    <w:rsid w:val="00BD17CB"/>
    <w:rsid w:val="00BD1857"/>
    <w:rsid w:val="00BD2364"/>
    <w:rsid w:val="00BD2954"/>
    <w:rsid w:val="00BD2E66"/>
    <w:rsid w:val="00BD36FF"/>
    <w:rsid w:val="00BD38B2"/>
    <w:rsid w:val="00BD3A58"/>
    <w:rsid w:val="00BD3C66"/>
    <w:rsid w:val="00BD3DFA"/>
    <w:rsid w:val="00BD3E99"/>
    <w:rsid w:val="00BD4249"/>
    <w:rsid w:val="00BD42A5"/>
    <w:rsid w:val="00BD53C4"/>
    <w:rsid w:val="00BD53E2"/>
    <w:rsid w:val="00BD5710"/>
    <w:rsid w:val="00BD57BA"/>
    <w:rsid w:val="00BD5976"/>
    <w:rsid w:val="00BD6D59"/>
    <w:rsid w:val="00BD6FBF"/>
    <w:rsid w:val="00BD74A8"/>
    <w:rsid w:val="00BE0404"/>
    <w:rsid w:val="00BE08F8"/>
    <w:rsid w:val="00BE0976"/>
    <w:rsid w:val="00BE0BAF"/>
    <w:rsid w:val="00BE1265"/>
    <w:rsid w:val="00BE12F0"/>
    <w:rsid w:val="00BE13A2"/>
    <w:rsid w:val="00BE1A7E"/>
    <w:rsid w:val="00BE251A"/>
    <w:rsid w:val="00BE2778"/>
    <w:rsid w:val="00BE29C7"/>
    <w:rsid w:val="00BE35F2"/>
    <w:rsid w:val="00BE375B"/>
    <w:rsid w:val="00BE37AE"/>
    <w:rsid w:val="00BE38AD"/>
    <w:rsid w:val="00BE6ECE"/>
    <w:rsid w:val="00BE717D"/>
    <w:rsid w:val="00BE71D9"/>
    <w:rsid w:val="00BE7213"/>
    <w:rsid w:val="00BE72A9"/>
    <w:rsid w:val="00BE72EE"/>
    <w:rsid w:val="00BE7528"/>
    <w:rsid w:val="00BE7DAA"/>
    <w:rsid w:val="00BF0170"/>
    <w:rsid w:val="00BF0422"/>
    <w:rsid w:val="00BF087C"/>
    <w:rsid w:val="00BF0998"/>
    <w:rsid w:val="00BF09C9"/>
    <w:rsid w:val="00BF09DB"/>
    <w:rsid w:val="00BF0C34"/>
    <w:rsid w:val="00BF0CAF"/>
    <w:rsid w:val="00BF0E75"/>
    <w:rsid w:val="00BF16C3"/>
    <w:rsid w:val="00BF1D00"/>
    <w:rsid w:val="00BF1DE3"/>
    <w:rsid w:val="00BF2284"/>
    <w:rsid w:val="00BF24EF"/>
    <w:rsid w:val="00BF25C2"/>
    <w:rsid w:val="00BF2D9C"/>
    <w:rsid w:val="00BF3188"/>
    <w:rsid w:val="00BF3432"/>
    <w:rsid w:val="00BF3489"/>
    <w:rsid w:val="00BF3574"/>
    <w:rsid w:val="00BF3EEE"/>
    <w:rsid w:val="00BF3F1A"/>
    <w:rsid w:val="00BF4187"/>
    <w:rsid w:val="00BF4337"/>
    <w:rsid w:val="00BF4A64"/>
    <w:rsid w:val="00BF4DC2"/>
    <w:rsid w:val="00BF52BC"/>
    <w:rsid w:val="00BF553C"/>
    <w:rsid w:val="00BF5551"/>
    <w:rsid w:val="00BF5D19"/>
    <w:rsid w:val="00BF6196"/>
    <w:rsid w:val="00BF664B"/>
    <w:rsid w:val="00BF6967"/>
    <w:rsid w:val="00C000AC"/>
    <w:rsid w:val="00C00255"/>
    <w:rsid w:val="00C002B9"/>
    <w:rsid w:val="00C00B7D"/>
    <w:rsid w:val="00C00BB3"/>
    <w:rsid w:val="00C00FC8"/>
    <w:rsid w:val="00C0144B"/>
    <w:rsid w:val="00C01913"/>
    <w:rsid w:val="00C01B1C"/>
    <w:rsid w:val="00C02BC4"/>
    <w:rsid w:val="00C03D1B"/>
    <w:rsid w:val="00C046DB"/>
    <w:rsid w:val="00C04924"/>
    <w:rsid w:val="00C05510"/>
    <w:rsid w:val="00C058E0"/>
    <w:rsid w:val="00C060DA"/>
    <w:rsid w:val="00C0637C"/>
    <w:rsid w:val="00C0757D"/>
    <w:rsid w:val="00C075DB"/>
    <w:rsid w:val="00C0790A"/>
    <w:rsid w:val="00C07A74"/>
    <w:rsid w:val="00C07CA5"/>
    <w:rsid w:val="00C11835"/>
    <w:rsid w:val="00C11B23"/>
    <w:rsid w:val="00C12CAE"/>
    <w:rsid w:val="00C13CCA"/>
    <w:rsid w:val="00C13EF3"/>
    <w:rsid w:val="00C147B4"/>
    <w:rsid w:val="00C1499E"/>
    <w:rsid w:val="00C15311"/>
    <w:rsid w:val="00C15518"/>
    <w:rsid w:val="00C158F4"/>
    <w:rsid w:val="00C159A0"/>
    <w:rsid w:val="00C15AC7"/>
    <w:rsid w:val="00C16066"/>
    <w:rsid w:val="00C1627C"/>
    <w:rsid w:val="00C1643F"/>
    <w:rsid w:val="00C167CE"/>
    <w:rsid w:val="00C16934"/>
    <w:rsid w:val="00C16CAF"/>
    <w:rsid w:val="00C17329"/>
    <w:rsid w:val="00C17367"/>
    <w:rsid w:val="00C174C2"/>
    <w:rsid w:val="00C176BE"/>
    <w:rsid w:val="00C177B6"/>
    <w:rsid w:val="00C17CE7"/>
    <w:rsid w:val="00C2025F"/>
    <w:rsid w:val="00C202E9"/>
    <w:rsid w:val="00C20316"/>
    <w:rsid w:val="00C209FB"/>
    <w:rsid w:val="00C20BD5"/>
    <w:rsid w:val="00C20CA1"/>
    <w:rsid w:val="00C213A3"/>
    <w:rsid w:val="00C21830"/>
    <w:rsid w:val="00C21B8F"/>
    <w:rsid w:val="00C22112"/>
    <w:rsid w:val="00C22414"/>
    <w:rsid w:val="00C22FEA"/>
    <w:rsid w:val="00C23094"/>
    <w:rsid w:val="00C242EF"/>
    <w:rsid w:val="00C24463"/>
    <w:rsid w:val="00C2554F"/>
    <w:rsid w:val="00C256BA"/>
    <w:rsid w:val="00C257C2"/>
    <w:rsid w:val="00C25A1F"/>
    <w:rsid w:val="00C25BAF"/>
    <w:rsid w:val="00C26DB5"/>
    <w:rsid w:val="00C26E76"/>
    <w:rsid w:val="00C26F53"/>
    <w:rsid w:val="00C2734F"/>
    <w:rsid w:val="00C2778D"/>
    <w:rsid w:val="00C27AD5"/>
    <w:rsid w:val="00C27C02"/>
    <w:rsid w:val="00C27DB6"/>
    <w:rsid w:val="00C30408"/>
    <w:rsid w:val="00C30826"/>
    <w:rsid w:val="00C3089D"/>
    <w:rsid w:val="00C30F65"/>
    <w:rsid w:val="00C31D8F"/>
    <w:rsid w:val="00C327B2"/>
    <w:rsid w:val="00C32886"/>
    <w:rsid w:val="00C32A24"/>
    <w:rsid w:val="00C3336D"/>
    <w:rsid w:val="00C336EF"/>
    <w:rsid w:val="00C3429B"/>
    <w:rsid w:val="00C34A88"/>
    <w:rsid w:val="00C35221"/>
    <w:rsid w:val="00C35562"/>
    <w:rsid w:val="00C3565E"/>
    <w:rsid w:val="00C35A95"/>
    <w:rsid w:val="00C35E27"/>
    <w:rsid w:val="00C361FD"/>
    <w:rsid w:val="00C36A06"/>
    <w:rsid w:val="00C36BFD"/>
    <w:rsid w:val="00C36F1A"/>
    <w:rsid w:val="00C37B1A"/>
    <w:rsid w:val="00C401D3"/>
    <w:rsid w:val="00C401EC"/>
    <w:rsid w:val="00C406F9"/>
    <w:rsid w:val="00C41120"/>
    <w:rsid w:val="00C41147"/>
    <w:rsid w:val="00C41A18"/>
    <w:rsid w:val="00C42791"/>
    <w:rsid w:val="00C42D87"/>
    <w:rsid w:val="00C4356B"/>
    <w:rsid w:val="00C43F58"/>
    <w:rsid w:val="00C44B90"/>
    <w:rsid w:val="00C44C39"/>
    <w:rsid w:val="00C44ECC"/>
    <w:rsid w:val="00C4555E"/>
    <w:rsid w:val="00C457DE"/>
    <w:rsid w:val="00C45E27"/>
    <w:rsid w:val="00C46302"/>
    <w:rsid w:val="00C467FE"/>
    <w:rsid w:val="00C46F32"/>
    <w:rsid w:val="00C4721A"/>
    <w:rsid w:val="00C472D7"/>
    <w:rsid w:val="00C4766B"/>
    <w:rsid w:val="00C47FCC"/>
    <w:rsid w:val="00C506FE"/>
    <w:rsid w:val="00C509CD"/>
    <w:rsid w:val="00C50C78"/>
    <w:rsid w:val="00C5180C"/>
    <w:rsid w:val="00C52A78"/>
    <w:rsid w:val="00C52D5F"/>
    <w:rsid w:val="00C5351F"/>
    <w:rsid w:val="00C539B9"/>
    <w:rsid w:val="00C540DA"/>
    <w:rsid w:val="00C54824"/>
    <w:rsid w:val="00C556A3"/>
    <w:rsid w:val="00C55822"/>
    <w:rsid w:val="00C55849"/>
    <w:rsid w:val="00C55A05"/>
    <w:rsid w:val="00C55AB4"/>
    <w:rsid w:val="00C56162"/>
    <w:rsid w:val="00C562C6"/>
    <w:rsid w:val="00C56F5F"/>
    <w:rsid w:val="00C57256"/>
    <w:rsid w:val="00C6024E"/>
    <w:rsid w:val="00C605ED"/>
    <w:rsid w:val="00C60D2E"/>
    <w:rsid w:val="00C60DC9"/>
    <w:rsid w:val="00C6104A"/>
    <w:rsid w:val="00C61CED"/>
    <w:rsid w:val="00C61D04"/>
    <w:rsid w:val="00C62323"/>
    <w:rsid w:val="00C6259C"/>
    <w:rsid w:val="00C62D3E"/>
    <w:rsid w:val="00C63281"/>
    <w:rsid w:val="00C634EA"/>
    <w:rsid w:val="00C63506"/>
    <w:rsid w:val="00C63647"/>
    <w:rsid w:val="00C63694"/>
    <w:rsid w:val="00C63795"/>
    <w:rsid w:val="00C637A7"/>
    <w:rsid w:val="00C63931"/>
    <w:rsid w:val="00C6396C"/>
    <w:rsid w:val="00C63C8F"/>
    <w:rsid w:val="00C63DC5"/>
    <w:rsid w:val="00C64270"/>
    <w:rsid w:val="00C64699"/>
    <w:rsid w:val="00C64B7B"/>
    <w:rsid w:val="00C6515A"/>
    <w:rsid w:val="00C6515E"/>
    <w:rsid w:val="00C65163"/>
    <w:rsid w:val="00C65BFB"/>
    <w:rsid w:val="00C65DC8"/>
    <w:rsid w:val="00C662E2"/>
    <w:rsid w:val="00C66313"/>
    <w:rsid w:val="00C668A9"/>
    <w:rsid w:val="00C66CAB"/>
    <w:rsid w:val="00C66D52"/>
    <w:rsid w:val="00C67203"/>
    <w:rsid w:val="00C67D99"/>
    <w:rsid w:val="00C67F0A"/>
    <w:rsid w:val="00C703A0"/>
    <w:rsid w:val="00C70624"/>
    <w:rsid w:val="00C70B9E"/>
    <w:rsid w:val="00C713B4"/>
    <w:rsid w:val="00C715C9"/>
    <w:rsid w:val="00C71F3A"/>
    <w:rsid w:val="00C722F2"/>
    <w:rsid w:val="00C73141"/>
    <w:rsid w:val="00C7321D"/>
    <w:rsid w:val="00C73316"/>
    <w:rsid w:val="00C73A4E"/>
    <w:rsid w:val="00C73D71"/>
    <w:rsid w:val="00C74265"/>
    <w:rsid w:val="00C74354"/>
    <w:rsid w:val="00C74BD7"/>
    <w:rsid w:val="00C74C67"/>
    <w:rsid w:val="00C75498"/>
    <w:rsid w:val="00C76009"/>
    <w:rsid w:val="00C7611F"/>
    <w:rsid w:val="00C765E3"/>
    <w:rsid w:val="00C777AE"/>
    <w:rsid w:val="00C77CFB"/>
    <w:rsid w:val="00C800DE"/>
    <w:rsid w:val="00C801AD"/>
    <w:rsid w:val="00C801C2"/>
    <w:rsid w:val="00C80498"/>
    <w:rsid w:val="00C8058A"/>
    <w:rsid w:val="00C80A19"/>
    <w:rsid w:val="00C8147C"/>
    <w:rsid w:val="00C815DC"/>
    <w:rsid w:val="00C81618"/>
    <w:rsid w:val="00C81A80"/>
    <w:rsid w:val="00C8263E"/>
    <w:rsid w:val="00C826C7"/>
    <w:rsid w:val="00C82E20"/>
    <w:rsid w:val="00C83CD6"/>
    <w:rsid w:val="00C8406B"/>
    <w:rsid w:val="00C843A2"/>
    <w:rsid w:val="00C84421"/>
    <w:rsid w:val="00C844B9"/>
    <w:rsid w:val="00C84C9C"/>
    <w:rsid w:val="00C84DBC"/>
    <w:rsid w:val="00C84F3B"/>
    <w:rsid w:val="00C85983"/>
    <w:rsid w:val="00C85A47"/>
    <w:rsid w:val="00C867F9"/>
    <w:rsid w:val="00C868AC"/>
    <w:rsid w:val="00C86B36"/>
    <w:rsid w:val="00C8723D"/>
    <w:rsid w:val="00C87311"/>
    <w:rsid w:val="00C878A3"/>
    <w:rsid w:val="00C878E0"/>
    <w:rsid w:val="00C90293"/>
    <w:rsid w:val="00C905C2"/>
    <w:rsid w:val="00C90682"/>
    <w:rsid w:val="00C9089E"/>
    <w:rsid w:val="00C90FB1"/>
    <w:rsid w:val="00C91952"/>
    <w:rsid w:val="00C91D12"/>
    <w:rsid w:val="00C92B09"/>
    <w:rsid w:val="00C92BC4"/>
    <w:rsid w:val="00C931F4"/>
    <w:rsid w:val="00C9332F"/>
    <w:rsid w:val="00C93600"/>
    <w:rsid w:val="00C938BF"/>
    <w:rsid w:val="00C93959"/>
    <w:rsid w:val="00C93A25"/>
    <w:rsid w:val="00C9425C"/>
    <w:rsid w:val="00C94B2C"/>
    <w:rsid w:val="00C95246"/>
    <w:rsid w:val="00C9526A"/>
    <w:rsid w:val="00C953F0"/>
    <w:rsid w:val="00C9578E"/>
    <w:rsid w:val="00C95A2A"/>
    <w:rsid w:val="00C95C91"/>
    <w:rsid w:val="00C96187"/>
    <w:rsid w:val="00C96339"/>
    <w:rsid w:val="00C96531"/>
    <w:rsid w:val="00C967EF"/>
    <w:rsid w:val="00C9692A"/>
    <w:rsid w:val="00C96A68"/>
    <w:rsid w:val="00C97400"/>
    <w:rsid w:val="00C97CA9"/>
    <w:rsid w:val="00CA01A9"/>
    <w:rsid w:val="00CA07AE"/>
    <w:rsid w:val="00CA0B40"/>
    <w:rsid w:val="00CA0BDE"/>
    <w:rsid w:val="00CA0E14"/>
    <w:rsid w:val="00CA1434"/>
    <w:rsid w:val="00CA17DB"/>
    <w:rsid w:val="00CA1AC5"/>
    <w:rsid w:val="00CA282E"/>
    <w:rsid w:val="00CA2871"/>
    <w:rsid w:val="00CA29CA"/>
    <w:rsid w:val="00CA2E85"/>
    <w:rsid w:val="00CA2EEC"/>
    <w:rsid w:val="00CA3159"/>
    <w:rsid w:val="00CA327E"/>
    <w:rsid w:val="00CA3331"/>
    <w:rsid w:val="00CA342B"/>
    <w:rsid w:val="00CA39C2"/>
    <w:rsid w:val="00CA3A1D"/>
    <w:rsid w:val="00CA40F0"/>
    <w:rsid w:val="00CA43BA"/>
    <w:rsid w:val="00CA53E5"/>
    <w:rsid w:val="00CA54AF"/>
    <w:rsid w:val="00CA567C"/>
    <w:rsid w:val="00CA57B9"/>
    <w:rsid w:val="00CA59C1"/>
    <w:rsid w:val="00CA5E41"/>
    <w:rsid w:val="00CA63BB"/>
    <w:rsid w:val="00CA7173"/>
    <w:rsid w:val="00CB1900"/>
    <w:rsid w:val="00CB200D"/>
    <w:rsid w:val="00CB2262"/>
    <w:rsid w:val="00CB229E"/>
    <w:rsid w:val="00CB22B6"/>
    <w:rsid w:val="00CB266F"/>
    <w:rsid w:val="00CB26EB"/>
    <w:rsid w:val="00CB283E"/>
    <w:rsid w:val="00CB2D14"/>
    <w:rsid w:val="00CB3C95"/>
    <w:rsid w:val="00CB3E9D"/>
    <w:rsid w:val="00CB43D1"/>
    <w:rsid w:val="00CB510E"/>
    <w:rsid w:val="00CB5532"/>
    <w:rsid w:val="00CB5D66"/>
    <w:rsid w:val="00CB5DCB"/>
    <w:rsid w:val="00CB6625"/>
    <w:rsid w:val="00CB6DF7"/>
    <w:rsid w:val="00CB7D5E"/>
    <w:rsid w:val="00CB7D92"/>
    <w:rsid w:val="00CC0257"/>
    <w:rsid w:val="00CC0771"/>
    <w:rsid w:val="00CC07A8"/>
    <w:rsid w:val="00CC19F8"/>
    <w:rsid w:val="00CC1B0B"/>
    <w:rsid w:val="00CC3575"/>
    <w:rsid w:val="00CC3638"/>
    <w:rsid w:val="00CC3A35"/>
    <w:rsid w:val="00CC5004"/>
    <w:rsid w:val="00CC55B2"/>
    <w:rsid w:val="00CC56D7"/>
    <w:rsid w:val="00CC5F40"/>
    <w:rsid w:val="00CC6B95"/>
    <w:rsid w:val="00CC722F"/>
    <w:rsid w:val="00CC7629"/>
    <w:rsid w:val="00CC78AD"/>
    <w:rsid w:val="00CC7BA8"/>
    <w:rsid w:val="00CC7D50"/>
    <w:rsid w:val="00CC7E28"/>
    <w:rsid w:val="00CD0366"/>
    <w:rsid w:val="00CD0BBE"/>
    <w:rsid w:val="00CD1D34"/>
    <w:rsid w:val="00CD27AF"/>
    <w:rsid w:val="00CD2B44"/>
    <w:rsid w:val="00CD473E"/>
    <w:rsid w:val="00CD487C"/>
    <w:rsid w:val="00CD4980"/>
    <w:rsid w:val="00CD4E69"/>
    <w:rsid w:val="00CD4F5A"/>
    <w:rsid w:val="00CD5009"/>
    <w:rsid w:val="00CD58AE"/>
    <w:rsid w:val="00CD5967"/>
    <w:rsid w:val="00CD5C12"/>
    <w:rsid w:val="00CD5D9A"/>
    <w:rsid w:val="00CD5DA7"/>
    <w:rsid w:val="00CD6675"/>
    <w:rsid w:val="00CD6C22"/>
    <w:rsid w:val="00CD7504"/>
    <w:rsid w:val="00CD77DB"/>
    <w:rsid w:val="00CD7C0E"/>
    <w:rsid w:val="00CD7CE7"/>
    <w:rsid w:val="00CE0163"/>
    <w:rsid w:val="00CE0233"/>
    <w:rsid w:val="00CE1161"/>
    <w:rsid w:val="00CE142C"/>
    <w:rsid w:val="00CE1DCE"/>
    <w:rsid w:val="00CE1F73"/>
    <w:rsid w:val="00CE2511"/>
    <w:rsid w:val="00CE2E20"/>
    <w:rsid w:val="00CE37A4"/>
    <w:rsid w:val="00CE3B20"/>
    <w:rsid w:val="00CE3D6D"/>
    <w:rsid w:val="00CE4C28"/>
    <w:rsid w:val="00CE50E1"/>
    <w:rsid w:val="00CE51D9"/>
    <w:rsid w:val="00CE54E1"/>
    <w:rsid w:val="00CE5791"/>
    <w:rsid w:val="00CE58CB"/>
    <w:rsid w:val="00CE61F3"/>
    <w:rsid w:val="00CE6917"/>
    <w:rsid w:val="00CE6A91"/>
    <w:rsid w:val="00CE6C3B"/>
    <w:rsid w:val="00CE7AF3"/>
    <w:rsid w:val="00CF00E8"/>
    <w:rsid w:val="00CF023F"/>
    <w:rsid w:val="00CF046D"/>
    <w:rsid w:val="00CF048E"/>
    <w:rsid w:val="00CF0ED3"/>
    <w:rsid w:val="00CF1338"/>
    <w:rsid w:val="00CF156B"/>
    <w:rsid w:val="00CF1BC3"/>
    <w:rsid w:val="00CF1ECF"/>
    <w:rsid w:val="00CF2001"/>
    <w:rsid w:val="00CF2074"/>
    <w:rsid w:val="00CF225C"/>
    <w:rsid w:val="00CF2597"/>
    <w:rsid w:val="00CF2598"/>
    <w:rsid w:val="00CF30F1"/>
    <w:rsid w:val="00CF38B5"/>
    <w:rsid w:val="00CF38F2"/>
    <w:rsid w:val="00CF4490"/>
    <w:rsid w:val="00CF4AA5"/>
    <w:rsid w:val="00CF5164"/>
    <w:rsid w:val="00CF535F"/>
    <w:rsid w:val="00CF56D3"/>
    <w:rsid w:val="00CF6F44"/>
    <w:rsid w:val="00CF709A"/>
    <w:rsid w:val="00CF74F4"/>
    <w:rsid w:val="00CF7B0D"/>
    <w:rsid w:val="00CF7CB1"/>
    <w:rsid w:val="00D0277A"/>
    <w:rsid w:val="00D03131"/>
    <w:rsid w:val="00D03188"/>
    <w:rsid w:val="00D033A8"/>
    <w:rsid w:val="00D0399B"/>
    <w:rsid w:val="00D03A58"/>
    <w:rsid w:val="00D03E57"/>
    <w:rsid w:val="00D05122"/>
    <w:rsid w:val="00D051A3"/>
    <w:rsid w:val="00D056D9"/>
    <w:rsid w:val="00D057E1"/>
    <w:rsid w:val="00D06677"/>
    <w:rsid w:val="00D06CEA"/>
    <w:rsid w:val="00D071A9"/>
    <w:rsid w:val="00D07923"/>
    <w:rsid w:val="00D07B91"/>
    <w:rsid w:val="00D10213"/>
    <w:rsid w:val="00D10934"/>
    <w:rsid w:val="00D10DF4"/>
    <w:rsid w:val="00D110A2"/>
    <w:rsid w:val="00D12BA0"/>
    <w:rsid w:val="00D12CFB"/>
    <w:rsid w:val="00D12D36"/>
    <w:rsid w:val="00D130C2"/>
    <w:rsid w:val="00D13B44"/>
    <w:rsid w:val="00D13CCE"/>
    <w:rsid w:val="00D14565"/>
    <w:rsid w:val="00D1478D"/>
    <w:rsid w:val="00D14B3B"/>
    <w:rsid w:val="00D152A2"/>
    <w:rsid w:val="00D15820"/>
    <w:rsid w:val="00D159AB"/>
    <w:rsid w:val="00D1663B"/>
    <w:rsid w:val="00D17D4E"/>
    <w:rsid w:val="00D2017E"/>
    <w:rsid w:val="00D2083D"/>
    <w:rsid w:val="00D20A95"/>
    <w:rsid w:val="00D20CC1"/>
    <w:rsid w:val="00D20F4E"/>
    <w:rsid w:val="00D21106"/>
    <w:rsid w:val="00D21A35"/>
    <w:rsid w:val="00D21EAC"/>
    <w:rsid w:val="00D221BF"/>
    <w:rsid w:val="00D224EF"/>
    <w:rsid w:val="00D22760"/>
    <w:rsid w:val="00D2279D"/>
    <w:rsid w:val="00D22A64"/>
    <w:rsid w:val="00D23009"/>
    <w:rsid w:val="00D23E10"/>
    <w:rsid w:val="00D24696"/>
    <w:rsid w:val="00D247C8"/>
    <w:rsid w:val="00D24EF5"/>
    <w:rsid w:val="00D25973"/>
    <w:rsid w:val="00D25D9A"/>
    <w:rsid w:val="00D2615A"/>
    <w:rsid w:val="00D265EE"/>
    <w:rsid w:val="00D26862"/>
    <w:rsid w:val="00D26D72"/>
    <w:rsid w:val="00D27AF8"/>
    <w:rsid w:val="00D27B20"/>
    <w:rsid w:val="00D27EFE"/>
    <w:rsid w:val="00D30312"/>
    <w:rsid w:val="00D3047C"/>
    <w:rsid w:val="00D30824"/>
    <w:rsid w:val="00D30C26"/>
    <w:rsid w:val="00D3118A"/>
    <w:rsid w:val="00D313A4"/>
    <w:rsid w:val="00D31431"/>
    <w:rsid w:val="00D31514"/>
    <w:rsid w:val="00D316E6"/>
    <w:rsid w:val="00D31D7E"/>
    <w:rsid w:val="00D323C3"/>
    <w:rsid w:val="00D32521"/>
    <w:rsid w:val="00D32A2A"/>
    <w:rsid w:val="00D32D0B"/>
    <w:rsid w:val="00D33217"/>
    <w:rsid w:val="00D334F4"/>
    <w:rsid w:val="00D33791"/>
    <w:rsid w:val="00D3388A"/>
    <w:rsid w:val="00D33B8E"/>
    <w:rsid w:val="00D343B7"/>
    <w:rsid w:val="00D343CC"/>
    <w:rsid w:val="00D343EF"/>
    <w:rsid w:val="00D344C0"/>
    <w:rsid w:val="00D345FF"/>
    <w:rsid w:val="00D3497E"/>
    <w:rsid w:val="00D3509A"/>
    <w:rsid w:val="00D358A0"/>
    <w:rsid w:val="00D35AE3"/>
    <w:rsid w:val="00D35AF1"/>
    <w:rsid w:val="00D35BAD"/>
    <w:rsid w:val="00D35C4C"/>
    <w:rsid w:val="00D35D69"/>
    <w:rsid w:val="00D360F5"/>
    <w:rsid w:val="00D36543"/>
    <w:rsid w:val="00D365E3"/>
    <w:rsid w:val="00D3666B"/>
    <w:rsid w:val="00D370C0"/>
    <w:rsid w:val="00D37C95"/>
    <w:rsid w:val="00D37D62"/>
    <w:rsid w:val="00D40294"/>
    <w:rsid w:val="00D405E9"/>
    <w:rsid w:val="00D407D7"/>
    <w:rsid w:val="00D407DE"/>
    <w:rsid w:val="00D40F38"/>
    <w:rsid w:val="00D40FF2"/>
    <w:rsid w:val="00D41F38"/>
    <w:rsid w:val="00D4204D"/>
    <w:rsid w:val="00D4206F"/>
    <w:rsid w:val="00D425B7"/>
    <w:rsid w:val="00D437EA"/>
    <w:rsid w:val="00D43B1C"/>
    <w:rsid w:val="00D44839"/>
    <w:rsid w:val="00D4542A"/>
    <w:rsid w:val="00D454C5"/>
    <w:rsid w:val="00D45E66"/>
    <w:rsid w:val="00D45E9F"/>
    <w:rsid w:val="00D4640A"/>
    <w:rsid w:val="00D46989"/>
    <w:rsid w:val="00D46AD4"/>
    <w:rsid w:val="00D46B04"/>
    <w:rsid w:val="00D46DFC"/>
    <w:rsid w:val="00D47363"/>
    <w:rsid w:val="00D47FBE"/>
    <w:rsid w:val="00D500B8"/>
    <w:rsid w:val="00D500DE"/>
    <w:rsid w:val="00D51119"/>
    <w:rsid w:val="00D513F6"/>
    <w:rsid w:val="00D51A43"/>
    <w:rsid w:val="00D51C38"/>
    <w:rsid w:val="00D51EE4"/>
    <w:rsid w:val="00D51F63"/>
    <w:rsid w:val="00D52CE3"/>
    <w:rsid w:val="00D52E82"/>
    <w:rsid w:val="00D52FDA"/>
    <w:rsid w:val="00D5301F"/>
    <w:rsid w:val="00D53325"/>
    <w:rsid w:val="00D539D7"/>
    <w:rsid w:val="00D53D04"/>
    <w:rsid w:val="00D53D24"/>
    <w:rsid w:val="00D53F05"/>
    <w:rsid w:val="00D54487"/>
    <w:rsid w:val="00D5451C"/>
    <w:rsid w:val="00D552B6"/>
    <w:rsid w:val="00D555B6"/>
    <w:rsid w:val="00D5581A"/>
    <w:rsid w:val="00D55BF7"/>
    <w:rsid w:val="00D566FC"/>
    <w:rsid w:val="00D56959"/>
    <w:rsid w:val="00D56A01"/>
    <w:rsid w:val="00D56CEB"/>
    <w:rsid w:val="00D56D37"/>
    <w:rsid w:val="00D57E67"/>
    <w:rsid w:val="00D6051B"/>
    <w:rsid w:val="00D6096B"/>
    <w:rsid w:val="00D60A75"/>
    <w:rsid w:val="00D61064"/>
    <w:rsid w:val="00D6149A"/>
    <w:rsid w:val="00D62749"/>
    <w:rsid w:val="00D62E52"/>
    <w:rsid w:val="00D62F0B"/>
    <w:rsid w:val="00D645B6"/>
    <w:rsid w:val="00D648BA"/>
    <w:rsid w:val="00D64AE6"/>
    <w:rsid w:val="00D64BB2"/>
    <w:rsid w:val="00D64E03"/>
    <w:rsid w:val="00D64FF7"/>
    <w:rsid w:val="00D658A8"/>
    <w:rsid w:val="00D6598F"/>
    <w:rsid w:val="00D672BA"/>
    <w:rsid w:val="00D67A19"/>
    <w:rsid w:val="00D67BD7"/>
    <w:rsid w:val="00D713E3"/>
    <w:rsid w:val="00D71724"/>
    <w:rsid w:val="00D7250D"/>
    <w:rsid w:val="00D7369B"/>
    <w:rsid w:val="00D7388A"/>
    <w:rsid w:val="00D739DB"/>
    <w:rsid w:val="00D7526E"/>
    <w:rsid w:val="00D758DB"/>
    <w:rsid w:val="00D75C62"/>
    <w:rsid w:val="00D76364"/>
    <w:rsid w:val="00D775C3"/>
    <w:rsid w:val="00D77769"/>
    <w:rsid w:val="00D77EDF"/>
    <w:rsid w:val="00D80341"/>
    <w:rsid w:val="00D80A70"/>
    <w:rsid w:val="00D8116B"/>
    <w:rsid w:val="00D81717"/>
    <w:rsid w:val="00D817AB"/>
    <w:rsid w:val="00D8242A"/>
    <w:rsid w:val="00D82570"/>
    <w:rsid w:val="00D8281A"/>
    <w:rsid w:val="00D828B2"/>
    <w:rsid w:val="00D83D32"/>
    <w:rsid w:val="00D83F09"/>
    <w:rsid w:val="00D8487E"/>
    <w:rsid w:val="00D848C1"/>
    <w:rsid w:val="00D85B6D"/>
    <w:rsid w:val="00D85ED6"/>
    <w:rsid w:val="00D8645A"/>
    <w:rsid w:val="00D864E3"/>
    <w:rsid w:val="00D867D7"/>
    <w:rsid w:val="00D86A37"/>
    <w:rsid w:val="00D86A6A"/>
    <w:rsid w:val="00D8776A"/>
    <w:rsid w:val="00D877C5"/>
    <w:rsid w:val="00D9040C"/>
    <w:rsid w:val="00D918E9"/>
    <w:rsid w:val="00D91917"/>
    <w:rsid w:val="00D92A04"/>
    <w:rsid w:val="00D92A06"/>
    <w:rsid w:val="00D932BA"/>
    <w:rsid w:val="00D933F3"/>
    <w:rsid w:val="00D93FD0"/>
    <w:rsid w:val="00D94825"/>
    <w:rsid w:val="00D94D95"/>
    <w:rsid w:val="00D94FE2"/>
    <w:rsid w:val="00D9597F"/>
    <w:rsid w:val="00D95F1E"/>
    <w:rsid w:val="00D96A77"/>
    <w:rsid w:val="00D96F10"/>
    <w:rsid w:val="00D96F13"/>
    <w:rsid w:val="00D97367"/>
    <w:rsid w:val="00D97EA4"/>
    <w:rsid w:val="00DA0021"/>
    <w:rsid w:val="00DA05CE"/>
    <w:rsid w:val="00DA092A"/>
    <w:rsid w:val="00DA177E"/>
    <w:rsid w:val="00DA1C38"/>
    <w:rsid w:val="00DA1CB0"/>
    <w:rsid w:val="00DA1EBF"/>
    <w:rsid w:val="00DA1F07"/>
    <w:rsid w:val="00DA22C8"/>
    <w:rsid w:val="00DA2523"/>
    <w:rsid w:val="00DA2555"/>
    <w:rsid w:val="00DA2BAC"/>
    <w:rsid w:val="00DA2C9C"/>
    <w:rsid w:val="00DA2E2A"/>
    <w:rsid w:val="00DA30B0"/>
    <w:rsid w:val="00DA330C"/>
    <w:rsid w:val="00DA3980"/>
    <w:rsid w:val="00DA398C"/>
    <w:rsid w:val="00DA3FC4"/>
    <w:rsid w:val="00DA46B1"/>
    <w:rsid w:val="00DA47C9"/>
    <w:rsid w:val="00DA533B"/>
    <w:rsid w:val="00DA5734"/>
    <w:rsid w:val="00DA58F8"/>
    <w:rsid w:val="00DA5A8F"/>
    <w:rsid w:val="00DA6306"/>
    <w:rsid w:val="00DA6610"/>
    <w:rsid w:val="00DA6BAF"/>
    <w:rsid w:val="00DA6E11"/>
    <w:rsid w:val="00DA7B43"/>
    <w:rsid w:val="00DB077D"/>
    <w:rsid w:val="00DB0797"/>
    <w:rsid w:val="00DB0EC4"/>
    <w:rsid w:val="00DB1466"/>
    <w:rsid w:val="00DB1F48"/>
    <w:rsid w:val="00DB20A9"/>
    <w:rsid w:val="00DB235B"/>
    <w:rsid w:val="00DB2FCF"/>
    <w:rsid w:val="00DB3614"/>
    <w:rsid w:val="00DB39B4"/>
    <w:rsid w:val="00DB458D"/>
    <w:rsid w:val="00DB45CB"/>
    <w:rsid w:val="00DB4BFF"/>
    <w:rsid w:val="00DB50ED"/>
    <w:rsid w:val="00DB5182"/>
    <w:rsid w:val="00DB5A7C"/>
    <w:rsid w:val="00DB5C03"/>
    <w:rsid w:val="00DB5D94"/>
    <w:rsid w:val="00DB5F5C"/>
    <w:rsid w:val="00DB6DD6"/>
    <w:rsid w:val="00DB7449"/>
    <w:rsid w:val="00DB7853"/>
    <w:rsid w:val="00DB7BC6"/>
    <w:rsid w:val="00DC17BC"/>
    <w:rsid w:val="00DC181D"/>
    <w:rsid w:val="00DC1888"/>
    <w:rsid w:val="00DC1E7B"/>
    <w:rsid w:val="00DC2AE7"/>
    <w:rsid w:val="00DC2CE7"/>
    <w:rsid w:val="00DC33B0"/>
    <w:rsid w:val="00DC3457"/>
    <w:rsid w:val="00DC3BB3"/>
    <w:rsid w:val="00DC5101"/>
    <w:rsid w:val="00DC528D"/>
    <w:rsid w:val="00DC6232"/>
    <w:rsid w:val="00DC644D"/>
    <w:rsid w:val="00DC6A8E"/>
    <w:rsid w:val="00DC7742"/>
    <w:rsid w:val="00DC775B"/>
    <w:rsid w:val="00DC777F"/>
    <w:rsid w:val="00DC7CF0"/>
    <w:rsid w:val="00DD0281"/>
    <w:rsid w:val="00DD06B7"/>
    <w:rsid w:val="00DD0741"/>
    <w:rsid w:val="00DD0E81"/>
    <w:rsid w:val="00DD1147"/>
    <w:rsid w:val="00DD14CF"/>
    <w:rsid w:val="00DD1634"/>
    <w:rsid w:val="00DD1DB1"/>
    <w:rsid w:val="00DD298A"/>
    <w:rsid w:val="00DD35AE"/>
    <w:rsid w:val="00DD3756"/>
    <w:rsid w:val="00DD3EC2"/>
    <w:rsid w:val="00DD40EE"/>
    <w:rsid w:val="00DD43D5"/>
    <w:rsid w:val="00DD4918"/>
    <w:rsid w:val="00DD4A2A"/>
    <w:rsid w:val="00DD4D37"/>
    <w:rsid w:val="00DD5563"/>
    <w:rsid w:val="00DD5641"/>
    <w:rsid w:val="00DD5853"/>
    <w:rsid w:val="00DD5B32"/>
    <w:rsid w:val="00DD629E"/>
    <w:rsid w:val="00DD697F"/>
    <w:rsid w:val="00DD6A27"/>
    <w:rsid w:val="00DD72FA"/>
    <w:rsid w:val="00DD757F"/>
    <w:rsid w:val="00DD7B61"/>
    <w:rsid w:val="00DD7B88"/>
    <w:rsid w:val="00DE02FE"/>
    <w:rsid w:val="00DE07BA"/>
    <w:rsid w:val="00DE0D89"/>
    <w:rsid w:val="00DE0F57"/>
    <w:rsid w:val="00DE14BE"/>
    <w:rsid w:val="00DE17B6"/>
    <w:rsid w:val="00DE17E1"/>
    <w:rsid w:val="00DE1A25"/>
    <w:rsid w:val="00DE1A68"/>
    <w:rsid w:val="00DE1EB1"/>
    <w:rsid w:val="00DE2016"/>
    <w:rsid w:val="00DE219B"/>
    <w:rsid w:val="00DE2E3E"/>
    <w:rsid w:val="00DE3F82"/>
    <w:rsid w:val="00DE417B"/>
    <w:rsid w:val="00DE45E1"/>
    <w:rsid w:val="00DE47AE"/>
    <w:rsid w:val="00DE4813"/>
    <w:rsid w:val="00DE4FC8"/>
    <w:rsid w:val="00DE5341"/>
    <w:rsid w:val="00DE56A6"/>
    <w:rsid w:val="00DE5D58"/>
    <w:rsid w:val="00DE668C"/>
    <w:rsid w:val="00DE6814"/>
    <w:rsid w:val="00DE6842"/>
    <w:rsid w:val="00DE7253"/>
    <w:rsid w:val="00DE74EE"/>
    <w:rsid w:val="00DE775D"/>
    <w:rsid w:val="00DE7C23"/>
    <w:rsid w:val="00DF0050"/>
    <w:rsid w:val="00DF0697"/>
    <w:rsid w:val="00DF0E15"/>
    <w:rsid w:val="00DF0ED4"/>
    <w:rsid w:val="00DF0FE4"/>
    <w:rsid w:val="00DF1712"/>
    <w:rsid w:val="00DF1EA1"/>
    <w:rsid w:val="00DF2181"/>
    <w:rsid w:val="00DF21FF"/>
    <w:rsid w:val="00DF2353"/>
    <w:rsid w:val="00DF23CE"/>
    <w:rsid w:val="00DF23E8"/>
    <w:rsid w:val="00DF2F99"/>
    <w:rsid w:val="00DF3289"/>
    <w:rsid w:val="00DF33A3"/>
    <w:rsid w:val="00DF34DE"/>
    <w:rsid w:val="00DF3575"/>
    <w:rsid w:val="00DF35DA"/>
    <w:rsid w:val="00DF3981"/>
    <w:rsid w:val="00DF3983"/>
    <w:rsid w:val="00DF3CA3"/>
    <w:rsid w:val="00DF4A89"/>
    <w:rsid w:val="00DF4FFF"/>
    <w:rsid w:val="00DF537A"/>
    <w:rsid w:val="00DF5B50"/>
    <w:rsid w:val="00DF6650"/>
    <w:rsid w:val="00DF6654"/>
    <w:rsid w:val="00DF6D2F"/>
    <w:rsid w:val="00DF74AF"/>
    <w:rsid w:val="00DF74DD"/>
    <w:rsid w:val="00DF74DE"/>
    <w:rsid w:val="00DF7ED3"/>
    <w:rsid w:val="00E00985"/>
    <w:rsid w:val="00E00B45"/>
    <w:rsid w:val="00E012DF"/>
    <w:rsid w:val="00E0154C"/>
    <w:rsid w:val="00E02387"/>
    <w:rsid w:val="00E02406"/>
    <w:rsid w:val="00E02DDF"/>
    <w:rsid w:val="00E031CB"/>
    <w:rsid w:val="00E035E3"/>
    <w:rsid w:val="00E03681"/>
    <w:rsid w:val="00E04554"/>
    <w:rsid w:val="00E04EBC"/>
    <w:rsid w:val="00E056CE"/>
    <w:rsid w:val="00E057DE"/>
    <w:rsid w:val="00E0591A"/>
    <w:rsid w:val="00E05E0F"/>
    <w:rsid w:val="00E062FD"/>
    <w:rsid w:val="00E06C7D"/>
    <w:rsid w:val="00E06C8C"/>
    <w:rsid w:val="00E06E77"/>
    <w:rsid w:val="00E06FF5"/>
    <w:rsid w:val="00E105FA"/>
    <w:rsid w:val="00E109FF"/>
    <w:rsid w:val="00E1116A"/>
    <w:rsid w:val="00E11C81"/>
    <w:rsid w:val="00E11CD3"/>
    <w:rsid w:val="00E130CE"/>
    <w:rsid w:val="00E133EE"/>
    <w:rsid w:val="00E14126"/>
    <w:rsid w:val="00E14564"/>
    <w:rsid w:val="00E147FD"/>
    <w:rsid w:val="00E1573D"/>
    <w:rsid w:val="00E159D6"/>
    <w:rsid w:val="00E16786"/>
    <w:rsid w:val="00E167E8"/>
    <w:rsid w:val="00E16EBD"/>
    <w:rsid w:val="00E170E0"/>
    <w:rsid w:val="00E17D9B"/>
    <w:rsid w:val="00E20921"/>
    <w:rsid w:val="00E20937"/>
    <w:rsid w:val="00E209D5"/>
    <w:rsid w:val="00E20E81"/>
    <w:rsid w:val="00E20E88"/>
    <w:rsid w:val="00E21FD9"/>
    <w:rsid w:val="00E2201C"/>
    <w:rsid w:val="00E22220"/>
    <w:rsid w:val="00E2367E"/>
    <w:rsid w:val="00E236A2"/>
    <w:rsid w:val="00E23AF5"/>
    <w:rsid w:val="00E241B9"/>
    <w:rsid w:val="00E24224"/>
    <w:rsid w:val="00E24616"/>
    <w:rsid w:val="00E24935"/>
    <w:rsid w:val="00E24A09"/>
    <w:rsid w:val="00E25024"/>
    <w:rsid w:val="00E256EA"/>
    <w:rsid w:val="00E26329"/>
    <w:rsid w:val="00E263BE"/>
    <w:rsid w:val="00E26DD7"/>
    <w:rsid w:val="00E272BD"/>
    <w:rsid w:val="00E30267"/>
    <w:rsid w:val="00E30833"/>
    <w:rsid w:val="00E30A29"/>
    <w:rsid w:val="00E311AF"/>
    <w:rsid w:val="00E3122B"/>
    <w:rsid w:val="00E313DD"/>
    <w:rsid w:val="00E314B0"/>
    <w:rsid w:val="00E31784"/>
    <w:rsid w:val="00E317CB"/>
    <w:rsid w:val="00E3233E"/>
    <w:rsid w:val="00E3290C"/>
    <w:rsid w:val="00E32B4E"/>
    <w:rsid w:val="00E32EDB"/>
    <w:rsid w:val="00E3351B"/>
    <w:rsid w:val="00E33ABC"/>
    <w:rsid w:val="00E33B2D"/>
    <w:rsid w:val="00E341DE"/>
    <w:rsid w:val="00E346B9"/>
    <w:rsid w:val="00E348C6"/>
    <w:rsid w:val="00E34A1F"/>
    <w:rsid w:val="00E34C44"/>
    <w:rsid w:val="00E34DEC"/>
    <w:rsid w:val="00E3515C"/>
    <w:rsid w:val="00E35688"/>
    <w:rsid w:val="00E35A0B"/>
    <w:rsid w:val="00E36020"/>
    <w:rsid w:val="00E362CD"/>
    <w:rsid w:val="00E365CA"/>
    <w:rsid w:val="00E36D26"/>
    <w:rsid w:val="00E36DAB"/>
    <w:rsid w:val="00E36E3E"/>
    <w:rsid w:val="00E37034"/>
    <w:rsid w:val="00E4062F"/>
    <w:rsid w:val="00E40821"/>
    <w:rsid w:val="00E41F13"/>
    <w:rsid w:val="00E41F4D"/>
    <w:rsid w:val="00E42343"/>
    <w:rsid w:val="00E4244D"/>
    <w:rsid w:val="00E4268C"/>
    <w:rsid w:val="00E429D9"/>
    <w:rsid w:val="00E42C1E"/>
    <w:rsid w:val="00E4368E"/>
    <w:rsid w:val="00E43BF4"/>
    <w:rsid w:val="00E43C04"/>
    <w:rsid w:val="00E44018"/>
    <w:rsid w:val="00E4477B"/>
    <w:rsid w:val="00E4479D"/>
    <w:rsid w:val="00E44882"/>
    <w:rsid w:val="00E448AC"/>
    <w:rsid w:val="00E44CCC"/>
    <w:rsid w:val="00E44DEE"/>
    <w:rsid w:val="00E4514A"/>
    <w:rsid w:val="00E4627A"/>
    <w:rsid w:val="00E46C94"/>
    <w:rsid w:val="00E46E4E"/>
    <w:rsid w:val="00E47828"/>
    <w:rsid w:val="00E479D2"/>
    <w:rsid w:val="00E47EAF"/>
    <w:rsid w:val="00E50205"/>
    <w:rsid w:val="00E50886"/>
    <w:rsid w:val="00E50C0D"/>
    <w:rsid w:val="00E50E4B"/>
    <w:rsid w:val="00E515DA"/>
    <w:rsid w:val="00E5190B"/>
    <w:rsid w:val="00E51939"/>
    <w:rsid w:val="00E51D00"/>
    <w:rsid w:val="00E51D54"/>
    <w:rsid w:val="00E51D6B"/>
    <w:rsid w:val="00E51E2F"/>
    <w:rsid w:val="00E51F37"/>
    <w:rsid w:val="00E520B6"/>
    <w:rsid w:val="00E520FE"/>
    <w:rsid w:val="00E52B97"/>
    <w:rsid w:val="00E52E83"/>
    <w:rsid w:val="00E53072"/>
    <w:rsid w:val="00E5330A"/>
    <w:rsid w:val="00E53AEC"/>
    <w:rsid w:val="00E53CAD"/>
    <w:rsid w:val="00E54980"/>
    <w:rsid w:val="00E54C2C"/>
    <w:rsid w:val="00E551DD"/>
    <w:rsid w:val="00E5559F"/>
    <w:rsid w:val="00E55BBC"/>
    <w:rsid w:val="00E55C72"/>
    <w:rsid w:val="00E561CA"/>
    <w:rsid w:val="00E5623F"/>
    <w:rsid w:val="00E56DD9"/>
    <w:rsid w:val="00E57143"/>
    <w:rsid w:val="00E57F70"/>
    <w:rsid w:val="00E60A00"/>
    <w:rsid w:val="00E61005"/>
    <w:rsid w:val="00E6193D"/>
    <w:rsid w:val="00E61B76"/>
    <w:rsid w:val="00E61F88"/>
    <w:rsid w:val="00E62398"/>
    <w:rsid w:val="00E623FA"/>
    <w:rsid w:val="00E6243E"/>
    <w:rsid w:val="00E62A97"/>
    <w:rsid w:val="00E636F0"/>
    <w:rsid w:val="00E637F8"/>
    <w:rsid w:val="00E63C6A"/>
    <w:rsid w:val="00E63CC5"/>
    <w:rsid w:val="00E6403F"/>
    <w:rsid w:val="00E64923"/>
    <w:rsid w:val="00E655D4"/>
    <w:rsid w:val="00E65887"/>
    <w:rsid w:val="00E6686C"/>
    <w:rsid w:val="00E672F0"/>
    <w:rsid w:val="00E679A6"/>
    <w:rsid w:val="00E70102"/>
    <w:rsid w:val="00E70108"/>
    <w:rsid w:val="00E705CE"/>
    <w:rsid w:val="00E70B0C"/>
    <w:rsid w:val="00E70BF8"/>
    <w:rsid w:val="00E70CF2"/>
    <w:rsid w:val="00E70E2B"/>
    <w:rsid w:val="00E71214"/>
    <w:rsid w:val="00E7123D"/>
    <w:rsid w:val="00E7180F"/>
    <w:rsid w:val="00E7186F"/>
    <w:rsid w:val="00E726D5"/>
    <w:rsid w:val="00E72CD0"/>
    <w:rsid w:val="00E72DD7"/>
    <w:rsid w:val="00E740EF"/>
    <w:rsid w:val="00E7417F"/>
    <w:rsid w:val="00E74B05"/>
    <w:rsid w:val="00E74EB2"/>
    <w:rsid w:val="00E75FB1"/>
    <w:rsid w:val="00E7606D"/>
    <w:rsid w:val="00E76218"/>
    <w:rsid w:val="00E77B99"/>
    <w:rsid w:val="00E77EFE"/>
    <w:rsid w:val="00E80303"/>
    <w:rsid w:val="00E803EB"/>
    <w:rsid w:val="00E804F3"/>
    <w:rsid w:val="00E806C8"/>
    <w:rsid w:val="00E8128A"/>
    <w:rsid w:val="00E81507"/>
    <w:rsid w:val="00E81AA2"/>
    <w:rsid w:val="00E81B7E"/>
    <w:rsid w:val="00E81D31"/>
    <w:rsid w:val="00E834BB"/>
    <w:rsid w:val="00E838A9"/>
    <w:rsid w:val="00E83DD0"/>
    <w:rsid w:val="00E84409"/>
    <w:rsid w:val="00E84513"/>
    <w:rsid w:val="00E845AF"/>
    <w:rsid w:val="00E84B27"/>
    <w:rsid w:val="00E84CC3"/>
    <w:rsid w:val="00E84CDC"/>
    <w:rsid w:val="00E854D5"/>
    <w:rsid w:val="00E85505"/>
    <w:rsid w:val="00E85513"/>
    <w:rsid w:val="00E856BC"/>
    <w:rsid w:val="00E856E0"/>
    <w:rsid w:val="00E85A7F"/>
    <w:rsid w:val="00E85E50"/>
    <w:rsid w:val="00E8620E"/>
    <w:rsid w:val="00E8645C"/>
    <w:rsid w:val="00E864ED"/>
    <w:rsid w:val="00E86530"/>
    <w:rsid w:val="00E86CA9"/>
    <w:rsid w:val="00E8706C"/>
    <w:rsid w:val="00E876C2"/>
    <w:rsid w:val="00E87A11"/>
    <w:rsid w:val="00E87C0C"/>
    <w:rsid w:val="00E87CB3"/>
    <w:rsid w:val="00E90469"/>
    <w:rsid w:val="00E90475"/>
    <w:rsid w:val="00E90786"/>
    <w:rsid w:val="00E90D23"/>
    <w:rsid w:val="00E90E0F"/>
    <w:rsid w:val="00E90FF7"/>
    <w:rsid w:val="00E910EB"/>
    <w:rsid w:val="00E913EA"/>
    <w:rsid w:val="00E919BC"/>
    <w:rsid w:val="00E920D9"/>
    <w:rsid w:val="00E921B1"/>
    <w:rsid w:val="00E924BB"/>
    <w:rsid w:val="00E92754"/>
    <w:rsid w:val="00E92A20"/>
    <w:rsid w:val="00E93658"/>
    <w:rsid w:val="00E93C1A"/>
    <w:rsid w:val="00E9429D"/>
    <w:rsid w:val="00E94B58"/>
    <w:rsid w:val="00E94D96"/>
    <w:rsid w:val="00E9523D"/>
    <w:rsid w:val="00E9631A"/>
    <w:rsid w:val="00E96880"/>
    <w:rsid w:val="00E97337"/>
    <w:rsid w:val="00EA0072"/>
    <w:rsid w:val="00EA060F"/>
    <w:rsid w:val="00EA0AD1"/>
    <w:rsid w:val="00EA1756"/>
    <w:rsid w:val="00EA1F90"/>
    <w:rsid w:val="00EA22F8"/>
    <w:rsid w:val="00EA28C2"/>
    <w:rsid w:val="00EA2961"/>
    <w:rsid w:val="00EA2E90"/>
    <w:rsid w:val="00EA3062"/>
    <w:rsid w:val="00EA321F"/>
    <w:rsid w:val="00EA3B56"/>
    <w:rsid w:val="00EA3FCB"/>
    <w:rsid w:val="00EA4139"/>
    <w:rsid w:val="00EA5ADF"/>
    <w:rsid w:val="00EA5F28"/>
    <w:rsid w:val="00EA628F"/>
    <w:rsid w:val="00EA6428"/>
    <w:rsid w:val="00EA65E4"/>
    <w:rsid w:val="00EA67F7"/>
    <w:rsid w:val="00EA6A59"/>
    <w:rsid w:val="00EA6DD4"/>
    <w:rsid w:val="00EA701F"/>
    <w:rsid w:val="00EA71C4"/>
    <w:rsid w:val="00EA722F"/>
    <w:rsid w:val="00EA7353"/>
    <w:rsid w:val="00EA755B"/>
    <w:rsid w:val="00EA79B8"/>
    <w:rsid w:val="00EA7BE2"/>
    <w:rsid w:val="00EA7CA7"/>
    <w:rsid w:val="00EB0F53"/>
    <w:rsid w:val="00EB13C9"/>
    <w:rsid w:val="00EB186C"/>
    <w:rsid w:val="00EB1A02"/>
    <w:rsid w:val="00EB2BB6"/>
    <w:rsid w:val="00EB2C60"/>
    <w:rsid w:val="00EB361C"/>
    <w:rsid w:val="00EB3B10"/>
    <w:rsid w:val="00EB3C47"/>
    <w:rsid w:val="00EB4C0F"/>
    <w:rsid w:val="00EB5112"/>
    <w:rsid w:val="00EB55DE"/>
    <w:rsid w:val="00EB58EF"/>
    <w:rsid w:val="00EB5A94"/>
    <w:rsid w:val="00EB5B69"/>
    <w:rsid w:val="00EB5ED7"/>
    <w:rsid w:val="00EB62A9"/>
    <w:rsid w:val="00EB64E6"/>
    <w:rsid w:val="00EB6B17"/>
    <w:rsid w:val="00EB710D"/>
    <w:rsid w:val="00EB7575"/>
    <w:rsid w:val="00EB7580"/>
    <w:rsid w:val="00EB7745"/>
    <w:rsid w:val="00EB7AF7"/>
    <w:rsid w:val="00EC0954"/>
    <w:rsid w:val="00EC0F09"/>
    <w:rsid w:val="00EC1735"/>
    <w:rsid w:val="00EC1A94"/>
    <w:rsid w:val="00EC1D1E"/>
    <w:rsid w:val="00EC1DCF"/>
    <w:rsid w:val="00EC21EF"/>
    <w:rsid w:val="00EC2331"/>
    <w:rsid w:val="00EC2355"/>
    <w:rsid w:val="00EC2BE6"/>
    <w:rsid w:val="00EC2E38"/>
    <w:rsid w:val="00EC2F9D"/>
    <w:rsid w:val="00EC3105"/>
    <w:rsid w:val="00EC3DE9"/>
    <w:rsid w:val="00EC43AF"/>
    <w:rsid w:val="00EC457F"/>
    <w:rsid w:val="00EC4AE1"/>
    <w:rsid w:val="00EC4BA7"/>
    <w:rsid w:val="00EC54BA"/>
    <w:rsid w:val="00EC58D6"/>
    <w:rsid w:val="00EC5EC3"/>
    <w:rsid w:val="00EC6443"/>
    <w:rsid w:val="00EC6FB8"/>
    <w:rsid w:val="00ED00F0"/>
    <w:rsid w:val="00ED028F"/>
    <w:rsid w:val="00ED0763"/>
    <w:rsid w:val="00ED12BF"/>
    <w:rsid w:val="00ED1FC8"/>
    <w:rsid w:val="00ED1FE5"/>
    <w:rsid w:val="00ED211E"/>
    <w:rsid w:val="00ED2196"/>
    <w:rsid w:val="00ED226D"/>
    <w:rsid w:val="00ED24A8"/>
    <w:rsid w:val="00ED2931"/>
    <w:rsid w:val="00ED2A26"/>
    <w:rsid w:val="00ED2B87"/>
    <w:rsid w:val="00ED2E90"/>
    <w:rsid w:val="00ED374E"/>
    <w:rsid w:val="00ED37FD"/>
    <w:rsid w:val="00ED3E2B"/>
    <w:rsid w:val="00ED3EDD"/>
    <w:rsid w:val="00ED40CF"/>
    <w:rsid w:val="00ED43EF"/>
    <w:rsid w:val="00ED4423"/>
    <w:rsid w:val="00ED4AE4"/>
    <w:rsid w:val="00ED4DDF"/>
    <w:rsid w:val="00ED539D"/>
    <w:rsid w:val="00ED5478"/>
    <w:rsid w:val="00ED5910"/>
    <w:rsid w:val="00ED5D38"/>
    <w:rsid w:val="00ED61D7"/>
    <w:rsid w:val="00ED7B7A"/>
    <w:rsid w:val="00EE04C3"/>
    <w:rsid w:val="00EE06E7"/>
    <w:rsid w:val="00EE0731"/>
    <w:rsid w:val="00EE0ED3"/>
    <w:rsid w:val="00EE1236"/>
    <w:rsid w:val="00EE1469"/>
    <w:rsid w:val="00EE18CA"/>
    <w:rsid w:val="00EE1CEE"/>
    <w:rsid w:val="00EE1EB6"/>
    <w:rsid w:val="00EE1F54"/>
    <w:rsid w:val="00EE20C9"/>
    <w:rsid w:val="00EE2229"/>
    <w:rsid w:val="00EE28BB"/>
    <w:rsid w:val="00EE2948"/>
    <w:rsid w:val="00EE2DBE"/>
    <w:rsid w:val="00EE2FF4"/>
    <w:rsid w:val="00EE37AA"/>
    <w:rsid w:val="00EE457B"/>
    <w:rsid w:val="00EE4BA2"/>
    <w:rsid w:val="00EE5248"/>
    <w:rsid w:val="00EE53BE"/>
    <w:rsid w:val="00EE546B"/>
    <w:rsid w:val="00EE5726"/>
    <w:rsid w:val="00EE618A"/>
    <w:rsid w:val="00EE6729"/>
    <w:rsid w:val="00EE677F"/>
    <w:rsid w:val="00EE6B72"/>
    <w:rsid w:val="00EE6E74"/>
    <w:rsid w:val="00EE715F"/>
    <w:rsid w:val="00EE7333"/>
    <w:rsid w:val="00EE7A4B"/>
    <w:rsid w:val="00EF0C4B"/>
    <w:rsid w:val="00EF14B6"/>
    <w:rsid w:val="00EF1777"/>
    <w:rsid w:val="00EF19CA"/>
    <w:rsid w:val="00EF1A9B"/>
    <w:rsid w:val="00EF1C82"/>
    <w:rsid w:val="00EF2872"/>
    <w:rsid w:val="00EF2975"/>
    <w:rsid w:val="00EF2A70"/>
    <w:rsid w:val="00EF37FE"/>
    <w:rsid w:val="00EF3D37"/>
    <w:rsid w:val="00EF3EA1"/>
    <w:rsid w:val="00EF41AD"/>
    <w:rsid w:val="00EF49F2"/>
    <w:rsid w:val="00EF5A98"/>
    <w:rsid w:val="00EF6661"/>
    <w:rsid w:val="00F0042D"/>
    <w:rsid w:val="00F005EB"/>
    <w:rsid w:val="00F007BF"/>
    <w:rsid w:val="00F00FAE"/>
    <w:rsid w:val="00F02063"/>
    <w:rsid w:val="00F0232F"/>
    <w:rsid w:val="00F02BE1"/>
    <w:rsid w:val="00F03329"/>
    <w:rsid w:val="00F039C6"/>
    <w:rsid w:val="00F05118"/>
    <w:rsid w:val="00F0538E"/>
    <w:rsid w:val="00F05594"/>
    <w:rsid w:val="00F0632E"/>
    <w:rsid w:val="00F07205"/>
    <w:rsid w:val="00F07445"/>
    <w:rsid w:val="00F07B72"/>
    <w:rsid w:val="00F104B4"/>
    <w:rsid w:val="00F10968"/>
    <w:rsid w:val="00F11079"/>
    <w:rsid w:val="00F111C2"/>
    <w:rsid w:val="00F120AC"/>
    <w:rsid w:val="00F122CC"/>
    <w:rsid w:val="00F124EC"/>
    <w:rsid w:val="00F12502"/>
    <w:rsid w:val="00F12EE5"/>
    <w:rsid w:val="00F136D4"/>
    <w:rsid w:val="00F13B4A"/>
    <w:rsid w:val="00F13C40"/>
    <w:rsid w:val="00F13D90"/>
    <w:rsid w:val="00F13EB2"/>
    <w:rsid w:val="00F13FAD"/>
    <w:rsid w:val="00F14039"/>
    <w:rsid w:val="00F142CA"/>
    <w:rsid w:val="00F14604"/>
    <w:rsid w:val="00F1496E"/>
    <w:rsid w:val="00F15933"/>
    <w:rsid w:val="00F15B48"/>
    <w:rsid w:val="00F15BE3"/>
    <w:rsid w:val="00F15EB5"/>
    <w:rsid w:val="00F15EDA"/>
    <w:rsid w:val="00F15F28"/>
    <w:rsid w:val="00F1606B"/>
    <w:rsid w:val="00F16F23"/>
    <w:rsid w:val="00F16FD7"/>
    <w:rsid w:val="00F177CD"/>
    <w:rsid w:val="00F1799D"/>
    <w:rsid w:val="00F17CF7"/>
    <w:rsid w:val="00F2035F"/>
    <w:rsid w:val="00F20674"/>
    <w:rsid w:val="00F20F50"/>
    <w:rsid w:val="00F21374"/>
    <w:rsid w:val="00F2166A"/>
    <w:rsid w:val="00F21E53"/>
    <w:rsid w:val="00F22E24"/>
    <w:rsid w:val="00F22F9F"/>
    <w:rsid w:val="00F230A9"/>
    <w:rsid w:val="00F2402F"/>
    <w:rsid w:val="00F2409B"/>
    <w:rsid w:val="00F24BAA"/>
    <w:rsid w:val="00F2500B"/>
    <w:rsid w:val="00F263EF"/>
    <w:rsid w:val="00F26675"/>
    <w:rsid w:val="00F27950"/>
    <w:rsid w:val="00F27995"/>
    <w:rsid w:val="00F27A29"/>
    <w:rsid w:val="00F30829"/>
    <w:rsid w:val="00F30E96"/>
    <w:rsid w:val="00F31377"/>
    <w:rsid w:val="00F31716"/>
    <w:rsid w:val="00F318C2"/>
    <w:rsid w:val="00F31E6B"/>
    <w:rsid w:val="00F32806"/>
    <w:rsid w:val="00F328D6"/>
    <w:rsid w:val="00F3308B"/>
    <w:rsid w:val="00F33DF5"/>
    <w:rsid w:val="00F33F95"/>
    <w:rsid w:val="00F340BC"/>
    <w:rsid w:val="00F344E4"/>
    <w:rsid w:val="00F34D98"/>
    <w:rsid w:val="00F35754"/>
    <w:rsid w:val="00F35836"/>
    <w:rsid w:val="00F35A5F"/>
    <w:rsid w:val="00F35FD8"/>
    <w:rsid w:val="00F363F5"/>
    <w:rsid w:val="00F369B3"/>
    <w:rsid w:val="00F36A5C"/>
    <w:rsid w:val="00F36F87"/>
    <w:rsid w:val="00F37244"/>
    <w:rsid w:val="00F379BF"/>
    <w:rsid w:val="00F403B0"/>
    <w:rsid w:val="00F4082E"/>
    <w:rsid w:val="00F40A07"/>
    <w:rsid w:val="00F40A7B"/>
    <w:rsid w:val="00F40F25"/>
    <w:rsid w:val="00F410E0"/>
    <w:rsid w:val="00F419EF"/>
    <w:rsid w:val="00F41FBB"/>
    <w:rsid w:val="00F42410"/>
    <w:rsid w:val="00F4396C"/>
    <w:rsid w:val="00F43F5F"/>
    <w:rsid w:val="00F44163"/>
    <w:rsid w:val="00F44181"/>
    <w:rsid w:val="00F443C0"/>
    <w:rsid w:val="00F444A5"/>
    <w:rsid w:val="00F44D75"/>
    <w:rsid w:val="00F45117"/>
    <w:rsid w:val="00F45E23"/>
    <w:rsid w:val="00F46DA8"/>
    <w:rsid w:val="00F4774B"/>
    <w:rsid w:val="00F47BE8"/>
    <w:rsid w:val="00F5048F"/>
    <w:rsid w:val="00F50532"/>
    <w:rsid w:val="00F513F3"/>
    <w:rsid w:val="00F51692"/>
    <w:rsid w:val="00F5173B"/>
    <w:rsid w:val="00F52624"/>
    <w:rsid w:val="00F52659"/>
    <w:rsid w:val="00F52C72"/>
    <w:rsid w:val="00F53FC8"/>
    <w:rsid w:val="00F54053"/>
    <w:rsid w:val="00F548AC"/>
    <w:rsid w:val="00F54FDB"/>
    <w:rsid w:val="00F554EF"/>
    <w:rsid w:val="00F55A09"/>
    <w:rsid w:val="00F55B00"/>
    <w:rsid w:val="00F55EC6"/>
    <w:rsid w:val="00F561D9"/>
    <w:rsid w:val="00F56CAD"/>
    <w:rsid w:val="00F570B6"/>
    <w:rsid w:val="00F57C10"/>
    <w:rsid w:val="00F601D7"/>
    <w:rsid w:val="00F602E1"/>
    <w:rsid w:val="00F604A4"/>
    <w:rsid w:val="00F61A36"/>
    <w:rsid w:val="00F61EDB"/>
    <w:rsid w:val="00F61FE3"/>
    <w:rsid w:val="00F6207E"/>
    <w:rsid w:val="00F62465"/>
    <w:rsid w:val="00F62925"/>
    <w:rsid w:val="00F638B1"/>
    <w:rsid w:val="00F63E63"/>
    <w:rsid w:val="00F63FE9"/>
    <w:rsid w:val="00F6420F"/>
    <w:rsid w:val="00F64331"/>
    <w:rsid w:val="00F6434B"/>
    <w:rsid w:val="00F64378"/>
    <w:rsid w:val="00F64816"/>
    <w:rsid w:val="00F648C6"/>
    <w:rsid w:val="00F64DB4"/>
    <w:rsid w:val="00F652DA"/>
    <w:rsid w:val="00F655E0"/>
    <w:rsid w:val="00F65EDF"/>
    <w:rsid w:val="00F65FBD"/>
    <w:rsid w:val="00F66914"/>
    <w:rsid w:val="00F66CC6"/>
    <w:rsid w:val="00F67217"/>
    <w:rsid w:val="00F67D16"/>
    <w:rsid w:val="00F70527"/>
    <w:rsid w:val="00F70800"/>
    <w:rsid w:val="00F70CF2"/>
    <w:rsid w:val="00F71215"/>
    <w:rsid w:val="00F7162A"/>
    <w:rsid w:val="00F71CD8"/>
    <w:rsid w:val="00F722B4"/>
    <w:rsid w:val="00F72686"/>
    <w:rsid w:val="00F72734"/>
    <w:rsid w:val="00F72A55"/>
    <w:rsid w:val="00F72D28"/>
    <w:rsid w:val="00F72DE4"/>
    <w:rsid w:val="00F72E23"/>
    <w:rsid w:val="00F72EB4"/>
    <w:rsid w:val="00F7387D"/>
    <w:rsid w:val="00F74AD2"/>
    <w:rsid w:val="00F74FD2"/>
    <w:rsid w:val="00F75308"/>
    <w:rsid w:val="00F76475"/>
    <w:rsid w:val="00F76756"/>
    <w:rsid w:val="00F76836"/>
    <w:rsid w:val="00F77132"/>
    <w:rsid w:val="00F7723F"/>
    <w:rsid w:val="00F772FB"/>
    <w:rsid w:val="00F77792"/>
    <w:rsid w:val="00F77A31"/>
    <w:rsid w:val="00F77BFE"/>
    <w:rsid w:val="00F77F37"/>
    <w:rsid w:val="00F8006F"/>
    <w:rsid w:val="00F80125"/>
    <w:rsid w:val="00F80302"/>
    <w:rsid w:val="00F80FE8"/>
    <w:rsid w:val="00F8149E"/>
    <w:rsid w:val="00F8179A"/>
    <w:rsid w:val="00F82338"/>
    <w:rsid w:val="00F82775"/>
    <w:rsid w:val="00F82BF3"/>
    <w:rsid w:val="00F82F4F"/>
    <w:rsid w:val="00F834F4"/>
    <w:rsid w:val="00F8350E"/>
    <w:rsid w:val="00F8363C"/>
    <w:rsid w:val="00F84176"/>
    <w:rsid w:val="00F849BD"/>
    <w:rsid w:val="00F84E92"/>
    <w:rsid w:val="00F84F90"/>
    <w:rsid w:val="00F85094"/>
    <w:rsid w:val="00F85E41"/>
    <w:rsid w:val="00F85F94"/>
    <w:rsid w:val="00F85F9E"/>
    <w:rsid w:val="00F8630A"/>
    <w:rsid w:val="00F8644F"/>
    <w:rsid w:val="00F86583"/>
    <w:rsid w:val="00F86C7A"/>
    <w:rsid w:val="00F86EBE"/>
    <w:rsid w:val="00F8715F"/>
    <w:rsid w:val="00F87246"/>
    <w:rsid w:val="00F87357"/>
    <w:rsid w:val="00F874B4"/>
    <w:rsid w:val="00F87809"/>
    <w:rsid w:val="00F904D8"/>
    <w:rsid w:val="00F9056C"/>
    <w:rsid w:val="00F90C85"/>
    <w:rsid w:val="00F916A1"/>
    <w:rsid w:val="00F91DD0"/>
    <w:rsid w:val="00F91E0C"/>
    <w:rsid w:val="00F92812"/>
    <w:rsid w:val="00F92CE6"/>
    <w:rsid w:val="00F9318C"/>
    <w:rsid w:val="00F93468"/>
    <w:rsid w:val="00F93538"/>
    <w:rsid w:val="00F93607"/>
    <w:rsid w:val="00F93745"/>
    <w:rsid w:val="00F93E3C"/>
    <w:rsid w:val="00F93FF5"/>
    <w:rsid w:val="00F9444E"/>
    <w:rsid w:val="00F944C6"/>
    <w:rsid w:val="00F94EA2"/>
    <w:rsid w:val="00F95576"/>
    <w:rsid w:val="00F95DC3"/>
    <w:rsid w:val="00F961EC"/>
    <w:rsid w:val="00F964C6"/>
    <w:rsid w:val="00F96655"/>
    <w:rsid w:val="00F96838"/>
    <w:rsid w:val="00F96975"/>
    <w:rsid w:val="00F96E63"/>
    <w:rsid w:val="00F97AB1"/>
    <w:rsid w:val="00F97C6D"/>
    <w:rsid w:val="00F97F63"/>
    <w:rsid w:val="00FA0BF8"/>
    <w:rsid w:val="00FA140D"/>
    <w:rsid w:val="00FA17C3"/>
    <w:rsid w:val="00FA1BCE"/>
    <w:rsid w:val="00FA20E5"/>
    <w:rsid w:val="00FA2B5B"/>
    <w:rsid w:val="00FA2DC4"/>
    <w:rsid w:val="00FA2DD5"/>
    <w:rsid w:val="00FA3C4B"/>
    <w:rsid w:val="00FA3FA8"/>
    <w:rsid w:val="00FA54F1"/>
    <w:rsid w:val="00FA557A"/>
    <w:rsid w:val="00FA5972"/>
    <w:rsid w:val="00FA64D9"/>
    <w:rsid w:val="00FA6EBE"/>
    <w:rsid w:val="00FA6F3E"/>
    <w:rsid w:val="00FA770E"/>
    <w:rsid w:val="00FA7AF5"/>
    <w:rsid w:val="00FA7B85"/>
    <w:rsid w:val="00FB0031"/>
    <w:rsid w:val="00FB194A"/>
    <w:rsid w:val="00FB1A9E"/>
    <w:rsid w:val="00FB1B54"/>
    <w:rsid w:val="00FB1B8B"/>
    <w:rsid w:val="00FB2271"/>
    <w:rsid w:val="00FB256E"/>
    <w:rsid w:val="00FB268E"/>
    <w:rsid w:val="00FB3685"/>
    <w:rsid w:val="00FB3A4C"/>
    <w:rsid w:val="00FB4DF9"/>
    <w:rsid w:val="00FB52FA"/>
    <w:rsid w:val="00FB55C4"/>
    <w:rsid w:val="00FB5797"/>
    <w:rsid w:val="00FB6095"/>
    <w:rsid w:val="00FB60B8"/>
    <w:rsid w:val="00FB6431"/>
    <w:rsid w:val="00FB790C"/>
    <w:rsid w:val="00FB7ACF"/>
    <w:rsid w:val="00FC0160"/>
    <w:rsid w:val="00FC0441"/>
    <w:rsid w:val="00FC04F7"/>
    <w:rsid w:val="00FC09E9"/>
    <w:rsid w:val="00FC107F"/>
    <w:rsid w:val="00FC1CEF"/>
    <w:rsid w:val="00FC2633"/>
    <w:rsid w:val="00FC30CD"/>
    <w:rsid w:val="00FC3C09"/>
    <w:rsid w:val="00FC47F0"/>
    <w:rsid w:val="00FC4BE4"/>
    <w:rsid w:val="00FC4C40"/>
    <w:rsid w:val="00FC528D"/>
    <w:rsid w:val="00FC5A54"/>
    <w:rsid w:val="00FC5AEA"/>
    <w:rsid w:val="00FC6486"/>
    <w:rsid w:val="00FC6B20"/>
    <w:rsid w:val="00FC6F80"/>
    <w:rsid w:val="00FC733B"/>
    <w:rsid w:val="00FC74D9"/>
    <w:rsid w:val="00FC766C"/>
    <w:rsid w:val="00FC77A8"/>
    <w:rsid w:val="00FC7DE9"/>
    <w:rsid w:val="00FD019B"/>
    <w:rsid w:val="00FD0A3F"/>
    <w:rsid w:val="00FD0A5F"/>
    <w:rsid w:val="00FD0A72"/>
    <w:rsid w:val="00FD0AE5"/>
    <w:rsid w:val="00FD0CDF"/>
    <w:rsid w:val="00FD0F30"/>
    <w:rsid w:val="00FD12AB"/>
    <w:rsid w:val="00FD1386"/>
    <w:rsid w:val="00FD1855"/>
    <w:rsid w:val="00FD1C6B"/>
    <w:rsid w:val="00FD1E7B"/>
    <w:rsid w:val="00FD1F8A"/>
    <w:rsid w:val="00FD26D4"/>
    <w:rsid w:val="00FD2C0E"/>
    <w:rsid w:val="00FD34E1"/>
    <w:rsid w:val="00FD34ED"/>
    <w:rsid w:val="00FD40F4"/>
    <w:rsid w:val="00FD44B7"/>
    <w:rsid w:val="00FD44C6"/>
    <w:rsid w:val="00FD5519"/>
    <w:rsid w:val="00FD5667"/>
    <w:rsid w:val="00FD5B0F"/>
    <w:rsid w:val="00FD5BE2"/>
    <w:rsid w:val="00FD5BF3"/>
    <w:rsid w:val="00FD5D2F"/>
    <w:rsid w:val="00FD5D3F"/>
    <w:rsid w:val="00FD5E63"/>
    <w:rsid w:val="00FD61BA"/>
    <w:rsid w:val="00FD6CB4"/>
    <w:rsid w:val="00FD6F37"/>
    <w:rsid w:val="00FD714A"/>
    <w:rsid w:val="00FD755F"/>
    <w:rsid w:val="00FD76A7"/>
    <w:rsid w:val="00FD77B2"/>
    <w:rsid w:val="00FE00B6"/>
    <w:rsid w:val="00FE01B4"/>
    <w:rsid w:val="00FE040C"/>
    <w:rsid w:val="00FE06B7"/>
    <w:rsid w:val="00FE0797"/>
    <w:rsid w:val="00FE2E06"/>
    <w:rsid w:val="00FE316E"/>
    <w:rsid w:val="00FE3586"/>
    <w:rsid w:val="00FE360B"/>
    <w:rsid w:val="00FE3A52"/>
    <w:rsid w:val="00FE3D37"/>
    <w:rsid w:val="00FE4802"/>
    <w:rsid w:val="00FE5AD5"/>
    <w:rsid w:val="00FE5CF3"/>
    <w:rsid w:val="00FE6134"/>
    <w:rsid w:val="00FE63FF"/>
    <w:rsid w:val="00FE69AE"/>
    <w:rsid w:val="00FE69DA"/>
    <w:rsid w:val="00FE6AEF"/>
    <w:rsid w:val="00FE74E2"/>
    <w:rsid w:val="00FE770C"/>
    <w:rsid w:val="00FE7852"/>
    <w:rsid w:val="00FE7985"/>
    <w:rsid w:val="00FE7DA5"/>
    <w:rsid w:val="00FF008F"/>
    <w:rsid w:val="00FF036D"/>
    <w:rsid w:val="00FF09BC"/>
    <w:rsid w:val="00FF0CBA"/>
    <w:rsid w:val="00FF10CE"/>
    <w:rsid w:val="00FF1343"/>
    <w:rsid w:val="00FF1454"/>
    <w:rsid w:val="00FF14DA"/>
    <w:rsid w:val="00FF153A"/>
    <w:rsid w:val="00FF195C"/>
    <w:rsid w:val="00FF19BF"/>
    <w:rsid w:val="00FF1FC0"/>
    <w:rsid w:val="00FF2000"/>
    <w:rsid w:val="00FF287A"/>
    <w:rsid w:val="00FF38FD"/>
    <w:rsid w:val="00FF3BC1"/>
    <w:rsid w:val="00FF4817"/>
    <w:rsid w:val="00FF5328"/>
    <w:rsid w:val="00FF5714"/>
    <w:rsid w:val="00FF5F8E"/>
    <w:rsid w:val="00FF604A"/>
    <w:rsid w:val="00FF6054"/>
    <w:rsid w:val="00FF610C"/>
    <w:rsid w:val="00FF6504"/>
    <w:rsid w:val="00FF6536"/>
    <w:rsid w:val="00FF654B"/>
    <w:rsid w:val="00FF6F5C"/>
    <w:rsid w:val="00FF717A"/>
    <w:rsid w:val="00FF72AA"/>
    <w:rsid w:val="00FF759E"/>
    <w:rsid w:val="00FF7CAB"/>
    <w:rsid w:val="00FF7F2C"/>
    <w:rsid w:val="02F2DFF3"/>
    <w:rsid w:val="08344125"/>
    <w:rsid w:val="2F648685"/>
    <w:rsid w:val="3580A8C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AFCC947"/>
  <w14:defaultImageDpi w14:val="96"/>
  <w15:docId w15:val="{437C5DED-FBDA-463F-AF72-8E889B4DF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3E7"/>
    <w:pPr>
      <w:tabs>
        <w:tab w:val="left" w:pos="431"/>
      </w:tabs>
      <w:spacing w:after="100"/>
      <w:ind w:left="3"/>
      <w:jc w:val="both"/>
    </w:pPr>
    <w:rPr>
      <w:rFonts w:ascii="Tahoma" w:hAnsi="Tahoma" w:cs="Myriad Pro"/>
      <w:sz w:val="20"/>
      <w:szCs w:val="24"/>
      <w:lang w:eastAsia="de-DE"/>
    </w:rPr>
  </w:style>
  <w:style w:type="paragraph" w:styleId="Naslov10">
    <w:name w:val="heading 1"/>
    <w:basedOn w:val="Normal"/>
    <w:next w:val="Normal"/>
    <w:link w:val="Naslov1Char"/>
    <w:uiPriority w:val="9"/>
    <w:qFormat/>
    <w:rsid w:val="008129E7"/>
    <w:pPr>
      <w:keepNext/>
      <w:keepLines/>
      <w:numPr>
        <w:numId w:val="57"/>
      </w:numPr>
      <w:pBdr>
        <w:top w:val="single" w:sz="48" w:space="0" w:color="F5C1C6"/>
      </w:pBdr>
      <w:tabs>
        <w:tab w:val="clear" w:pos="431"/>
        <w:tab w:val="left" w:pos="851"/>
      </w:tabs>
      <w:suppressAutoHyphens/>
      <w:autoSpaceDE w:val="0"/>
      <w:autoSpaceDN w:val="0"/>
      <w:adjustRightInd w:val="0"/>
      <w:spacing w:after="360" w:line="240" w:lineRule="auto"/>
      <w:textAlignment w:val="center"/>
      <w:outlineLvl w:val="0"/>
    </w:pPr>
    <w:rPr>
      <w:iCs/>
      <w:caps/>
      <w:color w:val="BE1D2D"/>
      <w:position w:val="24"/>
      <w:sz w:val="48"/>
      <w:szCs w:val="48"/>
      <w:lang w:eastAsia="hr-HR"/>
    </w:rPr>
  </w:style>
  <w:style w:type="paragraph" w:styleId="Naslov20">
    <w:name w:val="heading 2"/>
    <w:basedOn w:val="Normal"/>
    <w:next w:val="Normal"/>
    <w:link w:val="Naslov2Char"/>
    <w:uiPriority w:val="9"/>
    <w:unhideWhenUsed/>
    <w:qFormat/>
    <w:rsid w:val="007649C2"/>
    <w:pPr>
      <w:keepNext/>
      <w:keepLines/>
      <w:numPr>
        <w:ilvl w:val="1"/>
        <w:numId w:val="57"/>
      </w:numPr>
      <w:tabs>
        <w:tab w:val="clear" w:pos="431"/>
        <w:tab w:val="left" w:pos="567"/>
      </w:tabs>
      <w:suppressAutoHyphens/>
      <w:autoSpaceDE w:val="0"/>
      <w:autoSpaceDN w:val="0"/>
      <w:adjustRightInd w:val="0"/>
      <w:spacing w:before="240" w:line="360" w:lineRule="atLeast"/>
      <w:ind w:left="0" w:firstLine="0"/>
      <w:textAlignment w:val="center"/>
      <w:outlineLvl w:val="1"/>
    </w:pPr>
    <w:rPr>
      <w:rFonts w:cs="Myriad Pro Cond"/>
      <w:b/>
      <w:bCs/>
      <w:smallCaps/>
      <w:color w:val="BE1D2D"/>
      <w:sz w:val="32"/>
      <w:szCs w:val="36"/>
      <w:lang w:eastAsia="hr-HR"/>
    </w:rPr>
  </w:style>
  <w:style w:type="paragraph" w:styleId="Naslov3">
    <w:name w:val="heading 3"/>
    <w:basedOn w:val="Normal"/>
    <w:next w:val="Normal"/>
    <w:link w:val="Naslov3Char"/>
    <w:uiPriority w:val="9"/>
    <w:unhideWhenUsed/>
    <w:qFormat/>
    <w:rsid w:val="00D40FF2"/>
    <w:pPr>
      <w:keepNext/>
      <w:keepLines/>
      <w:numPr>
        <w:ilvl w:val="2"/>
        <w:numId w:val="57"/>
      </w:numPr>
      <w:autoSpaceDE w:val="0"/>
      <w:autoSpaceDN w:val="0"/>
      <w:adjustRightInd w:val="0"/>
      <w:spacing w:before="240" w:line="288" w:lineRule="auto"/>
      <w:textAlignment w:val="center"/>
      <w:outlineLvl w:val="2"/>
    </w:pPr>
    <w:rPr>
      <w:b/>
      <w:bCs/>
      <w:iCs/>
      <w:color w:val="BE1D2D"/>
      <w:sz w:val="24"/>
      <w:lang w:eastAsia="hr-HR"/>
    </w:rPr>
  </w:style>
  <w:style w:type="paragraph" w:styleId="Naslov40">
    <w:name w:val="heading 4"/>
    <w:basedOn w:val="Normal"/>
    <w:next w:val="Normal"/>
    <w:link w:val="Naslov4Char"/>
    <w:uiPriority w:val="9"/>
    <w:unhideWhenUsed/>
    <w:qFormat/>
    <w:rsid w:val="00B20621"/>
    <w:pPr>
      <w:keepNext/>
      <w:keepLines/>
      <w:numPr>
        <w:ilvl w:val="3"/>
        <w:numId w:val="57"/>
      </w:numPr>
      <w:tabs>
        <w:tab w:val="left" w:pos="-284"/>
      </w:tabs>
      <w:suppressAutoHyphens/>
      <w:spacing w:before="360" w:after="240"/>
      <w:outlineLvl w:val="3"/>
    </w:pPr>
    <w:rPr>
      <w:rFonts w:cs="Times New Roman"/>
      <w:i/>
      <w:color w:val="BE1D2D"/>
      <w:kern w:val="28"/>
      <w:sz w:val="22"/>
      <w:szCs w:val="20"/>
    </w:rPr>
  </w:style>
  <w:style w:type="paragraph" w:styleId="Naslov50">
    <w:name w:val="heading 5"/>
    <w:basedOn w:val="Normal"/>
    <w:next w:val="Normal"/>
    <w:link w:val="Naslov5Char"/>
    <w:uiPriority w:val="9"/>
    <w:unhideWhenUsed/>
    <w:qFormat/>
    <w:rsid w:val="00035448"/>
    <w:pPr>
      <w:keepNext/>
      <w:keepLines/>
      <w:numPr>
        <w:ilvl w:val="4"/>
        <w:numId w:val="57"/>
      </w:numPr>
      <w:suppressAutoHyphens/>
      <w:jc w:val="center"/>
      <w:outlineLvl w:val="4"/>
    </w:pPr>
    <w:rPr>
      <w:rFonts w:eastAsiaTheme="majorEastAsia" w:cs="Tahoma"/>
      <w:color w:val="BE1D2D"/>
    </w:rPr>
  </w:style>
  <w:style w:type="paragraph" w:styleId="Naslov6">
    <w:name w:val="heading 6"/>
    <w:basedOn w:val="Naslov50"/>
    <w:next w:val="Normal"/>
    <w:link w:val="Naslov6Char"/>
    <w:uiPriority w:val="9"/>
    <w:qFormat/>
    <w:rsid w:val="00B20621"/>
    <w:pPr>
      <w:numPr>
        <w:ilvl w:val="5"/>
      </w:numPr>
      <w:tabs>
        <w:tab w:val="left" w:pos="-284"/>
      </w:tabs>
      <w:spacing w:before="360" w:after="240"/>
      <w:outlineLvl w:val="5"/>
    </w:pPr>
    <w:rPr>
      <w:rFonts w:cs="Times New Roman"/>
      <w:b/>
      <w:bCs/>
      <w:i/>
      <w:iCs/>
      <w:kern w:val="28"/>
      <w:sz w:val="26"/>
      <w:szCs w:val="20"/>
    </w:rPr>
  </w:style>
  <w:style w:type="paragraph" w:styleId="Naslov7">
    <w:name w:val="heading 7"/>
    <w:basedOn w:val="Naslov6"/>
    <w:next w:val="Normal"/>
    <w:link w:val="Naslov7Char"/>
    <w:uiPriority w:val="9"/>
    <w:qFormat/>
    <w:rsid w:val="00143CE2"/>
    <w:pPr>
      <w:numPr>
        <w:ilvl w:val="6"/>
      </w:numPr>
      <w:spacing w:before="240"/>
      <w:outlineLvl w:val="6"/>
    </w:pPr>
    <w:rPr>
      <w:szCs w:val="26"/>
    </w:rPr>
  </w:style>
  <w:style w:type="paragraph" w:styleId="Naslov8">
    <w:name w:val="heading 8"/>
    <w:basedOn w:val="Naslov7"/>
    <w:next w:val="Normal"/>
    <w:link w:val="Naslov8Char"/>
    <w:uiPriority w:val="9"/>
    <w:qFormat/>
    <w:rsid w:val="00143CE2"/>
    <w:pPr>
      <w:numPr>
        <w:ilvl w:val="7"/>
      </w:numPr>
      <w:outlineLvl w:val="7"/>
    </w:pPr>
  </w:style>
  <w:style w:type="paragraph" w:styleId="Naslov9">
    <w:name w:val="heading 9"/>
    <w:basedOn w:val="Naslov8"/>
    <w:next w:val="Normal"/>
    <w:link w:val="Naslov9Char"/>
    <w:uiPriority w:val="9"/>
    <w:qFormat/>
    <w:rsid w:val="00143CE2"/>
    <w:pPr>
      <w:numPr>
        <w:ilvl w:val="8"/>
      </w:numPr>
      <w:spacing w:after="60"/>
      <w:outlineLvl w:val="8"/>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0"/>
    <w:uiPriority w:val="9"/>
    <w:locked/>
    <w:rsid w:val="008129E7"/>
    <w:rPr>
      <w:rFonts w:ascii="Tahoma" w:hAnsi="Tahoma" w:cs="Myriad Pro"/>
      <w:iCs/>
      <w:caps/>
      <w:color w:val="BE1D2D"/>
      <w:position w:val="24"/>
      <w:sz w:val="48"/>
      <w:szCs w:val="48"/>
      <w:lang w:eastAsia="hr-HR"/>
    </w:rPr>
  </w:style>
  <w:style w:type="character" w:customStyle="1" w:styleId="Naslov2Char">
    <w:name w:val="Naslov 2 Char"/>
    <w:basedOn w:val="Zadanifontodlomka"/>
    <w:link w:val="Naslov20"/>
    <w:uiPriority w:val="9"/>
    <w:locked/>
    <w:rsid w:val="007649C2"/>
    <w:rPr>
      <w:rFonts w:ascii="Tahoma" w:hAnsi="Tahoma" w:cs="Myriad Pro Cond"/>
      <w:b/>
      <w:bCs/>
      <w:smallCaps/>
      <w:color w:val="BE1D2D"/>
      <w:sz w:val="32"/>
      <w:szCs w:val="36"/>
      <w:lang w:eastAsia="hr-HR"/>
    </w:rPr>
  </w:style>
  <w:style w:type="character" w:customStyle="1" w:styleId="Naslov3Char">
    <w:name w:val="Naslov 3 Char"/>
    <w:basedOn w:val="Zadanifontodlomka"/>
    <w:link w:val="Naslov3"/>
    <w:uiPriority w:val="9"/>
    <w:locked/>
    <w:rsid w:val="00D40FF2"/>
    <w:rPr>
      <w:rFonts w:ascii="Tahoma" w:hAnsi="Tahoma" w:cs="Myriad Pro"/>
      <w:b/>
      <w:bCs/>
      <w:iCs/>
      <w:color w:val="BE1D2D"/>
      <w:sz w:val="24"/>
      <w:szCs w:val="24"/>
      <w:lang w:eastAsia="hr-HR"/>
    </w:rPr>
  </w:style>
  <w:style w:type="character" w:customStyle="1" w:styleId="Naslov4Char">
    <w:name w:val="Naslov 4 Char"/>
    <w:basedOn w:val="Zadanifontodlomka"/>
    <w:link w:val="Naslov40"/>
    <w:uiPriority w:val="9"/>
    <w:locked/>
    <w:rsid w:val="00B20621"/>
    <w:rPr>
      <w:rFonts w:ascii="Tahoma" w:hAnsi="Tahoma" w:cs="Times New Roman"/>
      <w:i/>
      <w:color w:val="BE1D2D"/>
      <w:kern w:val="28"/>
      <w:szCs w:val="20"/>
      <w:lang w:eastAsia="de-DE"/>
    </w:rPr>
  </w:style>
  <w:style w:type="character" w:customStyle="1" w:styleId="Naslov5Char">
    <w:name w:val="Naslov 5 Char"/>
    <w:basedOn w:val="Zadanifontodlomka"/>
    <w:link w:val="Naslov50"/>
    <w:uiPriority w:val="9"/>
    <w:locked/>
    <w:rsid w:val="00035448"/>
    <w:rPr>
      <w:rFonts w:ascii="Tahoma" w:eastAsiaTheme="majorEastAsia" w:hAnsi="Tahoma" w:cs="Tahoma"/>
      <w:color w:val="BE1D2D"/>
      <w:sz w:val="20"/>
      <w:szCs w:val="24"/>
      <w:lang w:eastAsia="de-DE"/>
    </w:rPr>
  </w:style>
  <w:style w:type="character" w:customStyle="1" w:styleId="Naslov6Char">
    <w:name w:val="Naslov 6 Char"/>
    <w:basedOn w:val="Zadanifontodlomka"/>
    <w:link w:val="Naslov6"/>
    <w:uiPriority w:val="9"/>
    <w:locked/>
    <w:rsid w:val="00B20621"/>
    <w:rPr>
      <w:rFonts w:ascii="Tahoma" w:eastAsiaTheme="majorEastAsia" w:hAnsi="Tahoma" w:cs="Times New Roman"/>
      <w:b/>
      <w:bCs/>
      <w:i/>
      <w:iCs/>
      <w:color w:val="BE1D2D"/>
      <w:kern w:val="28"/>
      <w:sz w:val="26"/>
      <w:szCs w:val="20"/>
      <w:lang w:eastAsia="de-DE"/>
    </w:rPr>
  </w:style>
  <w:style w:type="character" w:customStyle="1" w:styleId="Naslov7Char">
    <w:name w:val="Naslov 7 Char"/>
    <w:basedOn w:val="Zadanifontodlomka"/>
    <w:link w:val="Naslov7"/>
    <w:uiPriority w:val="9"/>
    <w:locked/>
    <w:rsid w:val="00143CE2"/>
    <w:rPr>
      <w:rFonts w:ascii="Tahoma" w:eastAsiaTheme="majorEastAsia" w:hAnsi="Tahoma" w:cs="Times New Roman"/>
      <w:b/>
      <w:bCs/>
      <w:i/>
      <w:iCs/>
      <w:color w:val="BE1D2D"/>
      <w:kern w:val="28"/>
      <w:sz w:val="26"/>
      <w:szCs w:val="26"/>
      <w:lang w:eastAsia="de-DE"/>
    </w:rPr>
  </w:style>
  <w:style w:type="character" w:customStyle="1" w:styleId="Naslov8Char">
    <w:name w:val="Naslov 8 Char"/>
    <w:basedOn w:val="Zadanifontodlomka"/>
    <w:link w:val="Naslov8"/>
    <w:uiPriority w:val="9"/>
    <w:locked/>
    <w:rsid w:val="00143CE2"/>
    <w:rPr>
      <w:rFonts w:ascii="Tahoma" w:eastAsiaTheme="majorEastAsia" w:hAnsi="Tahoma" w:cs="Times New Roman"/>
      <w:b/>
      <w:bCs/>
      <w:i/>
      <w:iCs/>
      <w:color w:val="BE1D2D"/>
      <w:kern w:val="28"/>
      <w:sz w:val="26"/>
      <w:szCs w:val="26"/>
      <w:lang w:eastAsia="de-DE"/>
    </w:rPr>
  </w:style>
  <w:style w:type="character" w:customStyle="1" w:styleId="Naslov9Char">
    <w:name w:val="Naslov 9 Char"/>
    <w:basedOn w:val="Zadanifontodlomka"/>
    <w:link w:val="Naslov9"/>
    <w:uiPriority w:val="9"/>
    <w:locked/>
    <w:rsid w:val="00143CE2"/>
    <w:rPr>
      <w:rFonts w:ascii="Tahoma" w:eastAsiaTheme="majorEastAsia" w:hAnsi="Tahoma" w:cs="Times New Roman"/>
      <w:b/>
      <w:bCs/>
      <w:i/>
      <w:iCs/>
      <w:color w:val="BE1D2D"/>
      <w:kern w:val="28"/>
      <w:sz w:val="26"/>
      <w:szCs w:val="26"/>
      <w:lang w:eastAsia="de-DE"/>
    </w:rPr>
  </w:style>
  <w:style w:type="paragraph" w:styleId="Podnoje">
    <w:name w:val="footer"/>
    <w:basedOn w:val="Normal"/>
    <w:link w:val="PodnojeChar"/>
    <w:uiPriority w:val="99"/>
    <w:qFormat/>
    <w:rsid w:val="009C2AF5"/>
    <w:pPr>
      <w:jc w:val="right"/>
    </w:pPr>
    <w:rPr>
      <w:rFonts w:cs="Tahoma"/>
      <w:b/>
      <w:bCs/>
      <w:color w:val="999999"/>
      <w:sz w:val="14"/>
      <w:szCs w:val="17"/>
      <w:lang w:eastAsia="hr-HR"/>
    </w:rPr>
  </w:style>
  <w:style w:type="character" w:customStyle="1" w:styleId="PodnojeChar">
    <w:name w:val="Podnožje Char"/>
    <w:basedOn w:val="Zadanifontodlomka"/>
    <w:link w:val="Podnoje"/>
    <w:uiPriority w:val="99"/>
    <w:locked/>
    <w:rsid w:val="009C2AF5"/>
    <w:rPr>
      <w:rFonts w:ascii="Tahoma" w:hAnsi="Tahoma" w:cs="Tahoma"/>
      <w:b/>
      <w:bCs/>
      <w:color w:val="999999"/>
      <w:sz w:val="17"/>
      <w:szCs w:val="17"/>
      <w:lang w:val="x-none" w:eastAsia="hr-HR"/>
    </w:rPr>
  </w:style>
  <w:style w:type="paragraph" w:styleId="Sadraj2">
    <w:name w:val="toc 2"/>
    <w:basedOn w:val="Normal"/>
    <w:next w:val="Normal"/>
    <w:autoRedefine/>
    <w:uiPriority w:val="39"/>
    <w:qFormat/>
    <w:rsid w:val="006706F0"/>
    <w:pPr>
      <w:tabs>
        <w:tab w:val="left" w:pos="709"/>
        <w:tab w:val="right" w:leader="dot" w:pos="9356"/>
      </w:tabs>
      <w:spacing w:after="60"/>
      <w:ind w:left="709" w:hanging="709"/>
    </w:pPr>
    <w:rPr>
      <w:rFonts w:cs="Tahoma"/>
      <w:b/>
      <w:smallCaps/>
      <w:sz w:val="22"/>
      <w:szCs w:val="22"/>
    </w:rPr>
  </w:style>
  <w:style w:type="paragraph" w:styleId="Sadraj3">
    <w:name w:val="toc 3"/>
    <w:basedOn w:val="Normal"/>
    <w:next w:val="Normal"/>
    <w:autoRedefine/>
    <w:uiPriority w:val="39"/>
    <w:qFormat/>
    <w:rsid w:val="006706F0"/>
    <w:pPr>
      <w:tabs>
        <w:tab w:val="left" w:pos="1418"/>
        <w:tab w:val="right" w:leader="dot" w:pos="9356"/>
      </w:tabs>
      <w:spacing w:before="60" w:after="60"/>
      <w:ind w:left="1418" w:hanging="709"/>
    </w:pPr>
  </w:style>
  <w:style w:type="paragraph" w:styleId="Sadraj1">
    <w:name w:val="toc 1"/>
    <w:basedOn w:val="Normal"/>
    <w:next w:val="Normal"/>
    <w:autoRedefine/>
    <w:uiPriority w:val="39"/>
    <w:qFormat/>
    <w:rsid w:val="00853D9C"/>
    <w:pPr>
      <w:tabs>
        <w:tab w:val="right" w:leader="underscore" w:pos="9354"/>
      </w:tabs>
      <w:spacing w:before="240"/>
      <w:ind w:left="709" w:hanging="709"/>
      <w:jc w:val="left"/>
    </w:pPr>
    <w:rPr>
      <w:b/>
      <w:i/>
      <w:caps/>
      <w:color w:val="BE1D2D"/>
      <w:sz w:val="28"/>
      <w:szCs w:val="28"/>
    </w:rPr>
  </w:style>
  <w:style w:type="paragraph" w:styleId="Zaglavlje0">
    <w:name w:val="header"/>
    <w:aliases w:val="heading 3 after h2,h,h3+,ContentsHeader,*Header"/>
    <w:basedOn w:val="Normal"/>
    <w:link w:val="ZaglavljeChar"/>
    <w:uiPriority w:val="99"/>
    <w:qFormat/>
    <w:rsid w:val="009C2AF5"/>
    <w:pPr>
      <w:jc w:val="left"/>
    </w:pPr>
    <w:rPr>
      <w:b/>
      <w:color w:val="999999"/>
      <w:sz w:val="14"/>
      <w:lang w:eastAsia="hr-HR"/>
    </w:rPr>
  </w:style>
  <w:style w:type="character" w:customStyle="1" w:styleId="ZaglavljeChar">
    <w:name w:val="Zaglavlje Char"/>
    <w:aliases w:val="heading 3 after h2 Char,h Char,h3+ Char,ContentsHeader Char,*Header Char"/>
    <w:basedOn w:val="Zadanifontodlomka"/>
    <w:link w:val="Zaglavlje0"/>
    <w:uiPriority w:val="99"/>
    <w:locked/>
    <w:rsid w:val="009C2AF5"/>
    <w:rPr>
      <w:rFonts w:ascii="Tahoma" w:hAnsi="Tahoma" w:cs="Myriad Pro"/>
      <w:b/>
      <w:color w:val="999999"/>
      <w:sz w:val="24"/>
      <w:szCs w:val="24"/>
      <w:lang w:val="x-none" w:eastAsia="hr-HR"/>
    </w:rPr>
  </w:style>
  <w:style w:type="paragraph" w:styleId="Podnaslov">
    <w:name w:val="Subtitle"/>
    <w:basedOn w:val="Normal"/>
    <w:next w:val="Normal"/>
    <w:link w:val="PodnaslovChar"/>
    <w:uiPriority w:val="99"/>
    <w:rsid w:val="00D552B6"/>
    <w:pPr>
      <w:numPr>
        <w:ilvl w:val="1"/>
      </w:numPr>
      <w:ind w:left="3"/>
    </w:pPr>
    <w:rPr>
      <w:rFonts w:eastAsiaTheme="minorEastAsia" w:cs="Times New Roman"/>
      <w:szCs w:val="22"/>
    </w:rPr>
  </w:style>
  <w:style w:type="character" w:customStyle="1" w:styleId="PodnaslovChar">
    <w:name w:val="Podnaslov Char"/>
    <w:basedOn w:val="Zadanifontodlomka"/>
    <w:link w:val="Podnaslov"/>
    <w:uiPriority w:val="99"/>
    <w:locked/>
    <w:rsid w:val="00D552B6"/>
    <w:rPr>
      <w:rFonts w:ascii="Tahoma" w:eastAsiaTheme="minorEastAsia" w:hAnsi="Tahoma" w:cs="Times New Roman"/>
      <w:sz w:val="20"/>
      <w:lang w:val="x-none" w:eastAsia="de-DE"/>
    </w:rPr>
  </w:style>
  <w:style w:type="character" w:styleId="Hiperveza">
    <w:name w:val="Hyperlink"/>
    <w:basedOn w:val="Zadanifontodlomka"/>
    <w:uiPriority w:val="99"/>
    <w:qFormat/>
    <w:rsid w:val="00101F31"/>
    <w:rPr>
      <w:rFonts w:cs="Times New Roman"/>
      <w:color w:val="0000FF"/>
      <w:u w:val="single"/>
    </w:rPr>
  </w:style>
  <w:style w:type="character" w:styleId="Brojstranice">
    <w:name w:val="page number"/>
    <w:basedOn w:val="Zadanifontodlomka"/>
    <w:uiPriority w:val="99"/>
    <w:rsid w:val="007A6486"/>
    <w:rPr>
      <w:rFonts w:ascii="Tahoma" w:hAnsi="Tahoma" w:cs="Times New Roman"/>
      <w:b/>
      <w:color w:val="999999"/>
      <w:sz w:val="14"/>
      <w:lang w:val="hr-HR" w:eastAsia="x-none"/>
    </w:rPr>
  </w:style>
  <w:style w:type="paragraph" w:customStyle="1" w:styleId="Autori">
    <w:name w:val="Autori"/>
    <w:basedOn w:val="Normal"/>
    <w:uiPriority w:val="99"/>
    <w:rsid w:val="00833000"/>
    <w:pPr>
      <w:spacing w:after="0"/>
      <w:ind w:left="4820"/>
      <w:jc w:val="left"/>
    </w:pPr>
    <w:rPr>
      <w:rFonts w:cs="Tahoma"/>
      <w:color w:val="999999"/>
      <w:lang w:eastAsia="hr-HR"/>
    </w:rPr>
  </w:style>
  <w:style w:type="paragraph" w:styleId="Opisslike">
    <w:name w:val="caption"/>
    <w:basedOn w:val="Normal"/>
    <w:next w:val="Normal"/>
    <w:link w:val="OpisslikeChar"/>
    <w:uiPriority w:val="35"/>
    <w:unhideWhenUsed/>
    <w:qFormat/>
    <w:rsid w:val="006253D7"/>
    <w:pPr>
      <w:spacing w:before="120" w:after="240"/>
      <w:ind w:left="6"/>
    </w:pPr>
    <w:rPr>
      <w:i/>
      <w:iCs/>
      <w:sz w:val="16"/>
      <w:szCs w:val="18"/>
    </w:rPr>
  </w:style>
  <w:style w:type="paragraph" w:customStyle="1" w:styleId="Uvlaka2">
    <w:name w:val="Uvlaka 2"/>
    <w:basedOn w:val="Normal"/>
    <w:link w:val="Uvlaka2Char"/>
    <w:qFormat/>
    <w:rsid w:val="00771201"/>
    <w:pPr>
      <w:numPr>
        <w:numId w:val="4"/>
      </w:numPr>
      <w:spacing w:before="60" w:after="60"/>
      <w:ind w:left="1134" w:hanging="283"/>
    </w:pPr>
    <w:rPr>
      <w:rFonts w:cs="Times New Roman"/>
      <w:color w:val="000000"/>
      <w:szCs w:val="22"/>
      <w:lang w:eastAsia="hr-HR"/>
    </w:rPr>
  </w:style>
  <w:style w:type="character" w:customStyle="1" w:styleId="Uvlaka2Char">
    <w:name w:val="Uvlaka 2 Char"/>
    <w:basedOn w:val="Zadanifontodlomka"/>
    <w:link w:val="Uvlaka2"/>
    <w:locked/>
    <w:rsid w:val="00771201"/>
    <w:rPr>
      <w:rFonts w:ascii="Tahoma" w:hAnsi="Tahoma" w:cs="Times New Roman"/>
      <w:color w:val="000000"/>
      <w:sz w:val="20"/>
      <w:lang w:eastAsia="hr-HR"/>
    </w:rPr>
  </w:style>
  <w:style w:type="character" w:customStyle="1" w:styleId="Tbl1redChar">
    <w:name w:val="Tbl 1. red Char"/>
    <w:basedOn w:val="Zadanifontodlomka"/>
    <w:link w:val="Tbl1red"/>
    <w:uiPriority w:val="99"/>
    <w:locked/>
    <w:rsid w:val="00175706"/>
    <w:rPr>
      <w:rFonts w:ascii="Tahoma" w:hAnsi="Tahoma" w:cs="Tahoma"/>
      <w:b/>
      <w:bCs/>
      <w:sz w:val="16"/>
      <w:szCs w:val="16"/>
      <w:shd w:val="clear" w:color="auto" w:fill="FFA7A7"/>
      <w:lang w:val="x-none" w:eastAsia="hr-HR"/>
    </w:rPr>
  </w:style>
  <w:style w:type="paragraph" w:customStyle="1" w:styleId="Naslov1">
    <w:name w:val="Naslov 1+"/>
    <w:basedOn w:val="Naslov10"/>
    <w:next w:val="Normal"/>
    <w:link w:val="Naslov1Char0"/>
    <w:autoRedefine/>
    <w:rsid w:val="002E141F"/>
    <w:pPr>
      <w:numPr>
        <w:numId w:val="56"/>
      </w:numPr>
      <w:tabs>
        <w:tab w:val="num" w:pos="720"/>
      </w:tabs>
      <w:textAlignment w:val="auto"/>
    </w:pPr>
    <w:rPr>
      <w:rFonts w:cs="Tahoma"/>
      <w:position w:val="0"/>
    </w:rPr>
  </w:style>
  <w:style w:type="character" w:customStyle="1" w:styleId="Naslov1Char0">
    <w:name w:val="Naslov 1+ Char"/>
    <w:basedOn w:val="Zadanifontodlomka"/>
    <w:link w:val="Naslov1"/>
    <w:locked/>
    <w:rsid w:val="002E141F"/>
    <w:rPr>
      <w:rFonts w:ascii="Tahoma" w:hAnsi="Tahoma" w:cs="Tahoma"/>
      <w:iCs/>
      <w:caps/>
      <w:color w:val="BE1D2D"/>
      <w:sz w:val="48"/>
      <w:szCs w:val="48"/>
      <w:lang w:eastAsia="hr-HR"/>
    </w:rPr>
  </w:style>
  <w:style w:type="paragraph" w:customStyle="1" w:styleId="Naslov1-">
    <w:name w:val="Naslov 1-"/>
    <w:basedOn w:val="Naslov10"/>
    <w:next w:val="Normal"/>
    <w:link w:val="Naslov1-Char"/>
    <w:autoRedefine/>
    <w:rsid w:val="00853D9C"/>
    <w:pPr>
      <w:numPr>
        <w:numId w:val="0"/>
      </w:numPr>
      <w:ind w:left="431"/>
      <w:outlineLvl w:val="9"/>
    </w:pPr>
  </w:style>
  <w:style w:type="paragraph" w:customStyle="1" w:styleId="Uvlaka3">
    <w:name w:val="Uvlaka 3"/>
    <w:basedOn w:val="Normal"/>
    <w:link w:val="Uvlaka3Char"/>
    <w:qFormat/>
    <w:rsid w:val="00771201"/>
    <w:pPr>
      <w:numPr>
        <w:numId w:val="3"/>
      </w:numPr>
      <w:spacing w:before="60" w:after="60"/>
      <w:ind w:left="1701" w:hanging="283"/>
    </w:pPr>
  </w:style>
  <w:style w:type="character" w:customStyle="1" w:styleId="Naslov1-Char">
    <w:name w:val="Naslov 1- Char"/>
    <w:basedOn w:val="Naslov1Char0"/>
    <w:link w:val="Naslov1-"/>
    <w:locked/>
    <w:rsid w:val="00853D9C"/>
    <w:rPr>
      <w:rFonts w:ascii="Tahoma" w:hAnsi="Tahoma" w:cs="Myriad Pro"/>
      <w:iCs/>
      <w:caps/>
      <w:color w:val="BE1D2D"/>
      <w:position w:val="24"/>
      <w:sz w:val="48"/>
      <w:szCs w:val="48"/>
      <w:lang w:eastAsia="hr-HR"/>
    </w:rPr>
  </w:style>
  <w:style w:type="character" w:customStyle="1" w:styleId="Uvlaka3Char">
    <w:name w:val="Uvlaka 3 Char"/>
    <w:basedOn w:val="Zadanifontodlomka"/>
    <w:link w:val="Uvlaka3"/>
    <w:locked/>
    <w:rsid w:val="00771201"/>
    <w:rPr>
      <w:rFonts w:ascii="Tahoma" w:hAnsi="Tahoma" w:cs="Myriad Pro"/>
      <w:sz w:val="20"/>
      <w:szCs w:val="24"/>
      <w:lang w:eastAsia="de-DE"/>
    </w:rPr>
  </w:style>
  <w:style w:type="paragraph" w:styleId="Odlomakpopisa">
    <w:name w:val="List Paragraph"/>
    <w:aliases w:val="REPORT Bullet,Nabrajanje,Tocka,List Paragraph1,KiF bullets,UNIZG_ALU_bullet,Lettre d'introduction,FM,Akapit z listą BS,Bullet1,References,List Paragraph (numbered (a)),List_Paragraph,Multilevel para_II,Yellow Bullet,Normal bullet 2,Dot p"/>
    <w:basedOn w:val="Normal"/>
    <w:link w:val="OdlomakpopisaChar"/>
    <w:uiPriority w:val="34"/>
    <w:qFormat/>
    <w:rsid w:val="005C5E0B"/>
    <w:pPr>
      <w:keepLines/>
      <w:numPr>
        <w:numId w:val="5"/>
      </w:numPr>
      <w:suppressAutoHyphens/>
      <w:spacing w:before="60" w:after="60"/>
    </w:pPr>
    <w:rPr>
      <w:lang w:eastAsia="hr-HR"/>
    </w:rPr>
  </w:style>
  <w:style w:type="paragraph" w:customStyle="1" w:styleId="Naslov4">
    <w:name w:val="Naslov 4+"/>
    <w:basedOn w:val="Naslov40"/>
    <w:next w:val="Normal"/>
    <w:link w:val="Naslov4Char0"/>
    <w:autoRedefine/>
    <w:qFormat/>
    <w:rsid w:val="008135A8"/>
    <w:pPr>
      <w:numPr>
        <w:ilvl w:val="0"/>
        <w:numId w:val="1"/>
      </w:numPr>
      <w:tabs>
        <w:tab w:val="clear" w:pos="-284"/>
        <w:tab w:val="clear" w:pos="1492"/>
        <w:tab w:val="num" w:pos="2880"/>
      </w:tabs>
      <w:spacing w:before="240" w:after="120"/>
      <w:ind w:left="992" w:hanging="992"/>
      <w:jc w:val="left"/>
    </w:pPr>
    <w:rPr>
      <w:i w:val="0"/>
    </w:rPr>
  </w:style>
  <w:style w:type="character" w:customStyle="1" w:styleId="Naslov4Char0">
    <w:name w:val="Naslov 4+ Char"/>
    <w:basedOn w:val="Zadanifontodlomka"/>
    <w:link w:val="Naslov4"/>
    <w:locked/>
    <w:rsid w:val="008135A8"/>
    <w:rPr>
      <w:rFonts w:ascii="Tahoma" w:hAnsi="Tahoma" w:cs="Times New Roman"/>
      <w:color w:val="BE1D2D"/>
      <w:kern w:val="28"/>
      <w:szCs w:val="20"/>
      <w:lang w:eastAsia="de-DE"/>
    </w:rPr>
  </w:style>
  <w:style w:type="paragraph" w:customStyle="1" w:styleId="Naslov2">
    <w:name w:val="Naslov 2+"/>
    <w:basedOn w:val="Naslov20"/>
    <w:next w:val="Normal"/>
    <w:link w:val="Naslov2Char0"/>
    <w:autoRedefine/>
    <w:qFormat/>
    <w:rsid w:val="00F05594"/>
    <w:pPr>
      <w:numPr>
        <w:ilvl w:val="0"/>
        <w:numId w:val="16"/>
      </w:numPr>
      <w:spacing w:before="360" w:line="240" w:lineRule="auto"/>
      <w:textAlignment w:val="auto"/>
    </w:pPr>
    <w:rPr>
      <w:rFonts w:cs="Tahoma"/>
      <w:bCs w:val="0"/>
      <w:caps/>
      <w:smallCaps w:val="0"/>
    </w:rPr>
  </w:style>
  <w:style w:type="paragraph" w:customStyle="1" w:styleId="Naslov30">
    <w:name w:val="Naslov 3+"/>
    <w:basedOn w:val="Naslov3"/>
    <w:next w:val="Normal"/>
    <w:link w:val="Naslov3Char0"/>
    <w:autoRedefine/>
    <w:qFormat/>
    <w:rsid w:val="000F1F3C"/>
    <w:pPr>
      <w:numPr>
        <w:ilvl w:val="0"/>
        <w:numId w:val="0"/>
      </w:numPr>
      <w:tabs>
        <w:tab w:val="num" w:pos="2160"/>
      </w:tabs>
      <w:ind w:left="993" w:hanging="993"/>
      <w:textAlignment w:val="auto"/>
    </w:pPr>
  </w:style>
  <w:style w:type="character" w:customStyle="1" w:styleId="Naslov2Char0">
    <w:name w:val="Naslov 2+ Char"/>
    <w:basedOn w:val="Zadanifontodlomka"/>
    <w:link w:val="Naslov2"/>
    <w:locked/>
    <w:rsid w:val="00F05594"/>
    <w:rPr>
      <w:rFonts w:ascii="Tahoma" w:hAnsi="Tahoma" w:cs="Tahoma"/>
      <w:b/>
      <w:caps/>
      <w:color w:val="BE1D2D"/>
      <w:sz w:val="32"/>
      <w:szCs w:val="36"/>
      <w:lang w:eastAsia="hr-HR"/>
    </w:rPr>
  </w:style>
  <w:style w:type="character" w:customStyle="1" w:styleId="Naslov3Char0">
    <w:name w:val="Naslov 3+ Char"/>
    <w:basedOn w:val="Zadanifontodlomka"/>
    <w:link w:val="Naslov30"/>
    <w:locked/>
    <w:rsid w:val="000F1F3C"/>
    <w:rPr>
      <w:rFonts w:ascii="Tahoma" w:hAnsi="Tahoma" w:cs="Myriad Pro"/>
      <w:b/>
      <w:bCs/>
      <w:iCs/>
      <w:color w:val="BE1D2D"/>
      <w:sz w:val="24"/>
      <w:szCs w:val="24"/>
      <w:lang w:eastAsia="hr-HR"/>
    </w:rPr>
  </w:style>
  <w:style w:type="paragraph" w:customStyle="1" w:styleId="Slikanaslov">
    <w:name w:val="Slika naslov"/>
    <w:basedOn w:val="Normal"/>
    <w:next w:val="Normal"/>
    <w:link w:val="SlikanaslovChar"/>
    <w:autoRedefine/>
    <w:uiPriority w:val="99"/>
    <w:qFormat/>
    <w:rsid w:val="003B2EF3"/>
    <w:pPr>
      <w:keepLines/>
      <w:suppressAutoHyphens/>
      <w:spacing w:before="60"/>
      <w:jc w:val="center"/>
    </w:pPr>
    <w:rPr>
      <w:rFonts w:cs="Tahoma"/>
      <w:bCs/>
      <w:i/>
      <w:noProof/>
      <w:sz w:val="18"/>
      <w:szCs w:val="28"/>
      <w:lang w:eastAsia="hr-HR"/>
    </w:rPr>
  </w:style>
  <w:style w:type="paragraph" w:customStyle="1" w:styleId="Slika">
    <w:name w:val="Slika"/>
    <w:basedOn w:val="Normal"/>
    <w:next w:val="Normal"/>
    <w:link w:val="SlikaChar"/>
    <w:autoRedefine/>
    <w:uiPriority w:val="99"/>
    <w:qFormat/>
    <w:rsid w:val="00131969"/>
    <w:pPr>
      <w:keepNext/>
      <w:spacing w:before="240"/>
      <w:jc w:val="center"/>
    </w:pPr>
    <w:rPr>
      <w:lang w:eastAsia="hr-HR"/>
    </w:rPr>
  </w:style>
  <w:style w:type="character" w:customStyle="1" w:styleId="SlikaChar">
    <w:name w:val="Slika Char"/>
    <w:basedOn w:val="Zadanifontodlomka"/>
    <w:link w:val="Slika"/>
    <w:uiPriority w:val="99"/>
    <w:locked/>
    <w:rsid w:val="00131969"/>
    <w:rPr>
      <w:rFonts w:ascii="Tahoma" w:hAnsi="Tahoma" w:cs="Myriad Pro"/>
      <w:sz w:val="24"/>
      <w:szCs w:val="24"/>
      <w:lang w:val="x-none" w:eastAsia="hr-HR"/>
    </w:rPr>
  </w:style>
  <w:style w:type="character" w:styleId="Neupadljivareferenca">
    <w:name w:val="Subtle Reference"/>
    <w:basedOn w:val="Zadanifontodlomka"/>
    <w:uiPriority w:val="31"/>
    <w:rsid w:val="00B20621"/>
    <w:rPr>
      <w:rFonts w:ascii="Tahoma" w:hAnsi="Tahoma" w:cs="Times New Roman"/>
      <w:smallCaps/>
      <w:color w:val="auto"/>
    </w:rPr>
  </w:style>
  <w:style w:type="paragraph" w:customStyle="1" w:styleId="Tblnaslov">
    <w:name w:val="Tbl naslov"/>
    <w:basedOn w:val="Normal"/>
    <w:next w:val="Normal"/>
    <w:link w:val="TblnaslovChar"/>
    <w:qFormat/>
    <w:rsid w:val="000D61DF"/>
    <w:pPr>
      <w:keepNext/>
      <w:keepLines/>
      <w:suppressAutoHyphens/>
      <w:spacing w:after="60"/>
      <w:jc w:val="left"/>
    </w:pPr>
    <w:rPr>
      <w:i/>
      <w:sz w:val="18"/>
    </w:rPr>
  </w:style>
  <w:style w:type="table" w:styleId="Reetkatablice">
    <w:name w:val="Table Grid"/>
    <w:basedOn w:val="Obinatablica"/>
    <w:uiPriority w:val="39"/>
    <w:rsid w:val="00F96E6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TekstfusnoteChar"/>
    <w:uiPriority w:val="99"/>
    <w:unhideWhenUsed/>
    <w:qFormat/>
    <w:rsid w:val="00FD5BF3"/>
    <w:pPr>
      <w:spacing w:before="60" w:after="60"/>
    </w:pPr>
    <w:rPr>
      <w:i/>
      <w:sz w:val="16"/>
      <w:szCs w:val="20"/>
    </w:rPr>
  </w:style>
  <w:style w:type="character" w:customStyle="1" w:styleId="TekstfusnoteChar">
    <w:name w:val="Tekst fusnote Char"/>
    <w:aliases w:val="Sprotna opomba-besedilo Char,Char Char Char Char Char,Char Char Char Char1,Sprotna opomba - besedilo Znak1 Char,Sprotna opomba - besedilo Znak Znak2 Char,Sprotna opomba - besedilo Znak1 Znak Znak1 Char,Footnote1 Char"/>
    <w:basedOn w:val="Zadanifontodlomka"/>
    <w:link w:val="Tekstfusnote"/>
    <w:uiPriority w:val="99"/>
    <w:locked/>
    <w:rsid w:val="00FD5BF3"/>
    <w:rPr>
      <w:rFonts w:ascii="Tahoma" w:hAnsi="Tahoma" w:cs="Myriad Pro"/>
      <w:i/>
      <w:sz w:val="20"/>
      <w:szCs w:val="20"/>
      <w:lang w:val="x-none" w:eastAsia="de-DE"/>
    </w:rPr>
  </w:style>
  <w:style w:type="character" w:styleId="Referencafusnote">
    <w:name w:val="footnote reference"/>
    <w:aliases w:val="Footnote symbol,Fussnota,Footnote,Footnote reference number,note TESI,SUPERS,EN Footnote Reference,-E Fußnotenzeichen,ESPON Footnote No,number,Times 10 Point,Exposant 3 Point,Footnote Reference_LVL6,Footnote Reference_LVL61,BVI fnr"/>
    <w:basedOn w:val="Zadanifontodlomka"/>
    <w:uiPriority w:val="99"/>
    <w:unhideWhenUsed/>
    <w:rsid w:val="005D15D5"/>
    <w:rPr>
      <w:rFonts w:ascii="Tahoma" w:hAnsi="Tahoma" w:cs="Times New Roman"/>
      <w:vertAlign w:val="superscript"/>
    </w:rPr>
  </w:style>
  <w:style w:type="paragraph" w:styleId="Sadraj4">
    <w:name w:val="toc 4"/>
    <w:basedOn w:val="Normal"/>
    <w:next w:val="Normal"/>
    <w:autoRedefine/>
    <w:uiPriority w:val="39"/>
    <w:unhideWhenUsed/>
    <w:qFormat/>
    <w:rsid w:val="006706F0"/>
    <w:pPr>
      <w:tabs>
        <w:tab w:val="right" w:leader="dot" w:pos="9354"/>
      </w:tabs>
      <w:spacing w:before="60" w:after="60"/>
      <w:ind w:left="2410" w:hanging="992"/>
    </w:pPr>
  </w:style>
  <w:style w:type="character" w:customStyle="1" w:styleId="TbltextChar">
    <w:name w:val="Tbl text Char"/>
    <w:basedOn w:val="Zadanifontodlomka"/>
    <w:link w:val="Tbltext"/>
    <w:uiPriority w:val="99"/>
    <w:locked/>
    <w:rsid w:val="00491310"/>
    <w:rPr>
      <w:rFonts w:ascii="Tahoma" w:hAnsi="Tahoma" w:cs="Times New Roman"/>
      <w:sz w:val="20"/>
      <w:szCs w:val="20"/>
      <w:lang w:val="x-none" w:eastAsia="de-DE"/>
    </w:rPr>
  </w:style>
  <w:style w:type="paragraph" w:customStyle="1" w:styleId="Naslov5">
    <w:name w:val="Naslov 5+"/>
    <w:basedOn w:val="Naslov50"/>
    <w:next w:val="Normal"/>
    <w:link w:val="Naslov5Char0"/>
    <w:autoRedefine/>
    <w:qFormat/>
    <w:rsid w:val="003B7C01"/>
    <w:pPr>
      <w:numPr>
        <w:ilvl w:val="0"/>
        <w:numId w:val="2"/>
      </w:numPr>
      <w:tabs>
        <w:tab w:val="clear" w:pos="360"/>
        <w:tab w:val="num" w:pos="3600"/>
      </w:tabs>
      <w:spacing w:before="240"/>
      <w:ind w:left="1701" w:hanging="567"/>
      <w:jc w:val="left"/>
    </w:pPr>
    <w:rPr>
      <w:i/>
    </w:rPr>
  </w:style>
  <w:style w:type="paragraph" w:customStyle="1" w:styleId="Meunaslov">
    <w:name w:val="Međunaslov"/>
    <w:basedOn w:val="Normal"/>
    <w:next w:val="Normal"/>
    <w:link w:val="MeunaslovChar"/>
    <w:autoRedefine/>
    <w:qFormat/>
    <w:rsid w:val="00035448"/>
    <w:pPr>
      <w:keepNext/>
      <w:keepLines/>
      <w:suppressAutoHyphens/>
    </w:pPr>
    <w:rPr>
      <w:b/>
      <w:u w:val="single"/>
      <w:lang w:eastAsia="hr-HR"/>
    </w:rPr>
  </w:style>
  <w:style w:type="character" w:customStyle="1" w:styleId="Naslov5Char0">
    <w:name w:val="Naslov 5+ Char"/>
    <w:basedOn w:val="Naslov5Char"/>
    <w:link w:val="Naslov5"/>
    <w:locked/>
    <w:rsid w:val="003B7C01"/>
    <w:rPr>
      <w:rFonts w:ascii="Tahoma" w:eastAsiaTheme="majorEastAsia" w:hAnsi="Tahoma" w:cs="Tahoma"/>
      <w:i/>
      <w:color w:val="BE1D2D"/>
      <w:sz w:val="20"/>
      <w:szCs w:val="24"/>
      <w:lang w:eastAsia="de-DE"/>
    </w:rPr>
  </w:style>
  <w:style w:type="character" w:customStyle="1" w:styleId="SlikanaslovChar">
    <w:name w:val="Slika naslov Char"/>
    <w:basedOn w:val="Zadanifontodlomka"/>
    <w:link w:val="Slikanaslov"/>
    <w:uiPriority w:val="99"/>
    <w:locked/>
    <w:rsid w:val="003B2EF3"/>
    <w:rPr>
      <w:rFonts w:ascii="Tahoma" w:hAnsi="Tahoma" w:cs="Tahoma"/>
      <w:bCs/>
      <w:i/>
      <w:noProof/>
      <w:sz w:val="28"/>
      <w:szCs w:val="28"/>
      <w:lang w:eastAsia="hr-HR"/>
    </w:rPr>
  </w:style>
  <w:style w:type="character" w:customStyle="1" w:styleId="MeunaslovChar">
    <w:name w:val="Međunaslov Char"/>
    <w:basedOn w:val="Zadanifontodlomka"/>
    <w:link w:val="Meunaslov"/>
    <w:locked/>
    <w:rsid w:val="00035448"/>
    <w:rPr>
      <w:rFonts w:ascii="Tahoma" w:hAnsi="Tahoma" w:cs="Myriad Pro"/>
      <w:b/>
      <w:sz w:val="24"/>
      <w:szCs w:val="24"/>
      <w:u w:val="single"/>
      <w:lang w:val="x-none" w:eastAsia="hr-HR"/>
    </w:rPr>
  </w:style>
  <w:style w:type="paragraph" w:styleId="Tekstbalonia">
    <w:name w:val="Balloon Text"/>
    <w:basedOn w:val="Normal"/>
    <w:link w:val="TekstbaloniaChar"/>
    <w:uiPriority w:val="99"/>
    <w:semiHidden/>
    <w:unhideWhenUsed/>
    <w:rsid w:val="00B20621"/>
    <w:pPr>
      <w:spacing w:after="0"/>
    </w:pPr>
    <w:rPr>
      <w:rFonts w:cs="Segoe UI"/>
      <w:sz w:val="18"/>
      <w:szCs w:val="18"/>
    </w:rPr>
  </w:style>
  <w:style w:type="character" w:customStyle="1" w:styleId="TekstbaloniaChar">
    <w:name w:val="Tekst balončića Char"/>
    <w:basedOn w:val="Zadanifontodlomka"/>
    <w:link w:val="Tekstbalonia"/>
    <w:uiPriority w:val="99"/>
    <w:semiHidden/>
    <w:locked/>
    <w:rsid w:val="00B20621"/>
    <w:rPr>
      <w:rFonts w:ascii="Tahoma" w:hAnsi="Tahoma" w:cs="Segoe UI"/>
      <w:sz w:val="18"/>
      <w:szCs w:val="18"/>
      <w:lang w:val="x-none" w:eastAsia="de-DE"/>
    </w:rPr>
  </w:style>
  <w:style w:type="character" w:styleId="Referencakomentara">
    <w:name w:val="annotation reference"/>
    <w:basedOn w:val="Zadanifontodlomka"/>
    <w:uiPriority w:val="99"/>
    <w:unhideWhenUsed/>
    <w:rsid w:val="00FD5BF3"/>
    <w:rPr>
      <w:rFonts w:cs="Times New Roman"/>
      <w:sz w:val="16"/>
      <w:szCs w:val="16"/>
    </w:rPr>
  </w:style>
  <w:style w:type="paragraph" w:customStyle="1" w:styleId="Citat1">
    <w:name w:val="Citat1"/>
    <w:basedOn w:val="Normal"/>
    <w:next w:val="Normal"/>
    <w:link w:val="CitatChar"/>
    <w:autoRedefine/>
    <w:qFormat/>
    <w:rsid w:val="009C2AF5"/>
    <w:pPr>
      <w:keepLines/>
      <w:suppressAutoHyphens/>
      <w:ind w:left="851" w:right="851"/>
      <w:jc w:val="center"/>
    </w:pPr>
    <w:rPr>
      <w:i/>
      <w:iCs/>
      <w:lang w:eastAsia="hr-HR"/>
    </w:rPr>
  </w:style>
  <w:style w:type="paragraph" w:customStyle="1" w:styleId="Izvor">
    <w:name w:val="Izvor"/>
    <w:basedOn w:val="Odlomakpopisa"/>
    <w:link w:val="IzvorChar"/>
    <w:autoRedefine/>
    <w:uiPriority w:val="99"/>
    <w:qFormat/>
    <w:rsid w:val="00FE4802"/>
    <w:pPr>
      <w:numPr>
        <w:numId w:val="18"/>
      </w:numPr>
      <w:tabs>
        <w:tab w:val="num" w:pos="1134"/>
        <w:tab w:val="num" w:pos="2138"/>
      </w:tabs>
      <w:ind w:left="567" w:hanging="567"/>
    </w:pPr>
  </w:style>
  <w:style w:type="character" w:customStyle="1" w:styleId="CitatChar">
    <w:name w:val="Citat Char"/>
    <w:basedOn w:val="Zadanifontodlomka"/>
    <w:link w:val="Citat1"/>
    <w:locked/>
    <w:rsid w:val="009C2AF5"/>
    <w:rPr>
      <w:rFonts w:ascii="Tahoma" w:hAnsi="Tahoma" w:cs="Myriad Pro"/>
      <w:i/>
      <w:iCs/>
      <w:sz w:val="24"/>
      <w:szCs w:val="24"/>
      <w:lang w:val="x-none" w:eastAsia="hr-HR"/>
    </w:rPr>
  </w:style>
  <w:style w:type="paragraph" w:customStyle="1" w:styleId="Broj1">
    <w:name w:val="Broj 1"/>
    <w:basedOn w:val="Odlomakpopisa"/>
    <w:link w:val="Broj1Char"/>
    <w:qFormat/>
    <w:rsid w:val="00743C72"/>
  </w:style>
  <w:style w:type="character" w:customStyle="1" w:styleId="IzvorChar">
    <w:name w:val="Izvor Char"/>
    <w:basedOn w:val="Zadanifontodlomka"/>
    <w:link w:val="Izvor"/>
    <w:uiPriority w:val="99"/>
    <w:locked/>
    <w:rsid w:val="00FE4802"/>
    <w:rPr>
      <w:rFonts w:ascii="Tahoma" w:hAnsi="Tahoma" w:cs="Myriad Pro"/>
      <w:sz w:val="20"/>
      <w:szCs w:val="24"/>
      <w:lang w:eastAsia="hr-HR"/>
    </w:rPr>
  </w:style>
  <w:style w:type="paragraph" w:customStyle="1" w:styleId="Broj2">
    <w:name w:val="Broj 2"/>
    <w:basedOn w:val="Odlomakpopisa"/>
    <w:link w:val="Broj2Char"/>
    <w:qFormat/>
    <w:rsid w:val="00DB5F5C"/>
    <w:pPr>
      <w:numPr>
        <w:ilvl w:val="1"/>
      </w:numPr>
      <w:ind w:left="1276" w:hanging="425"/>
    </w:pPr>
  </w:style>
  <w:style w:type="character" w:customStyle="1" w:styleId="OdlomakpopisaChar">
    <w:name w:val="Odlomak popisa Char"/>
    <w:aliases w:val="REPORT Bullet Char,Nabrajanje Char,Tocka Char,List Paragraph1 Char,KiF bullets Char,UNIZG_ALU_bullet Char,Lettre d'introduction Char,FM Char,Akapit z listą BS Char,Bullet1 Char,References Char,List Paragraph (numbered (a)) Char"/>
    <w:basedOn w:val="Zadanifontodlomka"/>
    <w:link w:val="Odlomakpopisa"/>
    <w:uiPriority w:val="34"/>
    <w:qFormat/>
    <w:locked/>
    <w:rsid w:val="005C5E0B"/>
    <w:rPr>
      <w:rFonts w:ascii="Tahoma" w:hAnsi="Tahoma" w:cs="Myriad Pro"/>
      <w:sz w:val="20"/>
      <w:szCs w:val="24"/>
      <w:lang w:eastAsia="hr-HR"/>
    </w:rPr>
  </w:style>
  <w:style w:type="character" w:customStyle="1" w:styleId="Broj1Char">
    <w:name w:val="Broj 1 Char"/>
    <w:basedOn w:val="OdlomakpopisaChar"/>
    <w:link w:val="Broj1"/>
    <w:locked/>
    <w:rsid w:val="00743C72"/>
    <w:rPr>
      <w:rFonts w:ascii="Tahoma" w:hAnsi="Tahoma" w:cs="Myriad Pro"/>
      <w:sz w:val="20"/>
      <w:szCs w:val="24"/>
      <w:lang w:eastAsia="hr-HR"/>
    </w:rPr>
  </w:style>
  <w:style w:type="paragraph" w:customStyle="1" w:styleId="Broj3">
    <w:name w:val="Broj 3"/>
    <w:basedOn w:val="Odlomakpopisa"/>
    <w:link w:val="Broj3Char"/>
    <w:qFormat/>
    <w:rsid w:val="008F4867"/>
    <w:pPr>
      <w:numPr>
        <w:ilvl w:val="2"/>
        <w:numId w:val="6"/>
      </w:numPr>
      <w:ind w:left="1701" w:hanging="283"/>
    </w:pPr>
  </w:style>
  <w:style w:type="character" w:customStyle="1" w:styleId="Broj2Char">
    <w:name w:val="Broj 2 Char"/>
    <w:basedOn w:val="OdlomakpopisaChar"/>
    <w:link w:val="Broj2"/>
    <w:locked/>
    <w:rsid w:val="00DB5F5C"/>
    <w:rPr>
      <w:rFonts w:ascii="Tahoma" w:hAnsi="Tahoma" w:cs="Myriad Pro"/>
      <w:sz w:val="20"/>
      <w:szCs w:val="24"/>
      <w:lang w:eastAsia="hr-HR"/>
    </w:rPr>
  </w:style>
  <w:style w:type="character" w:customStyle="1" w:styleId="Broj3Char">
    <w:name w:val="Broj 3 Char"/>
    <w:basedOn w:val="OdlomakpopisaChar"/>
    <w:link w:val="Broj3"/>
    <w:locked/>
    <w:rsid w:val="008F4867"/>
    <w:rPr>
      <w:rFonts w:ascii="Tahoma" w:hAnsi="Tahoma" w:cs="Myriad Pro"/>
      <w:sz w:val="20"/>
      <w:szCs w:val="24"/>
      <w:lang w:eastAsia="hr-HR"/>
    </w:rPr>
  </w:style>
  <w:style w:type="paragraph" w:customStyle="1" w:styleId="Naslov2-">
    <w:name w:val="Naslov 2-"/>
    <w:basedOn w:val="Naslov20"/>
    <w:next w:val="Normal"/>
    <w:link w:val="Naslov2-Char"/>
    <w:autoRedefine/>
    <w:qFormat/>
    <w:rsid w:val="005710EB"/>
    <w:pPr>
      <w:numPr>
        <w:ilvl w:val="0"/>
        <w:numId w:val="0"/>
      </w:numPr>
      <w:spacing w:before="360" w:line="240" w:lineRule="auto"/>
    </w:pPr>
    <w:rPr>
      <w:caps/>
      <w:smallCaps w:val="0"/>
    </w:rPr>
  </w:style>
  <w:style w:type="paragraph" w:customStyle="1" w:styleId="Naslov3-">
    <w:name w:val="Naslov 3-"/>
    <w:basedOn w:val="Naslov3"/>
    <w:next w:val="Normal"/>
    <w:link w:val="Naslov3-Char"/>
    <w:autoRedefine/>
    <w:qFormat/>
    <w:rsid w:val="00597241"/>
    <w:pPr>
      <w:numPr>
        <w:ilvl w:val="0"/>
        <w:numId w:val="71"/>
      </w:numPr>
      <w:spacing w:line="240" w:lineRule="auto"/>
    </w:pPr>
  </w:style>
  <w:style w:type="character" w:customStyle="1" w:styleId="Naslov2-Char">
    <w:name w:val="Naslov 2- Char"/>
    <w:basedOn w:val="Naslov2Char"/>
    <w:link w:val="Naslov2-"/>
    <w:locked/>
    <w:rsid w:val="005710EB"/>
    <w:rPr>
      <w:rFonts w:ascii="Tahoma" w:hAnsi="Tahoma" w:cs="Myriad Pro Cond"/>
      <w:b/>
      <w:bCs/>
      <w:caps/>
      <w:smallCaps w:val="0"/>
      <w:color w:val="BE1D2D"/>
      <w:sz w:val="32"/>
      <w:szCs w:val="36"/>
      <w:lang w:eastAsia="hr-HR"/>
    </w:rPr>
  </w:style>
  <w:style w:type="paragraph" w:customStyle="1" w:styleId="Naslov4-">
    <w:name w:val="Naslov 4-"/>
    <w:basedOn w:val="Naslov40"/>
    <w:next w:val="Normal"/>
    <w:link w:val="Naslov4-Char"/>
    <w:autoRedefine/>
    <w:qFormat/>
    <w:rsid w:val="00C058E0"/>
    <w:pPr>
      <w:numPr>
        <w:ilvl w:val="0"/>
        <w:numId w:val="0"/>
      </w:numPr>
      <w:tabs>
        <w:tab w:val="clear" w:pos="-284"/>
      </w:tabs>
      <w:spacing w:before="240" w:after="120"/>
    </w:pPr>
    <w:rPr>
      <w:i w:val="0"/>
      <w:lang w:eastAsia="hr-HR"/>
    </w:rPr>
  </w:style>
  <w:style w:type="character" w:customStyle="1" w:styleId="Naslov3-Char">
    <w:name w:val="Naslov 3- Char"/>
    <w:basedOn w:val="Naslov3Char"/>
    <w:link w:val="Naslov3-"/>
    <w:locked/>
    <w:rsid w:val="00597241"/>
    <w:rPr>
      <w:rFonts w:ascii="Tahoma" w:hAnsi="Tahoma" w:cs="Myriad Pro"/>
      <w:b/>
      <w:bCs/>
      <w:iCs/>
      <w:color w:val="BE1D2D"/>
      <w:sz w:val="24"/>
      <w:szCs w:val="24"/>
      <w:lang w:eastAsia="hr-HR"/>
    </w:rPr>
  </w:style>
  <w:style w:type="paragraph" w:customStyle="1" w:styleId="Naslov5-">
    <w:name w:val="Naslov 5-"/>
    <w:basedOn w:val="Naslov50"/>
    <w:next w:val="Normal"/>
    <w:link w:val="Naslov5-Char"/>
    <w:autoRedefine/>
    <w:qFormat/>
    <w:rsid w:val="009B3882"/>
    <w:pPr>
      <w:numPr>
        <w:ilvl w:val="0"/>
        <w:numId w:val="0"/>
      </w:numPr>
      <w:spacing w:before="240"/>
      <w:ind w:left="567" w:right="567"/>
    </w:pPr>
    <w:rPr>
      <w:i/>
      <w:lang w:eastAsia="hr-HR"/>
    </w:rPr>
  </w:style>
  <w:style w:type="character" w:customStyle="1" w:styleId="Naslov4-Char">
    <w:name w:val="Naslov 4- Char"/>
    <w:basedOn w:val="Naslov4Char"/>
    <w:link w:val="Naslov4-"/>
    <w:locked/>
    <w:rsid w:val="00C058E0"/>
    <w:rPr>
      <w:rFonts w:ascii="Tahoma" w:hAnsi="Tahoma" w:cs="Times New Roman"/>
      <w:i w:val="0"/>
      <w:color w:val="BE1D2D"/>
      <w:kern w:val="28"/>
      <w:szCs w:val="20"/>
      <w:lang w:eastAsia="hr-HR"/>
    </w:rPr>
  </w:style>
  <w:style w:type="character" w:customStyle="1" w:styleId="Naslov5-Char">
    <w:name w:val="Naslov 5- Char"/>
    <w:basedOn w:val="Naslov5Char"/>
    <w:link w:val="Naslov5-"/>
    <w:locked/>
    <w:rsid w:val="009B3882"/>
    <w:rPr>
      <w:rFonts w:ascii="Tahoma" w:eastAsiaTheme="majorEastAsia" w:hAnsi="Tahoma" w:cs="Tahoma"/>
      <w:i/>
      <w:color w:val="BE1D2D"/>
      <w:sz w:val="20"/>
      <w:szCs w:val="24"/>
      <w:lang w:eastAsia="hr-HR"/>
    </w:rPr>
  </w:style>
  <w:style w:type="paragraph" w:styleId="Sadraj5">
    <w:name w:val="toc 5"/>
    <w:basedOn w:val="Normal"/>
    <w:next w:val="Normal"/>
    <w:autoRedefine/>
    <w:uiPriority w:val="39"/>
    <w:unhideWhenUsed/>
    <w:rsid w:val="00497BC5"/>
    <w:pPr>
      <w:spacing w:before="60" w:after="60"/>
      <w:ind w:left="2268"/>
    </w:pPr>
  </w:style>
  <w:style w:type="paragraph" w:styleId="Tablicaslika">
    <w:name w:val="table of figures"/>
    <w:basedOn w:val="Normal"/>
    <w:next w:val="Normal"/>
    <w:uiPriority w:val="99"/>
    <w:unhideWhenUsed/>
    <w:rsid w:val="00497BC5"/>
  </w:style>
  <w:style w:type="table" w:customStyle="1" w:styleId="GridTable4-Accent21">
    <w:name w:val="Grid Table 4 - Accent 21"/>
    <w:basedOn w:val="Obinatablica"/>
    <w:uiPriority w:val="49"/>
    <w:rsid w:val="009F238B"/>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ListTable4-Accent21">
    <w:name w:val="List Table 4 - Accent 21"/>
    <w:basedOn w:val="Obinatablica"/>
    <w:uiPriority w:val="49"/>
    <w:rsid w:val="009F238B"/>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rFonts w:cs="Times New Roman"/>
        <w:b/>
        <w:bCs/>
      </w:rPr>
      <w:tblPr/>
      <w:tcPr>
        <w:tcBorders>
          <w:top w:val="double" w:sz="4" w:space="0" w:color="F4B083"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paragraph" w:styleId="Tekstkomentara">
    <w:name w:val="annotation text"/>
    <w:basedOn w:val="Normal"/>
    <w:link w:val="TekstkomentaraChar"/>
    <w:uiPriority w:val="99"/>
    <w:unhideWhenUsed/>
    <w:rsid w:val="00FD5BF3"/>
    <w:rPr>
      <w:szCs w:val="20"/>
    </w:rPr>
  </w:style>
  <w:style w:type="character" w:customStyle="1" w:styleId="TekstkomentaraChar">
    <w:name w:val="Tekst komentara Char"/>
    <w:basedOn w:val="Zadanifontodlomka"/>
    <w:link w:val="Tekstkomentara"/>
    <w:uiPriority w:val="99"/>
    <w:locked/>
    <w:rsid w:val="00FD5BF3"/>
    <w:rPr>
      <w:rFonts w:ascii="Tahoma" w:hAnsi="Tahoma" w:cs="Myriad Pro"/>
      <w:sz w:val="20"/>
      <w:szCs w:val="20"/>
      <w:lang w:val="x-none" w:eastAsia="de-DE"/>
    </w:rPr>
  </w:style>
  <w:style w:type="paragraph" w:styleId="Predmetkomentara">
    <w:name w:val="annotation subject"/>
    <w:basedOn w:val="Tekstkomentara"/>
    <w:next w:val="Tekstkomentara"/>
    <w:link w:val="PredmetkomentaraChar"/>
    <w:uiPriority w:val="99"/>
    <w:semiHidden/>
    <w:unhideWhenUsed/>
    <w:rsid w:val="00FD5BF3"/>
    <w:rPr>
      <w:b/>
      <w:bCs/>
    </w:rPr>
  </w:style>
  <w:style w:type="character" w:customStyle="1" w:styleId="PredmetkomentaraChar">
    <w:name w:val="Predmet komentara Char"/>
    <w:basedOn w:val="TekstkomentaraChar"/>
    <w:link w:val="Predmetkomentara"/>
    <w:uiPriority w:val="99"/>
    <w:semiHidden/>
    <w:locked/>
    <w:rsid w:val="00FD5BF3"/>
    <w:rPr>
      <w:rFonts w:ascii="Tahoma" w:hAnsi="Tahoma" w:cs="Myriad Pro"/>
      <w:b/>
      <w:bCs/>
      <w:sz w:val="20"/>
      <w:szCs w:val="20"/>
      <w:lang w:val="x-none" w:eastAsia="de-DE"/>
    </w:rPr>
  </w:style>
  <w:style w:type="paragraph" w:styleId="Kartadokumenta">
    <w:name w:val="Document Map"/>
    <w:basedOn w:val="Normal"/>
    <w:link w:val="KartadokumentaChar"/>
    <w:uiPriority w:val="99"/>
    <w:semiHidden/>
    <w:rsid w:val="00143CE2"/>
    <w:pPr>
      <w:shd w:val="clear" w:color="auto" w:fill="000080"/>
    </w:pPr>
    <w:rPr>
      <w:rFonts w:cs="Tahoma"/>
      <w:szCs w:val="20"/>
    </w:rPr>
  </w:style>
  <w:style w:type="character" w:customStyle="1" w:styleId="KartadokumentaChar">
    <w:name w:val="Karta dokumenta Char"/>
    <w:basedOn w:val="Zadanifontodlomka"/>
    <w:link w:val="Kartadokumenta"/>
    <w:uiPriority w:val="99"/>
    <w:semiHidden/>
    <w:locked/>
    <w:rsid w:val="00143CE2"/>
    <w:rPr>
      <w:rFonts w:ascii="Tahoma" w:hAnsi="Tahoma" w:cs="Tahoma"/>
      <w:sz w:val="20"/>
      <w:szCs w:val="20"/>
      <w:shd w:val="clear" w:color="auto" w:fill="000080"/>
      <w:lang w:val="x-none" w:eastAsia="de-DE"/>
    </w:rPr>
  </w:style>
  <w:style w:type="paragraph" w:styleId="Naslov">
    <w:name w:val="Title"/>
    <w:basedOn w:val="Normal"/>
    <w:next w:val="Normal"/>
    <w:link w:val="NaslovChar"/>
    <w:uiPriority w:val="99"/>
    <w:rsid w:val="00F122CC"/>
    <w:pPr>
      <w:spacing w:after="0"/>
      <w:contextualSpacing/>
    </w:pPr>
    <w:rPr>
      <w:rFonts w:eastAsiaTheme="majorEastAsia" w:cs="Times New Roman"/>
      <w:spacing w:val="-10"/>
      <w:kern w:val="28"/>
      <w:sz w:val="56"/>
      <w:szCs w:val="56"/>
    </w:rPr>
  </w:style>
  <w:style w:type="character" w:customStyle="1" w:styleId="NaslovChar">
    <w:name w:val="Naslov Char"/>
    <w:basedOn w:val="Zadanifontodlomka"/>
    <w:link w:val="Naslov"/>
    <w:uiPriority w:val="99"/>
    <w:locked/>
    <w:rsid w:val="00F122CC"/>
    <w:rPr>
      <w:rFonts w:ascii="Tahoma" w:eastAsiaTheme="majorEastAsia" w:hAnsi="Tahoma" w:cs="Times New Roman"/>
      <w:spacing w:val="-10"/>
      <w:kern w:val="28"/>
      <w:sz w:val="56"/>
      <w:szCs w:val="56"/>
      <w:lang w:val="x-none" w:eastAsia="de-DE"/>
    </w:rPr>
  </w:style>
  <w:style w:type="character" w:styleId="Referencakrajnjebiljeke">
    <w:name w:val="endnote reference"/>
    <w:basedOn w:val="Zadanifontodlomka"/>
    <w:uiPriority w:val="99"/>
    <w:semiHidden/>
    <w:rsid w:val="00143CE2"/>
    <w:rPr>
      <w:rFonts w:cs="Times New Roman"/>
      <w:vertAlign w:val="superscript"/>
    </w:rPr>
  </w:style>
  <w:style w:type="paragraph" w:styleId="Tekstkrajnjebiljeke">
    <w:name w:val="endnote text"/>
    <w:basedOn w:val="Normal"/>
    <w:link w:val="TekstkrajnjebiljekeChar"/>
    <w:uiPriority w:val="99"/>
    <w:semiHidden/>
    <w:rsid w:val="00B20621"/>
    <w:rPr>
      <w:rFonts w:cs="Times New Roman"/>
      <w:szCs w:val="20"/>
      <w:lang w:val="de-DE" w:eastAsia="zh-CN"/>
    </w:rPr>
  </w:style>
  <w:style w:type="character" w:customStyle="1" w:styleId="TekstkrajnjebiljekeChar">
    <w:name w:val="Tekst krajnje bilješke Char"/>
    <w:basedOn w:val="Zadanifontodlomka"/>
    <w:link w:val="Tekstkrajnjebiljeke"/>
    <w:uiPriority w:val="99"/>
    <w:semiHidden/>
    <w:locked/>
    <w:rsid w:val="00B20621"/>
    <w:rPr>
      <w:rFonts w:ascii="Tahoma" w:hAnsi="Tahoma" w:cs="Times New Roman"/>
      <w:sz w:val="20"/>
      <w:szCs w:val="20"/>
      <w:lang w:val="de-DE" w:eastAsia="zh-CN"/>
    </w:rPr>
  </w:style>
  <w:style w:type="paragraph" w:styleId="Tijeloteksta">
    <w:name w:val="Body Text"/>
    <w:basedOn w:val="Normal"/>
    <w:link w:val="TijelotekstaChar"/>
    <w:uiPriority w:val="99"/>
    <w:rsid w:val="003F0DFF"/>
  </w:style>
  <w:style w:type="character" w:customStyle="1" w:styleId="TijelotekstaChar">
    <w:name w:val="Tijelo teksta Char"/>
    <w:basedOn w:val="Zadanifontodlomka"/>
    <w:link w:val="Tijeloteksta"/>
    <w:uiPriority w:val="99"/>
    <w:locked/>
    <w:rsid w:val="003F0DFF"/>
    <w:rPr>
      <w:rFonts w:ascii="Tahoma" w:hAnsi="Tahoma" w:cs="Myriad Pro"/>
      <w:sz w:val="24"/>
      <w:szCs w:val="24"/>
      <w:lang w:val="x-none" w:eastAsia="de-DE"/>
    </w:rPr>
  </w:style>
  <w:style w:type="paragraph" w:styleId="TOCNaslov">
    <w:name w:val="TOC Heading"/>
    <w:basedOn w:val="Naslov10"/>
    <w:next w:val="Normal"/>
    <w:uiPriority w:val="39"/>
    <w:semiHidden/>
    <w:unhideWhenUsed/>
    <w:rsid w:val="00A84BA4"/>
    <w:pPr>
      <w:numPr>
        <w:numId w:val="0"/>
      </w:numPr>
      <w:pBdr>
        <w:top w:val="none" w:sz="0" w:space="0" w:color="auto"/>
      </w:pBdr>
      <w:suppressAutoHyphens w:val="0"/>
      <w:autoSpaceDE/>
      <w:autoSpaceDN/>
      <w:adjustRightInd/>
      <w:ind w:left="360" w:hanging="360"/>
      <w:textAlignment w:val="auto"/>
      <w:outlineLvl w:val="9"/>
    </w:pPr>
    <w:rPr>
      <w:rFonts w:eastAsiaTheme="majorEastAsia" w:cs="Times New Roman"/>
      <w:iCs w:val="0"/>
      <w:position w:val="0"/>
      <w:szCs w:val="32"/>
      <w:lang w:eastAsia="de-DE"/>
    </w:rPr>
  </w:style>
  <w:style w:type="paragraph" w:customStyle="1" w:styleId="Tbltext">
    <w:name w:val="Tbl text"/>
    <w:basedOn w:val="Normal"/>
    <w:link w:val="TbltextChar"/>
    <w:uiPriority w:val="99"/>
    <w:qFormat/>
    <w:rsid w:val="00491310"/>
    <w:pPr>
      <w:suppressAutoHyphens/>
      <w:spacing w:before="40" w:after="40"/>
      <w:jc w:val="left"/>
    </w:pPr>
    <w:rPr>
      <w:rFonts w:cs="Times New Roman"/>
      <w:sz w:val="16"/>
      <w:szCs w:val="20"/>
    </w:rPr>
  </w:style>
  <w:style w:type="paragraph" w:styleId="Sadraj6">
    <w:name w:val="toc 6"/>
    <w:basedOn w:val="Normal"/>
    <w:next w:val="Normal"/>
    <w:autoRedefine/>
    <w:uiPriority w:val="39"/>
    <w:rsid w:val="00497BC5"/>
    <w:pPr>
      <w:spacing w:before="60" w:after="60"/>
      <w:ind w:left="2268"/>
    </w:pPr>
    <w:rPr>
      <w:rFonts w:cs="Times New Roman"/>
      <w:szCs w:val="20"/>
    </w:rPr>
  </w:style>
  <w:style w:type="paragraph" w:styleId="Sadraj7">
    <w:name w:val="toc 7"/>
    <w:basedOn w:val="Normal"/>
    <w:next w:val="Normal"/>
    <w:autoRedefine/>
    <w:uiPriority w:val="39"/>
    <w:rsid w:val="00497BC5"/>
    <w:pPr>
      <w:spacing w:before="60" w:after="60"/>
      <w:ind w:left="2268"/>
    </w:pPr>
    <w:rPr>
      <w:rFonts w:cs="Times New Roman"/>
      <w:szCs w:val="20"/>
    </w:rPr>
  </w:style>
  <w:style w:type="paragraph" w:styleId="Sadraj8">
    <w:name w:val="toc 8"/>
    <w:basedOn w:val="Normal"/>
    <w:next w:val="Normal"/>
    <w:autoRedefine/>
    <w:uiPriority w:val="39"/>
    <w:rsid w:val="00497BC5"/>
    <w:pPr>
      <w:spacing w:before="60" w:after="60"/>
      <w:ind w:left="2268"/>
    </w:pPr>
    <w:rPr>
      <w:rFonts w:cs="Times New Roman"/>
      <w:szCs w:val="20"/>
    </w:rPr>
  </w:style>
  <w:style w:type="paragraph" w:styleId="Sadraj9">
    <w:name w:val="toc 9"/>
    <w:basedOn w:val="Normal"/>
    <w:next w:val="Normal"/>
    <w:autoRedefine/>
    <w:uiPriority w:val="39"/>
    <w:rsid w:val="00497BC5"/>
    <w:pPr>
      <w:spacing w:before="60" w:after="60"/>
      <w:ind w:left="2268"/>
    </w:pPr>
    <w:rPr>
      <w:rFonts w:cs="Times New Roman"/>
      <w:szCs w:val="20"/>
    </w:rPr>
  </w:style>
  <w:style w:type="table" w:customStyle="1" w:styleId="Tablemjera">
    <w:name w:val="Table mjera"/>
    <w:uiPriority w:val="99"/>
    <w:rsid w:val="00143CE2"/>
    <w:pPr>
      <w:spacing w:after="0" w:line="240" w:lineRule="auto"/>
    </w:pPr>
    <w:rPr>
      <w:rFonts w:ascii="Verdana" w:hAnsi="Verdana" w:cs="Times New Roman"/>
      <w:sz w:val="16"/>
      <w:szCs w:val="20"/>
      <w:lang w:eastAsia="hr-HR"/>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Tblkomentar">
    <w:name w:val="Tbl komentar"/>
    <w:basedOn w:val="Normal"/>
    <w:uiPriority w:val="99"/>
    <w:qFormat/>
    <w:rsid w:val="008034BF"/>
    <w:pPr>
      <w:spacing w:after="0"/>
      <w:jc w:val="left"/>
    </w:pPr>
    <w:rPr>
      <w:rFonts w:cs="Tahoma"/>
      <w:i/>
      <w:color w:val="000000"/>
      <w:sz w:val="16"/>
      <w:szCs w:val="16"/>
      <w:lang w:eastAsia="hr-HR"/>
    </w:rPr>
  </w:style>
  <w:style w:type="paragraph" w:customStyle="1" w:styleId="Tbl1red">
    <w:name w:val="Tbl 1. red"/>
    <w:basedOn w:val="Normal"/>
    <w:link w:val="Tbl1redChar"/>
    <w:uiPriority w:val="99"/>
    <w:qFormat/>
    <w:rsid w:val="00175706"/>
    <w:pPr>
      <w:keepNext/>
      <w:shd w:val="clear" w:color="auto" w:fill="FFA7A7"/>
      <w:spacing w:before="80" w:after="80"/>
      <w:jc w:val="center"/>
    </w:pPr>
    <w:rPr>
      <w:rFonts w:cs="Tahoma"/>
      <w:b/>
      <w:bCs/>
      <w:sz w:val="16"/>
      <w:szCs w:val="16"/>
      <w:lang w:eastAsia="hr-HR"/>
    </w:rPr>
  </w:style>
  <w:style w:type="paragraph" w:customStyle="1" w:styleId="Tbl1stupac">
    <w:name w:val="Tbl 1. stupac"/>
    <w:basedOn w:val="Normal"/>
    <w:link w:val="Tbl1stupacChar"/>
    <w:uiPriority w:val="99"/>
    <w:qFormat/>
    <w:rsid w:val="00491310"/>
    <w:pPr>
      <w:spacing w:before="40" w:after="40"/>
      <w:jc w:val="left"/>
    </w:pPr>
    <w:rPr>
      <w:rFonts w:cs="Times New Roman"/>
      <w:b/>
      <w:bCs/>
      <w:sz w:val="16"/>
      <w:szCs w:val="20"/>
      <w:lang w:eastAsia="en-US"/>
    </w:rPr>
  </w:style>
  <w:style w:type="table" w:customStyle="1" w:styleId="Tablicamjeresumarno">
    <w:name w:val="Tablica mjere sumarno"/>
    <w:uiPriority w:val="99"/>
    <w:rsid w:val="00143CE2"/>
    <w:pPr>
      <w:spacing w:after="0" w:line="240" w:lineRule="auto"/>
    </w:pPr>
    <w:rPr>
      <w:rFonts w:ascii="Verdana"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mjeresumarno0">
    <w:name w:val="tablica mjere sumarno"/>
    <w:uiPriority w:val="99"/>
    <w:rsid w:val="00143CE2"/>
    <w:pPr>
      <w:spacing w:after="0" w:line="240" w:lineRule="auto"/>
    </w:pPr>
    <w:rPr>
      <w:rFonts w:ascii="Verdana"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prvistupacprvired">
    <w:name w:val="tablica prvi stupac prvi red"/>
    <w:uiPriority w:val="99"/>
    <w:rsid w:val="00143CE2"/>
    <w:pPr>
      <w:spacing w:after="0" w:line="240" w:lineRule="auto"/>
    </w:pPr>
    <w:rPr>
      <w:rFonts w:ascii="Verdana"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stupacred">
    <w:name w:val="tablica stupac/red"/>
    <w:uiPriority w:val="99"/>
    <w:rsid w:val="00143CE2"/>
    <w:pPr>
      <w:spacing w:after="0" w:line="240" w:lineRule="auto"/>
    </w:pPr>
    <w:rPr>
      <w:rFonts w:ascii="Verdana"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ojevi5">
    <w:name w:val="List Number 5"/>
    <w:basedOn w:val="Normal"/>
    <w:uiPriority w:val="99"/>
    <w:semiHidden/>
    <w:rsid w:val="000F45F2"/>
    <w:pPr>
      <w:tabs>
        <w:tab w:val="num" w:pos="567"/>
        <w:tab w:val="num" w:pos="1492"/>
      </w:tabs>
      <w:ind w:left="1492" w:hanging="360"/>
      <w:jc w:val="left"/>
    </w:pPr>
    <w:rPr>
      <w:rFonts w:cs="Times New Roman"/>
      <w:lang w:eastAsia="hr-HR"/>
    </w:rPr>
  </w:style>
  <w:style w:type="paragraph" w:styleId="Grafikeoznake">
    <w:name w:val="List Bullet"/>
    <w:basedOn w:val="Normal"/>
    <w:autoRedefine/>
    <w:uiPriority w:val="99"/>
    <w:semiHidden/>
    <w:rsid w:val="001F0216"/>
    <w:pPr>
      <w:tabs>
        <w:tab w:val="num" w:pos="720"/>
      </w:tabs>
      <w:spacing w:before="60" w:after="60"/>
      <w:ind w:left="284" w:hanging="284"/>
      <w:jc w:val="left"/>
    </w:pPr>
    <w:rPr>
      <w:rFonts w:cs="Times New Roman"/>
      <w:lang w:eastAsia="hr-HR"/>
    </w:rPr>
  </w:style>
  <w:style w:type="paragraph" w:styleId="Revizija">
    <w:name w:val="Revision"/>
    <w:hidden/>
    <w:uiPriority w:val="99"/>
    <w:semiHidden/>
    <w:rsid w:val="00143CE2"/>
    <w:pPr>
      <w:spacing w:after="0" w:line="240" w:lineRule="auto"/>
    </w:pPr>
    <w:rPr>
      <w:rFonts w:ascii="Myriad Pro" w:hAnsi="Myriad Pro" w:cs="Myriad Pro"/>
      <w:szCs w:val="24"/>
      <w:lang w:val="en-GB" w:eastAsia="de-DE"/>
    </w:rPr>
  </w:style>
  <w:style w:type="table" w:customStyle="1" w:styleId="REPORTTablica">
    <w:name w:val="REPORT Tablica"/>
    <w:uiPriority w:val="99"/>
    <w:rsid w:val="00143CE2"/>
    <w:pPr>
      <w:spacing w:after="0" w:line="240" w:lineRule="auto"/>
    </w:pPr>
    <w:rPr>
      <w:rFonts w:ascii="Tahoma" w:hAnsi="Tahoma" w:cs="Times New Roman"/>
      <w:sz w:val="20"/>
      <w:szCs w:val="20"/>
      <w:lang w:eastAsia="hr-HR"/>
    </w:rPr>
    <w:tblPr>
      <w:tblStyleRowBandSize w:val="1"/>
      <w:tblInd w:w="0" w:type="dxa"/>
      <w:tblCellMar>
        <w:top w:w="0" w:type="dxa"/>
        <w:left w:w="108" w:type="dxa"/>
        <w:bottom w:w="0" w:type="dxa"/>
        <w:right w:w="108" w:type="dxa"/>
      </w:tblCellMar>
    </w:tblPr>
  </w:style>
  <w:style w:type="table" w:customStyle="1" w:styleId="ColorfulList1">
    <w:name w:val="Colorful List1"/>
    <w:basedOn w:val="Obinatablica"/>
    <w:uiPriority w:val="72"/>
    <w:rsid w:val="00143CE2"/>
    <w:pPr>
      <w:spacing w:after="0" w:line="240" w:lineRule="auto"/>
    </w:pPr>
    <w:rPr>
      <w:rFonts w:ascii="Times New Roman" w:hAnsi="Times New Roman" w:cs="Times New Roman"/>
      <w:color w:val="000000" w:themeColor="text1"/>
      <w:sz w:val="20"/>
      <w:szCs w:val="20"/>
      <w:lang w:eastAsia="hr-HR"/>
    </w:rPr>
    <w:tblPr>
      <w:tblStyleRowBandSize w:val="1"/>
      <w:tblStyleColBandSize w:val="1"/>
    </w:tblPr>
    <w:tcPr>
      <w:shd w:val="clear" w:color="auto" w:fill="E6E6E6" w:themeFill="text1" w:themeFillTint="19"/>
    </w:tcPr>
    <w:tblStylePr w:type="firstRow">
      <w:rPr>
        <w:rFonts w:cs="Times New Roman"/>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rFonts w:cs="Times New Roman"/>
        <w:b/>
        <w:bCs/>
        <w:color w:val="D25F12"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hemeFill="text1" w:themeFillTint="3F"/>
      </w:tcPr>
    </w:tblStylePr>
    <w:tblStylePr w:type="band1Horz">
      <w:rPr>
        <w:rFonts w:cs="Times New Roman"/>
      </w:rPr>
      <w:tblPr/>
      <w:tcPr>
        <w:shd w:val="clear" w:color="auto" w:fill="CCCCCC" w:themeFill="text1" w:themeFillTint="33"/>
      </w:tcPr>
    </w:tblStylePr>
  </w:style>
  <w:style w:type="paragraph" w:styleId="Datum">
    <w:name w:val="Date"/>
    <w:basedOn w:val="Normal"/>
    <w:next w:val="Normal"/>
    <w:link w:val="DatumChar"/>
    <w:uiPriority w:val="99"/>
    <w:semiHidden/>
    <w:rsid w:val="00B20621"/>
    <w:pPr>
      <w:spacing w:before="100" w:beforeAutospacing="1" w:afterAutospacing="1"/>
    </w:pPr>
    <w:rPr>
      <w:rFonts w:cs="Times New Roman"/>
      <w:lang w:eastAsia="hr-HR"/>
    </w:rPr>
  </w:style>
  <w:style w:type="character" w:customStyle="1" w:styleId="DatumChar">
    <w:name w:val="Datum Char"/>
    <w:basedOn w:val="Zadanifontodlomka"/>
    <w:link w:val="Datum"/>
    <w:uiPriority w:val="99"/>
    <w:semiHidden/>
    <w:locked/>
    <w:rsid w:val="00B20621"/>
    <w:rPr>
      <w:rFonts w:ascii="Tahoma" w:hAnsi="Tahoma" w:cs="Times New Roman"/>
      <w:sz w:val="24"/>
      <w:szCs w:val="24"/>
      <w:lang w:val="x-none" w:eastAsia="hr-HR"/>
    </w:rPr>
  </w:style>
  <w:style w:type="table" w:customStyle="1" w:styleId="Obinatablica51">
    <w:name w:val="Obična tablica 51"/>
    <w:basedOn w:val="Obinatablica"/>
    <w:uiPriority w:val="45"/>
    <w:rsid w:val="00143CE2"/>
    <w:pPr>
      <w:spacing w:after="0" w:line="240" w:lineRule="auto"/>
    </w:pPr>
    <w:rPr>
      <w:rFonts w:ascii="Times New Roman" w:hAnsi="Times New Roman" w:cs="Times New Roman"/>
      <w:sz w:val="20"/>
      <w:szCs w:val="20"/>
      <w:lang w:eastAsia="hr-HR"/>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licareetke4-isticanje21">
    <w:name w:val="Tablica rešetke 4 - isticanje 21"/>
    <w:basedOn w:val="Obinatablica"/>
    <w:uiPriority w:val="49"/>
    <w:rsid w:val="00143CE2"/>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styleId="Brojretka">
    <w:name w:val="line number"/>
    <w:basedOn w:val="Zadanifontodlomka"/>
    <w:uiPriority w:val="99"/>
    <w:semiHidden/>
    <w:rsid w:val="00143CE2"/>
    <w:rPr>
      <w:rFonts w:cs="Times New Roman"/>
    </w:rPr>
  </w:style>
  <w:style w:type="paragraph" w:styleId="Blokteksta">
    <w:name w:val="Block Text"/>
    <w:basedOn w:val="Normal"/>
    <w:uiPriority w:val="99"/>
    <w:semiHidden/>
    <w:rsid w:val="00B20621"/>
    <w:pPr>
      <w:spacing w:before="100" w:beforeAutospacing="1" w:afterAutospacing="1"/>
      <w:ind w:left="1440" w:right="1440"/>
    </w:pPr>
    <w:rPr>
      <w:rFonts w:cs="Times New Roman"/>
      <w:sz w:val="22"/>
      <w:lang w:eastAsia="hr-HR"/>
    </w:rPr>
  </w:style>
  <w:style w:type="paragraph" w:styleId="Zavretak">
    <w:name w:val="Closing"/>
    <w:basedOn w:val="Normal"/>
    <w:link w:val="ZavretakChar"/>
    <w:uiPriority w:val="99"/>
    <w:semiHidden/>
    <w:rsid w:val="00B20621"/>
    <w:pPr>
      <w:spacing w:before="100" w:beforeAutospacing="1" w:afterAutospacing="1"/>
      <w:ind w:left="4252"/>
    </w:pPr>
    <w:rPr>
      <w:rFonts w:cs="Times New Roman"/>
      <w:lang w:eastAsia="hr-HR"/>
    </w:rPr>
  </w:style>
  <w:style w:type="character" w:customStyle="1" w:styleId="ZavretakChar">
    <w:name w:val="Završetak Char"/>
    <w:basedOn w:val="Zadanifontodlomka"/>
    <w:link w:val="Zavretak"/>
    <w:uiPriority w:val="99"/>
    <w:semiHidden/>
    <w:locked/>
    <w:rsid w:val="00B20621"/>
    <w:rPr>
      <w:rFonts w:ascii="Tahoma" w:hAnsi="Tahoma" w:cs="Times New Roman"/>
      <w:sz w:val="24"/>
      <w:szCs w:val="24"/>
      <w:lang w:val="x-none" w:eastAsia="hr-HR"/>
    </w:rPr>
  </w:style>
  <w:style w:type="paragraph" w:styleId="Potpise-pote">
    <w:name w:val="E-mail Signature"/>
    <w:basedOn w:val="Normal"/>
    <w:link w:val="Potpise-poteChar"/>
    <w:uiPriority w:val="99"/>
    <w:semiHidden/>
    <w:rsid w:val="00B20621"/>
    <w:pPr>
      <w:spacing w:before="100" w:beforeAutospacing="1" w:afterAutospacing="1"/>
    </w:pPr>
    <w:rPr>
      <w:rFonts w:cs="Times New Roman"/>
      <w:lang w:eastAsia="hr-HR"/>
    </w:rPr>
  </w:style>
  <w:style w:type="character" w:customStyle="1" w:styleId="Potpise-poteChar">
    <w:name w:val="Potpis e-pošte Char"/>
    <w:basedOn w:val="Zadanifontodlomka"/>
    <w:link w:val="Potpise-pote"/>
    <w:uiPriority w:val="99"/>
    <w:semiHidden/>
    <w:locked/>
    <w:rsid w:val="00B20621"/>
    <w:rPr>
      <w:rFonts w:ascii="Tahoma" w:hAnsi="Tahoma" w:cs="Times New Roman"/>
      <w:sz w:val="24"/>
      <w:szCs w:val="24"/>
      <w:lang w:val="x-none" w:eastAsia="hr-HR"/>
    </w:rPr>
  </w:style>
  <w:style w:type="character" w:styleId="SlijeenaHiperveza">
    <w:name w:val="FollowedHyperlink"/>
    <w:basedOn w:val="Zadanifontodlomka"/>
    <w:uiPriority w:val="99"/>
    <w:semiHidden/>
    <w:rsid w:val="00143CE2"/>
    <w:rPr>
      <w:rFonts w:cs="Times New Roman"/>
      <w:color w:val="800080"/>
      <w:u w:val="single"/>
    </w:rPr>
  </w:style>
  <w:style w:type="character" w:styleId="HTML-akronim">
    <w:name w:val="HTML Acronym"/>
    <w:basedOn w:val="Zadanifontodlomka"/>
    <w:uiPriority w:val="99"/>
    <w:semiHidden/>
    <w:rsid w:val="00143CE2"/>
    <w:rPr>
      <w:rFonts w:cs="Times New Roman"/>
    </w:rPr>
  </w:style>
  <w:style w:type="paragraph" w:styleId="HTML-adresa">
    <w:name w:val="HTML Address"/>
    <w:basedOn w:val="Normal"/>
    <w:link w:val="HTML-adresaChar"/>
    <w:uiPriority w:val="99"/>
    <w:semiHidden/>
    <w:rsid w:val="00B20621"/>
    <w:pPr>
      <w:spacing w:before="100" w:beforeAutospacing="1" w:afterAutospacing="1"/>
    </w:pPr>
    <w:rPr>
      <w:rFonts w:cs="Times New Roman"/>
      <w:i/>
      <w:iCs/>
      <w:lang w:eastAsia="hr-HR"/>
    </w:rPr>
  </w:style>
  <w:style w:type="character" w:customStyle="1" w:styleId="HTML-adresaChar">
    <w:name w:val="HTML-adresa Char"/>
    <w:basedOn w:val="Zadanifontodlomka"/>
    <w:link w:val="HTML-adresa"/>
    <w:uiPriority w:val="99"/>
    <w:semiHidden/>
    <w:locked/>
    <w:rsid w:val="00B20621"/>
    <w:rPr>
      <w:rFonts w:ascii="Tahoma" w:hAnsi="Tahoma" w:cs="Times New Roman"/>
      <w:i/>
      <w:iCs/>
      <w:sz w:val="24"/>
      <w:szCs w:val="24"/>
      <w:lang w:val="x-none" w:eastAsia="hr-HR"/>
    </w:rPr>
  </w:style>
  <w:style w:type="character" w:styleId="HTML-navod">
    <w:name w:val="HTML Cite"/>
    <w:basedOn w:val="Zadanifontodlomka"/>
    <w:uiPriority w:val="99"/>
    <w:semiHidden/>
    <w:rsid w:val="00143CE2"/>
    <w:rPr>
      <w:rFonts w:cs="Times New Roman"/>
      <w:i/>
      <w:iCs/>
    </w:rPr>
  </w:style>
  <w:style w:type="character" w:styleId="HTML-kod">
    <w:name w:val="HTML Code"/>
    <w:basedOn w:val="Zadanifontodlomka"/>
    <w:uiPriority w:val="99"/>
    <w:semiHidden/>
    <w:rsid w:val="00B20621"/>
    <w:rPr>
      <w:rFonts w:ascii="Tahoma" w:hAnsi="Tahoma" w:cs="Courier New"/>
      <w:sz w:val="20"/>
      <w:szCs w:val="20"/>
    </w:rPr>
  </w:style>
  <w:style w:type="character" w:styleId="HTML-definicija">
    <w:name w:val="HTML Definition"/>
    <w:basedOn w:val="Zadanifontodlomka"/>
    <w:uiPriority w:val="99"/>
    <w:semiHidden/>
    <w:rsid w:val="00143CE2"/>
    <w:rPr>
      <w:rFonts w:cs="Times New Roman"/>
      <w:i/>
      <w:iCs/>
    </w:rPr>
  </w:style>
  <w:style w:type="character" w:styleId="HTML-tipkovnica">
    <w:name w:val="HTML Keyboard"/>
    <w:basedOn w:val="Zadanifontodlomka"/>
    <w:uiPriority w:val="99"/>
    <w:semiHidden/>
    <w:rsid w:val="00B20621"/>
    <w:rPr>
      <w:rFonts w:ascii="Tahoma" w:hAnsi="Tahoma" w:cs="Courier New"/>
      <w:sz w:val="20"/>
      <w:szCs w:val="20"/>
    </w:rPr>
  </w:style>
  <w:style w:type="paragraph" w:styleId="HTMLunaprijedoblikovano">
    <w:name w:val="HTML Preformatted"/>
    <w:basedOn w:val="Normal"/>
    <w:link w:val="HTMLunaprijedoblikovanoChar"/>
    <w:uiPriority w:val="99"/>
    <w:rsid w:val="00B20621"/>
    <w:pPr>
      <w:spacing w:before="100" w:beforeAutospacing="1" w:afterAutospacing="1"/>
    </w:pPr>
    <w:rPr>
      <w:rFonts w:cs="Courier New"/>
      <w:szCs w:val="20"/>
      <w:lang w:eastAsia="hr-HR"/>
    </w:rPr>
  </w:style>
  <w:style w:type="character" w:customStyle="1" w:styleId="HTMLunaprijedoblikovanoChar">
    <w:name w:val="HTML unaprijed oblikovano Char"/>
    <w:basedOn w:val="Zadanifontodlomka"/>
    <w:link w:val="HTMLunaprijedoblikovano"/>
    <w:uiPriority w:val="99"/>
    <w:locked/>
    <w:rsid w:val="00B20621"/>
    <w:rPr>
      <w:rFonts w:ascii="Tahoma" w:hAnsi="Tahoma" w:cs="Courier New"/>
      <w:sz w:val="20"/>
      <w:szCs w:val="20"/>
      <w:lang w:val="x-none" w:eastAsia="hr-HR"/>
    </w:rPr>
  </w:style>
  <w:style w:type="character" w:styleId="HTML-primjer">
    <w:name w:val="HTML Sample"/>
    <w:basedOn w:val="Zadanifontodlomka"/>
    <w:uiPriority w:val="99"/>
    <w:semiHidden/>
    <w:rsid w:val="00143CE2"/>
    <w:rPr>
      <w:rFonts w:ascii="Courier New" w:hAnsi="Courier New" w:cs="Courier New"/>
    </w:rPr>
  </w:style>
  <w:style w:type="character" w:styleId="HTMLpisaistroj">
    <w:name w:val="HTML Typewriter"/>
    <w:basedOn w:val="Zadanifontodlomka"/>
    <w:uiPriority w:val="99"/>
    <w:semiHidden/>
    <w:rsid w:val="00143CE2"/>
    <w:rPr>
      <w:rFonts w:ascii="Courier New" w:hAnsi="Courier New" w:cs="Courier New"/>
      <w:sz w:val="20"/>
      <w:szCs w:val="20"/>
    </w:rPr>
  </w:style>
  <w:style w:type="character" w:styleId="HTML-varijabla">
    <w:name w:val="HTML Variable"/>
    <w:basedOn w:val="Zadanifontodlomka"/>
    <w:uiPriority w:val="99"/>
    <w:semiHidden/>
    <w:rsid w:val="00143CE2"/>
    <w:rPr>
      <w:rFonts w:cs="Times New Roman"/>
      <w:i/>
      <w:iCs/>
    </w:rPr>
  </w:style>
  <w:style w:type="paragraph" w:styleId="Popis2">
    <w:name w:val="List 2"/>
    <w:basedOn w:val="Normal"/>
    <w:uiPriority w:val="99"/>
    <w:semiHidden/>
    <w:rsid w:val="00B20621"/>
    <w:pPr>
      <w:spacing w:before="100" w:beforeAutospacing="1" w:afterAutospacing="1"/>
      <w:ind w:left="566" w:hanging="283"/>
    </w:pPr>
    <w:rPr>
      <w:rFonts w:cs="Times New Roman"/>
      <w:lang w:eastAsia="hr-HR"/>
    </w:rPr>
  </w:style>
  <w:style w:type="paragraph" w:styleId="Popis3">
    <w:name w:val="List 3"/>
    <w:basedOn w:val="Normal"/>
    <w:uiPriority w:val="99"/>
    <w:semiHidden/>
    <w:rsid w:val="00B20621"/>
    <w:pPr>
      <w:spacing w:before="100" w:beforeAutospacing="1" w:afterAutospacing="1"/>
      <w:ind w:left="849" w:hanging="283"/>
    </w:pPr>
    <w:rPr>
      <w:rFonts w:cs="Times New Roman"/>
      <w:lang w:eastAsia="hr-HR"/>
    </w:rPr>
  </w:style>
  <w:style w:type="paragraph" w:styleId="Popis4">
    <w:name w:val="List 4"/>
    <w:basedOn w:val="Normal"/>
    <w:uiPriority w:val="99"/>
    <w:semiHidden/>
    <w:rsid w:val="00B20621"/>
    <w:pPr>
      <w:spacing w:before="100" w:beforeAutospacing="1" w:afterAutospacing="1"/>
      <w:ind w:left="1132" w:hanging="283"/>
    </w:pPr>
    <w:rPr>
      <w:rFonts w:cs="Times New Roman"/>
      <w:lang w:eastAsia="hr-HR"/>
    </w:rPr>
  </w:style>
  <w:style w:type="paragraph" w:styleId="Popis5">
    <w:name w:val="List 5"/>
    <w:basedOn w:val="Normal"/>
    <w:uiPriority w:val="99"/>
    <w:semiHidden/>
    <w:rsid w:val="00B20621"/>
    <w:pPr>
      <w:spacing w:before="100" w:beforeAutospacing="1" w:afterAutospacing="1"/>
      <w:ind w:left="1415" w:hanging="283"/>
    </w:pPr>
    <w:rPr>
      <w:rFonts w:cs="Times New Roman"/>
      <w:lang w:eastAsia="hr-HR"/>
    </w:rPr>
  </w:style>
  <w:style w:type="paragraph" w:styleId="Grafikeoznake3">
    <w:name w:val="List Bullet 3"/>
    <w:basedOn w:val="Normal"/>
    <w:autoRedefine/>
    <w:uiPriority w:val="99"/>
    <w:semiHidden/>
    <w:rsid w:val="000F45F2"/>
    <w:pPr>
      <w:tabs>
        <w:tab w:val="num" w:pos="926"/>
      </w:tabs>
      <w:spacing w:before="100" w:beforeAutospacing="1" w:afterAutospacing="1"/>
      <w:ind w:left="926" w:hanging="360"/>
    </w:pPr>
    <w:rPr>
      <w:rFonts w:cs="Times New Roman"/>
      <w:lang w:eastAsia="hr-HR"/>
    </w:rPr>
  </w:style>
  <w:style w:type="paragraph" w:styleId="Grafikeoznake4">
    <w:name w:val="List Bullet 4"/>
    <w:basedOn w:val="Normal"/>
    <w:autoRedefine/>
    <w:uiPriority w:val="99"/>
    <w:semiHidden/>
    <w:rsid w:val="000F45F2"/>
    <w:pPr>
      <w:tabs>
        <w:tab w:val="num" w:pos="1209"/>
      </w:tabs>
      <w:spacing w:before="100" w:beforeAutospacing="1" w:afterAutospacing="1"/>
      <w:ind w:left="1209" w:hanging="360"/>
    </w:pPr>
    <w:rPr>
      <w:rFonts w:cs="Times New Roman"/>
      <w:lang w:eastAsia="hr-HR"/>
    </w:rPr>
  </w:style>
  <w:style w:type="paragraph" w:styleId="Grafikeoznake5">
    <w:name w:val="List Bullet 5"/>
    <w:basedOn w:val="Normal"/>
    <w:autoRedefine/>
    <w:uiPriority w:val="99"/>
    <w:semiHidden/>
    <w:rsid w:val="000F45F2"/>
    <w:pPr>
      <w:tabs>
        <w:tab w:val="num" w:pos="1492"/>
      </w:tabs>
      <w:spacing w:before="100" w:beforeAutospacing="1" w:afterAutospacing="1"/>
      <w:ind w:left="1492" w:hanging="360"/>
    </w:pPr>
    <w:rPr>
      <w:rFonts w:cs="Times New Roman"/>
      <w:lang w:eastAsia="hr-HR"/>
    </w:rPr>
  </w:style>
  <w:style w:type="paragraph" w:styleId="Nastavakpopisa">
    <w:name w:val="List Continue"/>
    <w:basedOn w:val="Normal"/>
    <w:uiPriority w:val="99"/>
    <w:semiHidden/>
    <w:rsid w:val="000F45F2"/>
    <w:pPr>
      <w:spacing w:before="100" w:beforeAutospacing="1" w:afterAutospacing="1"/>
      <w:ind w:left="283"/>
    </w:pPr>
    <w:rPr>
      <w:rFonts w:cs="Times New Roman"/>
      <w:lang w:eastAsia="hr-HR"/>
    </w:rPr>
  </w:style>
  <w:style w:type="paragraph" w:styleId="Nastavakpopisa2">
    <w:name w:val="List Continue 2"/>
    <w:basedOn w:val="Normal"/>
    <w:uiPriority w:val="99"/>
    <w:semiHidden/>
    <w:rsid w:val="000F45F2"/>
    <w:pPr>
      <w:spacing w:before="100" w:beforeAutospacing="1" w:afterAutospacing="1"/>
      <w:ind w:left="566"/>
    </w:pPr>
    <w:rPr>
      <w:rFonts w:cs="Times New Roman"/>
      <w:lang w:eastAsia="hr-HR"/>
    </w:rPr>
  </w:style>
  <w:style w:type="paragraph" w:styleId="Nastavakpopisa3">
    <w:name w:val="List Continue 3"/>
    <w:basedOn w:val="Normal"/>
    <w:uiPriority w:val="99"/>
    <w:semiHidden/>
    <w:rsid w:val="000F45F2"/>
    <w:pPr>
      <w:spacing w:before="100" w:beforeAutospacing="1" w:afterAutospacing="1"/>
      <w:ind w:left="849"/>
    </w:pPr>
    <w:rPr>
      <w:rFonts w:cs="Times New Roman"/>
      <w:lang w:eastAsia="hr-HR"/>
    </w:rPr>
  </w:style>
  <w:style w:type="paragraph" w:styleId="Nastavakpopisa4">
    <w:name w:val="List Continue 4"/>
    <w:basedOn w:val="Normal"/>
    <w:uiPriority w:val="99"/>
    <w:semiHidden/>
    <w:rsid w:val="000F45F2"/>
    <w:pPr>
      <w:spacing w:before="100" w:beforeAutospacing="1" w:afterAutospacing="1"/>
      <w:ind w:left="1132"/>
    </w:pPr>
    <w:rPr>
      <w:rFonts w:cs="Times New Roman"/>
      <w:lang w:eastAsia="hr-HR"/>
    </w:rPr>
  </w:style>
  <w:style w:type="paragraph" w:styleId="Nastavakpopisa5">
    <w:name w:val="List Continue 5"/>
    <w:basedOn w:val="Normal"/>
    <w:uiPriority w:val="99"/>
    <w:semiHidden/>
    <w:rsid w:val="000F45F2"/>
    <w:pPr>
      <w:spacing w:before="100" w:beforeAutospacing="1" w:afterAutospacing="1"/>
      <w:ind w:left="1415"/>
    </w:pPr>
    <w:rPr>
      <w:rFonts w:cs="Times New Roman"/>
      <w:lang w:eastAsia="hr-HR"/>
    </w:rPr>
  </w:style>
  <w:style w:type="paragraph" w:styleId="Brojevi">
    <w:name w:val="List Number"/>
    <w:basedOn w:val="Normal"/>
    <w:uiPriority w:val="99"/>
    <w:semiHidden/>
    <w:rsid w:val="000F45F2"/>
    <w:pPr>
      <w:tabs>
        <w:tab w:val="num" w:pos="360"/>
      </w:tabs>
      <w:spacing w:before="100" w:beforeAutospacing="1" w:afterAutospacing="1"/>
      <w:ind w:left="360" w:hanging="360"/>
    </w:pPr>
    <w:rPr>
      <w:rFonts w:cs="Times New Roman"/>
      <w:lang w:eastAsia="hr-HR"/>
    </w:rPr>
  </w:style>
  <w:style w:type="paragraph" w:styleId="Brojevi2">
    <w:name w:val="List Number 2"/>
    <w:basedOn w:val="Normal"/>
    <w:uiPriority w:val="99"/>
    <w:semiHidden/>
    <w:rsid w:val="000F45F2"/>
    <w:pPr>
      <w:tabs>
        <w:tab w:val="num" w:pos="643"/>
      </w:tabs>
      <w:spacing w:before="100" w:beforeAutospacing="1" w:afterAutospacing="1"/>
      <w:ind w:left="643" w:hanging="360"/>
    </w:pPr>
    <w:rPr>
      <w:rFonts w:cs="Times New Roman"/>
      <w:lang w:eastAsia="hr-HR"/>
    </w:rPr>
  </w:style>
  <w:style w:type="paragraph" w:styleId="Brojevi3">
    <w:name w:val="List Number 3"/>
    <w:basedOn w:val="Normal"/>
    <w:uiPriority w:val="99"/>
    <w:semiHidden/>
    <w:rsid w:val="000F45F2"/>
    <w:pPr>
      <w:tabs>
        <w:tab w:val="num" w:pos="926"/>
      </w:tabs>
      <w:spacing w:before="100" w:beforeAutospacing="1" w:afterAutospacing="1"/>
      <w:ind w:left="926" w:hanging="360"/>
    </w:pPr>
    <w:rPr>
      <w:rFonts w:cs="Times New Roman"/>
      <w:lang w:eastAsia="hr-HR"/>
    </w:rPr>
  </w:style>
  <w:style w:type="paragraph" w:styleId="Brojevi4">
    <w:name w:val="List Number 4"/>
    <w:basedOn w:val="Normal"/>
    <w:uiPriority w:val="99"/>
    <w:semiHidden/>
    <w:rsid w:val="000F45F2"/>
    <w:pPr>
      <w:tabs>
        <w:tab w:val="num" w:pos="1209"/>
      </w:tabs>
      <w:spacing w:before="100" w:beforeAutospacing="1" w:afterAutospacing="1"/>
      <w:ind w:left="1209" w:hanging="360"/>
    </w:pPr>
    <w:rPr>
      <w:rFonts w:cs="Times New Roman"/>
      <w:lang w:eastAsia="hr-HR"/>
    </w:rPr>
  </w:style>
  <w:style w:type="paragraph" w:styleId="Zaglavljeporuke">
    <w:name w:val="Message Header"/>
    <w:basedOn w:val="Normal"/>
    <w:link w:val="ZaglavljeporukeChar"/>
    <w:uiPriority w:val="99"/>
    <w:semiHidden/>
    <w:rsid w:val="000F45F2"/>
    <w:pPr>
      <w:pBdr>
        <w:top w:val="single" w:sz="6" w:space="1" w:color="auto"/>
        <w:left w:val="single" w:sz="6" w:space="1" w:color="auto"/>
        <w:bottom w:val="single" w:sz="6" w:space="1" w:color="auto"/>
        <w:right w:val="single" w:sz="6" w:space="1" w:color="auto"/>
      </w:pBdr>
      <w:shd w:val="pct20" w:color="auto" w:fill="auto"/>
      <w:spacing w:before="100" w:beforeAutospacing="1" w:afterAutospacing="1"/>
      <w:ind w:left="1134" w:hanging="1134"/>
    </w:pPr>
    <w:rPr>
      <w:rFonts w:cs="Arial"/>
      <w:lang w:eastAsia="hr-HR"/>
    </w:rPr>
  </w:style>
  <w:style w:type="character" w:customStyle="1" w:styleId="ZaglavljeporukeChar">
    <w:name w:val="Zaglavlje poruke Char"/>
    <w:basedOn w:val="Zadanifontodlomka"/>
    <w:link w:val="Zaglavljeporuke"/>
    <w:uiPriority w:val="99"/>
    <w:semiHidden/>
    <w:locked/>
    <w:rsid w:val="000F45F2"/>
    <w:rPr>
      <w:rFonts w:ascii="Tahoma" w:hAnsi="Tahoma" w:cs="Arial"/>
      <w:sz w:val="24"/>
      <w:szCs w:val="24"/>
      <w:shd w:val="pct20" w:color="auto" w:fill="auto"/>
      <w:lang w:val="x-none" w:eastAsia="hr-HR"/>
    </w:rPr>
  </w:style>
  <w:style w:type="paragraph" w:styleId="Naslovbiljeke">
    <w:name w:val="Note Heading"/>
    <w:basedOn w:val="Normal"/>
    <w:next w:val="Normal"/>
    <w:link w:val="NaslovbiljekeChar"/>
    <w:uiPriority w:val="99"/>
    <w:semiHidden/>
    <w:rsid w:val="000F45F2"/>
    <w:pPr>
      <w:spacing w:before="100" w:beforeAutospacing="1" w:afterAutospacing="1"/>
    </w:pPr>
    <w:rPr>
      <w:rFonts w:cs="Times New Roman"/>
      <w:lang w:eastAsia="hr-HR"/>
    </w:rPr>
  </w:style>
  <w:style w:type="character" w:customStyle="1" w:styleId="NaslovbiljekeChar">
    <w:name w:val="Naslov bilješke Char"/>
    <w:basedOn w:val="Zadanifontodlomka"/>
    <w:link w:val="Naslovbiljeke"/>
    <w:uiPriority w:val="99"/>
    <w:semiHidden/>
    <w:locked/>
    <w:rsid w:val="000F45F2"/>
    <w:rPr>
      <w:rFonts w:ascii="Tahoma" w:hAnsi="Tahoma" w:cs="Times New Roman"/>
      <w:sz w:val="24"/>
      <w:szCs w:val="24"/>
      <w:lang w:val="x-none" w:eastAsia="hr-HR"/>
    </w:rPr>
  </w:style>
  <w:style w:type="paragraph" w:styleId="Obinitekst">
    <w:name w:val="Plain Text"/>
    <w:basedOn w:val="Normal"/>
    <w:link w:val="ObinitekstChar"/>
    <w:uiPriority w:val="99"/>
    <w:semiHidden/>
    <w:rsid w:val="000F45F2"/>
    <w:pPr>
      <w:spacing w:before="100" w:beforeAutospacing="1" w:afterAutospacing="1"/>
    </w:pPr>
    <w:rPr>
      <w:rFonts w:cs="Courier New"/>
      <w:szCs w:val="20"/>
      <w:lang w:eastAsia="hr-HR"/>
    </w:rPr>
  </w:style>
  <w:style w:type="character" w:customStyle="1" w:styleId="ObinitekstChar">
    <w:name w:val="Obični tekst Char"/>
    <w:basedOn w:val="Zadanifontodlomka"/>
    <w:link w:val="Obinitekst"/>
    <w:uiPriority w:val="99"/>
    <w:semiHidden/>
    <w:locked/>
    <w:rsid w:val="000F45F2"/>
    <w:rPr>
      <w:rFonts w:ascii="Tahoma" w:hAnsi="Tahoma" w:cs="Courier New"/>
      <w:sz w:val="20"/>
      <w:szCs w:val="20"/>
      <w:lang w:val="x-none" w:eastAsia="hr-HR"/>
    </w:rPr>
  </w:style>
  <w:style w:type="paragraph" w:styleId="Pozdrav">
    <w:name w:val="Salutation"/>
    <w:basedOn w:val="Normal"/>
    <w:next w:val="Normal"/>
    <w:link w:val="PozdravChar"/>
    <w:uiPriority w:val="99"/>
    <w:semiHidden/>
    <w:rsid w:val="000F45F2"/>
    <w:pPr>
      <w:spacing w:before="100" w:beforeAutospacing="1" w:afterAutospacing="1"/>
    </w:pPr>
    <w:rPr>
      <w:rFonts w:cs="Times New Roman"/>
      <w:lang w:eastAsia="hr-HR"/>
    </w:rPr>
  </w:style>
  <w:style w:type="character" w:customStyle="1" w:styleId="PozdravChar">
    <w:name w:val="Pozdrav Char"/>
    <w:basedOn w:val="Zadanifontodlomka"/>
    <w:link w:val="Pozdrav"/>
    <w:uiPriority w:val="99"/>
    <w:semiHidden/>
    <w:locked/>
    <w:rsid w:val="000F45F2"/>
    <w:rPr>
      <w:rFonts w:ascii="Tahoma" w:hAnsi="Tahoma" w:cs="Times New Roman"/>
      <w:sz w:val="24"/>
      <w:szCs w:val="24"/>
      <w:lang w:val="x-none" w:eastAsia="hr-HR"/>
    </w:rPr>
  </w:style>
  <w:style w:type="paragraph" w:styleId="Potpis">
    <w:name w:val="Signature"/>
    <w:basedOn w:val="Normal"/>
    <w:link w:val="PotpisChar"/>
    <w:uiPriority w:val="99"/>
    <w:semiHidden/>
    <w:rsid w:val="000F45F2"/>
    <w:pPr>
      <w:spacing w:before="100" w:beforeAutospacing="1" w:afterAutospacing="1"/>
      <w:ind w:left="4252"/>
    </w:pPr>
    <w:rPr>
      <w:rFonts w:cs="Times New Roman"/>
      <w:lang w:eastAsia="hr-HR"/>
    </w:rPr>
  </w:style>
  <w:style w:type="character" w:customStyle="1" w:styleId="PotpisChar">
    <w:name w:val="Potpis Char"/>
    <w:basedOn w:val="Zadanifontodlomka"/>
    <w:link w:val="Potpis"/>
    <w:uiPriority w:val="99"/>
    <w:semiHidden/>
    <w:locked/>
    <w:rsid w:val="000F45F2"/>
    <w:rPr>
      <w:rFonts w:ascii="Tahoma" w:hAnsi="Tahoma" w:cs="Times New Roman"/>
      <w:sz w:val="24"/>
      <w:szCs w:val="24"/>
      <w:lang w:val="x-none" w:eastAsia="hr-HR"/>
    </w:rPr>
  </w:style>
  <w:style w:type="table" w:styleId="Tablicas3Defektima1">
    <w:name w:val="Table 3D effects 1"/>
    <w:basedOn w:val="Obinatablica"/>
    <w:uiPriority w:val="99"/>
    <w:semiHidden/>
    <w:rsid w:val="00143CE2"/>
    <w:pPr>
      <w:spacing w:after="0" w:line="240" w:lineRule="auto"/>
    </w:pPr>
    <w:rPr>
      <w:rFonts w:ascii="Times New Roman" w:hAnsi="Times New Roman" w:cs="Times New Roman"/>
      <w:sz w:val="20"/>
      <w:szCs w:val="20"/>
      <w:lang w:eastAsia="hr-HR"/>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uiPriority w:val="99"/>
    <w:semiHidden/>
    <w:rsid w:val="00143CE2"/>
    <w:pPr>
      <w:spacing w:after="0" w:line="240" w:lineRule="auto"/>
    </w:pPr>
    <w:rPr>
      <w:rFonts w:ascii="Times New Roman" w:hAnsi="Times New Roman" w:cs="Times New Roman"/>
      <w:sz w:val="20"/>
      <w:szCs w:val="20"/>
      <w:lang w:eastAsia="hr-HR"/>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icas3Defektima3">
    <w:name w:val="Table 3D effects 3"/>
    <w:basedOn w:val="Obinatablica"/>
    <w:uiPriority w:val="99"/>
    <w:semiHidden/>
    <w:rsid w:val="00143CE2"/>
    <w:pPr>
      <w:spacing w:after="0" w:line="240" w:lineRule="auto"/>
    </w:pPr>
    <w:rPr>
      <w:rFonts w:ascii="Times New Roman" w:hAnsi="Times New Roman" w:cs="Times New Roman"/>
      <w:sz w:val="20"/>
      <w:szCs w:val="20"/>
      <w:lang w:eastAsia="hr-HR"/>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Klasinatablica1">
    <w:name w:val="Table Classic 1"/>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Klasinatablica2">
    <w:name w:val="Table Classic 2"/>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Klasinatablica3">
    <w:name w:val="Table Classic 3"/>
    <w:basedOn w:val="Obinatablica"/>
    <w:uiPriority w:val="99"/>
    <w:semiHidden/>
    <w:rsid w:val="00143CE2"/>
    <w:pPr>
      <w:spacing w:after="0" w:line="240" w:lineRule="auto"/>
    </w:pPr>
    <w:rPr>
      <w:rFonts w:ascii="Times New Roman" w:hAnsi="Times New Roman" w:cs="Times New Roman"/>
      <w:color w:val="000080"/>
      <w:sz w:val="20"/>
      <w:szCs w:val="20"/>
      <w:lang w:eastAsia="hr-H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Klasinatablica4">
    <w:name w:val="Table Classic 4"/>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Obojanatablica1">
    <w:name w:val="Table Colorful 1"/>
    <w:basedOn w:val="Obinatablica"/>
    <w:uiPriority w:val="99"/>
    <w:semiHidden/>
    <w:rsid w:val="00143CE2"/>
    <w:pPr>
      <w:spacing w:after="0" w:line="240" w:lineRule="auto"/>
    </w:pPr>
    <w:rPr>
      <w:rFonts w:ascii="Times New Roman" w:hAnsi="Times New Roman" w:cs="Times New Roman"/>
      <w:color w:val="FFFFFF"/>
      <w:sz w:val="20"/>
      <w:szCs w:val="20"/>
      <w:lang w:eastAsia="hr-H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Obojanatablica2">
    <w:name w:val="Table Colorful 2"/>
    <w:basedOn w:val="Obinatablica"/>
    <w:uiPriority w:val="99"/>
    <w:semiHidden/>
    <w:rsid w:val="00143CE2"/>
    <w:pPr>
      <w:spacing w:after="0" w:line="240" w:lineRule="auto"/>
    </w:pPr>
    <w:rPr>
      <w:rFonts w:ascii="Times New Roman" w:hAnsi="Times New Roman" w:cs="Times New Roman"/>
      <w:sz w:val="20"/>
      <w:szCs w:val="20"/>
      <w:lang w:eastAsia="hr-HR"/>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Obojanatablica3">
    <w:name w:val="Table Colorful 3"/>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Stupanatablica1">
    <w:name w:val="Table Columns 1"/>
    <w:basedOn w:val="Obinatablica"/>
    <w:uiPriority w:val="99"/>
    <w:semiHidden/>
    <w:rsid w:val="00143CE2"/>
    <w:pPr>
      <w:spacing w:after="0" w:line="240" w:lineRule="auto"/>
    </w:pPr>
    <w:rPr>
      <w:rFonts w:ascii="Times New Roman" w:hAnsi="Times New Roman" w:cs="Times New Roman"/>
      <w:b/>
      <w:bCs/>
      <w:sz w:val="20"/>
      <w:szCs w:val="20"/>
      <w:lang w:eastAsia="hr-H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Stupanatablica2">
    <w:name w:val="Table Columns 2"/>
    <w:basedOn w:val="Obinatablica"/>
    <w:uiPriority w:val="99"/>
    <w:semiHidden/>
    <w:rsid w:val="00143CE2"/>
    <w:pPr>
      <w:spacing w:after="0" w:line="240" w:lineRule="auto"/>
    </w:pPr>
    <w:rPr>
      <w:rFonts w:ascii="Times New Roman" w:hAnsi="Times New Roman" w:cs="Times New Roman"/>
      <w:b/>
      <w:bCs/>
      <w:sz w:val="20"/>
      <w:szCs w:val="20"/>
      <w:lang w:eastAsia="hr-HR"/>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Stupanatablica3">
    <w:name w:val="Table Columns 3"/>
    <w:basedOn w:val="Obinatablica"/>
    <w:uiPriority w:val="99"/>
    <w:semiHidden/>
    <w:rsid w:val="00143CE2"/>
    <w:pPr>
      <w:spacing w:after="0" w:line="240" w:lineRule="auto"/>
    </w:pPr>
    <w:rPr>
      <w:rFonts w:ascii="Times New Roman" w:hAnsi="Times New Roman" w:cs="Times New Roman"/>
      <w:b/>
      <w:bCs/>
      <w:sz w:val="20"/>
      <w:szCs w:val="20"/>
      <w:lang w:eastAsia="hr-H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Stupanatablica4">
    <w:name w:val="Table Columns 4"/>
    <w:basedOn w:val="Obinatablica"/>
    <w:uiPriority w:val="99"/>
    <w:semiHidden/>
    <w:rsid w:val="00143CE2"/>
    <w:pPr>
      <w:spacing w:after="0" w:line="240" w:lineRule="auto"/>
    </w:pPr>
    <w:rPr>
      <w:rFonts w:ascii="Times New Roman" w:hAnsi="Times New Roman" w:cs="Times New Roman"/>
      <w:sz w:val="20"/>
      <w:szCs w:val="20"/>
      <w:lang w:eastAsia="hr-HR"/>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Stupanatablica5">
    <w:name w:val="Table Columns 5"/>
    <w:basedOn w:val="Obinatablica"/>
    <w:uiPriority w:val="99"/>
    <w:semiHidden/>
    <w:rsid w:val="00143CE2"/>
    <w:pPr>
      <w:spacing w:after="0" w:line="240" w:lineRule="auto"/>
    </w:pPr>
    <w:rPr>
      <w:rFonts w:ascii="Times New Roman" w:hAnsi="Times New Roman" w:cs="Times New Roman"/>
      <w:sz w:val="20"/>
      <w:szCs w:val="20"/>
      <w:lang w:eastAsia="hr-H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Modernatablica">
    <w:name w:val="Table Contemporary"/>
    <w:basedOn w:val="Obinatablica"/>
    <w:uiPriority w:val="99"/>
    <w:semiHidden/>
    <w:rsid w:val="00143CE2"/>
    <w:pPr>
      <w:spacing w:after="0" w:line="240" w:lineRule="auto"/>
    </w:pPr>
    <w:rPr>
      <w:rFonts w:ascii="Times New Roman" w:hAnsi="Times New Roman" w:cs="Times New Roman"/>
      <w:sz w:val="20"/>
      <w:szCs w:val="20"/>
      <w:lang w:eastAsia="hr-HR"/>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Elegantnatablica">
    <w:name w:val="Table Elegant"/>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Reetkatablice1">
    <w:name w:val="Table Grid 1"/>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Reetkatablice2">
    <w:name w:val="Table Grid 2"/>
    <w:basedOn w:val="Obinatablica"/>
    <w:uiPriority w:val="99"/>
    <w:semiHidden/>
    <w:rsid w:val="00143CE2"/>
    <w:pPr>
      <w:spacing w:after="0" w:line="240" w:lineRule="auto"/>
    </w:pPr>
    <w:rPr>
      <w:rFonts w:ascii="Times New Roman" w:hAnsi="Times New Roman" w:cs="Times New Roman"/>
      <w:sz w:val="20"/>
      <w:szCs w:val="20"/>
      <w:lang w:eastAsia="hr-HR"/>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Reetkatablice3">
    <w:name w:val="Table Grid 3"/>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Reetkatablice4">
    <w:name w:val="Table Grid 4"/>
    <w:basedOn w:val="Obinatablica"/>
    <w:uiPriority w:val="99"/>
    <w:semiHidden/>
    <w:rsid w:val="00143CE2"/>
    <w:pPr>
      <w:spacing w:after="0" w:line="240" w:lineRule="auto"/>
    </w:pPr>
    <w:rPr>
      <w:rFonts w:ascii="Times New Roman" w:hAnsi="Times New Roman" w:cs="Times New Roman"/>
      <w:sz w:val="20"/>
      <w:szCs w:val="20"/>
      <w:lang w:eastAsia="hr-HR"/>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Reetkatablice5">
    <w:name w:val="Table Grid 5"/>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Reetkatablice6">
    <w:name w:val="Table Grid 6"/>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Reetkatablice7">
    <w:name w:val="Table Grid 7"/>
    <w:basedOn w:val="Obinatablica"/>
    <w:uiPriority w:val="99"/>
    <w:semiHidden/>
    <w:rsid w:val="00143CE2"/>
    <w:pPr>
      <w:spacing w:after="0" w:line="240" w:lineRule="auto"/>
    </w:pPr>
    <w:rPr>
      <w:rFonts w:ascii="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Reetkatablice8">
    <w:name w:val="Table Grid 8"/>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Popisnatablica1">
    <w:name w:val="Table List 1"/>
    <w:basedOn w:val="Obinatablica"/>
    <w:uiPriority w:val="99"/>
    <w:semiHidden/>
    <w:rsid w:val="00143CE2"/>
    <w:pPr>
      <w:spacing w:after="0" w:line="240" w:lineRule="auto"/>
    </w:pPr>
    <w:rPr>
      <w:rFonts w:ascii="Times New Roman" w:hAnsi="Times New Roman" w:cs="Times New Roman"/>
      <w:sz w:val="20"/>
      <w:szCs w:val="20"/>
      <w:lang w:eastAsia="hr-H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Popisnatablica2">
    <w:name w:val="Table List 2"/>
    <w:basedOn w:val="Obinatablica"/>
    <w:uiPriority w:val="99"/>
    <w:semiHidden/>
    <w:rsid w:val="00143CE2"/>
    <w:pPr>
      <w:spacing w:after="0" w:line="240" w:lineRule="auto"/>
    </w:pPr>
    <w:rPr>
      <w:rFonts w:ascii="Times New Roman" w:hAnsi="Times New Roman" w:cs="Times New Roman"/>
      <w:sz w:val="20"/>
      <w:szCs w:val="20"/>
      <w:lang w:eastAsia="hr-HR"/>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Popisnatablica3">
    <w:name w:val="Table List 3"/>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Popisnatablica4">
    <w:name w:val="Table List 4"/>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Popisnatablica6">
    <w:name w:val="Table List 6"/>
    <w:basedOn w:val="Obinatablica"/>
    <w:uiPriority w:val="99"/>
    <w:semiHidden/>
    <w:rsid w:val="00143CE2"/>
    <w:pPr>
      <w:spacing w:after="0" w:line="240" w:lineRule="auto"/>
    </w:pPr>
    <w:rPr>
      <w:rFonts w:ascii="Times New Roman" w:hAnsi="Times New Roman" w:cs="Times New Roman"/>
      <w:sz w:val="20"/>
      <w:szCs w:val="20"/>
      <w:lang w:eastAsia="hr-H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Popisnatablica7">
    <w:name w:val="Table List 7"/>
    <w:basedOn w:val="Obinatablica"/>
    <w:uiPriority w:val="99"/>
    <w:semiHidden/>
    <w:rsid w:val="00143CE2"/>
    <w:pPr>
      <w:spacing w:after="0" w:line="240" w:lineRule="auto"/>
    </w:pPr>
    <w:rPr>
      <w:rFonts w:ascii="Times New Roman" w:hAnsi="Times New Roman" w:cs="Times New Roman"/>
      <w:sz w:val="20"/>
      <w:szCs w:val="20"/>
      <w:lang w:eastAsia="hr-H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Popisnatablica8">
    <w:name w:val="Table List 8"/>
    <w:basedOn w:val="Obinatablica"/>
    <w:uiPriority w:val="99"/>
    <w:semiHidden/>
    <w:rsid w:val="00143CE2"/>
    <w:pPr>
      <w:spacing w:after="0" w:line="240" w:lineRule="auto"/>
    </w:pPr>
    <w:rPr>
      <w:rFonts w:ascii="Times New Roman" w:hAnsi="Times New Roman" w:cs="Times New Roman"/>
      <w:sz w:val="20"/>
      <w:szCs w:val="20"/>
      <w:lang w:eastAsia="hr-H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Profesionalnatablica">
    <w:name w:val="Table Professional"/>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Jednostavnatablica1">
    <w:name w:val="Table Simple 1"/>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uiPriority w:val="99"/>
    <w:semiHidden/>
    <w:rsid w:val="00143CE2"/>
    <w:pPr>
      <w:spacing w:after="0" w:line="240" w:lineRule="auto"/>
    </w:pPr>
    <w:rPr>
      <w:rFonts w:ascii="Times New Roman" w:hAnsi="Times New Roman" w:cs="Times New Roman"/>
      <w:sz w:val="20"/>
      <w:szCs w:val="20"/>
      <w:lang w:eastAsia="hr-HR"/>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uiPriority w:val="99"/>
    <w:semiHidden/>
    <w:rsid w:val="00143CE2"/>
    <w:pPr>
      <w:spacing w:after="0" w:line="240" w:lineRule="auto"/>
    </w:pPr>
    <w:rPr>
      <w:rFonts w:ascii="Times New Roman" w:hAnsi="Times New Roman" w:cs="Times New Roman"/>
      <w:sz w:val="20"/>
      <w:szCs w:val="20"/>
      <w:lang w:eastAsia="hr-HR"/>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Profinjenatablica2">
    <w:name w:val="Table Subtle 2"/>
    <w:basedOn w:val="Obinatablica"/>
    <w:uiPriority w:val="99"/>
    <w:semiHidden/>
    <w:rsid w:val="00143CE2"/>
    <w:pPr>
      <w:spacing w:after="0" w:line="240" w:lineRule="auto"/>
    </w:pPr>
    <w:rPr>
      <w:rFonts w:ascii="Times New Roman" w:hAnsi="Times New Roman" w:cs="Times New Roman"/>
      <w:sz w:val="20"/>
      <w:szCs w:val="20"/>
      <w:lang w:eastAsia="hr-HR"/>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ematablice">
    <w:name w:val="Table Theme"/>
    <w:basedOn w:val="Obinatablica"/>
    <w:uiPriority w:val="99"/>
    <w:semiHidden/>
    <w:rsid w:val="00143CE2"/>
    <w:pPr>
      <w:spacing w:after="0" w:line="240" w:lineRule="auto"/>
    </w:pPr>
    <w:rPr>
      <w:rFonts w:ascii="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lica1">
    <w:name w:val="Table Web 1"/>
    <w:basedOn w:val="Obinatablica"/>
    <w:uiPriority w:val="99"/>
    <w:semiHidden/>
    <w:rsid w:val="00143CE2"/>
    <w:pPr>
      <w:spacing w:after="0" w:line="240" w:lineRule="auto"/>
    </w:pPr>
    <w:rPr>
      <w:rFonts w:ascii="Times New Roman" w:hAnsi="Times New Roman" w:cs="Times New Roman"/>
      <w:sz w:val="20"/>
      <w:szCs w:val="20"/>
      <w:lang w:eastAsia="hr-H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rsid w:val="00143CE2"/>
    <w:pPr>
      <w:spacing w:after="0" w:line="240" w:lineRule="auto"/>
    </w:pPr>
    <w:rPr>
      <w:rFonts w:ascii="Times New Roman" w:hAnsi="Times New Roman" w:cs="Times New Roman"/>
      <w:sz w:val="20"/>
      <w:szCs w:val="20"/>
      <w:lang w:eastAsia="hr-H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tablica3">
    <w:name w:val="Table Web 3"/>
    <w:basedOn w:val="Obinatablica"/>
    <w:uiPriority w:val="99"/>
    <w:semiHidden/>
    <w:rsid w:val="00143CE2"/>
    <w:pPr>
      <w:spacing w:after="0" w:line="240" w:lineRule="auto"/>
    </w:pPr>
    <w:rPr>
      <w:rFonts w:ascii="Times New Roman" w:hAnsi="Times New Roman" w:cs="Times New Roman"/>
      <w:sz w:val="20"/>
      <w:szCs w:val="20"/>
      <w:lang w:eastAsia="hr-H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Tbl1stupacChar">
    <w:name w:val="Tbl 1. stupac Char"/>
    <w:basedOn w:val="Zadanifontodlomka"/>
    <w:link w:val="Tbl1stupac"/>
    <w:uiPriority w:val="99"/>
    <w:locked/>
    <w:rsid w:val="00491310"/>
    <w:rPr>
      <w:rFonts w:ascii="Tahoma" w:hAnsi="Tahoma" w:cs="Times New Roman"/>
      <w:b/>
      <w:bCs/>
      <w:sz w:val="20"/>
      <w:szCs w:val="20"/>
    </w:rPr>
  </w:style>
  <w:style w:type="character" w:styleId="Tekstrezerviranogmjesta">
    <w:name w:val="Placeholder Text"/>
    <w:basedOn w:val="Zadanifontodlomka"/>
    <w:uiPriority w:val="99"/>
    <w:semiHidden/>
    <w:rsid w:val="00143CE2"/>
    <w:rPr>
      <w:rFonts w:cs="Times New Roman"/>
      <w:color w:val="808080"/>
    </w:rPr>
  </w:style>
  <w:style w:type="table" w:customStyle="1" w:styleId="TableGrid1">
    <w:name w:val="Table Grid1"/>
    <w:basedOn w:val="Obinatablica"/>
    <w:uiPriority w:val="99"/>
    <w:rsid w:val="00143CE2"/>
    <w:pPr>
      <w:spacing w:after="0" w:line="240" w:lineRule="auto"/>
    </w:pPr>
    <w:rPr>
      <w:rFonts w:ascii="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143CE2"/>
    <w:pPr>
      <w:spacing w:before="60" w:after="120" w:line="240" w:lineRule="auto"/>
      <w:jc w:val="both"/>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143CE2"/>
    <w:pPr>
      <w:spacing w:before="60" w:after="120" w:line="240" w:lineRule="auto"/>
      <w:jc w:val="both"/>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43CE2"/>
    <w:pPr>
      <w:spacing w:before="60" w:after="120" w:line="240" w:lineRule="auto"/>
      <w:jc w:val="both"/>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tablice1">
    <w:name w:val="Svijetla rešetka tablice1"/>
    <w:basedOn w:val="Obinatablica"/>
    <w:uiPriority w:val="40"/>
    <w:rsid w:val="003F0DFF"/>
    <w:pPr>
      <w:spacing w:after="0" w:line="240" w:lineRule="auto"/>
    </w:pPr>
    <w:rPr>
      <w:rFonts w:ascii="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inatablica21">
    <w:name w:val="Obična tablica 21"/>
    <w:basedOn w:val="Obinatablica"/>
    <w:uiPriority w:val="42"/>
    <w:rsid w:val="00143CE2"/>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Obinatablica"/>
    <w:uiPriority w:val="45"/>
    <w:rsid w:val="00143CE2"/>
    <w:pPr>
      <w:spacing w:after="0" w:line="240" w:lineRule="auto"/>
    </w:pPr>
    <w:rPr>
      <w:rFonts w:ascii="Times New Roman" w:hAnsi="Times New Roman" w:cs="Times New Roman"/>
      <w:sz w:val="20"/>
      <w:szCs w:val="20"/>
      <w:lang w:eastAsia="hr-HR"/>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GridTable4-Accent31">
    <w:name w:val="Grid Table 4 - Accent 31"/>
    <w:basedOn w:val="Obinatablica"/>
    <w:uiPriority w:val="49"/>
    <w:rsid w:val="00143CE2"/>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2-Accent21">
    <w:name w:val="Grid Table 2 - Accent 21"/>
    <w:basedOn w:val="Obinatablica"/>
    <w:uiPriority w:val="47"/>
    <w:rsid w:val="00143CE2"/>
    <w:pPr>
      <w:spacing w:after="0" w:line="240" w:lineRule="auto"/>
    </w:pPr>
    <w:rPr>
      <w:rFonts w:ascii="Times New Roman" w:hAnsi="Times New Roman" w:cs="Times New Roman"/>
      <w:sz w:val="20"/>
      <w:szCs w:val="20"/>
      <w:lang w:eastAsia="hr-HR"/>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rFonts w:cs="Times New Roman"/>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rFonts w:cs="Times New Roman"/>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paragraph" w:customStyle="1" w:styleId="Naslovstr1">
    <w:name w:val="Naslov str.1"/>
    <w:basedOn w:val="Normal"/>
    <w:uiPriority w:val="99"/>
    <w:rsid w:val="00C213A3"/>
    <w:pPr>
      <w:spacing w:after="0"/>
      <w:jc w:val="left"/>
    </w:pPr>
    <w:rPr>
      <w:rFonts w:cs="Tahoma"/>
      <w:b/>
      <w:color w:val="CC0000"/>
      <w:sz w:val="28"/>
      <w:szCs w:val="28"/>
      <w:lang w:eastAsia="hr-HR"/>
    </w:rPr>
  </w:style>
  <w:style w:type="paragraph" w:customStyle="1" w:styleId="Naslovstudije">
    <w:name w:val="Naslov studije"/>
    <w:basedOn w:val="Zaglavlje0"/>
    <w:next w:val="Normal"/>
    <w:uiPriority w:val="99"/>
    <w:rsid w:val="00C213A3"/>
    <w:pPr>
      <w:spacing w:after="0"/>
      <w:jc w:val="right"/>
    </w:pPr>
    <w:rPr>
      <w:rFonts w:cs="Tahoma"/>
      <w:i/>
      <w:color w:val="BE1D2D"/>
      <w:sz w:val="36"/>
      <w:szCs w:val="36"/>
    </w:rPr>
  </w:style>
  <w:style w:type="paragraph" w:customStyle="1" w:styleId="Uvlaka1">
    <w:name w:val="Uvlaka 1"/>
    <w:basedOn w:val="Normal"/>
    <w:link w:val="Uvlaka1Char"/>
    <w:qFormat/>
    <w:rsid w:val="001F0216"/>
    <w:pPr>
      <w:numPr>
        <w:numId w:val="17"/>
      </w:numPr>
      <w:spacing w:before="60" w:after="60"/>
    </w:pPr>
  </w:style>
  <w:style w:type="character" w:customStyle="1" w:styleId="Uvlaka1Char">
    <w:name w:val="Uvlaka 1 Char"/>
    <w:basedOn w:val="Zadanifontodlomka"/>
    <w:link w:val="Uvlaka1"/>
    <w:locked/>
    <w:rsid w:val="001F0216"/>
    <w:rPr>
      <w:rFonts w:ascii="Tahoma" w:hAnsi="Tahoma" w:cs="Myriad Pro"/>
      <w:sz w:val="20"/>
      <w:szCs w:val="24"/>
      <w:lang w:eastAsia="de-DE"/>
    </w:rPr>
  </w:style>
  <w:style w:type="table" w:styleId="Svijetlipopis-Isticanje3">
    <w:name w:val="Light List Accent 3"/>
    <w:basedOn w:val="Obinatablica"/>
    <w:uiPriority w:val="61"/>
    <w:rsid w:val="003F408D"/>
    <w:pPr>
      <w:spacing w:after="0" w:line="240" w:lineRule="auto"/>
    </w:pPr>
    <w:rPr>
      <w:rFonts w:eastAsiaTheme="minorEastAsia" w:cs="Times New Roman"/>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pPr>
      <w:rPr>
        <w:rFonts w:cs="Times New Roman"/>
        <w:b/>
        <w:bCs/>
        <w:color w:val="FFFFFF" w:themeColor="background1"/>
      </w:rPr>
      <w:tblPr/>
      <w:tcPr>
        <w:shd w:val="clear" w:color="auto" w:fill="A5A5A5" w:themeFill="accent3"/>
      </w:tcPr>
    </w:tblStylePr>
    <w:tblStylePr w:type="lastRow">
      <w:pPr>
        <w:spacing w:before="0" w:after="0"/>
      </w:pPr>
      <w:rPr>
        <w:rFonts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itat">
    <w:name w:val="Quote"/>
    <w:basedOn w:val="Normal"/>
    <w:next w:val="Normal"/>
    <w:link w:val="CitatChar1"/>
    <w:uiPriority w:val="29"/>
    <w:rsid w:val="00B20621"/>
    <w:pPr>
      <w:ind w:left="851" w:right="851"/>
      <w:jc w:val="center"/>
    </w:pPr>
    <w:rPr>
      <w:i/>
      <w:iCs/>
    </w:rPr>
  </w:style>
  <w:style w:type="character" w:customStyle="1" w:styleId="CitatChar1">
    <w:name w:val="Citat Char1"/>
    <w:basedOn w:val="Zadanifontodlomka"/>
    <w:link w:val="Citat"/>
    <w:uiPriority w:val="29"/>
    <w:locked/>
    <w:rsid w:val="00B20621"/>
    <w:rPr>
      <w:rFonts w:ascii="Tahoma" w:hAnsi="Tahoma" w:cs="Myriad Pro"/>
      <w:i/>
      <w:iCs/>
      <w:sz w:val="24"/>
      <w:szCs w:val="24"/>
      <w:lang w:val="x-none" w:eastAsia="de-DE"/>
    </w:rPr>
  </w:style>
  <w:style w:type="character" w:styleId="Neupadljivoisticanje">
    <w:name w:val="Subtle Emphasis"/>
    <w:basedOn w:val="Zadanifontodlomka"/>
    <w:uiPriority w:val="19"/>
    <w:qFormat/>
    <w:rsid w:val="00B20621"/>
    <w:rPr>
      <w:rFonts w:cs="Times New Roman"/>
      <w:i/>
      <w:iCs/>
      <w:color w:val="auto"/>
    </w:rPr>
  </w:style>
  <w:style w:type="paragraph" w:styleId="Adresaomotnice">
    <w:name w:val="envelope address"/>
    <w:basedOn w:val="Normal"/>
    <w:uiPriority w:val="99"/>
    <w:semiHidden/>
    <w:unhideWhenUsed/>
    <w:rsid w:val="00B20621"/>
    <w:pPr>
      <w:framePr w:w="7920" w:h="1980" w:hRule="exact" w:hSpace="180" w:wrap="auto" w:hAnchor="page" w:xAlign="center" w:yAlign="bottom"/>
      <w:spacing w:after="0"/>
      <w:ind w:left="2880"/>
    </w:pPr>
    <w:rPr>
      <w:rFonts w:eastAsiaTheme="majorEastAsia" w:cs="Times New Roman"/>
      <w:sz w:val="24"/>
    </w:rPr>
  </w:style>
  <w:style w:type="paragraph" w:styleId="Povratnaomotnica">
    <w:name w:val="envelope return"/>
    <w:basedOn w:val="Normal"/>
    <w:uiPriority w:val="99"/>
    <w:semiHidden/>
    <w:unhideWhenUsed/>
    <w:rsid w:val="00B20621"/>
    <w:pPr>
      <w:spacing w:after="0"/>
    </w:pPr>
    <w:rPr>
      <w:rFonts w:eastAsiaTheme="majorEastAsia" w:cs="Times New Roman"/>
      <w:szCs w:val="20"/>
    </w:rPr>
  </w:style>
  <w:style w:type="paragraph" w:styleId="Indeks1">
    <w:name w:val="index 1"/>
    <w:basedOn w:val="Normal"/>
    <w:next w:val="Normal"/>
    <w:autoRedefine/>
    <w:uiPriority w:val="99"/>
    <w:semiHidden/>
    <w:unhideWhenUsed/>
    <w:rsid w:val="00B20621"/>
    <w:pPr>
      <w:spacing w:after="0"/>
      <w:ind w:left="200" w:hanging="200"/>
    </w:pPr>
  </w:style>
  <w:style w:type="paragraph" w:styleId="Naslovindeksa">
    <w:name w:val="index heading"/>
    <w:basedOn w:val="Normal"/>
    <w:next w:val="Indeks1"/>
    <w:uiPriority w:val="99"/>
    <w:semiHidden/>
    <w:unhideWhenUsed/>
    <w:rsid w:val="00B20621"/>
    <w:rPr>
      <w:rFonts w:eastAsiaTheme="majorEastAsia" w:cs="Times New Roman"/>
      <w:b/>
      <w:bCs/>
    </w:rPr>
  </w:style>
  <w:style w:type="character" w:styleId="Jakoisticanje">
    <w:name w:val="Intense Emphasis"/>
    <w:basedOn w:val="Zadanifontodlomka"/>
    <w:uiPriority w:val="21"/>
    <w:qFormat/>
    <w:rsid w:val="00B20621"/>
    <w:rPr>
      <w:rFonts w:ascii="Tahoma" w:hAnsi="Tahoma" w:cs="Times New Roman"/>
      <w:i/>
      <w:iCs/>
      <w:color w:val="5B9BD5" w:themeColor="accent1"/>
    </w:rPr>
  </w:style>
  <w:style w:type="paragraph" w:styleId="Tekstmakronaredbe">
    <w:name w:val="macro"/>
    <w:link w:val="TekstmakronaredbeChar"/>
    <w:uiPriority w:val="99"/>
    <w:semiHidden/>
    <w:unhideWhenUsed/>
    <w:rsid w:val="000F45F2"/>
    <w:pPr>
      <w:tabs>
        <w:tab w:val="left" w:pos="480"/>
        <w:tab w:val="left" w:pos="960"/>
        <w:tab w:val="left" w:pos="1440"/>
        <w:tab w:val="left" w:pos="1920"/>
        <w:tab w:val="left" w:pos="2400"/>
        <w:tab w:val="left" w:pos="2880"/>
        <w:tab w:val="left" w:pos="3360"/>
        <w:tab w:val="left" w:pos="3840"/>
        <w:tab w:val="left" w:pos="4320"/>
      </w:tabs>
      <w:spacing w:before="120" w:after="0" w:line="240" w:lineRule="auto"/>
      <w:jc w:val="both"/>
    </w:pPr>
    <w:rPr>
      <w:rFonts w:ascii="Tahoma" w:hAnsi="Tahoma" w:cs="Myriad Pro"/>
      <w:sz w:val="20"/>
      <w:szCs w:val="20"/>
      <w:lang w:eastAsia="de-DE"/>
    </w:rPr>
  </w:style>
  <w:style w:type="character" w:customStyle="1" w:styleId="TekstmakronaredbeChar">
    <w:name w:val="Tekst makronaredbe Char"/>
    <w:basedOn w:val="Zadanifontodlomka"/>
    <w:link w:val="Tekstmakronaredbe"/>
    <w:uiPriority w:val="99"/>
    <w:semiHidden/>
    <w:locked/>
    <w:rsid w:val="000F45F2"/>
    <w:rPr>
      <w:rFonts w:ascii="Tahoma" w:hAnsi="Tahoma" w:cs="Myriad Pro"/>
      <w:sz w:val="20"/>
      <w:szCs w:val="20"/>
      <w:lang w:val="x-none" w:eastAsia="de-DE"/>
    </w:rPr>
  </w:style>
  <w:style w:type="paragraph" w:styleId="StandardWeb">
    <w:name w:val="Normal (Web)"/>
    <w:basedOn w:val="Normal"/>
    <w:link w:val="StandardWebChar"/>
    <w:uiPriority w:val="99"/>
    <w:unhideWhenUsed/>
    <w:rsid w:val="000F45F2"/>
    <w:rPr>
      <w:rFonts w:cs="Times New Roman"/>
    </w:rPr>
  </w:style>
  <w:style w:type="paragraph" w:styleId="Naslovtabliceizvora">
    <w:name w:val="toa heading"/>
    <w:basedOn w:val="Normal"/>
    <w:next w:val="Normal"/>
    <w:uiPriority w:val="99"/>
    <w:semiHidden/>
    <w:unhideWhenUsed/>
    <w:rsid w:val="000F45F2"/>
    <w:rPr>
      <w:rFonts w:eastAsiaTheme="majorEastAsia" w:cs="Times New Roman"/>
      <w:b/>
      <w:bCs/>
      <w:color w:val="BE1D2D"/>
      <w:sz w:val="24"/>
    </w:rPr>
  </w:style>
  <w:style w:type="character" w:customStyle="1" w:styleId="TblnaslovChar">
    <w:name w:val="Tbl naslov Char"/>
    <w:basedOn w:val="Zadanifontodlomka"/>
    <w:link w:val="Tblnaslov"/>
    <w:locked/>
    <w:rsid w:val="000D61DF"/>
    <w:rPr>
      <w:rFonts w:ascii="Tahoma" w:hAnsi="Tahoma" w:cs="Myriad Pro"/>
      <w:i/>
      <w:sz w:val="24"/>
      <w:szCs w:val="24"/>
      <w:lang w:val="x-none" w:eastAsia="de-DE"/>
    </w:rPr>
  </w:style>
  <w:style w:type="paragraph" w:customStyle="1" w:styleId="Naslovtablice">
    <w:name w:val="Naslov tablice"/>
    <w:basedOn w:val="Opisslike"/>
    <w:next w:val="Normal"/>
    <w:link w:val="NaslovtabliceChar"/>
    <w:autoRedefine/>
    <w:qFormat/>
    <w:rsid w:val="00A91662"/>
    <w:pPr>
      <w:keepNext/>
      <w:keepLines/>
      <w:suppressAutoHyphens/>
      <w:jc w:val="left"/>
    </w:pPr>
    <w:rPr>
      <w:rFonts w:cs="Tahoma"/>
      <w:szCs w:val="20"/>
      <w:lang w:eastAsia="hr-HR"/>
    </w:rPr>
  </w:style>
  <w:style w:type="character" w:customStyle="1" w:styleId="NaslovtabliceChar">
    <w:name w:val="Naslov tablice Char"/>
    <w:basedOn w:val="Zadanifontodlomka"/>
    <w:link w:val="Naslovtablice"/>
    <w:locked/>
    <w:rsid w:val="00A91662"/>
    <w:rPr>
      <w:rFonts w:ascii="Tahoma" w:hAnsi="Tahoma" w:cs="Tahoma"/>
      <w:i/>
      <w:iCs/>
      <w:sz w:val="20"/>
      <w:szCs w:val="20"/>
      <w:lang w:val="x-none" w:eastAsia="hr-HR"/>
    </w:rPr>
  </w:style>
  <w:style w:type="character" w:styleId="Naglaeno">
    <w:name w:val="Strong"/>
    <w:basedOn w:val="Zadanifontodlomka"/>
    <w:uiPriority w:val="22"/>
    <w:qFormat/>
    <w:rsid w:val="00624A6B"/>
    <w:rPr>
      <w:rFonts w:cs="Times New Roman"/>
      <w:b/>
      <w:bCs/>
    </w:rPr>
  </w:style>
  <w:style w:type="character" w:customStyle="1" w:styleId="fontstyle01">
    <w:name w:val="fontstyle01"/>
    <w:basedOn w:val="Zadanifontodlomka"/>
    <w:rsid w:val="00CF7CB1"/>
    <w:rPr>
      <w:rFonts w:ascii="Calibri" w:hAnsi="Calibri" w:cs="Times New Roman"/>
      <w:color w:val="000000"/>
      <w:sz w:val="22"/>
      <w:szCs w:val="22"/>
    </w:rPr>
  </w:style>
  <w:style w:type="paragraph" w:customStyle="1" w:styleId="lanak">
    <w:name w:val="Članak"/>
    <w:basedOn w:val="Normal"/>
    <w:link w:val="lanakChar"/>
    <w:qFormat/>
    <w:rsid w:val="00C01913"/>
    <w:pPr>
      <w:spacing w:after="160"/>
      <w:jc w:val="center"/>
    </w:pPr>
    <w:rPr>
      <w:rFonts w:ascii="Times New Roman" w:hAnsi="Times New Roman" w:cs="Times New Roman"/>
      <w:b/>
      <w:sz w:val="22"/>
      <w:szCs w:val="22"/>
      <w:lang w:eastAsia="en-US"/>
    </w:rPr>
  </w:style>
  <w:style w:type="character" w:customStyle="1" w:styleId="lanakChar">
    <w:name w:val="Članak Char"/>
    <w:basedOn w:val="Zadanifontodlomka"/>
    <w:link w:val="lanak"/>
    <w:locked/>
    <w:rsid w:val="00C01913"/>
    <w:rPr>
      <w:rFonts w:ascii="Times New Roman" w:hAnsi="Times New Roman" w:cs="Times New Roman"/>
      <w:b/>
    </w:rPr>
  </w:style>
  <w:style w:type="paragraph" w:styleId="Bibliografija">
    <w:name w:val="Bibliography"/>
    <w:basedOn w:val="Normal"/>
    <w:next w:val="Normal"/>
    <w:uiPriority w:val="37"/>
    <w:unhideWhenUsed/>
    <w:rsid w:val="00C01913"/>
    <w:pPr>
      <w:spacing w:after="160"/>
    </w:pPr>
    <w:rPr>
      <w:rFonts w:ascii="Times New Roman" w:hAnsi="Times New Roman" w:cs="Times New Roman"/>
      <w:sz w:val="22"/>
      <w:szCs w:val="22"/>
      <w:lang w:eastAsia="en-US"/>
    </w:rPr>
  </w:style>
  <w:style w:type="paragraph" w:customStyle="1" w:styleId="Default">
    <w:name w:val="Default"/>
    <w:rsid w:val="00C01913"/>
    <w:pPr>
      <w:autoSpaceDE w:val="0"/>
      <w:autoSpaceDN w:val="0"/>
      <w:adjustRightInd w:val="0"/>
      <w:spacing w:after="0" w:line="240" w:lineRule="auto"/>
    </w:pPr>
    <w:rPr>
      <w:rFonts w:ascii="Arial" w:hAnsi="Arial" w:cs="Arial"/>
      <w:color w:val="000000"/>
      <w:sz w:val="24"/>
      <w:szCs w:val="24"/>
    </w:rPr>
  </w:style>
  <w:style w:type="paragraph" w:customStyle="1" w:styleId="Spiegelstrich3">
    <w:name w:val="Spiegelstrich3"/>
    <w:basedOn w:val="Normal"/>
    <w:uiPriority w:val="99"/>
    <w:rsid w:val="001103DB"/>
    <w:pPr>
      <w:numPr>
        <w:numId w:val="19"/>
      </w:numPr>
      <w:spacing w:after="240"/>
    </w:pPr>
    <w:rPr>
      <w:rFonts w:ascii="Arial" w:hAnsi="Arial" w:cs="Times New Roman"/>
      <w:sz w:val="22"/>
      <w:szCs w:val="20"/>
    </w:rPr>
  </w:style>
  <w:style w:type="paragraph" w:customStyle="1" w:styleId="doc-ti">
    <w:name w:val="doc-ti"/>
    <w:basedOn w:val="Normal"/>
    <w:rsid w:val="00CD5009"/>
    <w:pPr>
      <w:spacing w:before="100" w:beforeAutospacing="1" w:afterAutospacing="1"/>
      <w:jc w:val="left"/>
    </w:pPr>
    <w:rPr>
      <w:rFonts w:ascii="Times New Roman" w:hAnsi="Times New Roman" w:cs="Times New Roman"/>
      <w:sz w:val="24"/>
      <w:lang w:val="en-US" w:eastAsia="en-US"/>
    </w:rPr>
  </w:style>
  <w:style w:type="paragraph" w:customStyle="1" w:styleId="Normal1">
    <w:name w:val="Normal1"/>
    <w:basedOn w:val="Normal"/>
    <w:rsid w:val="008278A9"/>
    <w:pPr>
      <w:spacing w:before="100" w:beforeAutospacing="1" w:afterAutospacing="1"/>
      <w:jc w:val="left"/>
    </w:pPr>
    <w:rPr>
      <w:rFonts w:ascii="Times New Roman" w:hAnsi="Times New Roman" w:cs="Times New Roman"/>
      <w:sz w:val="24"/>
      <w:lang w:val="en-US" w:eastAsia="en-US"/>
    </w:rPr>
  </w:style>
  <w:style w:type="character" w:customStyle="1" w:styleId="Mention1">
    <w:name w:val="Mention1"/>
    <w:basedOn w:val="Zadanifontodlomka"/>
    <w:uiPriority w:val="99"/>
    <w:semiHidden/>
    <w:unhideWhenUsed/>
    <w:rsid w:val="005E640A"/>
    <w:rPr>
      <w:rFonts w:cs="Times New Roman"/>
      <w:color w:val="2B579A"/>
      <w:shd w:val="clear" w:color="auto" w:fill="E6E6E6"/>
    </w:rPr>
  </w:style>
  <w:style w:type="character" w:customStyle="1" w:styleId="Spominjanje1">
    <w:name w:val="Spominjanje1"/>
    <w:basedOn w:val="Zadanifontodlomka"/>
    <w:uiPriority w:val="99"/>
    <w:semiHidden/>
    <w:unhideWhenUsed/>
    <w:rsid w:val="00915800"/>
    <w:rPr>
      <w:rFonts w:cs="Times New Roman"/>
      <w:color w:val="2B579A"/>
      <w:shd w:val="clear" w:color="auto" w:fill="E6E6E6"/>
    </w:rPr>
  </w:style>
  <w:style w:type="paragraph" w:customStyle="1" w:styleId="Compact">
    <w:name w:val="Compact"/>
    <w:basedOn w:val="Tijeloteksta"/>
    <w:qFormat/>
    <w:rsid w:val="00FF7F2C"/>
    <w:pPr>
      <w:spacing w:before="36" w:after="36"/>
    </w:pPr>
    <w:rPr>
      <w:rFonts w:asciiTheme="minorHAnsi" w:hAnsiTheme="minorHAnsi" w:cs="Times New Roman"/>
      <w:sz w:val="24"/>
      <w:lang w:val="en-US" w:eastAsia="en-US"/>
    </w:rPr>
  </w:style>
  <w:style w:type="table" w:customStyle="1" w:styleId="ivopisnatablicareetke61">
    <w:name w:val="Živopisna tablica rešetke 61"/>
    <w:basedOn w:val="Obinatablica"/>
    <w:uiPriority w:val="51"/>
    <w:rsid w:val="00FF7F2C"/>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styleId="Istaknuto">
    <w:name w:val="Emphasis"/>
    <w:basedOn w:val="Zadanifontodlomka"/>
    <w:uiPriority w:val="20"/>
    <w:qFormat/>
    <w:rsid w:val="001A5A7A"/>
    <w:rPr>
      <w:rFonts w:cs="Times New Roman"/>
      <w:i/>
      <w:iCs/>
    </w:rPr>
  </w:style>
  <w:style w:type="table" w:customStyle="1" w:styleId="Svijetlatablicareetke11">
    <w:name w:val="Svijetla tablica rešetke 11"/>
    <w:basedOn w:val="Obinatablica"/>
    <w:uiPriority w:val="46"/>
    <w:rsid w:val="00B0720F"/>
    <w:pPr>
      <w:spacing w:after="0" w:line="240" w:lineRule="auto"/>
    </w:pPr>
    <w:rPr>
      <w:rFonts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customStyle="1" w:styleId="hps">
    <w:name w:val="hps"/>
    <w:rsid w:val="008C592C"/>
  </w:style>
  <w:style w:type="table" w:customStyle="1" w:styleId="Svijetlatablicareetke1-isticanje51">
    <w:name w:val="Svijetla tablica rešetke 1 - isticanje 51"/>
    <w:basedOn w:val="Obinatablica"/>
    <w:uiPriority w:val="46"/>
    <w:rsid w:val="008C592C"/>
    <w:pPr>
      <w:spacing w:after="0" w:line="240" w:lineRule="auto"/>
    </w:pPr>
    <w:rPr>
      <w:rFonts w:cs="Times New Roma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rFonts w:cs="Times New Roman"/>
        <w:b/>
        <w:bCs/>
      </w:rPr>
      <w:tblPr/>
      <w:tcPr>
        <w:tcBorders>
          <w:bottom w:val="single" w:sz="12" w:space="0" w:color="8EAADB" w:themeColor="accent5" w:themeTint="99"/>
        </w:tcBorders>
      </w:tcPr>
    </w:tblStylePr>
    <w:tblStylePr w:type="lastRow">
      <w:rPr>
        <w:rFonts w:cs="Times New Roman"/>
        <w:b/>
        <w:bCs/>
      </w:rPr>
      <w:tblPr/>
      <w:tcPr>
        <w:tcBorders>
          <w:top w:val="double" w:sz="2" w:space="0" w:color="8EAADB" w:themeColor="accent5" w:themeTint="99"/>
        </w:tcBorders>
      </w:tcPr>
    </w:tblStylePr>
    <w:tblStylePr w:type="firstCol">
      <w:rPr>
        <w:rFonts w:cs="Times New Roman"/>
        <w:b/>
        <w:bCs/>
      </w:rPr>
    </w:tblStylePr>
    <w:tblStylePr w:type="lastCol">
      <w:rPr>
        <w:rFonts w:cs="Times New Roman"/>
        <w:b/>
        <w:bCs/>
      </w:rPr>
    </w:tblStylePr>
  </w:style>
  <w:style w:type="character" w:customStyle="1" w:styleId="UnresolvedMention1">
    <w:name w:val="Unresolved Mention1"/>
    <w:basedOn w:val="Zadanifontodlomka"/>
    <w:uiPriority w:val="99"/>
    <w:semiHidden/>
    <w:unhideWhenUsed/>
    <w:rsid w:val="003E6E1C"/>
    <w:rPr>
      <w:rFonts w:cs="Times New Roman"/>
      <w:color w:val="605E5C"/>
      <w:shd w:val="clear" w:color="auto" w:fill="E1DFDD"/>
    </w:rPr>
  </w:style>
  <w:style w:type="character" w:customStyle="1" w:styleId="tlid-translation">
    <w:name w:val="tlid-translation"/>
    <w:basedOn w:val="Zadanifontodlomka"/>
    <w:rsid w:val="007E7436"/>
    <w:rPr>
      <w:rFonts w:cs="Times New Roman"/>
    </w:rPr>
  </w:style>
  <w:style w:type="character" w:customStyle="1" w:styleId="OpisslikeChar">
    <w:name w:val="Opis slike Char"/>
    <w:link w:val="Opisslike"/>
    <w:uiPriority w:val="35"/>
    <w:locked/>
    <w:rsid w:val="006253D7"/>
    <w:rPr>
      <w:rFonts w:ascii="Tahoma" w:hAnsi="Tahoma" w:cs="Myriad Pro"/>
      <w:i/>
      <w:iCs/>
      <w:sz w:val="16"/>
      <w:szCs w:val="18"/>
      <w:lang w:eastAsia="de-DE"/>
    </w:rPr>
  </w:style>
  <w:style w:type="paragraph" w:customStyle="1" w:styleId="story-lead">
    <w:name w:val="story-lead"/>
    <w:basedOn w:val="Normal"/>
    <w:rsid w:val="005D3D3C"/>
    <w:pPr>
      <w:tabs>
        <w:tab w:val="clear" w:pos="431"/>
      </w:tabs>
      <w:spacing w:before="100" w:beforeAutospacing="1" w:afterAutospacing="1" w:line="240" w:lineRule="auto"/>
      <w:ind w:left="0"/>
      <w:jc w:val="left"/>
    </w:pPr>
    <w:rPr>
      <w:rFonts w:ascii="Times New Roman" w:hAnsi="Times New Roman" w:cs="Times New Roman"/>
      <w:sz w:val="24"/>
      <w:lang w:val="en-US" w:eastAsia="en-US"/>
    </w:rPr>
  </w:style>
  <w:style w:type="character" w:customStyle="1" w:styleId="counter">
    <w:name w:val="counter"/>
    <w:basedOn w:val="Zadanifontodlomka"/>
    <w:rsid w:val="005D3D3C"/>
    <w:rPr>
      <w:rFonts w:cs="Times New Roman"/>
    </w:rPr>
  </w:style>
  <w:style w:type="character" w:customStyle="1" w:styleId="linkednewstitle">
    <w:name w:val="linked_news_title"/>
    <w:basedOn w:val="Zadanifontodlomka"/>
    <w:rsid w:val="005D3D3C"/>
    <w:rPr>
      <w:rFonts w:cs="Times New Roman"/>
    </w:rPr>
  </w:style>
  <w:style w:type="paragraph" w:styleId="Bezproreda">
    <w:name w:val="No Spacing"/>
    <w:uiPriority w:val="1"/>
    <w:qFormat/>
    <w:rsid w:val="005D3D3C"/>
    <w:pPr>
      <w:spacing w:after="0" w:line="240" w:lineRule="auto"/>
    </w:pPr>
    <w:rPr>
      <w:rFonts w:cs="Times New Roman"/>
    </w:rPr>
  </w:style>
  <w:style w:type="character" w:customStyle="1" w:styleId="st1">
    <w:name w:val="st1"/>
    <w:basedOn w:val="Zadanifontodlomka"/>
    <w:rsid w:val="005D3D3C"/>
    <w:rPr>
      <w:rFonts w:cs="Times New Roman"/>
    </w:rPr>
  </w:style>
  <w:style w:type="paragraph" w:customStyle="1" w:styleId="msonormal0">
    <w:name w:val="msonormal"/>
    <w:basedOn w:val="Normal"/>
    <w:rsid w:val="00A961C3"/>
    <w:pPr>
      <w:tabs>
        <w:tab w:val="clear" w:pos="431"/>
      </w:tabs>
      <w:spacing w:before="100" w:beforeAutospacing="1" w:afterAutospacing="1" w:line="240" w:lineRule="auto"/>
      <w:ind w:left="0"/>
      <w:jc w:val="left"/>
    </w:pPr>
    <w:rPr>
      <w:rFonts w:ascii="Times New Roman" w:hAnsi="Times New Roman" w:cs="Times New Roman"/>
      <w:sz w:val="24"/>
      <w:lang w:eastAsia="hr-HR"/>
    </w:rPr>
  </w:style>
  <w:style w:type="paragraph" w:customStyle="1" w:styleId="xl65">
    <w:name w:val="xl65"/>
    <w:basedOn w:val="Normal"/>
    <w:rsid w:val="00A961C3"/>
    <w:pPr>
      <w:pBdr>
        <w:top w:val="single" w:sz="8" w:space="0" w:color="auto"/>
        <w:left w:val="single" w:sz="8" w:space="0" w:color="auto"/>
        <w:right w:val="single" w:sz="8" w:space="0" w:color="auto"/>
      </w:pBd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66">
    <w:name w:val="xl66"/>
    <w:basedOn w:val="Normal"/>
    <w:rsid w:val="00A961C3"/>
    <w:pPr>
      <w:pBdr>
        <w:left w:val="single" w:sz="8" w:space="0" w:color="auto"/>
        <w:right w:val="single" w:sz="8" w:space="0" w:color="auto"/>
      </w:pBd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67">
    <w:name w:val="xl67"/>
    <w:basedOn w:val="Normal"/>
    <w:rsid w:val="00A961C3"/>
    <w:pPr>
      <w:pBdr>
        <w:top w:val="single" w:sz="8" w:space="0" w:color="auto"/>
        <w:left w:val="single" w:sz="8" w:space="0" w:color="auto"/>
        <w:bottom w:val="single" w:sz="8" w:space="0" w:color="auto"/>
      </w:pBdr>
      <w:shd w:val="clear" w:color="000000" w:fill="FFFF00"/>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68">
    <w:name w:val="xl68"/>
    <w:basedOn w:val="Normal"/>
    <w:rsid w:val="00A961C3"/>
    <w:pPr>
      <w:pBdr>
        <w:left w:val="single" w:sz="8" w:space="0" w:color="auto"/>
        <w:bottom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color w:val="000000"/>
      <w:szCs w:val="20"/>
      <w:lang w:eastAsia="hr-HR"/>
    </w:rPr>
  </w:style>
  <w:style w:type="paragraph" w:customStyle="1" w:styleId="xl69">
    <w:name w:val="xl69"/>
    <w:basedOn w:val="Normal"/>
    <w:rsid w:val="00A961C3"/>
    <w:pPr>
      <w:pBdr>
        <w:bottom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70">
    <w:name w:val="xl70"/>
    <w:basedOn w:val="Normal"/>
    <w:rsid w:val="00A961C3"/>
    <w:pPr>
      <w:pBdr>
        <w:bottom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szCs w:val="20"/>
      <w:lang w:eastAsia="hr-HR"/>
    </w:rPr>
  </w:style>
  <w:style w:type="paragraph" w:customStyle="1" w:styleId="xl71">
    <w:name w:val="xl71"/>
    <w:basedOn w:val="Normal"/>
    <w:rsid w:val="00A961C3"/>
    <w:pPr>
      <w:pBdr>
        <w:left w:val="single" w:sz="8" w:space="0" w:color="auto"/>
        <w:bottom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szCs w:val="20"/>
      <w:lang w:eastAsia="hr-HR"/>
    </w:rPr>
  </w:style>
  <w:style w:type="paragraph" w:customStyle="1" w:styleId="xl72">
    <w:name w:val="xl72"/>
    <w:basedOn w:val="Normal"/>
    <w:rsid w:val="00A961C3"/>
    <w:pPr>
      <w:pBdr>
        <w:left w:val="single" w:sz="8" w:space="0" w:color="auto"/>
        <w:right w:val="single" w:sz="8" w:space="0" w:color="auto"/>
      </w:pBdr>
      <w:shd w:val="clear" w:color="000000" w:fill="D0CECE"/>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73">
    <w:name w:val="xl73"/>
    <w:basedOn w:val="Normal"/>
    <w:rsid w:val="00A961C3"/>
    <w:pPr>
      <w:pBdr>
        <w:right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74">
    <w:name w:val="xl74"/>
    <w:basedOn w:val="Normal"/>
    <w:rsid w:val="00A961C3"/>
    <w:pPr>
      <w:pBdr>
        <w:left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color w:val="000000"/>
      <w:szCs w:val="20"/>
      <w:lang w:eastAsia="hr-HR"/>
    </w:rPr>
  </w:style>
  <w:style w:type="paragraph" w:customStyle="1" w:styleId="xl75">
    <w:name w:val="xl75"/>
    <w:basedOn w:val="Normal"/>
    <w:rsid w:val="00A961C3"/>
    <w:pPr>
      <w:pBdr>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76">
    <w:name w:val="xl76"/>
    <w:basedOn w:val="Normal"/>
    <w:rsid w:val="00A961C3"/>
    <w:pPr>
      <w:pBdr>
        <w:left w:val="single" w:sz="8" w:space="0" w:color="auto"/>
        <w:right w:val="single" w:sz="8" w:space="0" w:color="auto"/>
      </w:pBdr>
      <w:shd w:val="clear" w:color="000000" w:fill="BFBFBF"/>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77">
    <w:name w:val="xl77"/>
    <w:basedOn w:val="Normal"/>
    <w:rsid w:val="00A961C3"/>
    <w:pPr>
      <w:pBdr>
        <w:right w:val="single" w:sz="8" w:space="0" w:color="auto"/>
      </w:pBd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78">
    <w:name w:val="xl78"/>
    <w:basedOn w:val="Normal"/>
    <w:rsid w:val="00A961C3"/>
    <w:pPr>
      <w:pBdr>
        <w:left w:val="single" w:sz="8" w:space="0" w:color="auto"/>
        <w:bottom w:val="single" w:sz="8" w:space="0" w:color="auto"/>
        <w:right w:val="single" w:sz="8" w:space="0" w:color="auto"/>
      </w:pBdr>
      <w:shd w:val="clear" w:color="000000" w:fill="D0CECE"/>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79">
    <w:name w:val="xl79"/>
    <w:basedOn w:val="Normal"/>
    <w:rsid w:val="00A961C3"/>
    <w:pPr>
      <w:pBdr>
        <w:bottom w:val="single" w:sz="8" w:space="0" w:color="auto"/>
        <w:right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0">
    <w:name w:val="xl80"/>
    <w:basedOn w:val="Normal"/>
    <w:rsid w:val="00A961C3"/>
    <w:pPr>
      <w:pBdr>
        <w:left w:val="single" w:sz="8" w:space="0" w:color="auto"/>
        <w:right w:val="single" w:sz="8" w:space="0" w:color="auto"/>
      </w:pBdr>
      <w:shd w:val="clear" w:color="000000" w:fill="D9D9D9"/>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81">
    <w:name w:val="xl81"/>
    <w:basedOn w:val="Normal"/>
    <w:rsid w:val="00A961C3"/>
    <w:pPr>
      <w:pBdr>
        <w:right w:val="single" w:sz="8" w:space="0" w:color="auto"/>
      </w:pBdr>
      <w:shd w:val="clear" w:color="000000" w:fill="D9D9D9"/>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2">
    <w:name w:val="xl82"/>
    <w:basedOn w:val="Normal"/>
    <w:rsid w:val="00A961C3"/>
    <w:pPr>
      <w:pBdr>
        <w:right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3">
    <w:name w:val="xl83"/>
    <w:basedOn w:val="Normal"/>
    <w:rsid w:val="00A961C3"/>
    <w:pPr>
      <w:pBdr>
        <w:left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84">
    <w:name w:val="xl84"/>
    <w:basedOn w:val="Normal"/>
    <w:rsid w:val="00A961C3"/>
    <w:pPr>
      <w:pBdr>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5">
    <w:name w:val="xl85"/>
    <w:basedOn w:val="Normal"/>
    <w:rsid w:val="00A961C3"/>
    <w:pP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6">
    <w:name w:val="xl86"/>
    <w:basedOn w:val="Normal"/>
    <w:rsid w:val="00A961C3"/>
    <w:pPr>
      <w:pBdr>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87">
    <w:name w:val="xl87"/>
    <w:basedOn w:val="Normal"/>
    <w:rsid w:val="00A961C3"/>
    <w:pPr>
      <w:pBdr>
        <w:bottom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88">
    <w:name w:val="xl88"/>
    <w:basedOn w:val="Normal"/>
    <w:rsid w:val="00A961C3"/>
    <w:pPr>
      <w:pBdr>
        <w:top w:val="single" w:sz="8" w:space="0" w:color="auto"/>
        <w:left w:val="single" w:sz="8" w:space="0" w:color="auto"/>
        <w:right w:val="single" w:sz="8" w:space="0" w:color="auto"/>
      </w:pBdr>
      <w:shd w:val="clear" w:color="000000" w:fill="D0CECE"/>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89">
    <w:name w:val="xl89"/>
    <w:basedOn w:val="Normal"/>
    <w:rsid w:val="00A961C3"/>
    <w:pPr>
      <w:pBdr>
        <w:top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90">
    <w:name w:val="xl90"/>
    <w:basedOn w:val="Normal"/>
    <w:rsid w:val="00A961C3"/>
    <w:pPr>
      <w:pBdr>
        <w:top w:val="single" w:sz="8" w:space="0" w:color="auto"/>
        <w:left w:val="single" w:sz="8" w:space="0" w:color="auto"/>
        <w:bottom w:val="single" w:sz="8" w:space="0" w:color="auto"/>
        <w:right w:val="single" w:sz="8" w:space="0" w:color="auto"/>
      </w:pBdr>
      <w:shd w:val="clear" w:color="000000" w:fill="00B0F0"/>
      <w:tabs>
        <w:tab w:val="clear" w:pos="431"/>
      </w:tabs>
      <w:spacing w:before="100" w:beforeAutospacing="1" w:afterAutospacing="1" w:line="240" w:lineRule="auto"/>
      <w:ind w:left="0"/>
      <w:textAlignment w:val="center"/>
    </w:pPr>
    <w:rPr>
      <w:rFonts w:ascii="Times New Roman" w:hAnsi="Times New Roman" w:cs="Times New Roman"/>
      <w:b/>
      <w:bCs/>
      <w:i/>
      <w:iCs/>
      <w:color w:val="000000"/>
      <w:szCs w:val="20"/>
      <w:lang w:eastAsia="hr-HR"/>
    </w:rPr>
  </w:style>
  <w:style w:type="paragraph" w:customStyle="1" w:styleId="xl91">
    <w:name w:val="xl91"/>
    <w:basedOn w:val="Normal"/>
    <w:rsid w:val="00A961C3"/>
    <w:pPr>
      <w:pBdr>
        <w:top w:val="single" w:sz="8" w:space="0" w:color="auto"/>
        <w:bottom w:val="single" w:sz="8" w:space="0" w:color="auto"/>
        <w:right w:val="single" w:sz="8" w:space="0" w:color="auto"/>
      </w:pBdr>
      <w:shd w:val="clear" w:color="000000" w:fill="00B0F0"/>
      <w:tabs>
        <w:tab w:val="clear" w:pos="431"/>
      </w:tabs>
      <w:spacing w:before="100" w:beforeAutospacing="1" w:afterAutospacing="1" w:line="240" w:lineRule="auto"/>
      <w:ind w:left="0"/>
      <w:jc w:val="center"/>
      <w:textAlignment w:val="center"/>
    </w:pPr>
    <w:rPr>
      <w:rFonts w:ascii="Times New Roman" w:hAnsi="Times New Roman" w:cs="Times New Roman"/>
      <w:b/>
      <w:bCs/>
      <w:i/>
      <w:iCs/>
      <w:color w:val="000000"/>
      <w:szCs w:val="20"/>
      <w:lang w:eastAsia="hr-HR"/>
    </w:rPr>
  </w:style>
  <w:style w:type="paragraph" w:customStyle="1" w:styleId="xl92">
    <w:name w:val="xl92"/>
    <w:basedOn w:val="Normal"/>
    <w:rsid w:val="00A961C3"/>
    <w:pPr>
      <w:pBdr>
        <w:top w:val="single" w:sz="8" w:space="0" w:color="auto"/>
        <w:bottom w:val="single" w:sz="8" w:space="0" w:color="auto"/>
      </w:pBdr>
      <w:shd w:val="clear" w:color="000000" w:fill="FFFF00"/>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93">
    <w:name w:val="xl93"/>
    <w:basedOn w:val="Normal"/>
    <w:rsid w:val="00A961C3"/>
    <w:pPr>
      <w:pBdr>
        <w:top w:val="single" w:sz="8" w:space="0" w:color="auto"/>
        <w:left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94">
    <w:name w:val="xl94"/>
    <w:basedOn w:val="Normal"/>
    <w:rsid w:val="00A961C3"/>
    <w:pPr>
      <w:pBdr>
        <w:left w:val="single" w:sz="8" w:space="0" w:color="auto"/>
        <w:bottom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95">
    <w:name w:val="xl95"/>
    <w:basedOn w:val="Normal"/>
    <w:rsid w:val="00A961C3"/>
    <w:pPr>
      <w:pBdr>
        <w:top w:val="single" w:sz="8" w:space="0" w:color="auto"/>
        <w:left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color w:val="000000"/>
      <w:szCs w:val="20"/>
      <w:lang w:eastAsia="hr-HR"/>
    </w:rPr>
  </w:style>
  <w:style w:type="paragraph" w:customStyle="1" w:styleId="xl96">
    <w:name w:val="xl96"/>
    <w:basedOn w:val="Normal"/>
    <w:rsid w:val="00A961C3"/>
    <w:pPr>
      <w:pBdr>
        <w:left w:val="single" w:sz="8" w:space="0" w:color="auto"/>
        <w:bottom w:val="single" w:sz="8" w:space="0" w:color="auto"/>
        <w:right w:val="single" w:sz="8" w:space="0" w:color="auto"/>
      </w:pBd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98">
    <w:name w:val="xl98"/>
    <w:basedOn w:val="Normal"/>
    <w:rsid w:val="00A961C3"/>
    <w:pPr>
      <w:pBdr>
        <w:left w:val="single" w:sz="8" w:space="0" w:color="auto"/>
        <w:bottom w:val="single" w:sz="8" w:space="0" w:color="auto"/>
        <w:right w:val="single" w:sz="8" w:space="0" w:color="auto"/>
      </w:pBdr>
      <w:tabs>
        <w:tab w:val="clear" w:pos="431"/>
      </w:tabs>
      <w:spacing w:before="100" w:beforeAutospacing="1" w:afterAutospacing="1" w:line="240" w:lineRule="auto"/>
      <w:ind w:left="0"/>
      <w:jc w:val="left"/>
    </w:pPr>
    <w:rPr>
      <w:rFonts w:ascii="Times New Roman" w:hAnsi="Times New Roman" w:cs="Times New Roman"/>
      <w:sz w:val="24"/>
      <w:lang w:eastAsia="hr-HR"/>
    </w:rPr>
  </w:style>
  <w:style w:type="paragraph" w:customStyle="1" w:styleId="xl99">
    <w:name w:val="xl99"/>
    <w:basedOn w:val="Normal"/>
    <w:rsid w:val="00A961C3"/>
    <w:pPr>
      <w:pBdr>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szCs w:val="20"/>
      <w:lang w:eastAsia="hr-HR"/>
    </w:rPr>
  </w:style>
  <w:style w:type="paragraph" w:customStyle="1" w:styleId="xl100">
    <w:name w:val="xl100"/>
    <w:basedOn w:val="Normal"/>
    <w:rsid w:val="00A961C3"/>
    <w:pPr>
      <w:pBdr>
        <w:top w:val="single" w:sz="8" w:space="0" w:color="auto"/>
        <w:lef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101">
    <w:name w:val="xl101"/>
    <w:basedOn w:val="Normal"/>
    <w:rsid w:val="00A961C3"/>
    <w:pPr>
      <w:pBdr>
        <w:left w:val="single" w:sz="8" w:space="0" w:color="auto"/>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102">
    <w:name w:val="xl102"/>
    <w:basedOn w:val="Normal"/>
    <w:rsid w:val="00A961C3"/>
    <w:pP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3">
    <w:name w:val="xl103"/>
    <w:basedOn w:val="Normal"/>
    <w:rsid w:val="00A961C3"/>
    <w:pPr>
      <w:pBdr>
        <w:bottom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4">
    <w:name w:val="xl104"/>
    <w:basedOn w:val="Normal"/>
    <w:rsid w:val="00A961C3"/>
    <w:pPr>
      <w:shd w:val="clear" w:color="000000" w:fill="D9D9D9"/>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5">
    <w:name w:val="xl105"/>
    <w:basedOn w:val="Normal"/>
    <w:rsid w:val="00A961C3"/>
    <w:pPr>
      <w:pBdr>
        <w:top w:val="single" w:sz="8" w:space="0" w:color="auto"/>
        <w:lef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szCs w:val="20"/>
      <w:lang w:eastAsia="hr-HR"/>
    </w:rPr>
  </w:style>
  <w:style w:type="paragraph" w:customStyle="1" w:styleId="xl106">
    <w:name w:val="xl106"/>
    <w:basedOn w:val="Normal"/>
    <w:rsid w:val="00A961C3"/>
    <w:pPr>
      <w:pBdr>
        <w:left w:val="single" w:sz="8" w:space="0" w:color="auto"/>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szCs w:val="20"/>
      <w:lang w:eastAsia="hr-HR"/>
    </w:rPr>
  </w:style>
  <w:style w:type="paragraph" w:customStyle="1" w:styleId="xl107">
    <w:name w:val="xl107"/>
    <w:basedOn w:val="Normal"/>
    <w:rsid w:val="00A961C3"/>
    <w:pP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8">
    <w:name w:val="xl108"/>
    <w:basedOn w:val="Normal"/>
    <w:rsid w:val="00A961C3"/>
    <w:pPr>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9">
    <w:name w:val="xl109"/>
    <w:basedOn w:val="Normal"/>
    <w:rsid w:val="00A961C3"/>
    <w:pPr>
      <w:pBdr>
        <w:left w:val="single" w:sz="8" w:space="0" w:color="auto"/>
        <w:bottom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10">
    <w:name w:val="xl110"/>
    <w:basedOn w:val="Normal"/>
    <w:rsid w:val="00A961C3"/>
    <w:pPr>
      <w:pBdr>
        <w:left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11">
    <w:name w:val="xl111"/>
    <w:basedOn w:val="Normal"/>
    <w:rsid w:val="00A961C3"/>
    <w:pPr>
      <w:pBdr>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112">
    <w:name w:val="xl112"/>
    <w:basedOn w:val="Normal"/>
    <w:rsid w:val="00A961C3"/>
    <w:pPr>
      <w:pBdr>
        <w:bottom w:val="single" w:sz="8" w:space="0" w:color="auto"/>
      </w:pBdr>
      <w:shd w:val="clear" w:color="000000" w:fill="00B0F0"/>
      <w:tabs>
        <w:tab w:val="clear" w:pos="431"/>
      </w:tabs>
      <w:spacing w:before="100" w:beforeAutospacing="1" w:afterAutospacing="1" w:line="240" w:lineRule="auto"/>
      <w:ind w:left="0"/>
      <w:jc w:val="center"/>
      <w:textAlignment w:val="center"/>
    </w:pPr>
    <w:rPr>
      <w:rFonts w:ascii="Times New Roman" w:hAnsi="Times New Roman" w:cs="Times New Roman"/>
      <w:b/>
      <w:bCs/>
      <w:i/>
      <w:iCs/>
      <w:color w:val="000000"/>
      <w:szCs w:val="20"/>
      <w:lang w:eastAsia="hr-HR"/>
    </w:rPr>
  </w:style>
  <w:style w:type="paragraph" w:customStyle="1" w:styleId="xl113">
    <w:name w:val="xl113"/>
    <w:basedOn w:val="Normal"/>
    <w:rsid w:val="00A961C3"/>
    <w:pPr>
      <w:pBdr>
        <w:top w:val="single" w:sz="8" w:space="0" w:color="auto"/>
        <w:left w:val="single" w:sz="8" w:space="0" w:color="auto"/>
        <w:bottom w:val="single" w:sz="8" w:space="0" w:color="auto"/>
        <w:right w:val="single" w:sz="8" w:space="0" w:color="auto"/>
      </w:pBdr>
      <w:tabs>
        <w:tab w:val="clear" w:pos="431"/>
      </w:tabs>
      <w:spacing w:before="100" w:beforeAutospacing="1" w:afterAutospacing="1" w:line="240" w:lineRule="auto"/>
      <w:ind w:left="0"/>
      <w:jc w:val="left"/>
    </w:pPr>
    <w:rPr>
      <w:rFonts w:ascii="Times New Roman" w:hAnsi="Times New Roman" w:cs="Times New Roman"/>
      <w:sz w:val="24"/>
      <w:lang w:eastAsia="hr-HR"/>
    </w:rPr>
  </w:style>
  <w:style w:type="paragraph" w:customStyle="1" w:styleId="xl114">
    <w:name w:val="xl114"/>
    <w:basedOn w:val="Normal"/>
    <w:rsid w:val="00A961C3"/>
    <w:pPr>
      <w:pBdr>
        <w:top w:val="single" w:sz="8" w:space="0" w:color="auto"/>
        <w:left w:val="single" w:sz="8" w:space="0" w:color="auto"/>
        <w:bottom w:val="single" w:sz="8" w:space="0" w:color="auto"/>
        <w:right w:val="single" w:sz="8" w:space="0" w:color="auto"/>
      </w:pBdr>
      <w:tabs>
        <w:tab w:val="clear" w:pos="431"/>
      </w:tabs>
      <w:spacing w:before="100" w:beforeAutospacing="1" w:afterAutospacing="1" w:line="240" w:lineRule="auto"/>
      <w:ind w:left="0"/>
      <w:jc w:val="left"/>
      <w:textAlignment w:val="center"/>
    </w:pPr>
    <w:rPr>
      <w:rFonts w:ascii="Times New Roman" w:hAnsi="Times New Roman" w:cs="Times New Roman"/>
      <w:sz w:val="24"/>
      <w:lang w:eastAsia="hr-HR"/>
    </w:rPr>
  </w:style>
  <w:style w:type="paragraph" w:customStyle="1" w:styleId="xl115">
    <w:name w:val="xl115"/>
    <w:basedOn w:val="Normal"/>
    <w:rsid w:val="00A961C3"/>
    <w:pPr>
      <w:pBdr>
        <w:top w:val="single" w:sz="8" w:space="0" w:color="auto"/>
        <w:left w:val="single" w:sz="8" w:space="0" w:color="auto"/>
        <w:bottom w:val="single" w:sz="8" w:space="0" w:color="auto"/>
        <w:right w:val="single" w:sz="8" w:space="0" w:color="auto"/>
      </w:pBdr>
      <w:shd w:val="clear" w:color="000000" w:fill="D0CECE"/>
      <w:tabs>
        <w:tab w:val="clear" w:pos="431"/>
      </w:tabs>
      <w:spacing w:before="100" w:beforeAutospacing="1" w:afterAutospacing="1" w:line="240" w:lineRule="auto"/>
      <w:ind w:left="0"/>
      <w:jc w:val="left"/>
      <w:textAlignment w:val="center"/>
    </w:pPr>
    <w:rPr>
      <w:rFonts w:ascii="Times New Roman" w:hAnsi="Times New Roman" w:cs="Times New Roman"/>
      <w:sz w:val="24"/>
      <w:lang w:eastAsia="hr-HR"/>
    </w:rPr>
  </w:style>
  <w:style w:type="paragraph" w:customStyle="1" w:styleId="xl116">
    <w:name w:val="xl116"/>
    <w:basedOn w:val="Normal"/>
    <w:rsid w:val="00A961C3"/>
    <w:pPr>
      <w:pBdr>
        <w:top w:val="single" w:sz="8" w:space="0" w:color="auto"/>
        <w:left w:val="single" w:sz="8" w:space="0" w:color="auto"/>
        <w:bottom w:val="single" w:sz="8" w:space="0" w:color="auto"/>
        <w:right w:val="single" w:sz="8" w:space="0" w:color="auto"/>
      </w:pBdr>
      <w:shd w:val="clear" w:color="000000" w:fill="D0CECE"/>
      <w:tabs>
        <w:tab w:val="clear" w:pos="431"/>
      </w:tabs>
      <w:spacing w:before="100" w:beforeAutospacing="1" w:afterAutospacing="1" w:line="240" w:lineRule="auto"/>
      <w:ind w:left="0"/>
      <w:jc w:val="left"/>
    </w:pPr>
    <w:rPr>
      <w:rFonts w:ascii="Times New Roman" w:hAnsi="Times New Roman" w:cs="Times New Roman"/>
      <w:sz w:val="24"/>
      <w:lang w:eastAsia="hr-HR"/>
    </w:rPr>
  </w:style>
  <w:style w:type="table" w:customStyle="1" w:styleId="Svijetlatablicareetke110">
    <w:name w:val="Svijetla tablica rešetke 11"/>
    <w:basedOn w:val="Obinatablica"/>
    <w:uiPriority w:val="46"/>
    <w:rsid w:val="00E40821"/>
    <w:pPr>
      <w:spacing w:after="0" w:line="240" w:lineRule="auto"/>
    </w:pPr>
    <w:rPr>
      <w:rFonts w:ascii="Arial" w:hAnsi="Arial" w:cs="Times New Roman"/>
      <w:lang w:eastAsia="hr-H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customStyle="1" w:styleId="StandardWebChar">
    <w:name w:val="Standard (Web) Char"/>
    <w:link w:val="StandardWeb"/>
    <w:uiPriority w:val="99"/>
    <w:locked/>
    <w:rsid w:val="002139B7"/>
    <w:rPr>
      <w:rFonts w:ascii="Tahoma" w:hAnsi="Tahoma"/>
      <w:sz w:val="24"/>
      <w:lang w:val="x-none" w:eastAsia="de-DE"/>
    </w:rPr>
  </w:style>
  <w:style w:type="paragraph" w:customStyle="1" w:styleId="Naslovtablica">
    <w:name w:val="Naslov tablica"/>
    <w:basedOn w:val="Normal"/>
    <w:link w:val="NaslovtablicaChar"/>
    <w:uiPriority w:val="99"/>
    <w:qFormat/>
    <w:rsid w:val="00E00985"/>
    <w:pPr>
      <w:keepNext/>
      <w:tabs>
        <w:tab w:val="clear" w:pos="431"/>
        <w:tab w:val="left" w:pos="1247"/>
      </w:tabs>
      <w:suppressAutoHyphens/>
      <w:spacing w:before="120" w:after="120" w:line="240" w:lineRule="auto"/>
      <w:ind w:left="0"/>
      <w:jc w:val="center"/>
    </w:pPr>
    <w:rPr>
      <w:rFonts w:ascii="Arial" w:hAnsi="Arial" w:cs="Arial"/>
      <w:b/>
      <w:color w:val="669D41"/>
      <w:szCs w:val="22"/>
      <w:lang w:eastAsia="hr-HR"/>
    </w:rPr>
  </w:style>
  <w:style w:type="paragraph" w:customStyle="1" w:styleId="zaglavlje">
    <w:name w:val="zaglavlje"/>
    <w:basedOn w:val="Normal"/>
    <w:uiPriority w:val="3"/>
    <w:rsid w:val="00E00985"/>
    <w:pPr>
      <w:numPr>
        <w:numId w:val="48"/>
      </w:numPr>
      <w:tabs>
        <w:tab w:val="clear" w:pos="431"/>
      </w:tabs>
      <w:suppressAutoHyphens/>
      <w:spacing w:before="240" w:after="120" w:line="288" w:lineRule="auto"/>
    </w:pPr>
    <w:rPr>
      <w:rFonts w:ascii="Arial" w:hAnsi="Arial" w:cs="Times New Roman"/>
      <w:b/>
      <w:color w:val="808080"/>
      <w:sz w:val="16"/>
      <w:szCs w:val="22"/>
      <w:lang w:eastAsia="hr-HR"/>
    </w:rPr>
  </w:style>
  <w:style w:type="paragraph" w:customStyle="1" w:styleId="Naslovslike">
    <w:name w:val="Naslov slike"/>
    <w:basedOn w:val="Normal"/>
    <w:link w:val="NaslovslikeChar"/>
    <w:qFormat/>
    <w:rsid w:val="00F51692"/>
    <w:pPr>
      <w:tabs>
        <w:tab w:val="clear" w:pos="431"/>
      </w:tabs>
      <w:spacing w:before="120" w:after="360" w:line="240" w:lineRule="auto"/>
      <w:ind w:left="0"/>
      <w:jc w:val="center"/>
    </w:pPr>
    <w:rPr>
      <w:rFonts w:ascii="Arial" w:hAnsi="Arial" w:cs="Arial"/>
      <w:b/>
      <w:lang w:eastAsia="en-US"/>
    </w:rPr>
  </w:style>
  <w:style w:type="character" w:customStyle="1" w:styleId="NaslovslikeChar">
    <w:name w:val="Naslov slike Char"/>
    <w:link w:val="Naslovslike"/>
    <w:locked/>
    <w:rsid w:val="00F51692"/>
    <w:rPr>
      <w:rFonts w:ascii="Arial" w:hAnsi="Arial"/>
      <w:b/>
      <w:sz w:val="24"/>
    </w:rPr>
  </w:style>
  <w:style w:type="character" w:customStyle="1" w:styleId="pt-zadanifontodlomka-000002">
    <w:name w:val="pt-zadanifontodlomka-000002"/>
    <w:basedOn w:val="Zadanifontodlomka"/>
    <w:rsid w:val="00A014BE"/>
    <w:rPr>
      <w:rFonts w:cs="Times New Roman"/>
    </w:rPr>
  </w:style>
  <w:style w:type="paragraph" w:customStyle="1" w:styleId="Naslovslika">
    <w:name w:val="Naslov slika"/>
    <w:basedOn w:val="Normal"/>
    <w:next w:val="Normal"/>
    <w:link w:val="NaslovslikaChar"/>
    <w:uiPriority w:val="99"/>
    <w:qFormat/>
    <w:rsid w:val="00A91662"/>
    <w:pPr>
      <w:tabs>
        <w:tab w:val="clear" w:pos="431"/>
      </w:tabs>
      <w:spacing w:before="120" w:after="240" w:line="240" w:lineRule="auto"/>
      <w:ind w:left="0"/>
      <w:contextualSpacing/>
      <w:jc w:val="center"/>
    </w:pPr>
    <w:rPr>
      <w:rFonts w:asciiTheme="minorHAnsi" w:hAnsiTheme="minorHAnsi" w:cs="Arial"/>
      <w:i/>
      <w:iCs/>
      <w:szCs w:val="20"/>
      <w:lang w:eastAsia="hr-HR"/>
    </w:rPr>
  </w:style>
  <w:style w:type="character" w:customStyle="1" w:styleId="NaslovslikaChar">
    <w:name w:val="Naslov slika Char"/>
    <w:basedOn w:val="Zadanifontodlomka"/>
    <w:link w:val="Naslovslika"/>
    <w:uiPriority w:val="99"/>
    <w:locked/>
    <w:rsid w:val="00A91662"/>
    <w:rPr>
      <w:rFonts w:eastAsia="Times New Roman" w:cs="Arial"/>
      <w:i/>
      <w:iCs/>
      <w:sz w:val="20"/>
      <w:szCs w:val="20"/>
      <w:lang w:val="x-none" w:eastAsia="hr-HR"/>
    </w:rPr>
  </w:style>
  <w:style w:type="character" w:customStyle="1" w:styleId="NaslovtablicaChar">
    <w:name w:val="Naslov tablica Char"/>
    <w:basedOn w:val="Zadanifontodlomka"/>
    <w:link w:val="Naslovtablica"/>
    <w:uiPriority w:val="99"/>
    <w:locked/>
    <w:rsid w:val="00A91662"/>
    <w:rPr>
      <w:rFonts w:ascii="Arial" w:hAnsi="Arial" w:cs="Arial"/>
      <w:b/>
      <w:color w:val="669D41"/>
      <w:sz w:val="20"/>
      <w:lang w:val="x-none" w:eastAsia="hr-HR"/>
    </w:rPr>
  </w:style>
  <w:style w:type="numbering" w:styleId="1ai">
    <w:name w:val="Outline List 1"/>
    <w:basedOn w:val="Bezpopisa"/>
    <w:uiPriority w:val="99"/>
    <w:semiHidden/>
    <w:unhideWhenUsed/>
    <w:pPr>
      <w:numPr>
        <w:numId w:val="13"/>
      </w:numPr>
    </w:pPr>
  </w:style>
  <w:style w:type="numbering" w:customStyle="1" w:styleId="StyleBulletedBold">
    <w:name w:val="Style Bulleted Bold"/>
    <w:pPr>
      <w:numPr>
        <w:numId w:val="8"/>
      </w:numPr>
    </w:pPr>
  </w:style>
  <w:style w:type="numbering" w:customStyle="1" w:styleId="StyleBulletedWingdingssymbol12ptGray-50Left15cm">
    <w:name w:val="Style Bulleted Wingdings (symbol) 12 pt Gray-50% Left:  15 cm..."/>
    <w:pPr>
      <w:numPr>
        <w:numId w:val="10"/>
      </w:numPr>
    </w:pPr>
  </w:style>
  <w:style w:type="numbering" w:customStyle="1" w:styleId="StyleBulleted">
    <w:name w:val="Style Bulleted"/>
    <w:pPr>
      <w:numPr>
        <w:numId w:val="7"/>
      </w:numPr>
    </w:pPr>
  </w:style>
  <w:style w:type="numbering" w:customStyle="1" w:styleId="bulleti">
    <w:name w:val="bulletić"/>
    <w:pPr>
      <w:numPr>
        <w:numId w:val="15"/>
      </w:numPr>
    </w:pPr>
  </w:style>
  <w:style w:type="numbering" w:styleId="111111">
    <w:name w:val="Outline List 2"/>
    <w:basedOn w:val="Bezpopisa"/>
    <w:uiPriority w:val="99"/>
    <w:semiHidden/>
    <w:unhideWhenUsed/>
    <w:pPr>
      <w:numPr>
        <w:numId w:val="12"/>
      </w:numPr>
    </w:pPr>
  </w:style>
  <w:style w:type="numbering" w:customStyle="1" w:styleId="TOC2">
    <w:name w:val="TOC2"/>
    <w:pPr>
      <w:numPr>
        <w:numId w:val="9"/>
      </w:numPr>
    </w:pPr>
  </w:style>
  <w:style w:type="numbering" w:styleId="lanaksekcija">
    <w:name w:val="Outline List 3"/>
    <w:basedOn w:val="Bezpopisa"/>
    <w:uiPriority w:val="99"/>
    <w:semiHidden/>
    <w:unhideWhenUsed/>
    <w:pPr>
      <w:numPr>
        <w:numId w:val="14"/>
      </w:numPr>
    </w:pPr>
  </w:style>
  <w:style w:type="numbering" w:customStyle="1" w:styleId="StyleBulletedWingdingssymbol12ptBoldGray-50Left1">
    <w:name w:val="Style Bulleted Wingdings (symbol) 12 pt Bold Gray-50% Left:  1..."/>
    <w:pPr>
      <w:numPr>
        <w:numId w:val="11"/>
      </w:numPr>
    </w:pPr>
  </w:style>
  <w:style w:type="paragraph" w:customStyle="1" w:styleId="box462120">
    <w:name w:val="box_462120"/>
    <w:basedOn w:val="Normal"/>
    <w:rsid w:val="00327A50"/>
    <w:pPr>
      <w:tabs>
        <w:tab w:val="clear" w:pos="431"/>
      </w:tabs>
      <w:spacing w:before="100" w:beforeAutospacing="1" w:afterAutospacing="1" w:line="240" w:lineRule="auto"/>
      <w:ind w:left="0"/>
      <w:jc w:val="left"/>
    </w:pPr>
    <w:rPr>
      <w:rFonts w:ascii="Times New Roman" w:hAnsi="Times New Roman" w:cs="Times New Roman"/>
      <w:sz w:val="24"/>
      <w:lang w:eastAsia="hr-HR"/>
    </w:rPr>
  </w:style>
  <w:style w:type="character" w:customStyle="1" w:styleId="Bodytext2">
    <w:name w:val="Body text (2)_"/>
    <w:basedOn w:val="Zadanifontodlomka"/>
    <w:link w:val="Bodytext20"/>
    <w:locked/>
    <w:rsid w:val="002028BF"/>
    <w:rPr>
      <w:rFonts w:ascii="Times New Roman" w:hAnsi="Times New Roman" w:cs="Times New Roman"/>
      <w:sz w:val="20"/>
      <w:szCs w:val="20"/>
      <w:shd w:val="clear" w:color="auto" w:fill="FFFFFF"/>
    </w:rPr>
  </w:style>
  <w:style w:type="paragraph" w:customStyle="1" w:styleId="Bodytext20">
    <w:name w:val="Body text (2)"/>
    <w:basedOn w:val="Normal"/>
    <w:link w:val="Bodytext2"/>
    <w:rsid w:val="002028BF"/>
    <w:pPr>
      <w:widowControl w:val="0"/>
      <w:shd w:val="clear" w:color="auto" w:fill="FFFFFF"/>
      <w:tabs>
        <w:tab w:val="clear" w:pos="431"/>
      </w:tabs>
      <w:spacing w:after="0" w:line="240" w:lineRule="auto"/>
      <w:ind w:left="0"/>
      <w:jc w:val="left"/>
    </w:pPr>
    <w:rPr>
      <w:rFonts w:ascii="Times New Roman" w:hAnsi="Times New Roman" w:cs="Times New Roman"/>
      <w:szCs w:val="20"/>
      <w:lang w:eastAsia="en-US"/>
    </w:rPr>
  </w:style>
  <w:style w:type="paragraph" w:customStyle="1" w:styleId="clanak-">
    <w:name w:val="clanak-"/>
    <w:basedOn w:val="Normal"/>
    <w:rsid w:val="002028BF"/>
    <w:pPr>
      <w:tabs>
        <w:tab w:val="clear" w:pos="431"/>
      </w:tabs>
      <w:spacing w:before="100" w:beforeAutospacing="1" w:afterAutospacing="1" w:line="240" w:lineRule="auto"/>
      <w:ind w:left="0"/>
      <w:jc w:val="center"/>
    </w:pPr>
    <w:rPr>
      <w:rFonts w:ascii="Times New Roman" w:eastAsia="Calibri" w:hAnsi="Times New Roman" w:cs="Times New Roman"/>
      <w:sz w:val="24"/>
      <w:lang w:eastAsia="hr-HR"/>
    </w:rPr>
  </w:style>
  <w:style w:type="character" w:customStyle="1" w:styleId="normaltextrun">
    <w:name w:val="normaltextrun"/>
    <w:basedOn w:val="Zadanifontodlomka"/>
    <w:rsid w:val="008F7582"/>
  </w:style>
  <w:style w:type="character" w:customStyle="1" w:styleId="UnresolvedMention2">
    <w:name w:val="Unresolved Mention2"/>
    <w:basedOn w:val="Zadanifontodlomka"/>
    <w:uiPriority w:val="99"/>
    <w:semiHidden/>
    <w:unhideWhenUsed/>
    <w:rsid w:val="00C80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101">
      <w:bodyDiv w:val="1"/>
      <w:marLeft w:val="0"/>
      <w:marRight w:val="0"/>
      <w:marTop w:val="0"/>
      <w:marBottom w:val="0"/>
      <w:divBdr>
        <w:top w:val="none" w:sz="0" w:space="0" w:color="auto"/>
        <w:left w:val="none" w:sz="0" w:space="0" w:color="auto"/>
        <w:bottom w:val="none" w:sz="0" w:space="0" w:color="auto"/>
        <w:right w:val="none" w:sz="0" w:space="0" w:color="auto"/>
      </w:divBdr>
    </w:div>
    <w:div w:id="4794502">
      <w:bodyDiv w:val="1"/>
      <w:marLeft w:val="0"/>
      <w:marRight w:val="0"/>
      <w:marTop w:val="0"/>
      <w:marBottom w:val="0"/>
      <w:divBdr>
        <w:top w:val="none" w:sz="0" w:space="0" w:color="auto"/>
        <w:left w:val="none" w:sz="0" w:space="0" w:color="auto"/>
        <w:bottom w:val="none" w:sz="0" w:space="0" w:color="auto"/>
        <w:right w:val="none" w:sz="0" w:space="0" w:color="auto"/>
      </w:divBdr>
    </w:div>
    <w:div w:id="5792993">
      <w:bodyDiv w:val="1"/>
      <w:marLeft w:val="0"/>
      <w:marRight w:val="0"/>
      <w:marTop w:val="0"/>
      <w:marBottom w:val="0"/>
      <w:divBdr>
        <w:top w:val="none" w:sz="0" w:space="0" w:color="auto"/>
        <w:left w:val="none" w:sz="0" w:space="0" w:color="auto"/>
        <w:bottom w:val="none" w:sz="0" w:space="0" w:color="auto"/>
        <w:right w:val="none" w:sz="0" w:space="0" w:color="auto"/>
      </w:divBdr>
    </w:div>
    <w:div w:id="14693316">
      <w:bodyDiv w:val="1"/>
      <w:marLeft w:val="0"/>
      <w:marRight w:val="0"/>
      <w:marTop w:val="0"/>
      <w:marBottom w:val="0"/>
      <w:divBdr>
        <w:top w:val="none" w:sz="0" w:space="0" w:color="auto"/>
        <w:left w:val="none" w:sz="0" w:space="0" w:color="auto"/>
        <w:bottom w:val="none" w:sz="0" w:space="0" w:color="auto"/>
        <w:right w:val="none" w:sz="0" w:space="0" w:color="auto"/>
      </w:divBdr>
    </w:div>
    <w:div w:id="17243795">
      <w:bodyDiv w:val="1"/>
      <w:marLeft w:val="0"/>
      <w:marRight w:val="0"/>
      <w:marTop w:val="0"/>
      <w:marBottom w:val="0"/>
      <w:divBdr>
        <w:top w:val="none" w:sz="0" w:space="0" w:color="auto"/>
        <w:left w:val="none" w:sz="0" w:space="0" w:color="auto"/>
        <w:bottom w:val="none" w:sz="0" w:space="0" w:color="auto"/>
        <w:right w:val="none" w:sz="0" w:space="0" w:color="auto"/>
      </w:divBdr>
    </w:div>
    <w:div w:id="23412446">
      <w:bodyDiv w:val="1"/>
      <w:marLeft w:val="0"/>
      <w:marRight w:val="0"/>
      <w:marTop w:val="0"/>
      <w:marBottom w:val="0"/>
      <w:divBdr>
        <w:top w:val="none" w:sz="0" w:space="0" w:color="auto"/>
        <w:left w:val="none" w:sz="0" w:space="0" w:color="auto"/>
        <w:bottom w:val="none" w:sz="0" w:space="0" w:color="auto"/>
        <w:right w:val="none" w:sz="0" w:space="0" w:color="auto"/>
      </w:divBdr>
    </w:div>
    <w:div w:id="29693671">
      <w:bodyDiv w:val="1"/>
      <w:marLeft w:val="0"/>
      <w:marRight w:val="0"/>
      <w:marTop w:val="0"/>
      <w:marBottom w:val="0"/>
      <w:divBdr>
        <w:top w:val="none" w:sz="0" w:space="0" w:color="auto"/>
        <w:left w:val="none" w:sz="0" w:space="0" w:color="auto"/>
        <w:bottom w:val="none" w:sz="0" w:space="0" w:color="auto"/>
        <w:right w:val="none" w:sz="0" w:space="0" w:color="auto"/>
      </w:divBdr>
    </w:div>
    <w:div w:id="36249262">
      <w:bodyDiv w:val="1"/>
      <w:marLeft w:val="0"/>
      <w:marRight w:val="0"/>
      <w:marTop w:val="0"/>
      <w:marBottom w:val="0"/>
      <w:divBdr>
        <w:top w:val="none" w:sz="0" w:space="0" w:color="auto"/>
        <w:left w:val="none" w:sz="0" w:space="0" w:color="auto"/>
        <w:bottom w:val="none" w:sz="0" w:space="0" w:color="auto"/>
        <w:right w:val="none" w:sz="0" w:space="0" w:color="auto"/>
      </w:divBdr>
    </w:div>
    <w:div w:id="39017790">
      <w:bodyDiv w:val="1"/>
      <w:marLeft w:val="0"/>
      <w:marRight w:val="0"/>
      <w:marTop w:val="0"/>
      <w:marBottom w:val="0"/>
      <w:divBdr>
        <w:top w:val="none" w:sz="0" w:space="0" w:color="auto"/>
        <w:left w:val="none" w:sz="0" w:space="0" w:color="auto"/>
        <w:bottom w:val="none" w:sz="0" w:space="0" w:color="auto"/>
        <w:right w:val="none" w:sz="0" w:space="0" w:color="auto"/>
      </w:divBdr>
    </w:div>
    <w:div w:id="41291069">
      <w:bodyDiv w:val="1"/>
      <w:marLeft w:val="0"/>
      <w:marRight w:val="0"/>
      <w:marTop w:val="0"/>
      <w:marBottom w:val="0"/>
      <w:divBdr>
        <w:top w:val="none" w:sz="0" w:space="0" w:color="auto"/>
        <w:left w:val="none" w:sz="0" w:space="0" w:color="auto"/>
        <w:bottom w:val="none" w:sz="0" w:space="0" w:color="auto"/>
        <w:right w:val="none" w:sz="0" w:space="0" w:color="auto"/>
      </w:divBdr>
    </w:div>
    <w:div w:id="42097544">
      <w:bodyDiv w:val="1"/>
      <w:marLeft w:val="0"/>
      <w:marRight w:val="0"/>
      <w:marTop w:val="0"/>
      <w:marBottom w:val="0"/>
      <w:divBdr>
        <w:top w:val="none" w:sz="0" w:space="0" w:color="auto"/>
        <w:left w:val="none" w:sz="0" w:space="0" w:color="auto"/>
        <w:bottom w:val="none" w:sz="0" w:space="0" w:color="auto"/>
        <w:right w:val="none" w:sz="0" w:space="0" w:color="auto"/>
      </w:divBdr>
    </w:div>
    <w:div w:id="43989386">
      <w:bodyDiv w:val="1"/>
      <w:marLeft w:val="0"/>
      <w:marRight w:val="0"/>
      <w:marTop w:val="0"/>
      <w:marBottom w:val="0"/>
      <w:divBdr>
        <w:top w:val="none" w:sz="0" w:space="0" w:color="auto"/>
        <w:left w:val="none" w:sz="0" w:space="0" w:color="auto"/>
        <w:bottom w:val="none" w:sz="0" w:space="0" w:color="auto"/>
        <w:right w:val="none" w:sz="0" w:space="0" w:color="auto"/>
      </w:divBdr>
    </w:div>
    <w:div w:id="47383996">
      <w:bodyDiv w:val="1"/>
      <w:marLeft w:val="0"/>
      <w:marRight w:val="0"/>
      <w:marTop w:val="0"/>
      <w:marBottom w:val="0"/>
      <w:divBdr>
        <w:top w:val="none" w:sz="0" w:space="0" w:color="auto"/>
        <w:left w:val="none" w:sz="0" w:space="0" w:color="auto"/>
        <w:bottom w:val="none" w:sz="0" w:space="0" w:color="auto"/>
        <w:right w:val="none" w:sz="0" w:space="0" w:color="auto"/>
      </w:divBdr>
    </w:div>
    <w:div w:id="50085717">
      <w:bodyDiv w:val="1"/>
      <w:marLeft w:val="0"/>
      <w:marRight w:val="0"/>
      <w:marTop w:val="0"/>
      <w:marBottom w:val="0"/>
      <w:divBdr>
        <w:top w:val="none" w:sz="0" w:space="0" w:color="auto"/>
        <w:left w:val="none" w:sz="0" w:space="0" w:color="auto"/>
        <w:bottom w:val="none" w:sz="0" w:space="0" w:color="auto"/>
        <w:right w:val="none" w:sz="0" w:space="0" w:color="auto"/>
      </w:divBdr>
    </w:div>
    <w:div w:id="57367428">
      <w:bodyDiv w:val="1"/>
      <w:marLeft w:val="0"/>
      <w:marRight w:val="0"/>
      <w:marTop w:val="0"/>
      <w:marBottom w:val="0"/>
      <w:divBdr>
        <w:top w:val="none" w:sz="0" w:space="0" w:color="auto"/>
        <w:left w:val="none" w:sz="0" w:space="0" w:color="auto"/>
        <w:bottom w:val="none" w:sz="0" w:space="0" w:color="auto"/>
        <w:right w:val="none" w:sz="0" w:space="0" w:color="auto"/>
      </w:divBdr>
    </w:div>
    <w:div w:id="57483536">
      <w:bodyDiv w:val="1"/>
      <w:marLeft w:val="0"/>
      <w:marRight w:val="0"/>
      <w:marTop w:val="0"/>
      <w:marBottom w:val="0"/>
      <w:divBdr>
        <w:top w:val="none" w:sz="0" w:space="0" w:color="auto"/>
        <w:left w:val="none" w:sz="0" w:space="0" w:color="auto"/>
        <w:bottom w:val="none" w:sz="0" w:space="0" w:color="auto"/>
        <w:right w:val="none" w:sz="0" w:space="0" w:color="auto"/>
      </w:divBdr>
    </w:div>
    <w:div w:id="64651036">
      <w:bodyDiv w:val="1"/>
      <w:marLeft w:val="0"/>
      <w:marRight w:val="0"/>
      <w:marTop w:val="0"/>
      <w:marBottom w:val="0"/>
      <w:divBdr>
        <w:top w:val="none" w:sz="0" w:space="0" w:color="auto"/>
        <w:left w:val="none" w:sz="0" w:space="0" w:color="auto"/>
        <w:bottom w:val="none" w:sz="0" w:space="0" w:color="auto"/>
        <w:right w:val="none" w:sz="0" w:space="0" w:color="auto"/>
      </w:divBdr>
    </w:div>
    <w:div w:id="67534807">
      <w:bodyDiv w:val="1"/>
      <w:marLeft w:val="0"/>
      <w:marRight w:val="0"/>
      <w:marTop w:val="0"/>
      <w:marBottom w:val="0"/>
      <w:divBdr>
        <w:top w:val="none" w:sz="0" w:space="0" w:color="auto"/>
        <w:left w:val="none" w:sz="0" w:space="0" w:color="auto"/>
        <w:bottom w:val="none" w:sz="0" w:space="0" w:color="auto"/>
        <w:right w:val="none" w:sz="0" w:space="0" w:color="auto"/>
      </w:divBdr>
    </w:div>
    <w:div w:id="73552706">
      <w:bodyDiv w:val="1"/>
      <w:marLeft w:val="0"/>
      <w:marRight w:val="0"/>
      <w:marTop w:val="0"/>
      <w:marBottom w:val="0"/>
      <w:divBdr>
        <w:top w:val="none" w:sz="0" w:space="0" w:color="auto"/>
        <w:left w:val="none" w:sz="0" w:space="0" w:color="auto"/>
        <w:bottom w:val="none" w:sz="0" w:space="0" w:color="auto"/>
        <w:right w:val="none" w:sz="0" w:space="0" w:color="auto"/>
      </w:divBdr>
    </w:div>
    <w:div w:id="73816601">
      <w:bodyDiv w:val="1"/>
      <w:marLeft w:val="0"/>
      <w:marRight w:val="0"/>
      <w:marTop w:val="0"/>
      <w:marBottom w:val="0"/>
      <w:divBdr>
        <w:top w:val="none" w:sz="0" w:space="0" w:color="auto"/>
        <w:left w:val="none" w:sz="0" w:space="0" w:color="auto"/>
        <w:bottom w:val="none" w:sz="0" w:space="0" w:color="auto"/>
        <w:right w:val="none" w:sz="0" w:space="0" w:color="auto"/>
      </w:divBdr>
    </w:div>
    <w:div w:id="76944795">
      <w:bodyDiv w:val="1"/>
      <w:marLeft w:val="0"/>
      <w:marRight w:val="0"/>
      <w:marTop w:val="0"/>
      <w:marBottom w:val="0"/>
      <w:divBdr>
        <w:top w:val="none" w:sz="0" w:space="0" w:color="auto"/>
        <w:left w:val="none" w:sz="0" w:space="0" w:color="auto"/>
        <w:bottom w:val="none" w:sz="0" w:space="0" w:color="auto"/>
        <w:right w:val="none" w:sz="0" w:space="0" w:color="auto"/>
      </w:divBdr>
    </w:div>
    <w:div w:id="79374516">
      <w:bodyDiv w:val="1"/>
      <w:marLeft w:val="0"/>
      <w:marRight w:val="0"/>
      <w:marTop w:val="0"/>
      <w:marBottom w:val="0"/>
      <w:divBdr>
        <w:top w:val="none" w:sz="0" w:space="0" w:color="auto"/>
        <w:left w:val="none" w:sz="0" w:space="0" w:color="auto"/>
        <w:bottom w:val="none" w:sz="0" w:space="0" w:color="auto"/>
        <w:right w:val="none" w:sz="0" w:space="0" w:color="auto"/>
      </w:divBdr>
    </w:div>
    <w:div w:id="82535528">
      <w:bodyDiv w:val="1"/>
      <w:marLeft w:val="0"/>
      <w:marRight w:val="0"/>
      <w:marTop w:val="0"/>
      <w:marBottom w:val="0"/>
      <w:divBdr>
        <w:top w:val="none" w:sz="0" w:space="0" w:color="auto"/>
        <w:left w:val="none" w:sz="0" w:space="0" w:color="auto"/>
        <w:bottom w:val="none" w:sz="0" w:space="0" w:color="auto"/>
        <w:right w:val="none" w:sz="0" w:space="0" w:color="auto"/>
      </w:divBdr>
    </w:div>
    <w:div w:id="85348911">
      <w:bodyDiv w:val="1"/>
      <w:marLeft w:val="0"/>
      <w:marRight w:val="0"/>
      <w:marTop w:val="0"/>
      <w:marBottom w:val="0"/>
      <w:divBdr>
        <w:top w:val="none" w:sz="0" w:space="0" w:color="auto"/>
        <w:left w:val="none" w:sz="0" w:space="0" w:color="auto"/>
        <w:bottom w:val="none" w:sz="0" w:space="0" w:color="auto"/>
        <w:right w:val="none" w:sz="0" w:space="0" w:color="auto"/>
      </w:divBdr>
    </w:div>
    <w:div w:id="90247912">
      <w:bodyDiv w:val="1"/>
      <w:marLeft w:val="0"/>
      <w:marRight w:val="0"/>
      <w:marTop w:val="0"/>
      <w:marBottom w:val="0"/>
      <w:divBdr>
        <w:top w:val="none" w:sz="0" w:space="0" w:color="auto"/>
        <w:left w:val="none" w:sz="0" w:space="0" w:color="auto"/>
        <w:bottom w:val="none" w:sz="0" w:space="0" w:color="auto"/>
        <w:right w:val="none" w:sz="0" w:space="0" w:color="auto"/>
      </w:divBdr>
    </w:div>
    <w:div w:id="92748243">
      <w:bodyDiv w:val="1"/>
      <w:marLeft w:val="0"/>
      <w:marRight w:val="0"/>
      <w:marTop w:val="0"/>
      <w:marBottom w:val="0"/>
      <w:divBdr>
        <w:top w:val="none" w:sz="0" w:space="0" w:color="auto"/>
        <w:left w:val="none" w:sz="0" w:space="0" w:color="auto"/>
        <w:bottom w:val="none" w:sz="0" w:space="0" w:color="auto"/>
        <w:right w:val="none" w:sz="0" w:space="0" w:color="auto"/>
      </w:divBdr>
    </w:div>
    <w:div w:id="95030329">
      <w:bodyDiv w:val="1"/>
      <w:marLeft w:val="0"/>
      <w:marRight w:val="0"/>
      <w:marTop w:val="0"/>
      <w:marBottom w:val="0"/>
      <w:divBdr>
        <w:top w:val="none" w:sz="0" w:space="0" w:color="auto"/>
        <w:left w:val="none" w:sz="0" w:space="0" w:color="auto"/>
        <w:bottom w:val="none" w:sz="0" w:space="0" w:color="auto"/>
        <w:right w:val="none" w:sz="0" w:space="0" w:color="auto"/>
      </w:divBdr>
    </w:div>
    <w:div w:id="96600144">
      <w:bodyDiv w:val="1"/>
      <w:marLeft w:val="0"/>
      <w:marRight w:val="0"/>
      <w:marTop w:val="0"/>
      <w:marBottom w:val="0"/>
      <w:divBdr>
        <w:top w:val="none" w:sz="0" w:space="0" w:color="auto"/>
        <w:left w:val="none" w:sz="0" w:space="0" w:color="auto"/>
        <w:bottom w:val="none" w:sz="0" w:space="0" w:color="auto"/>
        <w:right w:val="none" w:sz="0" w:space="0" w:color="auto"/>
      </w:divBdr>
    </w:div>
    <w:div w:id="97066216">
      <w:bodyDiv w:val="1"/>
      <w:marLeft w:val="0"/>
      <w:marRight w:val="0"/>
      <w:marTop w:val="0"/>
      <w:marBottom w:val="0"/>
      <w:divBdr>
        <w:top w:val="none" w:sz="0" w:space="0" w:color="auto"/>
        <w:left w:val="none" w:sz="0" w:space="0" w:color="auto"/>
        <w:bottom w:val="none" w:sz="0" w:space="0" w:color="auto"/>
        <w:right w:val="none" w:sz="0" w:space="0" w:color="auto"/>
      </w:divBdr>
    </w:div>
    <w:div w:id="102186477">
      <w:bodyDiv w:val="1"/>
      <w:marLeft w:val="0"/>
      <w:marRight w:val="0"/>
      <w:marTop w:val="0"/>
      <w:marBottom w:val="0"/>
      <w:divBdr>
        <w:top w:val="none" w:sz="0" w:space="0" w:color="auto"/>
        <w:left w:val="none" w:sz="0" w:space="0" w:color="auto"/>
        <w:bottom w:val="none" w:sz="0" w:space="0" w:color="auto"/>
        <w:right w:val="none" w:sz="0" w:space="0" w:color="auto"/>
      </w:divBdr>
    </w:div>
    <w:div w:id="110363863">
      <w:bodyDiv w:val="1"/>
      <w:marLeft w:val="0"/>
      <w:marRight w:val="0"/>
      <w:marTop w:val="0"/>
      <w:marBottom w:val="0"/>
      <w:divBdr>
        <w:top w:val="none" w:sz="0" w:space="0" w:color="auto"/>
        <w:left w:val="none" w:sz="0" w:space="0" w:color="auto"/>
        <w:bottom w:val="none" w:sz="0" w:space="0" w:color="auto"/>
        <w:right w:val="none" w:sz="0" w:space="0" w:color="auto"/>
      </w:divBdr>
    </w:div>
    <w:div w:id="110706375">
      <w:bodyDiv w:val="1"/>
      <w:marLeft w:val="0"/>
      <w:marRight w:val="0"/>
      <w:marTop w:val="0"/>
      <w:marBottom w:val="0"/>
      <w:divBdr>
        <w:top w:val="none" w:sz="0" w:space="0" w:color="auto"/>
        <w:left w:val="none" w:sz="0" w:space="0" w:color="auto"/>
        <w:bottom w:val="none" w:sz="0" w:space="0" w:color="auto"/>
        <w:right w:val="none" w:sz="0" w:space="0" w:color="auto"/>
      </w:divBdr>
    </w:div>
    <w:div w:id="113212280">
      <w:bodyDiv w:val="1"/>
      <w:marLeft w:val="0"/>
      <w:marRight w:val="0"/>
      <w:marTop w:val="0"/>
      <w:marBottom w:val="0"/>
      <w:divBdr>
        <w:top w:val="none" w:sz="0" w:space="0" w:color="auto"/>
        <w:left w:val="none" w:sz="0" w:space="0" w:color="auto"/>
        <w:bottom w:val="none" w:sz="0" w:space="0" w:color="auto"/>
        <w:right w:val="none" w:sz="0" w:space="0" w:color="auto"/>
      </w:divBdr>
    </w:div>
    <w:div w:id="113645449">
      <w:bodyDiv w:val="1"/>
      <w:marLeft w:val="0"/>
      <w:marRight w:val="0"/>
      <w:marTop w:val="0"/>
      <w:marBottom w:val="0"/>
      <w:divBdr>
        <w:top w:val="none" w:sz="0" w:space="0" w:color="auto"/>
        <w:left w:val="none" w:sz="0" w:space="0" w:color="auto"/>
        <w:bottom w:val="none" w:sz="0" w:space="0" w:color="auto"/>
        <w:right w:val="none" w:sz="0" w:space="0" w:color="auto"/>
      </w:divBdr>
    </w:div>
    <w:div w:id="122384225">
      <w:bodyDiv w:val="1"/>
      <w:marLeft w:val="0"/>
      <w:marRight w:val="0"/>
      <w:marTop w:val="0"/>
      <w:marBottom w:val="0"/>
      <w:divBdr>
        <w:top w:val="none" w:sz="0" w:space="0" w:color="auto"/>
        <w:left w:val="none" w:sz="0" w:space="0" w:color="auto"/>
        <w:bottom w:val="none" w:sz="0" w:space="0" w:color="auto"/>
        <w:right w:val="none" w:sz="0" w:space="0" w:color="auto"/>
      </w:divBdr>
    </w:div>
    <w:div w:id="123885785">
      <w:bodyDiv w:val="1"/>
      <w:marLeft w:val="0"/>
      <w:marRight w:val="0"/>
      <w:marTop w:val="0"/>
      <w:marBottom w:val="0"/>
      <w:divBdr>
        <w:top w:val="none" w:sz="0" w:space="0" w:color="auto"/>
        <w:left w:val="none" w:sz="0" w:space="0" w:color="auto"/>
        <w:bottom w:val="none" w:sz="0" w:space="0" w:color="auto"/>
        <w:right w:val="none" w:sz="0" w:space="0" w:color="auto"/>
      </w:divBdr>
    </w:div>
    <w:div w:id="125049628">
      <w:bodyDiv w:val="1"/>
      <w:marLeft w:val="0"/>
      <w:marRight w:val="0"/>
      <w:marTop w:val="0"/>
      <w:marBottom w:val="0"/>
      <w:divBdr>
        <w:top w:val="none" w:sz="0" w:space="0" w:color="auto"/>
        <w:left w:val="none" w:sz="0" w:space="0" w:color="auto"/>
        <w:bottom w:val="none" w:sz="0" w:space="0" w:color="auto"/>
        <w:right w:val="none" w:sz="0" w:space="0" w:color="auto"/>
      </w:divBdr>
    </w:div>
    <w:div w:id="138115411">
      <w:bodyDiv w:val="1"/>
      <w:marLeft w:val="0"/>
      <w:marRight w:val="0"/>
      <w:marTop w:val="0"/>
      <w:marBottom w:val="0"/>
      <w:divBdr>
        <w:top w:val="none" w:sz="0" w:space="0" w:color="auto"/>
        <w:left w:val="none" w:sz="0" w:space="0" w:color="auto"/>
        <w:bottom w:val="none" w:sz="0" w:space="0" w:color="auto"/>
        <w:right w:val="none" w:sz="0" w:space="0" w:color="auto"/>
      </w:divBdr>
    </w:div>
    <w:div w:id="138807826">
      <w:bodyDiv w:val="1"/>
      <w:marLeft w:val="0"/>
      <w:marRight w:val="0"/>
      <w:marTop w:val="0"/>
      <w:marBottom w:val="0"/>
      <w:divBdr>
        <w:top w:val="none" w:sz="0" w:space="0" w:color="auto"/>
        <w:left w:val="none" w:sz="0" w:space="0" w:color="auto"/>
        <w:bottom w:val="none" w:sz="0" w:space="0" w:color="auto"/>
        <w:right w:val="none" w:sz="0" w:space="0" w:color="auto"/>
      </w:divBdr>
    </w:div>
    <w:div w:id="149909849">
      <w:bodyDiv w:val="1"/>
      <w:marLeft w:val="0"/>
      <w:marRight w:val="0"/>
      <w:marTop w:val="0"/>
      <w:marBottom w:val="0"/>
      <w:divBdr>
        <w:top w:val="none" w:sz="0" w:space="0" w:color="auto"/>
        <w:left w:val="none" w:sz="0" w:space="0" w:color="auto"/>
        <w:bottom w:val="none" w:sz="0" w:space="0" w:color="auto"/>
        <w:right w:val="none" w:sz="0" w:space="0" w:color="auto"/>
      </w:divBdr>
    </w:div>
    <w:div w:id="151675997">
      <w:bodyDiv w:val="1"/>
      <w:marLeft w:val="0"/>
      <w:marRight w:val="0"/>
      <w:marTop w:val="0"/>
      <w:marBottom w:val="0"/>
      <w:divBdr>
        <w:top w:val="none" w:sz="0" w:space="0" w:color="auto"/>
        <w:left w:val="none" w:sz="0" w:space="0" w:color="auto"/>
        <w:bottom w:val="none" w:sz="0" w:space="0" w:color="auto"/>
        <w:right w:val="none" w:sz="0" w:space="0" w:color="auto"/>
      </w:divBdr>
    </w:div>
    <w:div w:id="154104485">
      <w:bodyDiv w:val="1"/>
      <w:marLeft w:val="0"/>
      <w:marRight w:val="0"/>
      <w:marTop w:val="0"/>
      <w:marBottom w:val="0"/>
      <w:divBdr>
        <w:top w:val="none" w:sz="0" w:space="0" w:color="auto"/>
        <w:left w:val="none" w:sz="0" w:space="0" w:color="auto"/>
        <w:bottom w:val="none" w:sz="0" w:space="0" w:color="auto"/>
        <w:right w:val="none" w:sz="0" w:space="0" w:color="auto"/>
      </w:divBdr>
    </w:div>
    <w:div w:id="161434557">
      <w:bodyDiv w:val="1"/>
      <w:marLeft w:val="0"/>
      <w:marRight w:val="0"/>
      <w:marTop w:val="0"/>
      <w:marBottom w:val="0"/>
      <w:divBdr>
        <w:top w:val="none" w:sz="0" w:space="0" w:color="auto"/>
        <w:left w:val="none" w:sz="0" w:space="0" w:color="auto"/>
        <w:bottom w:val="none" w:sz="0" w:space="0" w:color="auto"/>
        <w:right w:val="none" w:sz="0" w:space="0" w:color="auto"/>
      </w:divBdr>
    </w:div>
    <w:div w:id="163936304">
      <w:bodyDiv w:val="1"/>
      <w:marLeft w:val="0"/>
      <w:marRight w:val="0"/>
      <w:marTop w:val="0"/>
      <w:marBottom w:val="0"/>
      <w:divBdr>
        <w:top w:val="none" w:sz="0" w:space="0" w:color="auto"/>
        <w:left w:val="none" w:sz="0" w:space="0" w:color="auto"/>
        <w:bottom w:val="none" w:sz="0" w:space="0" w:color="auto"/>
        <w:right w:val="none" w:sz="0" w:space="0" w:color="auto"/>
      </w:divBdr>
    </w:div>
    <w:div w:id="166947918">
      <w:bodyDiv w:val="1"/>
      <w:marLeft w:val="0"/>
      <w:marRight w:val="0"/>
      <w:marTop w:val="0"/>
      <w:marBottom w:val="0"/>
      <w:divBdr>
        <w:top w:val="none" w:sz="0" w:space="0" w:color="auto"/>
        <w:left w:val="none" w:sz="0" w:space="0" w:color="auto"/>
        <w:bottom w:val="none" w:sz="0" w:space="0" w:color="auto"/>
        <w:right w:val="none" w:sz="0" w:space="0" w:color="auto"/>
      </w:divBdr>
    </w:div>
    <w:div w:id="167645528">
      <w:bodyDiv w:val="1"/>
      <w:marLeft w:val="0"/>
      <w:marRight w:val="0"/>
      <w:marTop w:val="0"/>
      <w:marBottom w:val="0"/>
      <w:divBdr>
        <w:top w:val="none" w:sz="0" w:space="0" w:color="auto"/>
        <w:left w:val="none" w:sz="0" w:space="0" w:color="auto"/>
        <w:bottom w:val="none" w:sz="0" w:space="0" w:color="auto"/>
        <w:right w:val="none" w:sz="0" w:space="0" w:color="auto"/>
      </w:divBdr>
    </w:div>
    <w:div w:id="168763101">
      <w:bodyDiv w:val="1"/>
      <w:marLeft w:val="0"/>
      <w:marRight w:val="0"/>
      <w:marTop w:val="0"/>
      <w:marBottom w:val="0"/>
      <w:divBdr>
        <w:top w:val="none" w:sz="0" w:space="0" w:color="auto"/>
        <w:left w:val="none" w:sz="0" w:space="0" w:color="auto"/>
        <w:bottom w:val="none" w:sz="0" w:space="0" w:color="auto"/>
        <w:right w:val="none" w:sz="0" w:space="0" w:color="auto"/>
      </w:divBdr>
    </w:div>
    <w:div w:id="168955156">
      <w:bodyDiv w:val="1"/>
      <w:marLeft w:val="0"/>
      <w:marRight w:val="0"/>
      <w:marTop w:val="0"/>
      <w:marBottom w:val="0"/>
      <w:divBdr>
        <w:top w:val="none" w:sz="0" w:space="0" w:color="auto"/>
        <w:left w:val="none" w:sz="0" w:space="0" w:color="auto"/>
        <w:bottom w:val="none" w:sz="0" w:space="0" w:color="auto"/>
        <w:right w:val="none" w:sz="0" w:space="0" w:color="auto"/>
      </w:divBdr>
    </w:div>
    <w:div w:id="170069221">
      <w:bodyDiv w:val="1"/>
      <w:marLeft w:val="0"/>
      <w:marRight w:val="0"/>
      <w:marTop w:val="0"/>
      <w:marBottom w:val="0"/>
      <w:divBdr>
        <w:top w:val="none" w:sz="0" w:space="0" w:color="auto"/>
        <w:left w:val="none" w:sz="0" w:space="0" w:color="auto"/>
        <w:bottom w:val="none" w:sz="0" w:space="0" w:color="auto"/>
        <w:right w:val="none" w:sz="0" w:space="0" w:color="auto"/>
      </w:divBdr>
    </w:div>
    <w:div w:id="174226109">
      <w:bodyDiv w:val="1"/>
      <w:marLeft w:val="0"/>
      <w:marRight w:val="0"/>
      <w:marTop w:val="0"/>
      <w:marBottom w:val="0"/>
      <w:divBdr>
        <w:top w:val="none" w:sz="0" w:space="0" w:color="auto"/>
        <w:left w:val="none" w:sz="0" w:space="0" w:color="auto"/>
        <w:bottom w:val="none" w:sz="0" w:space="0" w:color="auto"/>
        <w:right w:val="none" w:sz="0" w:space="0" w:color="auto"/>
      </w:divBdr>
    </w:div>
    <w:div w:id="175118673">
      <w:bodyDiv w:val="1"/>
      <w:marLeft w:val="0"/>
      <w:marRight w:val="0"/>
      <w:marTop w:val="0"/>
      <w:marBottom w:val="0"/>
      <w:divBdr>
        <w:top w:val="none" w:sz="0" w:space="0" w:color="auto"/>
        <w:left w:val="none" w:sz="0" w:space="0" w:color="auto"/>
        <w:bottom w:val="none" w:sz="0" w:space="0" w:color="auto"/>
        <w:right w:val="none" w:sz="0" w:space="0" w:color="auto"/>
      </w:divBdr>
    </w:div>
    <w:div w:id="176693725">
      <w:bodyDiv w:val="1"/>
      <w:marLeft w:val="0"/>
      <w:marRight w:val="0"/>
      <w:marTop w:val="0"/>
      <w:marBottom w:val="0"/>
      <w:divBdr>
        <w:top w:val="none" w:sz="0" w:space="0" w:color="auto"/>
        <w:left w:val="none" w:sz="0" w:space="0" w:color="auto"/>
        <w:bottom w:val="none" w:sz="0" w:space="0" w:color="auto"/>
        <w:right w:val="none" w:sz="0" w:space="0" w:color="auto"/>
      </w:divBdr>
    </w:div>
    <w:div w:id="177694573">
      <w:bodyDiv w:val="1"/>
      <w:marLeft w:val="0"/>
      <w:marRight w:val="0"/>
      <w:marTop w:val="0"/>
      <w:marBottom w:val="0"/>
      <w:divBdr>
        <w:top w:val="none" w:sz="0" w:space="0" w:color="auto"/>
        <w:left w:val="none" w:sz="0" w:space="0" w:color="auto"/>
        <w:bottom w:val="none" w:sz="0" w:space="0" w:color="auto"/>
        <w:right w:val="none" w:sz="0" w:space="0" w:color="auto"/>
      </w:divBdr>
    </w:div>
    <w:div w:id="188832935">
      <w:bodyDiv w:val="1"/>
      <w:marLeft w:val="0"/>
      <w:marRight w:val="0"/>
      <w:marTop w:val="0"/>
      <w:marBottom w:val="0"/>
      <w:divBdr>
        <w:top w:val="none" w:sz="0" w:space="0" w:color="auto"/>
        <w:left w:val="none" w:sz="0" w:space="0" w:color="auto"/>
        <w:bottom w:val="none" w:sz="0" w:space="0" w:color="auto"/>
        <w:right w:val="none" w:sz="0" w:space="0" w:color="auto"/>
      </w:divBdr>
    </w:div>
    <w:div w:id="199826189">
      <w:bodyDiv w:val="1"/>
      <w:marLeft w:val="0"/>
      <w:marRight w:val="0"/>
      <w:marTop w:val="0"/>
      <w:marBottom w:val="0"/>
      <w:divBdr>
        <w:top w:val="none" w:sz="0" w:space="0" w:color="auto"/>
        <w:left w:val="none" w:sz="0" w:space="0" w:color="auto"/>
        <w:bottom w:val="none" w:sz="0" w:space="0" w:color="auto"/>
        <w:right w:val="none" w:sz="0" w:space="0" w:color="auto"/>
      </w:divBdr>
    </w:div>
    <w:div w:id="202715814">
      <w:bodyDiv w:val="1"/>
      <w:marLeft w:val="0"/>
      <w:marRight w:val="0"/>
      <w:marTop w:val="0"/>
      <w:marBottom w:val="0"/>
      <w:divBdr>
        <w:top w:val="none" w:sz="0" w:space="0" w:color="auto"/>
        <w:left w:val="none" w:sz="0" w:space="0" w:color="auto"/>
        <w:bottom w:val="none" w:sz="0" w:space="0" w:color="auto"/>
        <w:right w:val="none" w:sz="0" w:space="0" w:color="auto"/>
      </w:divBdr>
    </w:div>
    <w:div w:id="207230495">
      <w:bodyDiv w:val="1"/>
      <w:marLeft w:val="0"/>
      <w:marRight w:val="0"/>
      <w:marTop w:val="0"/>
      <w:marBottom w:val="0"/>
      <w:divBdr>
        <w:top w:val="none" w:sz="0" w:space="0" w:color="auto"/>
        <w:left w:val="none" w:sz="0" w:space="0" w:color="auto"/>
        <w:bottom w:val="none" w:sz="0" w:space="0" w:color="auto"/>
        <w:right w:val="none" w:sz="0" w:space="0" w:color="auto"/>
      </w:divBdr>
    </w:div>
    <w:div w:id="213271268">
      <w:bodyDiv w:val="1"/>
      <w:marLeft w:val="0"/>
      <w:marRight w:val="0"/>
      <w:marTop w:val="0"/>
      <w:marBottom w:val="0"/>
      <w:divBdr>
        <w:top w:val="none" w:sz="0" w:space="0" w:color="auto"/>
        <w:left w:val="none" w:sz="0" w:space="0" w:color="auto"/>
        <w:bottom w:val="none" w:sz="0" w:space="0" w:color="auto"/>
        <w:right w:val="none" w:sz="0" w:space="0" w:color="auto"/>
      </w:divBdr>
    </w:div>
    <w:div w:id="218368113">
      <w:bodyDiv w:val="1"/>
      <w:marLeft w:val="0"/>
      <w:marRight w:val="0"/>
      <w:marTop w:val="0"/>
      <w:marBottom w:val="0"/>
      <w:divBdr>
        <w:top w:val="none" w:sz="0" w:space="0" w:color="auto"/>
        <w:left w:val="none" w:sz="0" w:space="0" w:color="auto"/>
        <w:bottom w:val="none" w:sz="0" w:space="0" w:color="auto"/>
        <w:right w:val="none" w:sz="0" w:space="0" w:color="auto"/>
      </w:divBdr>
    </w:div>
    <w:div w:id="219948068">
      <w:bodyDiv w:val="1"/>
      <w:marLeft w:val="0"/>
      <w:marRight w:val="0"/>
      <w:marTop w:val="0"/>
      <w:marBottom w:val="0"/>
      <w:divBdr>
        <w:top w:val="none" w:sz="0" w:space="0" w:color="auto"/>
        <w:left w:val="none" w:sz="0" w:space="0" w:color="auto"/>
        <w:bottom w:val="none" w:sz="0" w:space="0" w:color="auto"/>
        <w:right w:val="none" w:sz="0" w:space="0" w:color="auto"/>
      </w:divBdr>
    </w:div>
    <w:div w:id="220294780">
      <w:bodyDiv w:val="1"/>
      <w:marLeft w:val="0"/>
      <w:marRight w:val="0"/>
      <w:marTop w:val="0"/>
      <w:marBottom w:val="0"/>
      <w:divBdr>
        <w:top w:val="none" w:sz="0" w:space="0" w:color="auto"/>
        <w:left w:val="none" w:sz="0" w:space="0" w:color="auto"/>
        <w:bottom w:val="none" w:sz="0" w:space="0" w:color="auto"/>
        <w:right w:val="none" w:sz="0" w:space="0" w:color="auto"/>
      </w:divBdr>
    </w:div>
    <w:div w:id="223756466">
      <w:bodyDiv w:val="1"/>
      <w:marLeft w:val="0"/>
      <w:marRight w:val="0"/>
      <w:marTop w:val="0"/>
      <w:marBottom w:val="0"/>
      <w:divBdr>
        <w:top w:val="none" w:sz="0" w:space="0" w:color="auto"/>
        <w:left w:val="none" w:sz="0" w:space="0" w:color="auto"/>
        <w:bottom w:val="none" w:sz="0" w:space="0" w:color="auto"/>
        <w:right w:val="none" w:sz="0" w:space="0" w:color="auto"/>
      </w:divBdr>
    </w:div>
    <w:div w:id="224143553">
      <w:bodyDiv w:val="1"/>
      <w:marLeft w:val="0"/>
      <w:marRight w:val="0"/>
      <w:marTop w:val="0"/>
      <w:marBottom w:val="0"/>
      <w:divBdr>
        <w:top w:val="none" w:sz="0" w:space="0" w:color="auto"/>
        <w:left w:val="none" w:sz="0" w:space="0" w:color="auto"/>
        <w:bottom w:val="none" w:sz="0" w:space="0" w:color="auto"/>
        <w:right w:val="none" w:sz="0" w:space="0" w:color="auto"/>
      </w:divBdr>
    </w:div>
    <w:div w:id="226258526">
      <w:bodyDiv w:val="1"/>
      <w:marLeft w:val="0"/>
      <w:marRight w:val="0"/>
      <w:marTop w:val="0"/>
      <w:marBottom w:val="0"/>
      <w:divBdr>
        <w:top w:val="none" w:sz="0" w:space="0" w:color="auto"/>
        <w:left w:val="none" w:sz="0" w:space="0" w:color="auto"/>
        <w:bottom w:val="none" w:sz="0" w:space="0" w:color="auto"/>
        <w:right w:val="none" w:sz="0" w:space="0" w:color="auto"/>
      </w:divBdr>
    </w:div>
    <w:div w:id="227301210">
      <w:bodyDiv w:val="1"/>
      <w:marLeft w:val="0"/>
      <w:marRight w:val="0"/>
      <w:marTop w:val="0"/>
      <w:marBottom w:val="0"/>
      <w:divBdr>
        <w:top w:val="none" w:sz="0" w:space="0" w:color="auto"/>
        <w:left w:val="none" w:sz="0" w:space="0" w:color="auto"/>
        <w:bottom w:val="none" w:sz="0" w:space="0" w:color="auto"/>
        <w:right w:val="none" w:sz="0" w:space="0" w:color="auto"/>
      </w:divBdr>
    </w:div>
    <w:div w:id="227542512">
      <w:bodyDiv w:val="1"/>
      <w:marLeft w:val="0"/>
      <w:marRight w:val="0"/>
      <w:marTop w:val="0"/>
      <w:marBottom w:val="0"/>
      <w:divBdr>
        <w:top w:val="none" w:sz="0" w:space="0" w:color="auto"/>
        <w:left w:val="none" w:sz="0" w:space="0" w:color="auto"/>
        <w:bottom w:val="none" w:sz="0" w:space="0" w:color="auto"/>
        <w:right w:val="none" w:sz="0" w:space="0" w:color="auto"/>
      </w:divBdr>
    </w:div>
    <w:div w:id="233587147">
      <w:bodyDiv w:val="1"/>
      <w:marLeft w:val="0"/>
      <w:marRight w:val="0"/>
      <w:marTop w:val="0"/>
      <w:marBottom w:val="0"/>
      <w:divBdr>
        <w:top w:val="none" w:sz="0" w:space="0" w:color="auto"/>
        <w:left w:val="none" w:sz="0" w:space="0" w:color="auto"/>
        <w:bottom w:val="none" w:sz="0" w:space="0" w:color="auto"/>
        <w:right w:val="none" w:sz="0" w:space="0" w:color="auto"/>
      </w:divBdr>
    </w:div>
    <w:div w:id="240526268">
      <w:bodyDiv w:val="1"/>
      <w:marLeft w:val="0"/>
      <w:marRight w:val="0"/>
      <w:marTop w:val="0"/>
      <w:marBottom w:val="0"/>
      <w:divBdr>
        <w:top w:val="none" w:sz="0" w:space="0" w:color="auto"/>
        <w:left w:val="none" w:sz="0" w:space="0" w:color="auto"/>
        <w:bottom w:val="none" w:sz="0" w:space="0" w:color="auto"/>
        <w:right w:val="none" w:sz="0" w:space="0" w:color="auto"/>
      </w:divBdr>
    </w:div>
    <w:div w:id="240795109">
      <w:bodyDiv w:val="1"/>
      <w:marLeft w:val="0"/>
      <w:marRight w:val="0"/>
      <w:marTop w:val="0"/>
      <w:marBottom w:val="0"/>
      <w:divBdr>
        <w:top w:val="none" w:sz="0" w:space="0" w:color="auto"/>
        <w:left w:val="none" w:sz="0" w:space="0" w:color="auto"/>
        <w:bottom w:val="none" w:sz="0" w:space="0" w:color="auto"/>
        <w:right w:val="none" w:sz="0" w:space="0" w:color="auto"/>
      </w:divBdr>
    </w:div>
    <w:div w:id="243225285">
      <w:bodyDiv w:val="1"/>
      <w:marLeft w:val="0"/>
      <w:marRight w:val="0"/>
      <w:marTop w:val="0"/>
      <w:marBottom w:val="0"/>
      <w:divBdr>
        <w:top w:val="none" w:sz="0" w:space="0" w:color="auto"/>
        <w:left w:val="none" w:sz="0" w:space="0" w:color="auto"/>
        <w:bottom w:val="none" w:sz="0" w:space="0" w:color="auto"/>
        <w:right w:val="none" w:sz="0" w:space="0" w:color="auto"/>
      </w:divBdr>
    </w:div>
    <w:div w:id="245261208">
      <w:bodyDiv w:val="1"/>
      <w:marLeft w:val="0"/>
      <w:marRight w:val="0"/>
      <w:marTop w:val="0"/>
      <w:marBottom w:val="0"/>
      <w:divBdr>
        <w:top w:val="none" w:sz="0" w:space="0" w:color="auto"/>
        <w:left w:val="none" w:sz="0" w:space="0" w:color="auto"/>
        <w:bottom w:val="none" w:sz="0" w:space="0" w:color="auto"/>
        <w:right w:val="none" w:sz="0" w:space="0" w:color="auto"/>
      </w:divBdr>
    </w:div>
    <w:div w:id="251939177">
      <w:bodyDiv w:val="1"/>
      <w:marLeft w:val="0"/>
      <w:marRight w:val="0"/>
      <w:marTop w:val="0"/>
      <w:marBottom w:val="0"/>
      <w:divBdr>
        <w:top w:val="none" w:sz="0" w:space="0" w:color="auto"/>
        <w:left w:val="none" w:sz="0" w:space="0" w:color="auto"/>
        <w:bottom w:val="none" w:sz="0" w:space="0" w:color="auto"/>
        <w:right w:val="none" w:sz="0" w:space="0" w:color="auto"/>
      </w:divBdr>
    </w:div>
    <w:div w:id="259217578">
      <w:bodyDiv w:val="1"/>
      <w:marLeft w:val="0"/>
      <w:marRight w:val="0"/>
      <w:marTop w:val="0"/>
      <w:marBottom w:val="0"/>
      <w:divBdr>
        <w:top w:val="none" w:sz="0" w:space="0" w:color="auto"/>
        <w:left w:val="none" w:sz="0" w:space="0" w:color="auto"/>
        <w:bottom w:val="none" w:sz="0" w:space="0" w:color="auto"/>
        <w:right w:val="none" w:sz="0" w:space="0" w:color="auto"/>
      </w:divBdr>
    </w:div>
    <w:div w:id="259336574">
      <w:bodyDiv w:val="1"/>
      <w:marLeft w:val="0"/>
      <w:marRight w:val="0"/>
      <w:marTop w:val="0"/>
      <w:marBottom w:val="0"/>
      <w:divBdr>
        <w:top w:val="none" w:sz="0" w:space="0" w:color="auto"/>
        <w:left w:val="none" w:sz="0" w:space="0" w:color="auto"/>
        <w:bottom w:val="none" w:sz="0" w:space="0" w:color="auto"/>
        <w:right w:val="none" w:sz="0" w:space="0" w:color="auto"/>
      </w:divBdr>
    </w:div>
    <w:div w:id="260144248">
      <w:bodyDiv w:val="1"/>
      <w:marLeft w:val="0"/>
      <w:marRight w:val="0"/>
      <w:marTop w:val="0"/>
      <w:marBottom w:val="0"/>
      <w:divBdr>
        <w:top w:val="none" w:sz="0" w:space="0" w:color="auto"/>
        <w:left w:val="none" w:sz="0" w:space="0" w:color="auto"/>
        <w:bottom w:val="none" w:sz="0" w:space="0" w:color="auto"/>
        <w:right w:val="none" w:sz="0" w:space="0" w:color="auto"/>
      </w:divBdr>
    </w:div>
    <w:div w:id="262298448">
      <w:bodyDiv w:val="1"/>
      <w:marLeft w:val="0"/>
      <w:marRight w:val="0"/>
      <w:marTop w:val="0"/>
      <w:marBottom w:val="0"/>
      <w:divBdr>
        <w:top w:val="none" w:sz="0" w:space="0" w:color="auto"/>
        <w:left w:val="none" w:sz="0" w:space="0" w:color="auto"/>
        <w:bottom w:val="none" w:sz="0" w:space="0" w:color="auto"/>
        <w:right w:val="none" w:sz="0" w:space="0" w:color="auto"/>
      </w:divBdr>
    </w:div>
    <w:div w:id="262805543">
      <w:bodyDiv w:val="1"/>
      <w:marLeft w:val="0"/>
      <w:marRight w:val="0"/>
      <w:marTop w:val="0"/>
      <w:marBottom w:val="0"/>
      <w:divBdr>
        <w:top w:val="none" w:sz="0" w:space="0" w:color="auto"/>
        <w:left w:val="none" w:sz="0" w:space="0" w:color="auto"/>
        <w:bottom w:val="none" w:sz="0" w:space="0" w:color="auto"/>
        <w:right w:val="none" w:sz="0" w:space="0" w:color="auto"/>
      </w:divBdr>
    </w:div>
    <w:div w:id="263922793">
      <w:bodyDiv w:val="1"/>
      <w:marLeft w:val="0"/>
      <w:marRight w:val="0"/>
      <w:marTop w:val="0"/>
      <w:marBottom w:val="0"/>
      <w:divBdr>
        <w:top w:val="none" w:sz="0" w:space="0" w:color="auto"/>
        <w:left w:val="none" w:sz="0" w:space="0" w:color="auto"/>
        <w:bottom w:val="none" w:sz="0" w:space="0" w:color="auto"/>
        <w:right w:val="none" w:sz="0" w:space="0" w:color="auto"/>
      </w:divBdr>
    </w:div>
    <w:div w:id="266474182">
      <w:bodyDiv w:val="1"/>
      <w:marLeft w:val="0"/>
      <w:marRight w:val="0"/>
      <w:marTop w:val="0"/>
      <w:marBottom w:val="0"/>
      <w:divBdr>
        <w:top w:val="none" w:sz="0" w:space="0" w:color="auto"/>
        <w:left w:val="none" w:sz="0" w:space="0" w:color="auto"/>
        <w:bottom w:val="none" w:sz="0" w:space="0" w:color="auto"/>
        <w:right w:val="none" w:sz="0" w:space="0" w:color="auto"/>
      </w:divBdr>
    </w:div>
    <w:div w:id="269430800">
      <w:bodyDiv w:val="1"/>
      <w:marLeft w:val="0"/>
      <w:marRight w:val="0"/>
      <w:marTop w:val="0"/>
      <w:marBottom w:val="0"/>
      <w:divBdr>
        <w:top w:val="none" w:sz="0" w:space="0" w:color="auto"/>
        <w:left w:val="none" w:sz="0" w:space="0" w:color="auto"/>
        <w:bottom w:val="none" w:sz="0" w:space="0" w:color="auto"/>
        <w:right w:val="none" w:sz="0" w:space="0" w:color="auto"/>
      </w:divBdr>
    </w:div>
    <w:div w:id="273951912">
      <w:bodyDiv w:val="1"/>
      <w:marLeft w:val="0"/>
      <w:marRight w:val="0"/>
      <w:marTop w:val="0"/>
      <w:marBottom w:val="0"/>
      <w:divBdr>
        <w:top w:val="none" w:sz="0" w:space="0" w:color="auto"/>
        <w:left w:val="none" w:sz="0" w:space="0" w:color="auto"/>
        <w:bottom w:val="none" w:sz="0" w:space="0" w:color="auto"/>
        <w:right w:val="none" w:sz="0" w:space="0" w:color="auto"/>
      </w:divBdr>
    </w:div>
    <w:div w:id="275449935">
      <w:bodyDiv w:val="1"/>
      <w:marLeft w:val="0"/>
      <w:marRight w:val="0"/>
      <w:marTop w:val="0"/>
      <w:marBottom w:val="0"/>
      <w:divBdr>
        <w:top w:val="none" w:sz="0" w:space="0" w:color="auto"/>
        <w:left w:val="none" w:sz="0" w:space="0" w:color="auto"/>
        <w:bottom w:val="none" w:sz="0" w:space="0" w:color="auto"/>
        <w:right w:val="none" w:sz="0" w:space="0" w:color="auto"/>
      </w:divBdr>
    </w:div>
    <w:div w:id="277877696">
      <w:bodyDiv w:val="1"/>
      <w:marLeft w:val="0"/>
      <w:marRight w:val="0"/>
      <w:marTop w:val="0"/>
      <w:marBottom w:val="0"/>
      <w:divBdr>
        <w:top w:val="none" w:sz="0" w:space="0" w:color="auto"/>
        <w:left w:val="none" w:sz="0" w:space="0" w:color="auto"/>
        <w:bottom w:val="none" w:sz="0" w:space="0" w:color="auto"/>
        <w:right w:val="none" w:sz="0" w:space="0" w:color="auto"/>
      </w:divBdr>
    </w:div>
    <w:div w:id="283583140">
      <w:bodyDiv w:val="1"/>
      <w:marLeft w:val="0"/>
      <w:marRight w:val="0"/>
      <w:marTop w:val="0"/>
      <w:marBottom w:val="0"/>
      <w:divBdr>
        <w:top w:val="none" w:sz="0" w:space="0" w:color="auto"/>
        <w:left w:val="none" w:sz="0" w:space="0" w:color="auto"/>
        <w:bottom w:val="none" w:sz="0" w:space="0" w:color="auto"/>
        <w:right w:val="none" w:sz="0" w:space="0" w:color="auto"/>
      </w:divBdr>
    </w:div>
    <w:div w:id="294262813">
      <w:bodyDiv w:val="1"/>
      <w:marLeft w:val="0"/>
      <w:marRight w:val="0"/>
      <w:marTop w:val="0"/>
      <w:marBottom w:val="0"/>
      <w:divBdr>
        <w:top w:val="none" w:sz="0" w:space="0" w:color="auto"/>
        <w:left w:val="none" w:sz="0" w:space="0" w:color="auto"/>
        <w:bottom w:val="none" w:sz="0" w:space="0" w:color="auto"/>
        <w:right w:val="none" w:sz="0" w:space="0" w:color="auto"/>
      </w:divBdr>
    </w:div>
    <w:div w:id="298263099">
      <w:bodyDiv w:val="1"/>
      <w:marLeft w:val="0"/>
      <w:marRight w:val="0"/>
      <w:marTop w:val="0"/>
      <w:marBottom w:val="0"/>
      <w:divBdr>
        <w:top w:val="none" w:sz="0" w:space="0" w:color="auto"/>
        <w:left w:val="none" w:sz="0" w:space="0" w:color="auto"/>
        <w:bottom w:val="none" w:sz="0" w:space="0" w:color="auto"/>
        <w:right w:val="none" w:sz="0" w:space="0" w:color="auto"/>
      </w:divBdr>
    </w:div>
    <w:div w:id="308245942">
      <w:bodyDiv w:val="1"/>
      <w:marLeft w:val="0"/>
      <w:marRight w:val="0"/>
      <w:marTop w:val="0"/>
      <w:marBottom w:val="0"/>
      <w:divBdr>
        <w:top w:val="none" w:sz="0" w:space="0" w:color="auto"/>
        <w:left w:val="none" w:sz="0" w:space="0" w:color="auto"/>
        <w:bottom w:val="none" w:sz="0" w:space="0" w:color="auto"/>
        <w:right w:val="none" w:sz="0" w:space="0" w:color="auto"/>
      </w:divBdr>
    </w:div>
    <w:div w:id="327640606">
      <w:bodyDiv w:val="1"/>
      <w:marLeft w:val="0"/>
      <w:marRight w:val="0"/>
      <w:marTop w:val="0"/>
      <w:marBottom w:val="0"/>
      <w:divBdr>
        <w:top w:val="none" w:sz="0" w:space="0" w:color="auto"/>
        <w:left w:val="none" w:sz="0" w:space="0" w:color="auto"/>
        <w:bottom w:val="none" w:sz="0" w:space="0" w:color="auto"/>
        <w:right w:val="none" w:sz="0" w:space="0" w:color="auto"/>
      </w:divBdr>
    </w:div>
    <w:div w:id="328602717">
      <w:bodyDiv w:val="1"/>
      <w:marLeft w:val="0"/>
      <w:marRight w:val="0"/>
      <w:marTop w:val="0"/>
      <w:marBottom w:val="0"/>
      <w:divBdr>
        <w:top w:val="none" w:sz="0" w:space="0" w:color="auto"/>
        <w:left w:val="none" w:sz="0" w:space="0" w:color="auto"/>
        <w:bottom w:val="none" w:sz="0" w:space="0" w:color="auto"/>
        <w:right w:val="none" w:sz="0" w:space="0" w:color="auto"/>
      </w:divBdr>
    </w:div>
    <w:div w:id="332730973">
      <w:bodyDiv w:val="1"/>
      <w:marLeft w:val="0"/>
      <w:marRight w:val="0"/>
      <w:marTop w:val="0"/>
      <w:marBottom w:val="0"/>
      <w:divBdr>
        <w:top w:val="none" w:sz="0" w:space="0" w:color="auto"/>
        <w:left w:val="none" w:sz="0" w:space="0" w:color="auto"/>
        <w:bottom w:val="none" w:sz="0" w:space="0" w:color="auto"/>
        <w:right w:val="none" w:sz="0" w:space="0" w:color="auto"/>
      </w:divBdr>
    </w:div>
    <w:div w:id="339279995">
      <w:bodyDiv w:val="1"/>
      <w:marLeft w:val="0"/>
      <w:marRight w:val="0"/>
      <w:marTop w:val="0"/>
      <w:marBottom w:val="0"/>
      <w:divBdr>
        <w:top w:val="none" w:sz="0" w:space="0" w:color="auto"/>
        <w:left w:val="none" w:sz="0" w:space="0" w:color="auto"/>
        <w:bottom w:val="none" w:sz="0" w:space="0" w:color="auto"/>
        <w:right w:val="none" w:sz="0" w:space="0" w:color="auto"/>
      </w:divBdr>
    </w:div>
    <w:div w:id="341705107">
      <w:bodyDiv w:val="1"/>
      <w:marLeft w:val="0"/>
      <w:marRight w:val="0"/>
      <w:marTop w:val="0"/>
      <w:marBottom w:val="0"/>
      <w:divBdr>
        <w:top w:val="none" w:sz="0" w:space="0" w:color="auto"/>
        <w:left w:val="none" w:sz="0" w:space="0" w:color="auto"/>
        <w:bottom w:val="none" w:sz="0" w:space="0" w:color="auto"/>
        <w:right w:val="none" w:sz="0" w:space="0" w:color="auto"/>
      </w:divBdr>
    </w:div>
    <w:div w:id="347803860">
      <w:bodyDiv w:val="1"/>
      <w:marLeft w:val="0"/>
      <w:marRight w:val="0"/>
      <w:marTop w:val="0"/>
      <w:marBottom w:val="0"/>
      <w:divBdr>
        <w:top w:val="none" w:sz="0" w:space="0" w:color="auto"/>
        <w:left w:val="none" w:sz="0" w:space="0" w:color="auto"/>
        <w:bottom w:val="none" w:sz="0" w:space="0" w:color="auto"/>
        <w:right w:val="none" w:sz="0" w:space="0" w:color="auto"/>
      </w:divBdr>
    </w:div>
    <w:div w:id="351613298">
      <w:bodyDiv w:val="1"/>
      <w:marLeft w:val="0"/>
      <w:marRight w:val="0"/>
      <w:marTop w:val="0"/>
      <w:marBottom w:val="0"/>
      <w:divBdr>
        <w:top w:val="none" w:sz="0" w:space="0" w:color="auto"/>
        <w:left w:val="none" w:sz="0" w:space="0" w:color="auto"/>
        <w:bottom w:val="none" w:sz="0" w:space="0" w:color="auto"/>
        <w:right w:val="none" w:sz="0" w:space="0" w:color="auto"/>
      </w:divBdr>
    </w:div>
    <w:div w:id="358967006">
      <w:bodyDiv w:val="1"/>
      <w:marLeft w:val="0"/>
      <w:marRight w:val="0"/>
      <w:marTop w:val="0"/>
      <w:marBottom w:val="0"/>
      <w:divBdr>
        <w:top w:val="none" w:sz="0" w:space="0" w:color="auto"/>
        <w:left w:val="none" w:sz="0" w:space="0" w:color="auto"/>
        <w:bottom w:val="none" w:sz="0" w:space="0" w:color="auto"/>
        <w:right w:val="none" w:sz="0" w:space="0" w:color="auto"/>
      </w:divBdr>
    </w:div>
    <w:div w:id="361790061">
      <w:bodyDiv w:val="1"/>
      <w:marLeft w:val="0"/>
      <w:marRight w:val="0"/>
      <w:marTop w:val="0"/>
      <w:marBottom w:val="0"/>
      <w:divBdr>
        <w:top w:val="none" w:sz="0" w:space="0" w:color="auto"/>
        <w:left w:val="none" w:sz="0" w:space="0" w:color="auto"/>
        <w:bottom w:val="none" w:sz="0" w:space="0" w:color="auto"/>
        <w:right w:val="none" w:sz="0" w:space="0" w:color="auto"/>
      </w:divBdr>
    </w:div>
    <w:div w:id="367223439">
      <w:bodyDiv w:val="1"/>
      <w:marLeft w:val="0"/>
      <w:marRight w:val="0"/>
      <w:marTop w:val="0"/>
      <w:marBottom w:val="0"/>
      <w:divBdr>
        <w:top w:val="none" w:sz="0" w:space="0" w:color="auto"/>
        <w:left w:val="none" w:sz="0" w:space="0" w:color="auto"/>
        <w:bottom w:val="none" w:sz="0" w:space="0" w:color="auto"/>
        <w:right w:val="none" w:sz="0" w:space="0" w:color="auto"/>
      </w:divBdr>
    </w:div>
    <w:div w:id="368259253">
      <w:bodyDiv w:val="1"/>
      <w:marLeft w:val="0"/>
      <w:marRight w:val="0"/>
      <w:marTop w:val="0"/>
      <w:marBottom w:val="0"/>
      <w:divBdr>
        <w:top w:val="none" w:sz="0" w:space="0" w:color="auto"/>
        <w:left w:val="none" w:sz="0" w:space="0" w:color="auto"/>
        <w:bottom w:val="none" w:sz="0" w:space="0" w:color="auto"/>
        <w:right w:val="none" w:sz="0" w:space="0" w:color="auto"/>
      </w:divBdr>
    </w:div>
    <w:div w:id="370305447">
      <w:bodyDiv w:val="1"/>
      <w:marLeft w:val="0"/>
      <w:marRight w:val="0"/>
      <w:marTop w:val="0"/>
      <w:marBottom w:val="0"/>
      <w:divBdr>
        <w:top w:val="none" w:sz="0" w:space="0" w:color="auto"/>
        <w:left w:val="none" w:sz="0" w:space="0" w:color="auto"/>
        <w:bottom w:val="none" w:sz="0" w:space="0" w:color="auto"/>
        <w:right w:val="none" w:sz="0" w:space="0" w:color="auto"/>
      </w:divBdr>
    </w:div>
    <w:div w:id="372266875">
      <w:bodyDiv w:val="1"/>
      <w:marLeft w:val="0"/>
      <w:marRight w:val="0"/>
      <w:marTop w:val="0"/>
      <w:marBottom w:val="0"/>
      <w:divBdr>
        <w:top w:val="none" w:sz="0" w:space="0" w:color="auto"/>
        <w:left w:val="none" w:sz="0" w:space="0" w:color="auto"/>
        <w:bottom w:val="none" w:sz="0" w:space="0" w:color="auto"/>
        <w:right w:val="none" w:sz="0" w:space="0" w:color="auto"/>
      </w:divBdr>
    </w:div>
    <w:div w:id="374814902">
      <w:bodyDiv w:val="1"/>
      <w:marLeft w:val="0"/>
      <w:marRight w:val="0"/>
      <w:marTop w:val="0"/>
      <w:marBottom w:val="0"/>
      <w:divBdr>
        <w:top w:val="none" w:sz="0" w:space="0" w:color="auto"/>
        <w:left w:val="none" w:sz="0" w:space="0" w:color="auto"/>
        <w:bottom w:val="none" w:sz="0" w:space="0" w:color="auto"/>
        <w:right w:val="none" w:sz="0" w:space="0" w:color="auto"/>
      </w:divBdr>
    </w:div>
    <w:div w:id="381829233">
      <w:bodyDiv w:val="1"/>
      <w:marLeft w:val="0"/>
      <w:marRight w:val="0"/>
      <w:marTop w:val="0"/>
      <w:marBottom w:val="0"/>
      <w:divBdr>
        <w:top w:val="none" w:sz="0" w:space="0" w:color="auto"/>
        <w:left w:val="none" w:sz="0" w:space="0" w:color="auto"/>
        <w:bottom w:val="none" w:sz="0" w:space="0" w:color="auto"/>
        <w:right w:val="none" w:sz="0" w:space="0" w:color="auto"/>
      </w:divBdr>
    </w:div>
    <w:div w:id="382601840">
      <w:bodyDiv w:val="1"/>
      <w:marLeft w:val="0"/>
      <w:marRight w:val="0"/>
      <w:marTop w:val="0"/>
      <w:marBottom w:val="0"/>
      <w:divBdr>
        <w:top w:val="none" w:sz="0" w:space="0" w:color="auto"/>
        <w:left w:val="none" w:sz="0" w:space="0" w:color="auto"/>
        <w:bottom w:val="none" w:sz="0" w:space="0" w:color="auto"/>
        <w:right w:val="none" w:sz="0" w:space="0" w:color="auto"/>
      </w:divBdr>
    </w:div>
    <w:div w:id="384524818">
      <w:bodyDiv w:val="1"/>
      <w:marLeft w:val="0"/>
      <w:marRight w:val="0"/>
      <w:marTop w:val="0"/>
      <w:marBottom w:val="0"/>
      <w:divBdr>
        <w:top w:val="none" w:sz="0" w:space="0" w:color="auto"/>
        <w:left w:val="none" w:sz="0" w:space="0" w:color="auto"/>
        <w:bottom w:val="none" w:sz="0" w:space="0" w:color="auto"/>
        <w:right w:val="none" w:sz="0" w:space="0" w:color="auto"/>
      </w:divBdr>
    </w:div>
    <w:div w:id="385952156">
      <w:bodyDiv w:val="1"/>
      <w:marLeft w:val="0"/>
      <w:marRight w:val="0"/>
      <w:marTop w:val="0"/>
      <w:marBottom w:val="0"/>
      <w:divBdr>
        <w:top w:val="none" w:sz="0" w:space="0" w:color="auto"/>
        <w:left w:val="none" w:sz="0" w:space="0" w:color="auto"/>
        <w:bottom w:val="none" w:sz="0" w:space="0" w:color="auto"/>
        <w:right w:val="none" w:sz="0" w:space="0" w:color="auto"/>
      </w:divBdr>
    </w:div>
    <w:div w:id="386338424">
      <w:bodyDiv w:val="1"/>
      <w:marLeft w:val="0"/>
      <w:marRight w:val="0"/>
      <w:marTop w:val="0"/>
      <w:marBottom w:val="0"/>
      <w:divBdr>
        <w:top w:val="none" w:sz="0" w:space="0" w:color="auto"/>
        <w:left w:val="none" w:sz="0" w:space="0" w:color="auto"/>
        <w:bottom w:val="none" w:sz="0" w:space="0" w:color="auto"/>
        <w:right w:val="none" w:sz="0" w:space="0" w:color="auto"/>
      </w:divBdr>
    </w:div>
    <w:div w:id="389114094">
      <w:bodyDiv w:val="1"/>
      <w:marLeft w:val="0"/>
      <w:marRight w:val="0"/>
      <w:marTop w:val="0"/>
      <w:marBottom w:val="0"/>
      <w:divBdr>
        <w:top w:val="none" w:sz="0" w:space="0" w:color="auto"/>
        <w:left w:val="none" w:sz="0" w:space="0" w:color="auto"/>
        <w:bottom w:val="none" w:sz="0" w:space="0" w:color="auto"/>
        <w:right w:val="none" w:sz="0" w:space="0" w:color="auto"/>
      </w:divBdr>
    </w:div>
    <w:div w:id="390614762">
      <w:bodyDiv w:val="1"/>
      <w:marLeft w:val="0"/>
      <w:marRight w:val="0"/>
      <w:marTop w:val="0"/>
      <w:marBottom w:val="0"/>
      <w:divBdr>
        <w:top w:val="none" w:sz="0" w:space="0" w:color="auto"/>
        <w:left w:val="none" w:sz="0" w:space="0" w:color="auto"/>
        <w:bottom w:val="none" w:sz="0" w:space="0" w:color="auto"/>
        <w:right w:val="none" w:sz="0" w:space="0" w:color="auto"/>
      </w:divBdr>
    </w:div>
    <w:div w:id="405686531">
      <w:bodyDiv w:val="1"/>
      <w:marLeft w:val="0"/>
      <w:marRight w:val="0"/>
      <w:marTop w:val="0"/>
      <w:marBottom w:val="0"/>
      <w:divBdr>
        <w:top w:val="none" w:sz="0" w:space="0" w:color="auto"/>
        <w:left w:val="none" w:sz="0" w:space="0" w:color="auto"/>
        <w:bottom w:val="none" w:sz="0" w:space="0" w:color="auto"/>
        <w:right w:val="none" w:sz="0" w:space="0" w:color="auto"/>
      </w:divBdr>
    </w:div>
    <w:div w:id="412775592">
      <w:bodyDiv w:val="1"/>
      <w:marLeft w:val="0"/>
      <w:marRight w:val="0"/>
      <w:marTop w:val="0"/>
      <w:marBottom w:val="0"/>
      <w:divBdr>
        <w:top w:val="none" w:sz="0" w:space="0" w:color="auto"/>
        <w:left w:val="none" w:sz="0" w:space="0" w:color="auto"/>
        <w:bottom w:val="none" w:sz="0" w:space="0" w:color="auto"/>
        <w:right w:val="none" w:sz="0" w:space="0" w:color="auto"/>
      </w:divBdr>
    </w:div>
    <w:div w:id="415908311">
      <w:bodyDiv w:val="1"/>
      <w:marLeft w:val="0"/>
      <w:marRight w:val="0"/>
      <w:marTop w:val="0"/>
      <w:marBottom w:val="0"/>
      <w:divBdr>
        <w:top w:val="none" w:sz="0" w:space="0" w:color="auto"/>
        <w:left w:val="none" w:sz="0" w:space="0" w:color="auto"/>
        <w:bottom w:val="none" w:sz="0" w:space="0" w:color="auto"/>
        <w:right w:val="none" w:sz="0" w:space="0" w:color="auto"/>
      </w:divBdr>
    </w:div>
    <w:div w:id="422919408">
      <w:bodyDiv w:val="1"/>
      <w:marLeft w:val="0"/>
      <w:marRight w:val="0"/>
      <w:marTop w:val="0"/>
      <w:marBottom w:val="0"/>
      <w:divBdr>
        <w:top w:val="none" w:sz="0" w:space="0" w:color="auto"/>
        <w:left w:val="none" w:sz="0" w:space="0" w:color="auto"/>
        <w:bottom w:val="none" w:sz="0" w:space="0" w:color="auto"/>
        <w:right w:val="none" w:sz="0" w:space="0" w:color="auto"/>
      </w:divBdr>
    </w:div>
    <w:div w:id="428353242">
      <w:bodyDiv w:val="1"/>
      <w:marLeft w:val="0"/>
      <w:marRight w:val="0"/>
      <w:marTop w:val="0"/>
      <w:marBottom w:val="0"/>
      <w:divBdr>
        <w:top w:val="none" w:sz="0" w:space="0" w:color="auto"/>
        <w:left w:val="none" w:sz="0" w:space="0" w:color="auto"/>
        <w:bottom w:val="none" w:sz="0" w:space="0" w:color="auto"/>
        <w:right w:val="none" w:sz="0" w:space="0" w:color="auto"/>
      </w:divBdr>
    </w:div>
    <w:div w:id="432089081">
      <w:bodyDiv w:val="1"/>
      <w:marLeft w:val="0"/>
      <w:marRight w:val="0"/>
      <w:marTop w:val="0"/>
      <w:marBottom w:val="0"/>
      <w:divBdr>
        <w:top w:val="none" w:sz="0" w:space="0" w:color="auto"/>
        <w:left w:val="none" w:sz="0" w:space="0" w:color="auto"/>
        <w:bottom w:val="none" w:sz="0" w:space="0" w:color="auto"/>
        <w:right w:val="none" w:sz="0" w:space="0" w:color="auto"/>
      </w:divBdr>
    </w:div>
    <w:div w:id="434640124">
      <w:bodyDiv w:val="1"/>
      <w:marLeft w:val="0"/>
      <w:marRight w:val="0"/>
      <w:marTop w:val="0"/>
      <w:marBottom w:val="0"/>
      <w:divBdr>
        <w:top w:val="none" w:sz="0" w:space="0" w:color="auto"/>
        <w:left w:val="none" w:sz="0" w:space="0" w:color="auto"/>
        <w:bottom w:val="none" w:sz="0" w:space="0" w:color="auto"/>
        <w:right w:val="none" w:sz="0" w:space="0" w:color="auto"/>
      </w:divBdr>
    </w:div>
    <w:div w:id="435059626">
      <w:bodyDiv w:val="1"/>
      <w:marLeft w:val="0"/>
      <w:marRight w:val="0"/>
      <w:marTop w:val="0"/>
      <w:marBottom w:val="0"/>
      <w:divBdr>
        <w:top w:val="none" w:sz="0" w:space="0" w:color="auto"/>
        <w:left w:val="none" w:sz="0" w:space="0" w:color="auto"/>
        <w:bottom w:val="none" w:sz="0" w:space="0" w:color="auto"/>
        <w:right w:val="none" w:sz="0" w:space="0" w:color="auto"/>
      </w:divBdr>
    </w:div>
    <w:div w:id="435489289">
      <w:bodyDiv w:val="1"/>
      <w:marLeft w:val="0"/>
      <w:marRight w:val="0"/>
      <w:marTop w:val="0"/>
      <w:marBottom w:val="0"/>
      <w:divBdr>
        <w:top w:val="none" w:sz="0" w:space="0" w:color="auto"/>
        <w:left w:val="none" w:sz="0" w:space="0" w:color="auto"/>
        <w:bottom w:val="none" w:sz="0" w:space="0" w:color="auto"/>
        <w:right w:val="none" w:sz="0" w:space="0" w:color="auto"/>
      </w:divBdr>
    </w:div>
    <w:div w:id="438990290">
      <w:bodyDiv w:val="1"/>
      <w:marLeft w:val="0"/>
      <w:marRight w:val="0"/>
      <w:marTop w:val="0"/>
      <w:marBottom w:val="0"/>
      <w:divBdr>
        <w:top w:val="none" w:sz="0" w:space="0" w:color="auto"/>
        <w:left w:val="none" w:sz="0" w:space="0" w:color="auto"/>
        <w:bottom w:val="none" w:sz="0" w:space="0" w:color="auto"/>
        <w:right w:val="none" w:sz="0" w:space="0" w:color="auto"/>
      </w:divBdr>
    </w:div>
    <w:div w:id="439685884">
      <w:bodyDiv w:val="1"/>
      <w:marLeft w:val="0"/>
      <w:marRight w:val="0"/>
      <w:marTop w:val="0"/>
      <w:marBottom w:val="0"/>
      <w:divBdr>
        <w:top w:val="none" w:sz="0" w:space="0" w:color="auto"/>
        <w:left w:val="none" w:sz="0" w:space="0" w:color="auto"/>
        <w:bottom w:val="none" w:sz="0" w:space="0" w:color="auto"/>
        <w:right w:val="none" w:sz="0" w:space="0" w:color="auto"/>
      </w:divBdr>
    </w:div>
    <w:div w:id="442773234">
      <w:bodyDiv w:val="1"/>
      <w:marLeft w:val="0"/>
      <w:marRight w:val="0"/>
      <w:marTop w:val="0"/>
      <w:marBottom w:val="0"/>
      <w:divBdr>
        <w:top w:val="none" w:sz="0" w:space="0" w:color="auto"/>
        <w:left w:val="none" w:sz="0" w:space="0" w:color="auto"/>
        <w:bottom w:val="none" w:sz="0" w:space="0" w:color="auto"/>
        <w:right w:val="none" w:sz="0" w:space="0" w:color="auto"/>
      </w:divBdr>
    </w:div>
    <w:div w:id="443185484">
      <w:bodyDiv w:val="1"/>
      <w:marLeft w:val="0"/>
      <w:marRight w:val="0"/>
      <w:marTop w:val="0"/>
      <w:marBottom w:val="0"/>
      <w:divBdr>
        <w:top w:val="none" w:sz="0" w:space="0" w:color="auto"/>
        <w:left w:val="none" w:sz="0" w:space="0" w:color="auto"/>
        <w:bottom w:val="none" w:sz="0" w:space="0" w:color="auto"/>
        <w:right w:val="none" w:sz="0" w:space="0" w:color="auto"/>
      </w:divBdr>
    </w:div>
    <w:div w:id="444617140">
      <w:bodyDiv w:val="1"/>
      <w:marLeft w:val="0"/>
      <w:marRight w:val="0"/>
      <w:marTop w:val="0"/>
      <w:marBottom w:val="0"/>
      <w:divBdr>
        <w:top w:val="none" w:sz="0" w:space="0" w:color="auto"/>
        <w:left w:val="none" w:sz="0" w:space="0" w:color="auto"/>
        <w:bottom w:val="none" w:sz="0" w:space="0" w:color="auto"/>
        <w:right w:val="none" w:sz="0" w:space="0" w:color="auto"/>
      </w:divBdr>
    </w:div>
    <w:div w:id="444808583">
      <w:bodyDiv w:val="1"/>
      <w:marLeft w:val="0"/>
      <w:marRight w:val="0"/>
      <w:marTop w:val="0"/>
      <w:marBottom w:val="0"/>
      <w:divBdr>
        <w:top w:val="none" w:sz="0" w:space="0" w:color="auto"/>
        <w:left w:val="none" w:sz="0" w:space="0" w:color="auto"/>
        <w:bottom w:val="none" w:sz="0" w:space="0" w:color="auto"/>
        <w:right w:val="none" w:sz="0" w:space="0" w:color="auto"/>
      </w:divBdr>
    </w:div>
    <w:div w:id="448472286">
      <w:bodyDiv w:val="1"/>
      <w:marLeft w:val="0"/>
      <w:marRight w:val="0"/>
      <w:marTop w:val="0"/>
      <w:marBottom w:val="0"/>
      <w:divBdr>
        <w:top w:val="none" w:sz="0" w:space="0" w:color="auto"/>
        <w:left w:val="none" w:sz="0" w:space="0" w:color="auto"/>
        <w:bottom w:val="none" w:sz="0" w:space="0" w:color="auto"/>
        <w:right w:val="none" w:sz="0" w:space="0" w:color="auto"/>
      </w:divBdr>
    </w:div>
    <w:div w:id="448550932">
      <w:bodyDiv w:val="1"/>
      <w:marLeft w:val="0"/>
      <w:marRight w:val="0"/>
      <w:marTop w:val="0"/>
      <w:marBottom w:val="0"/>
      <w:divBdr>
        <w:top w:val="none" w:sz="0" w:space="0" w:color="auto"/>
        <w:left w:val="none" w:sz="0" w:space="0" w:color="auto"/>
        <w:bottom w:val="none" w:sz="0" w:space="0" w:color="auto"/>
        <w:right w:val="none" w:sz="0" w:space="0" w:color="auto"/>
      </w:divBdr>
    </w:div>
    <w:div w:id="452402521">
      <w:bodyDiv w:val="1"/>
      <w:marLeft w:val="0"/>
      <w:marRight w:val="0"/>
      <w:marTop w:val="0"/>
      <w:marBottom w:val="0"/>
      <w:divBdr>
        <w:top w:val="none" w:sz="0" w:space="0" w:color="auto"/>
        <w:left w:val="none" w:sz="0" w:space="0" w:color="auto"/>
        <w:bottom w:val="none" w:sz="0" w:space="0" w:color="auto"/>
        <w:right w:val="none" w:sz="0" w:space="0" w:color="auto"/>
      </w:divBdr>
    </w:div>
    <w:div w:id="455107312">
      <w:bodyDiv w:val="1"/>
      <w:marLeft w:val="0"/>
      <w:marRight w:val="0"/>
      <w:marTop w:val="0"/>
      <w:marBottom w:val="0"/>
      <w:divBdr>
        <w:top w:val="none" w:sz="0" w:space="0" w:color="auto"/>
        <w:left w:val="none" w:sz="0" w:space="0" w:color="auto"/>
        <w:bottom w:val="none" w:sz="0" w:space="0" w:color="auto"/>
        <w:right w:val="none" w:sz="0" w:space="0" w:color="auto"/>
      </w:divBdr>
    </w:div>
    <w:div w:id="458500234">
      <w:bodyDiv w:val="1"/>
      <w:marLeft w:val="0"/>
      <w:marRight w:val="0"/>
      <w:marTop w:val="0"/>
      <w:marBottom w:val="0"/>
      <w:divBdr>
        <w:top w:val="none" w:sz="0" w:space="0" w:color="auto"/>
        <w:left w:val="none" w:sz="0" w:space="0" w:color="auto"/>
        <w:bottom w:val="none" w:sz="0" w:space="0" w:color="auto"/>
        <w:right w:val="none" w:sz="0" w:space="0" w:color="auto"/>
      </w:divBdr>
    </w:div>
    <w:div w:id="459882098">
      <w:bodyDiv w:val="1"/>
      <w:marLeft w:val="0"/>
      <w:marRight w:val="0"/>
      <w:marTop w:val="0"/>
      <w:marBottom w:val="0"/>
      <w:divBdr>
        <w:top w:val="none" w:sz="0" w:space="0" w:color="auto"/>
        <w:left w:val="none" w:sz="0" w:space="0" w:color="auto"/>
        <w:bottom w:val="none" w:sz="0" w:space="0" w:color="auto"/>
        <w:right w:val="none" w:sz="0" w:space="0" w:color="auto"/>
      </w:divBdr>
    </w:div>
    <w:div w:id="463353161">
      <w:bodyDiv w:val="1"/>
      <w:marLeft w:val="0"/>
      <w:marRight w:val="0"/>
      <w:marTop w:val="0"/>
      <w:marBottom w:val="0"/>
      <w:divBdr>
        <w:top w:val="none" w:sz="0" w:space="0" w:color="auto"/>
        <w:left w:val="none" w:sz="0" w:space="0" w:color="auto"/>
        <w:bottom w:val="none" w:sz="0" w:space="0" w:color="auto"/>
        <w:right w:val="none" w:sz="0" w:space="0" w:color="auto"/>
      </w:divBdr>
    </w:div>
    <w:div w:id="464082989">
      <w:bodyDiv w:val="1"/>
      <w:marLeft w:val="0"/>
      <w:marRight w:val="0"/>
      <w:marTop w:val="0"/>
      <w:marBottom w:val="0"/>
      <w:divBdr>
        <w:top w:val="none" w:sz="0" w:space="0" w:color="auto"/>
        <w:left w:val="none" w:sz="0" w:space="0" w:color="auto"/>
        <w:bottom w:val="none" w:sz="0" w:space="0" w:color="auto"/>
        <w:right w:val="none" w:sz="0" w:space="0" w:color="auto"/>
      </w:divBdr>
    </w:div>
    <w:div w:id="464857914">
      <w:bodyDiv w:val="1"/>
      <w:marLeft w:val="0"/>
      <w:marRight w:val="0"/>
      <w:marTop w:val="0"/>
      <w:marBottom w:val="0"/>
      <w:divBdr>
        <w:top w:val="none" w:sz="0" w:space="0" w:color="auto"/>
        <w:left w:val="none" w:sz="0" w:space="0" w:color="auto"/>
        <w:bottom w:val="none" w:sz="0" w:space="0" w:color="auto"/>
        <w:right w:val="none" w:sz="0" w:space="0" w:color="auto"/>
      </w:divBdr>
    </w:div>
    <w:div w:id="468666946">
      <w:bodyDiv w:val="1"/>
      <w:marLeft w:val="0"/>
      <w:marRight w:val="0"/>
      <w:marTop w:val="0"/>
      <w:marBottom w:val="0"/>
      <w:divBdr>
        <w:top w:val="none" w:sz="0" w:space="0" w:color="auto"/>
        <w:left w:val="none" w:sz="0" w:space="0" w:color="auto"/>
        <w:bottom w:val="none" w:sz="0" w:space="0" w:color="auto"/>
        <w:right w:val="none" w:sz="0" w:space="0" w:color="auto"/>
      </w:divBdr>
    </w:div>
    <w:div w:id="469521784">
      <w:bodyDiv w:val="1"/>
      <w:marLeft w:val="0"/>
      <w:marRight w:val="0"/>
      <w:marTop w:val="0"/>
      <w:marBottom w:val="0"/>
      <w:divBdr>
        <w:top w:val="none" w:sz="0" w:space="0" w:color="auto"/>
        <w:left w:val="none" w:sz="0" w:space="0" w:color="auto"/>
        <w:bottom w:val="none" w:sz="0" w:space="0" w:color="auto"/>
        <w:right w:val="none" w:sz="0" w:space="0" w:color="auto"/>
      </w:divBdr>
    </w:div>
    <w:div w:id="482816746">
      <w:bodyDiv w:val="1"/>
      <w:marLeft w:val="0"/>
      <w:marRight w:val="0"/>
      <w:marTop w:val="0"/>
      <w:marBottom w:val="0"/>
      <w:divBdr>
        <w:top w:val="none" w:sz="0" w:space="0" w:color="auto"/>
        <w:left w:val="none" w:sz="0" w:space="0" w:color="auto"/>
        <w:bottom w:val="none" w:sz="0" w:space="0" w:color="auto"/>
        <w:right w:val="none" w:sz="0" w:space="0" w:color="auto"/>
      </w:divBdr>
    </w:div>
    <w:div w:id="484123463">
      <w:bodyDiv w:val="1"/>
      <w:marLeft w:val="0"/>
      <w:marRight w:val="0"/>
      <w:marTop w:val="0"/>
      <w:marBottom w:val="0"/>
      <w:divBdr>
        <w:top w:val="none" w:sz="0" w:space="0" w:color="auto"/>
        <w:left w:val="none" w:sz="0" w:space="0" w:color="auto"/>
        <w:bottom w:val="none" w:sz="0" w:space="0" w:color="auto"/>
        <w:right w:val="none" w:sz="0" w:space="0" w:color="auto"/>
      </w:divBdr>
    </w:div>
    <w:div w:id="491717897">
      <w:bodyDiv w:val="1"/>
      <w:marLeft w:val="0"/>
      <w:marRight w:val="0"/>
      <w:marTop w:val="0"/>
      <w:marBottom w:val="0"/>
      <w:divBdr>
        <w:top w:val="none" w:sz="0" w:space="0" w:color="auto"/>
        <w:left w:val="none" w:sz="0" w:space="0" w:color="auto"/>
        <w:bottom w:val="none" w:sz="0" w:space="0" w:color="auto"/>
        <w:right w:val="none" w:sz="0" w:space="0" w:color="auto"/>
      </w:divBdr>
    </w:div>
    <w:div w:id="503084266">
      <w:bodyDiv w:val="1"/>
      <w:marLeft w:val="0"/>
      <w:marRight w:val="0"/>
      <w:marTop w:val="0"/>
      <w:marBottom w:val="0"/>
      <w:divBdr>
        <w:top w:val="none" w:sz="0" w:space="0" w:color="auto"/>
        <w:left w:val="none" w:sz="0" w:space="0" w:color="auto"/>
        <w:bottom w:val="none" w:sz="0" w:space="0" w:color="auto"/>
        <w:right w:val="none" w:sz="0" w:space="0" w:color="auto"/>
      </w:divBdr>
    </w:div>
    <w:div w:id="504589297">
      <w:bodyDiv w:val="1"/>
      <w:marLeft w:val="0"/>
      <w:marRight w:val="0"/>
      <w:marTop w:val="0"/>
      <w:marBottom w:val="0"/>
      <w:divBdr>
        <w:top w:val="none" w:sz="0" w:space="0" w:color="auto"/>
        <w:left w:val="none" w:sz="0" w:space="0" w:color="auto"/>
        <w:bottom w:val="none" w:sz="0" w:space="0" w:color="auto"/>
        <w:right w:val="none" w:sz="0" w:space="0" w:color="auto"/>
      </w:divBdr>
    </w:div>
    <w:div w:id="506868502">
      <w:bodyDiv w:val="1"/>
      <w:marLeft w:val="0"/>
      <w:marRight w:val="0"/>
      <w:marTop w:val="0"/>
      <w:marBottom w:val="0"/>
      <w:divBdr>
        <w:top w:val="none" w:sz="0" w:space="0" w:color="auto"/>
        <w:left w:val="none" w:sz="0" w:space="0" w:color="auto"/>
        <w:bottom w:val="none" w:sz="0" w:space="0" w:color="auto"/>
        <w:right w:val="none" w:sz="0" w:space="0" w:color="auto"/>
      </w:divBdr>
    </w:div>
    <w:div w:id="508569714">
      <w:bodyDiv w:val="1"/>
      <w:marLeft w:val="0"/>
      <w:marRight w:val="0"/>
      <w:marTop w:val="0"/>
      <w:marBottom w:val="0"/>
      <w:divBdr>
        <w:top w:val="none" w:sz="0" w:space="0" w:color="auto"/>
        <w:left w:val="none" w:sz="0" w:space="0" w:color="auto"/>
        <w:bottom w:val="none" w:sz="0" w:space="0" w:color="auto"/>
        <w:right w:val="none" w:sz="0" w:space="0" w:color="auto"/>
      </w:divBdr>
    </w:div>
    <w:div w:id="509178897">
      <w:bodyDiv w:val="1"/>
      <w:marLeft w:val="0"/>
      <w:marRight w:val="0"/>
      <w:marTop w:val="0"/>
      <w:marBottom w:val="0"/>
      <w:divBdr>
        <w:top w:val="none" w:sz="0" w:space="0" w:color="auto"/>
        <w:left w:val="none" w:sz="0" w:space="0" w:color="auto"/>
        <w:bottom w:val="none" w:sz="0" w:space="0" w:color="auto"/>
        <w:right w:val="none" w:sz="0" w:space="0" w:color="auto"/>
      </w:divBdr>
    </w:div>
    <w:div w:id="516385600">
      <w:bodyDiv w:val="1"/>
      <w:marLeft w:val="0"/>
      <w:marRight w:val="0"/>
      <w:marTop w:val="0"/>
      <w:marBottom w:val="0"/>
      <w:divBdr>
        <w:top w:val="none" w:sz="0" w:space="0" w:color="auto"/>
        <w:left w:val="none" w:sz="0" w:space="0" w:color="auto"/>
        <w:bottom w:val="none" w:sz="0" w:space="0" w:color="auto"/>
        <w:right w:val="none" w:sz="0" w:space="0" w:color="auto"/>
      </w:divBdr>
    </w:div>
    <w:div w:id="520974594">
      <w:bodyDiv w:val="1"/>
      <w:marLeft w:val="0"/>
      <w:marRight w:val="0"/>
      <w:marTop w:val="0"/>
      <w:marBottom w:val="0"/>
      <w:divBdr>
        <w:top w:val="none" w:sz="0" w:space="0" w:color="auto"/>
        <w:left w:val="none" w:sz="0" w:space="0" w:color="auto"/>
        <w:bottom w:val="none" w:sz="0" w:space="0" w:color="auto"/>
        <w:right w:val="none" w:sz="0" w:space="0" w:color="auto"/>
      </w:divBdr>
    </w:div>
    <w:div w:id="525869544">
      <w:bodyDiv w:val="1"/>
      <w:marLeft w:val="0"/>
      <w:marRight w:val="0"/>
      <w:marTop w:val="0"/>
      <w:marBottom w:val="0"/>
      <w:divBdr>
        <w:top w:val="none" w:sz="0" w:space="0" w:color="auto"/>
        <w:left w:val="none" w:sz="0" w:space="0" w:color="auto"/>
        <w:bottom w:val="none" w:sz="0" w:space="0" w:color="auto"/>
        <w:right w:val="none" w:sz="0" w:space="0" w:color="auto"/>
      </w:divBdr>
    </w:div>
    <w:div w:id="526647727">
      <w:bodyDiv w:val="1"/>
      <w:marLeft w:val="0"/>
      <w:marRight w:val="0"/>
      <w:marTop w:val="0"/>
      <w:marBottom w:val="0"/>
      <w:divBdr>
        <w:top w:val="none" w:sz="0" w:space="0" w:color="auto"/>
        <w:left w:val="none" w:sz="0" w:space="0" w:color="auto"/>
        <w:bottom w:val="none" w:sz="0" w:space="0" w:color="auto"/>
        <w:right w:val="none" w:sz="0" w:space="0" w:color="auto"/>
      </w:divBdr>
    </w:div>
    <w:div w:id="533886312">
      <w:bodyDiv w:val="1"/>
      <w:marLeft w:val="0"/>
      <w:marRight w:val="0"/>
      <w:marTop w:val="0"/>
      <w:marBottom w:val="0"/>
      <w:divBdr>
        <w:top w:val="none" w:sz="0" w:space="0" w:color="auto"/>
        <w:left w:val="none" w:sz="0" w:space="0" w:color="auto"/>
        <w:bottom w:val="none" w:sz="0" w:space="0" w:color="auto"/>
        <w:right w:val="none" w:sz="0" w:space="0" w:color="auto"/>
      </w:divBdr>
    </w:div>
    <w:div w:id="535848302">
      <w:bodyDiv w:val="1"/>
      <w:marLeft w:val="0"/>
      <w:marRight w:val="0"/>
      <w:marTop w:val="0"/>
      <w:marBottom w:val="0"/>
      <w:divBdr>
        <w:top w:val="none" w:sz="0" w:space="0" w:color="auto"/>
        <w:left w:val="none" w:sz="0" w:space="0" w:color="auto"/>
        <w:bottom w:val="none" w:sz="0" w:space="0" w:color="auto"/>
        <w:right w:val="none" w:sz="0" w:space="0" w:color="auto"/>
      </w:divBdr>
    </w:div>
    <w:div w:id="536503175">
      <w:bodyDiv w:val="1"/>
      <w:marLeft w:val="0"/>
      <w:marRight w:val="0"/>
      <w:marTop w:val="0"/>
      <w:marBottom w:val="0"/>
      <w:divBdr>
        <w:top w:val="none" w:sz="0" w:space="0" w:color="auto"/>
        <w:left w:val="none" w:sz="0" w:space="0" w:color="auto"/>
        <w:bottom w:val="none" w:sz="0" w:space="0" w:color="auto"/>
        <w:right w:val="none" w:sz="0" w:space="0" w:color="auto"/>
      </w:divBdr>
    </w:div>
    <w:div w:id="549800954">
      <w:bodyDiv w:val="1"/>
      <w:marLeft w:val="0"/>
      <w:marRight w:val="0"/>
      <w:marTop w:val="0"/>
      <w:marBottom w:val="0"/>
      <w:divBdr>
        <w:top w:val="none" w:sz="0" w:space="0" w:color="auto"/>
        <w:left w:val="none" w:sz="0" w:space="0" w:color="auto"/>
        <w:bottom w:val="none" w:sz="0" w:space="0" w:color="auto"/>
        <w:right w:val="none" w:sz="0" w:space="0" w:color="auto"/>
      </w:divBdr>
    </w:div>
    <w:div w:id="552079493">
      <w:bodyDiv w:val="1"/>
      <w:marLeft w:val="0"/>
      <w:marRight w:val="0"/>
      <w:marTop w:val="0"/>
      <w:marBottom w:val="0"/>
      <w:divBdr>
        <w:top w:val="none" w:sz="0" w:space="0" w:color="auto"/>
        <w:left w:val="none" w:sz="0" w:space="0" w:color="auto"/>
        <w:bottom w:val="none" w:sz="0" w:space="0" w:color="auto"/>
        <w:right w:val="none" w:sz="0" w:space="0" w:color="auto"/>
      </w:divBdr>
    </w:div>
    <w:div w:id="564224565">
      <w:bodyDiv w:val="1"/>
      <w:marLeft w:val="0"/>
      <w:marRight w:val="0"/>
      <w:marTop w:val="0"/>
      <w:marBottom w:val="0"/>
      <w:divBdr>
        <w:top w:val="none" w:sz="0" w:space="0" w:color="auto"/>
        <w:left w:val="none" w:sz="0" w:space="0" w:color="auto"/>
        <w:bottom w:val="none" w:sz="0" w:space="0" w:color="auto"/>
        <w:right w:val="none" w:sz="0" w:space="0" w:color="auto"/>
      </w:divBdr>
    </w:div>
    <w:div w:id="566888482">
      <w:bodyDiv w:val="1"/>
      <w:marLeft w:val="0"/>
      <w:marRight w:val="0"/>
      <w:marTop w:val="0"/>
      <w:marBottom w:val="0"/>
      <w:divBdr>
        <w:top w:val="none" w:sz="0" w:space="0" w:color="auto"/>
        <w:left w:val="none" w:sz="0" w:space="0" w:color="auto"/>
        <w:bottom w:val="none" w:sz="0" w:space="0" w:color="auto"/>
        <w:right w:val="none" w:sz="0" w:space="0" w:color="auto"/>
      </w:divBdr>
    </w:div>
    <w:div w:id="576669850">
      <w:bodyDiv w:val="1"/>
      <w:marLeft w:val="0"/>
      <w:marRight w:val="0"/>
      <w:marTop w:val="0"/>
      <w:marBottom w:val="0"/>
      <w:divBdr>
        <w:top w:val="none" w:sz="0" w:space="0" w:color="auto"/>
        <w:left w:val="none" w:sz="0" w:space="0" w:color="auto"/>
        <w:bottom w:val="none" w:sz="0" w:space="0" w:color="auto"/>
        <w:right w:val="none" w:sz="0" w:space="0" w:color="auto"/>
      </w:divBdr>
    </w:div>
    <w:div w:id="577062960">
      <w:bodyDiv w:val="1"/>
      <w:marLeft w:val="0"/>
      <w:marRight w:val="0"/>
      <w:marTop w:val="0"/>
      <w:marBottom w:val="0"/>
      <w:divBdr>
        <w:top w:val="none" w:sz="0" w:space="0" w:color="auto"/>
        <w:left w:val="none" w:sz="0" w:space="0" w:color="auto"/>
        <w:bottom w:val="none" w:sz="0" w:space="0" w:color="auto"/>
        <w:right w:val="none" w:sz="0" w:space="0" w:color="auto"/>
      </w:divBdr>
    </w:div>
    <w:div w:id="577442589">
      <w:bodyDiv w:val="1"/>
      <w:marLeft w:val="0"/>
      <w:marRight w:val="0"/>
      <w:marTop w:val="0"/>
      <w:marBottom w:val="0"/>
      <w:divBdr>
        <w:top w:val="none" w:sz="0" w:space="0" w:color="auto"/>
        <w:left w:val="none" w:sz="0" w:space="0" w:color="auto"/>
        <w:bottom w:val="none" w:sz="0" w:space="0" w:color="auto"/>
        <w:right w:val="none" w:sz="0" w:space="0" w:color="auto"/>
      </w:divBdr>
    </w:div>
    <w:div w:id="583302656">
      <w:bodyDiv w:val="1"/>
      <w:marLeft w:val="0"/>
      <w:marRight w:val="0"/>
      <w:marTop w:val="0"/>
      <w:marBottom w:val="0"/>
      <w:divBdr>
        <w:top w:val="none" w:sz="0" w:space="0" w:color="auto"/>
        <w:left w:val="none" w:sz="0" w:space="0" w:color="auto"/>
        <w:bottom w:val="none" w:sz="0" w:space="0" w:color="auto"/>
        <w:right w:val="none" w:sz="0" w:space="0" w:color="auto"/>
      </w:divBdr>
    </w:div>
    <w:div w:id="586883620">
      <w:bodyDiv w:val="1"/>
      <w:marLeft w:val="0"/>
      <w:marRight w:val="0"/>
      <w:marTop w:val="0"/>
      <w:marBottom w:val="0"/>
      <w:divBdr>
        <w:top w:val="none" w:sz="0" w:space="0" w:color="auto"/>
        <w:left w:val="none" w:sz="0" w:space="0" w:color="auto"/>
        <w:bottom w:val="none" w:sz="0" w:space="0" w:color="auto"/>
        <w:right w:val="none" w:sz="0" w:space="0" w:color="auto"/>
      </w:divBdr>
    </w:div>
    <w:div w:id="591285553">
      <w:bodyDiv w:val="1"/>
      <w:marLeft w:val="0"/>
      <w:marRight w:val="0"/>
      <w:marTop w:val="0"/>
      <w:marBottom w:val="0"/>
      <w:divBdr>
        <w:top w:val="none" w:sz="0" w:space="0" w:color="auto"/>
        <w:left w:val="none" w:sz="0" w:space="0" w:color="auto"/>
        <w:bottom w:val="none" w:sz="0" w:space="0" w:color="auto"/>
        <w:right w:val="none" w:sz="0" w:space="0" w:color="auto"/>
      </w:divBdr>
    </w:div>
    <w:div w:id="601646713">
      <w:bodyDiv w:val="1"/>
      <w:marLeft w:val="0"/>
      <w:marRight w:val="0"/>
      <w:marTop w:val="0"/>
      <w:marBottom w:val="0"/>
      <w:divBdr>
        <w:top w:val="none" w:sz="0" w:space="0" w:color="auto"/>
        <w:left w:val="none" w:sz="0" w:space="0" w:color="auto"/>
        <w:bottom w:val="none" w:sz="0" w:space="0" w:color="auto"/>
        <w:right w:val="none" w:sz="0" w:space="0" w:color="auto"/>
      </w:divBdr>
    </w:div>
    <w:div w:id="607279534">
      <w:bodyDiv w:val="1"/>
      <w:marLeft w:val="0"/>
      <w:marRight w:val="0"/>
      <w:marTop w:val="0"/>
      <w:marBottom w:val="0"/>
      <w:divBdr>
        <w:top w:val="none" w:sz="0" w:space="0" w:color="auto"/>
        <w:left w:val="none" w:sz="0" w:space="0" w:color="auto"/>
        <w:bottom w:val="none" w:sz="0" w:space="0" w:color="auto"/>
        <w:right w:val="none" w:sz="0" w:space="0" w:color="auto"/>
      </w:divBdr>
    </w:div>
    <w:div w:id="610819745">
      <w:bodyDiv w:val="1"/>
      <w:marLeft w:val="0"/>
      <w:marRight w:val="0"/>
      <w:marTop w:val="0"/>
      <w:marBottom w:val="0"/>
      <w:divBdr>
        <w:top w:val="none" w:sz="0" w:space="0" w:color="auto"/>
        <w:left w:val="none" w:sz="0" w:space="0" w:color="auto"/>
        <w:bottom w:val="none" w:sz="0" w:space="0" w:color="auto"/>
        <w:right w:val="none" w:sz="0" w:space="0" w:color="auto"/>
      </w:divBdr>
    </w:div>
    <w:div w:id="611933868">
      <w:bodyDiv w:val="1"/>
      <w:marLeft w:val="0"/>
      <w:marRight w:val="0"/>
      <w:marTop w:val="0"/>
      <w:marBottom w:val="0"/>
      <w:divBdr>
        <w:top w:val="none" w:sz="0" w:space="0" w:color="auto"/>
        <w:left w:val="none" w:sz="0" w:space="0" w:color="auto"/>
        <w:bottom w:val="none" w:sz="0" w:space="0" w:color="auto"/>
        <w:right w:val="none" w:sz="0" w:space="0" w:color="auto"/>
      </w:divBdr>
    </w:div>
    <w:div w:id="612514060">
      <w:bodyDiv w:val="1"/>
      <w:marLeft w:val="0"/>
      <w:marRight w:val="0"/>
      <w:marTop w:val="0"/>
      <w:marBottom w:val="0"/>
      <w:divBdr>
        <w:top w:val="none" w:sz="0" w:space="0" w:color="auto"/>
        <w:left w:val="none" w:sz="0" w:space="0" w:color="auto"/>
        <w:bottom w:val="none" w:sz="0" w:space="0" w:color="auto"/>
        <w:right w:val="none" w:sz="0" w:space="0" w:color="auto"/>
      </w:divBdr>
    </w:div>
    <w:div w:id="613247921">
      <w:bodyDiv w:val="1"/>
      <w:marLeft w:val="0"/>
      <w:marRight w:val="0"/>
      <w:marTop w:val="0"/>
      <w:marBottom w:val="0"/>
      <w:divBdr>
        <w:top w:val="none" w:sz="0" w:space="0" w:color="auto"/>
        <w:left w:val="none" w:sz="0" w:space="0" w:color="auto"/>
        <w:bottom w:val="none" w:sz="0" w:space="0" w:color="auto"/>
        <w:right w:val="none" w:sz="0" w:space="0" w:color="auto"/>
      </w:divBdr>
    </w:div>
    <w:div w:id="614017622">
      <w:bodyDiv w:val="1"/>
      <w:marLeft w:val="0"/>
      <w:marRight w:val="0"/>
      <w:marTop w:val="0"/>
      <w:marBottom w:val="0"/>
      <w:divBdr>
        <w:top w:val="none" w:sz="0" w:space="0" w:color="auto"/>
        <w:left w:val="none" w:sz="0" w:space="0" w:color="auto"/>
        <w:bottom w:val="none" w:sz="0" w:space="0" w:color="auto"/>
        <w:right w:val="none" w:sz="0" w:space="0" w:color="auto"/>
      </w:divBdr>
    </w:div>
    <w:div w:id="617567224">
      <w:bodyDiv w:val="1"/>
      <w:marLeft w:val="0"/>
      <w:marRight w:val="0"/>
      <w:marTop w:val="0"/>
      <w:marBottom w:val="0"/>
      <w:divBdr>
        <w:top w:val="none" w:sz="0" w:space="0" w:color="auto"/>
        <w:left w:val="none" w:sz="0" w:space="0" w:color="auto"/>
        <w:bottom w:val="none" w:sz="0" w:space="0" w:color="auto"/>
        <w:right w:val="none" w:sz="0" w:space="0" w:color="auto"/>
      </w:divBdr>
    </w:div>
    <w:div w:id="621613377">
      <w:bodyDiv w:val="1"/>
      <w:marLeft w:val="0"/>
      <w:marRight w:val="0"/>
      <w:marTop w:val="0"/>
      <w:marBottom w:val="0"/>
      <w:divBdr>
        <w:top w:val="none" w:sz="0" w:space="0" w:color="auto"/>
        <w:left w:val="none" w:sz="0" w:space="0" w:color="auto"/>
        <w:bottom w:val="none" w:sz="0" w:space="0" w:color="auto"/>
        <w:right w:val="none" w:sz="0" w:space="0" w:color="auto"/>
      </w:divBdr>
    </w:div>
    <w:div w:id="630667586">
      <w:bodyDiv w:val="1"/>
      <w:marLeft w:val="0"/>
      <w:marRight w:val="0"/>
      <w:marTop w:val="0"/>
      <w:marBottom w:val="0"/>
      <w:divBdr>
        <w:top w:val="none" w:sz="0" w:space="0" w:color="auto"/>
        <w:left w:val="none" w:sz="0" w:space="0" w:color="auto"/>
        <w:bottom w:val="none" w:sz="0" w:space="0" w:color="auto"/>
        <w:right w:val="none" w:sz="0" w:space="0" w:color="auto"/>
      </w:divBdr>
    </w:div>
    <w:div w:id="632055386">
      <w:bodyDiv w:val="1"/>
      <w:marLeft w:val="0"/>
      <w:marRight w:val="0"/>
      <w:marTop w:val="0"/>
      <w:marBottom w:val="0"/>
      <w:divBdr>
        <w:top w:val="none" w:sz="0" w:space="0" w:color="auto"/>
        <w:left w:val="none" w:sz="0" w:space="0" w:color="auto"/>
        <w:bottom w:val="none" w:sz="0" w:space="0" w:color="auto"/>
        <w:right w:val="none" w:sz="0" w:space="0" w:color="auto"/>
      </w:divBdr>
    </w:div>
    <w:div w:id="633292719">
      <w:bodyDiv w:val="1"/>
      <w:marLeft w:val="0"/>
      <w:marRight w:val="0"/>
      <w:marTop w:val="0"/>
      <w:marBottom w:val="0"/>
      <w:divBdr>
        <w:top w:val="none" w:sz="0" w:space="0" w:color="auto"/>
        <w:left w:val="none" w:sz="0" w:space="0" w:color="auto"/>
        <w:bottom w:val="none" w:sz="0" w:space="0" w:color="auto"/>
        <w:right w:val="none" w:sz="0" w:space="0" w:color="auto"/>
      </w:divBdr>
    </w:div>
    <w:div w:id="635568944">
      <w:bodyDiv w:val="1"/>
      <w:marLeft w:val="0"/>
      <w:marRight w:val="0"/>
      <w:marTop w:val="0"/>
      <w:marBottom w:val="0"/>
      <w:divBdr>
        <w:top w:val="none" w:sz="0" w:space="0" w:color="auto"/>
        <w:left w:val="none" w:sz="0" w:space="0" w:color="auto"/>
        <w:bottom w:val="none" w:sz="0" w:space="0" w:color="auto"/>
        <w:right w:val="none" w:sz="0" w:space="0" w:color="auto"/>
      </w:divBdr>
    </w:div>
    <w:div w:id="642009909">
      <w:bodyDiv w:val="1"/>
      <w:marLeft w:val="0"/>
      <w:marRight w:val="0"/>
      <w:marTop w:val="0"/>
      <w:marBottom w:val="0"/>
      <w:divBdr>
        <w:top w:val="none" w:sz="0" w:space="0" w:color="auto"/>
        <w:left w:val="none" w:sz="0" w:space="0" w:color="auto"/>
        <w:bottom w:val="none" w:sz="0" w:space="0" w:color="auto"/>
        <w:right w:val="none" w:sz="0" w:space="0" w:color="auto"/>
      </w:divBdr>
    </w:div>
    <w:div w:id="647634600">
      <w:bodyDiv w:val="1"/>
      <w:marLeft w:val="0"/>
      <w:marRight w:val="0"/>
      <w:marTop w:val="0"/>
      <w:marBottom w:val="0"/>
      <w:divBdr>
        <w:top w:val="none" w:sz="0" w:space="0" w:color="auto"/>
        <w:left w:val="none" w:sz="0" w:space="0" w:color="auto"/>
        <w:bottom w:val="none" w:sz="0" w:space="0" w:color="auto"/>
        <w:right w:val="none" w:sz="0" w:space="0" w:color="auto"/>
      </w:divBdr>
    </w:div>
    <w:div w:id="652569383">
      <w:bodyDiv w:val="1"/>
      <w:marLeft w:val="0"/>
      <w:marRight w:val="0"/>
      <w:marTop w:val="0"/>
      <w:marBottom w:val="0"/>
      <w:divBdr>
        <w:top w:val="none" w:sz="0" w:space="0" w:color="auto"/>
        <w:left w:val="none" w:sz="0" w:space="0" w:color="auto"/>
        <w:bottom w:val="none" w:sz="0" w:space="0" w:color="auto"/>
        <w:right w:val="none" w:sz="0" w:space="0" w:color="auto"/>
      </w:divBdr>
    </w:div>
    <w:div w:id="658771106">
      <w:bodyDiv w:val="1"/>
      <w:marLeft w:val="0"/>
      <w:marRight w:val="0"/>
      <w:marTop w:val="0"/>
      <w:marBottom w:val="0"/>
      <w:divBdr>
        <w:top w:val="none" w:sz="0" w:space="0" w:color="auto"/>
        <w:left w:val="none" w:sz="0" w:space="0" w:color="auto"/>
        <w:bottom w:val="none" w:sz="0" w:space="0" w:color="auto"/>
        <w:right w:val="none" w:sz="0" w:space="0" w:color="auto"/>
      </w:divBdr>
    </w:div>
    <w:div w:id="661079314">
      <w:bodyDiv w:val="1"/>
      <w:marLeft w:val="0"/>
      <w:marRight w:val="0"/>
      <w:marTop w:val="0"/>
      <w:marBottom w:val="0"/>
      <w:divBdr>
        <w:top w:val="none" w:sz="0" w:space="0" w:color="auto"/>
        <w:left w:val="none" w:sz="0" w:space="0" w:color="auto"/>
        <w:bottom w:val="none" w:sz="0" w:space="0" w:color="auto"/>
        <w:right w:val="none" w:sz="0" w:space="0" w:color="auto"/>
      </w:divBdr>
    </w:div>
    <w:div w:id="662851874">
      <w:bodyDiv w:val="1"/>
      <w:marLeft w:val="0"/>
      <w:marRight w:val="0"/>
      <w:marTop w:val="0"/>
      <w:marBottom w:val="0"/>
      <w:divBdr>
        <w:top w:val="none" w:sz="0" w:space="0" w:color="auto"/>
        <w:left w:val="none" w:sz="0" w:space="0" w:color="auto"/>
        <w:bottom w:val="none" w:sz="0" w:space="0" w:color="auto"/>
        <w:right w:val="none" w:sz="0" w:space="0" w:color="auto"/>
      </w:divBdr>
    </w:div>
    <w:div w:id="663321154">
      <w:bodyDiv w:val="1"/>
      <w:marLeft w:val="0"/>
      <w:marRight w:val="0"/>
      <w:marTop w:val="0"/>
      <w:marBottom w:val="0"/>
      <w:divBdr>
        <w:top w:val="none" w:sz="0" w:space="0" w:color="auto"/>
        <w:left w:val="none" w:sz="0" w:space="0" w:color="auto"/>
        <w:bottom w:val="none" w:sz="0" w:space="0" w:color="auto"/>
        <w:right w:val="none" w:sz="0" w:space="0" w:color="auto"/>
      </w:divBdr>
    </w:div>
    <w:div w:id="674919393">
      <w:bodyDiv w:val="1"/>
      <w:marLeft w:val="0"/>
      <w:marRight w:val="0"/>
      <w:marTop w:val="0"/>
      <w:marBottom w:val="0"/>
      <w:divBdr>
        <w:top w:val="none" w:sz="0" w:space="0" w:color="auto"/>
        <w:left w:val="none" w:sz="0" w:space="0" w:color="auto"/>
        <w:bottom w:val="none" w:sz="0" w:space="0" w:color="auto"/>
        <w:right w:val="none" w:sz="0" w:space="0" w:color="auto"/>
      </w:divBdr>
    </w:div>
    <w:div w:id="677974035">
      <w:bodyDiv w:val="1"/>
      <w:marLeft w:val="0"/>
      <w:marRight w:val="0"/>
      <w:marTop w:val="0"/>
      <w:marBottom w:val="0"/>
      <w:divBdr>
        <w:top w:val="none" w:sz="0" w:space="0" w:color="auto"/>
        <w:left w:val="none" w:sz="0" w:space="0" w:color="auto"/>
        <w:bottom w:val="none" w:sz="0" w:space="0" w:color="auto"/>
        <w:right w:val="none" w:sz="0" w:space="0" w:color="auto"/>
      </w:divBdr>
    </w:div>
    <w:div w:id="678243012">
      <w:bodyDiv w:val="1"/>
      <w:marLeft w:val="0"/>
      <w:marRight w:val="0"/>
      <w:marTop w:val="0"/>
      <w:marBottom w:val="0"/>
      <w:divBdr>
        <w:top w:val="none" w:sz="0" w:space="0" w:color="auto"/>
        <w:left w:val="none" w:sz="0" w:space="0" w:color="auto"/>
        <w:bottom w:val="none" w:sz="0" w:space="0" w:color="auto"/>
        <w:right w:val="none" w:sz="0" w:space="0" w:color="auto"/>
      </w:divBdr>
    </w:div>
    <w:div w:id="681010654">
      <w:bodyDiv w:val="1"/>
      <w:marLeft w:val="0"/>
      <w:marRight w:val="0"/>
      <w:marTop w:val="0"/>
      <w:marBottom w:val="0"/>
      <w:divBdr>
        <w:top w:val="none" w:sz="0" w:space="0" w:color="auto"/>
        <w:left w:val="none" w:sz="0" w:space="0" w:color="auto"/>
        <w:bottom w:val="none" w:sz="0" w:space="0" w:color="auto"/>
        <w:right w:val="none" w:sz="0" w:space="0" w:color="auto"/>
      </w:divBdr>
    </w:div>
    <w:div w:id="681275778">
      <w:bodyDiv w:val="1"/>
      <w:marLeft w:val="0"/>
      <w:marRight w:val="0"/>
      <w:marTop w:val="0"/>
      <w:marBottom w:val="0"/>
      <w:divBdr>
        <w:top w:val="none" w:sz="0" w:space="0" w:color="auto"/>
        <w:left w:val="none" w:sz="0" w:space="0" w:color="auto"/>
        <w:bottom w:val="none" w:sz="0" w:space="0" w:color="auto"/>
        <w:right w:val="none" w:sz="0" w:space="0" w:color="auto"/>
      </w:divBdr>
    </w:div>
    <w:div w:id="684329262">
      <w:bodyDiv w:val="1"/>
      <w:marLeft w:val="0"/>
      <w:marRight w:val="0"/>
      <w:marTop w:val="0"/>
      <w:marBottom w:val="0"/>
      <w:divBdr>
        <w:top w:val="none" w:sz="0" w:space="0" w:color="auto"/>
        <w:left w:val="none" w:sz="0" w:space="0" w:color="auto"/>
        <w:bottom w:val="none" w:sz="0" w:space="0" w:color="auto"/>
        <w:right w:val="none" w:sz="0" w:space="0" w:color="auto"/>
      </w:divBdr>
    </w:div>
    <w:div w:id="686368204">
      <w:bodyDiv w:val="1"/>
      <w:marLeft w:val="0"/>
      <w:marRight w:val="0"/>
      <w:marTop w:val="0"/>
      <w:marBottom w:val="0"/>
      <w:divBdr>
        <w:top w:val="none" w:sz="0" w:space="0" w:color="auto"/>
        <w:left w:val="none" w:sz="0" w:space="0" w:color="auto"/>
        <w:bottom w:val="none" w:sz="0" w:space="0" w:color="auto"/>
        <w:right w:val="none" w:sz="0" w:space="0" w:color="auto"/>
      </w:divBdr>
    </w:div>
    <w:div w:id="688531861">
      <w:bodyDiv w:val="1"/>
      <w:marLeft w:val="0"/>
      <w:marRight w:val="0"/>
      <w:marTop w:val="0"/>
      <w:marBottom w:val="0"/>
      <w:divBdr>
        <w:top w:val="none" w:sz="0" w:space="0" w:color="auto"/>
        <w:left w:val="none" w:sz="0" w:space="0" w:color="auto"/>
        <w:bottom w:val="none" w:sz="0" w:space="0" w:color="auto"/>
        <w:right w:val="none" w:sz="0" w:space="0" w:color="auto"/>
      </w:divBdr>
    </w:div>
    <w:div w:id="691610260">
      <w:bodyDiv w:val="1"/>
      <w:marLeft w:val="0"/>
      <w:marRight w:val="0"/>
      <w:marTop w:val="0"/>
      <w:marBottom w:val="0"/>
      <w:divBdr>
        <w:top w:val="none" w:sz="0" w:space="0" w:color="auto"/>
        <w:left w:val="none" w:sz="0" w:space="0" w:color="auto"/>
        <w:bottom w:val="none" w:sz="0" w:space="0" w:color="auto"/>
        <w:right w:val="none" w:sz="0" w:space="0" w:color="auto"/>
      </w:divBdr>
    </w:div>
    <w:div w:id="695273002">
      <w:bodyDiv w:val="1"/>
      <w:marLeft w:val="0"/>
      <w:marRight w:val="0"/>
      <w:marTop w:val="0"/>
      <w:marBottom w:val="0"/>
      <w:divBdr>
        <w:top w:val="none" w:sz="0" w:space="0" w:color="auto"/>
        <w:left w:val="none" w:sz="0" w:space="0" w:color="auto"/>
        <w:bottom w:val="none" w:sz="0" w:space="0" w:color="auto"/>
        <w:right w:val="none" w:sz="0" w:space="0" w:color="auto"/>
      </w:divBdr>
    </w:div>
    <w:div w:id="697971443">
      <w:bodyDiv w:val="1"/>
      <w:marLeft w:val="0"/>
      <w:marRight w:val="0"/>
      <w:marTop w:val="0"/>
      <w:marBottom w:val="0"/>
      <w:divBdr>
        <w:top w:val="none" w:sz="0" w:space="0" w:color="auto"/>
        <w:left w:val="none" w:sz="0" w:space="0" w:color="auto"/>
        <w:bottom w:val="none" w:sz="0" w:space="0" w:color="auto"/>
        <w:right w:val="none" w:sz="0" w:space="0" w:color="auto"/>
      </w:divBdr>
    </w:div>
    <w:div w:id="699670527">
      <w:bodyDiv w:val="1"/>
      <w:marLeft w:val="0"/>
      <w:marRight w:val="0"/>
      <w:marTop w:val="0"/>
      <w:marBottom w:val="0"/>
      <w:divBdr>
        <w:top w:val="none" w:sz="0" w:space="0" w:color="auto"/>
        <w:left w:val="none" w:sz="0" w:space="0" w:color="auto"/>
        <w:bottom w:val="none" w:sz="0" w:space="0" w:color="auto"/>
        <w:right w:val="none" w:sz="0" w:space="0" w:color="auto"/>
      </w:divBdr>
    </w:div>
    <w:div w:id="703024847">
      <w:bodyDiv w:val="1"/>
      <w:marLeft w:val="0"/>
      <w:marRight w:val="0"/>
      <w:marTop w:val="0"/>
      <w:marBottom w:val="0"/>
      <w:divBdr>
        <w:top w:val="none" w:sz="0" w:space="0" w:color="auto"/>
        <w:left w:val="none" w:sz="0" w:space="0" w:color="auto"/>
        <w:bottom w:val="none" w:sz="0" w:space="0" w:color="auto"/>
        <w:right w:val="none" w:sz="0" w:space="0" w:color="auto"/>
      </w:divBdr>
    </w:div>
    <w:div w:id="704524700">
      <w:bodyDiv w:val="1"/>
      <w:marLeft w:val="0"/>
      <w:marRight w:val="0"/>
      <w:marTop w:val="0"/>
      <w:marBottom w:val="0"/>
      <w:divBdr>
        <w:top w:val="none" w:sz="0" w:space="0" w:color="auto"/>
        <w:left w:val="none" w:sz="0" w:space="0" w:color="auto"/>
        <w:bottom w:val="none" w:sz="0" w:space="0" w:color="auto"/>
        <w:right w:val="none" w:sz="0" w:space="0" w:color="auto"/>
      </w:divBdr>
    </w:div>
    <w:div w:id="704871975">
      <w:bodyDiv w:val="1"/>
      <w:marLeft w:val="0"/>
      <w:marRight w:val="0"/>
      <w:marTop w:val="0"/>
      <w:marBottom w:val="0"/>
      <w:divBdr>
        <w:top w:val="none" w:sz="0" w:space="0" w:color="auto"/>
        <w:left w:val="none" w:sz="0" w:space="0" w:color="auto"/>
        <w:bottom w:val="none" w:sz="0" w:space="0" w:color="auto"/>
        <w:right w:val="none" w:sz="0" w:space="0" w:color="auto"/>
      </w:divBdr>
    </w:div>
    <w:div w:id="705719918">
      <w:bodyDiv w:val="1"/>
      <w:marLeft w:val="0"/>
      <w:marRight w:val="0"/>
      <w:marTop w:val="0"/>
      <w:marBottom w:val="0"/>
      <w:divBdr>
        <w:top w:val="none" w:sz="0" w:space="0" w:color="auto"/>
        <w:left w:val="none" w:sz="0" w:space="0" w:color="auto"/>
        <w:bottom w:val="none" w:sz="0" w:space="0" w:color="auto"/>
        <w:right w:val="none" w:sz="0" w:space="0" w:color="auto"/>
      </w:divBdr>
    </w:div>
    <w:div w:id="711078174">
      <w:bodyDiv w:val="1"/>
      <w:marLeft w:val="0"/>
      <w:marRight w:val="0"/>
      <w:marTop w:val="0"/>
      <w:marBottom w:val="0"/>
      <w:divBdr>
        <w:top w:val="none" w:sz="0" w:space="0" w:color="auto"/>
        <w:left w:val="none" w:sz="0" w:space="0" w:color="auto"/>
        <w:bottom w:val="none" w:sz="0" w:space="0" w:color="auto"/>
        <w:right w:val="none" w:sz="0" w:space="0" w:color="auto"/>
      </w:divBdr>
    </w:div>
    <w:div w:id="711420011">
      <w:bodyDiv w:val="1"/>
      <w:marLeft w:val="0"/>
      <w:marRight w:val="0"/>
      <w:marTop w:val="0"/>
      <w:marBottom w:val="0"/>
      <w:divBdr>
        <w:top w:val="none" w:sz="0" w:space="0" w:color="auto"/>
        <w:left w:val="none" w:sz="0" w:space="0" w:color="auto"/>
        <w:bottom w:val="none" w:sz="0" w:space="0" w:color="auto"/>
        <w:right w:val="none" w:sz="0" w:space="0" w:color="auto"/>
      </w:divBdr>
    </w:div>
    <w:div w:id="720832283">
      <w:bodyDiv w:val="1"/>
      <w:marLeft w:val="0"/>
      <w:marRight w:val="0"/>
      <w:marTop w:val="0"/>
      <w:marBottom w:val="0"/>
      <w:divBdr>
        <w:top w:val="none" w:sz="0" w:space="0" w:color="auto"/>
        <w:left w:val="none" w:sz="0" w:space="0" w:color="auto"/>
        <w:bottom w:val="none" w:sz="0" w:space="0" w:color="auto"/>
        <w:right w:val="none" w:sz="0" w:space="0" w:color="auto"/>
      </w:divBdr>
    </w:div>
    <w:div w:id="724252835">
      <w:bodyDiv w:val="1"/>
      <w:marLeft w:val="0"/>
      <w:marRight w:val="0"/>
      <w:marTop w:val="0"/>
      <w:marBottom w:val="0"/>
      <w:divBdr>
        <w:top w:val="none" w:sz="0" w:space="0" w:color="auto"/>
        <w:left w:val="none" w:sz="0" w:space="0" w:color="auto"/>
        <w:bottom w:val="none" w:sz="0" w:space="0" w:color="auto"/>
        <w:right w:val="none" w:sz="0" w:space="0" w:color="auto"/>
      </w:divBdr>
    </w:div>
    <w:div w:id="726299299">
      <w:bodyDiv w:val="1"/>
      <w:marLeft w:val="0"/>
      <w:marRight w:val="0"/>
      <w:marTop w:val="0"/>
      <w:marBottom w:val="0"/>
      <w:divBdr>
        <w:top w:val="none" w:sz="0" w:space="0" w:color="auto"/>
        <w:left w:val="none" w:sz="0" w:space="0" w:color="auto"/>
        <w:bottom w:val="none" w:sz="0" w:space="0" w:color="auto"/>
        <w:right w:val="none" w:sz="0" w:space="0" w:color="auto"/>
      </w:divBdr>
    </w:div>
    <w:div w:id="726537366">
      <w:bodyDiv w:val="1"/>
      <w:marLeft w:val="0"/>
      <w:marRight w:val="0"/>
      <w:marTop w:val="0"/>
      <w:marBottom w:val="0"/>
      <w:divBdr>
        <w:top w:val="none" w:sz="0" w:space="0" w:color="auto"/>
        <w:left w:val="none" w:sz="0" w:space="0" w:color="auto"/>
        <w:bottom w:val="none" w:sz="0" w:space="0" w:color="auto"/>
        <w:right w:val="none" w:sz="0" w:space="0" w:color="auto"/>
      </w:divBdr>
    </w:div>
    <w:div w:id="737826531">
      <w:bodyDiv w:val="1"/>
      <w:marLeft w:val="0"/>
      <w:marRight w:val="0"/>
      <w:marTop w:val="0"/>
      <w:marBottom w:val="0"/>
      <w:divBdr>
        <w:top w:val="none" w:sz="0" w:space="0" w:color="auto"/>
        <w:left w:val="none" w:sz="0" w:space="0" w:color="auto"/>
        <w:bottom w:val="none" w:sz="0" w:space="0" w:color="auto"/>
        <w:right w:val="none" w:sz="0" w:space="0" w:color="auto"/>
      </w:divBdr>
    </w:div>
    <w:div w:id="746652565">
      <w:bodyDiv w:val="1"/>
      <w:marLeft w:val="0"/>
      <w:marRight w:val="0"/>
      <w:marTop w:val="0"/>
      <w:marBottom w:val="0"/>
      <w:divBdr>
        <w:top w:val="none" w:sz="0" w:space="0" w:color="auto"/>
        <w:left w:val="none" w:sz="0" w:space="0" w:color="auto"/>
        <w:bottom w:val="none" w:sz="0" w:space="0" w:color="auto"/>
        <w:right w:val="none" w:sz="0" w:space="0" w:color="auto"/>
      </w:divBdr>
    </w:div>
    <w:div w:id="751702486">
      <w:bodyDiv w:val="1"/>
      <w:marLeft w:val="0"/>
      <w:marRight w:val="0"/>
      <w:marTop w:val="0"/>
      <w:marBottom w:val="0"/>
      <w:divBdr>
        <w:top w:val="none" w:sz="0" w:space="0" w:color="auto"/>
        <w:left w:val="none" w:sz="0" w:space="0" w:color="auto"/>
        <w:bottom w:val="none" w:sz="0" w:space="0" w:color="auto"/>
        <w:right w:val="none" w:sz="0" w:space="0" w:color="auto"/>
      </w:divBdr>
    </w:div>
    <w:div w:id="753166250">
      <w:bodyDiv w:val="1"/>
      <w:marLeft w:val="0"/>
      <w:marRight w:val="0"/>
      <w:marTop w:val="0"/>
      <w:marBottom w:val="0"/>
      <w:divBdr>
        <w:top w:val="none" w:sz="0" w:space="0" w:color="auto"/>
        <w:left w:val="none" w:sz="0" w:space="0" w:color="auto"/>
        <w:bottom w:val="none" w:sz="0" w:space="0" w:color="auto"/>
        <w:right w:val="none" w:sz="0" w:space="0" w:color="auto"/>
      </w:divBdr>
    </w:div>
    <w:div w:id="753480305">
      <w:bodyDiv w:val="1"/>
      <w:marLeft w:val="0"/>
      <w:marRight w:val="0"/>
      <w:marTop w:val="0"/>
      <w:marBottom w:val="0"/>
      <w:divBdr>
        <w:top w:val="none" w:sz="0" w:space="0" w:color="auto"/>
        <w:left w:val="none" w:sz="0" w:space="0" w:color="auto"/>
        <w:bottom w:val="none" w:sz="0" w:space="0" w:color="auto"/>
        <w:right w:val="none" w:sz="0" w:space="0" w:color="auto"/>
      </w:divBdr>
    </w:div>
    <w:div w:id="755519617">
      <w:bodyDiv w:val="1"/>
      <w:marLeft w:val="0"/>
      <w:marRight w:val="0"/>
      <w:marTop w:val="0"/>
      <w:marBottom w:val="0"/>
      <w:divBdr>
        <w:top w:val="none" w:sz="0" w:space="0" w:color="auto"/>
        <w:left w:val="none" w:sz="0" w:space="0" w:color="auto"/>
        <w:bottom w:val="none" w:sz="0" w:space="0" w:color="auto"/>
        <w:right w:val="none" w:sz="0" w:space="0" w:color="auto"/>
      </w:divBdr>
    </w:div>
    <w:div w:id="755783088">
      <w:bodyDiv w:val="1"/>
      <w:marLeft w:val="0"/>
      <w:marRight w:val="0"/>
      <w:marTop w:val="0"/>
      <w:marBottom w:val="0"/>
      <w:divBdr>
        <w:top w:val="none" w:sz="0" w:space="0" w:color="auto"/>
        <w:left w:val="none" w:sz="0" w:space="0" w:color="auto"/>
        <w:bottom w:val="none" w:sz="0" w:space="0" w:color="auto"/>
        <w:right w:val="none" w:sz="0" w:space="0" w:color="auto"/>
      </w:divBdr>
    </w:div>
    <w:div w:id="757604294">
      <w:bodyDiv w:val="1"/>
      <w:marLeft w:val="0"/>
      <w:marRight w:val="0"/>
      <w:marTop w:val="0"/>
      <w:marBottom w:val="0"/>
      <w:divBdr>
        <w:top w:val="none" w:sz="0" w:space="0" w:color="auto"/>
        <w:left w:val="none" w:sz="0" w:space="0" w:color="auto"/>
        <w:bottom w:val="none" w:sz="0" w:space="0" w:color="auto"/>
        <w:right w:val="none" w:sz="0" w:space="0" w:color="auto"/>
      </w:divBdr>
    </w:div>
    <w:div w:id="759912733">
      <w:bodyDiv w:val="1"/>
      <w:marLeft w:val="0"/>
      <w:marRight w:val="0"/>
      <w:marTop w:val="0"/>
      <w:marBottom w:val="0"/>
      <w:divBdr>
        <w:top w:val="none" w:sz="0" w:space="0" w:color="auto"/>
        <w:left w:val="none" w:sz="0" w:space="0" w:color="auto"/>
        <w:bottom w:val="none" w:sz="0" w:space="0" w:color="auto"/>
        <w:right w:val="none" w:sz="0" w:space="0" w:color="auto"/>
      </w:divBdr>
    </w:div>
    <w:div w:id="762803289">
      <w:bodyDiv w:val="1"/>
      <w:marLeft w:val="0"/>
      <w:marRight w:val="0"/>
      <w:marTop w:val="0"/>
      <w:marBottom w:val="0"/>
      <w:divBdr>
        <w:top w:val="none" w:sz="0" w:space="0" w:color="auto"/>
        <w:left w:val="none" w:sz="0" w:space="0" w:color="auto"/>
        <w:bottom w:val="none" w:sz="0" w:space="0" w:color="auto"/>
        <w:right w:val="none" w:sz="0" w:space="0" w:color="auto"/>
      </w:divBdr>
    </w:div>
    <w:div w:id="766774693">
      <w:bodyDiv w:val="1"/>
      <w:marLeft w:val="0"/>
      <w:marRight w:val="0"/>
      <w:marTop w:val="0"/>
      <w:marBottom w:val="0"/>
      <w:divBdr>
        <w:top w:val="none" w:sz="0" w:space="0" w:color="auto"/>
        <w:left w:val="none" w:sz="0" w:space="0" w:color="auto"/>
        <w:bottom w:val="none" w:sz="0" w:space="0" w:color="auto"/>
        <w:right w:val="none" w:sz="0" w:space="0" w:color="auto"/>
      </w:divBdr>
    </w:div>
    <w:div w:id="771776822">
      <w:bodyDiv w:val="1"/>
      <w:marLeft w:val="0"/>
      <w:marRight w:val="0"/>
      <w:marTop w:val="0"/>
      <w:marBottom w:val="0"/>
      <w:divBdr>
        <w:top w:val="none" w:sz="0" w:space="0" w:color="auto"/>
        <w:left w:val="none" w:sz="0" w:space="0" w:color="auto"/>
        <w:bottom w:val="none" w:sz="0" w:space="0" w:color="auto"/>
        <w:right w:val="none" w:sz="0" w:space="0" w:color="auto"/>
      </w:divBdr>
    </w:div>
    <w:div w:id="776676098">
      <w:bodyDiv w:val="1"/>
      <w:marLeft w:val="0"/>
      <w:marRight w:val="0"/>
      <w:marTop w:val="0"/>
      <w:marBottom w:val="0"/>
      <w:divBdr>
        <w:top w:val="none" w:sz="0" w:space="0" w:color="auto"/>
        <w:left w:val="none" w:sz="0" w:space="0" w:color="auto"/>
        <w:bottom w:val="none" w:sz="0" w:space="0" w:color="auto"/>
        <w:right w:val="none" w:sz="0" w:space="0" w:color="auto"/>
      </w:divBdr>
    </w:div>
    <w:div w:id="781647994">
      <w:bodyDiv w:val="1"/>
      <w:marLeft w:val="0"/>
      <w:marRight w:val="0"/>
      <w:marTop w:val="0"/>
      <w:marBottom w:val="0"/>
      <w:divBdr>
        <w:top w:val="none" w:sz="0" w:space="0" w:color="auto"/>
        <w:left w:val="none" w:sz="0" w:space="0" w:color="auto"/>
        <w:bottom w:val="none" w:sz="0" w:space="0" w:color="auto"/>
        <w:right w:val="none" w:sz="0" w:space="0" w:color="auto"/>
      </w:divBdr>
    </w:div>
    <w:div w:id="783304124">
      <w:bodyDiv w:val="1"/>
      <w:marLeft w:val="0"/>
      <w:marRight w:val="0"/>
      <w:marTop w:val="0"/>
      <w:marBottom w:val="0"/>
      <w:divBdr>
        <w:top w:val="none" w:sz="0" w:space="0" w:color="auto"/>
        <w:left w:val="none" w:sz="0" w:space="0" w:color="auto"/>
        <w:bottom w:val="none" w:sz="0" w:space="0" w:color="auto"/>
        <w:right w:val="none" w:sz="0" w:space="0" w:color="auto"/>
      </w:divBdr>
    </w:div>
    <w:div w:id="793794427">
      <w:bodyDiv w:val="1"/>
      <w:marLeft w:val="0"/>
      <w:marRight w:val="0"/>
      <w:marTop w:val="0"/>
      <w:marBottom w:val="0"/>
      <w:divBdr>
        <w:top w:val="none" w:sz="0" w:space="0" w:color="auto"/>
        <w:left w:val="none" w:sz="0" w:space="0" w:color="auto"/>
        <w:bottom w:val="none" w:sz="0" w:space="0" w:color="auto"/>
        <w:right w:val="none" w:sz="0" w:space="0" w:color="auto"/>
      </w:divBdr>
    </w:div>
    <w:div w:id="805975207">
      <w:bodyDiv w:val="1"/>
      <w:marLeft w:val="0"/>
      <w:marRight w:val="0"/>
      <w:marTop w:val="0"/>
      <w:marBottom w:val="0"/>
      <w:divBdr>
        <w:top w:val="none" w:sz="0" w:space="0" w:color="auto"/>
        <w:left w:val="none" w:sz="0" w:space="0" w:color="auto"/>
        <w:bottom w:val="none" w:sz="0" w:space="0" w:color="auto"/>
        <w:right w:val="none" w:sz="0" w:space="0" w:color="auto"/>
      </w:divBdr>
    </w:div>
    <w:div w:id="811483067">
      <w:bodyDiv w:val="1"/>
      <w:marLeft w:val="0"/>
      <w:marRight w:val="0"/>
      <w:marTop w:val="0"/>
      <w:marBottom w:val="0"/>
      <w:divBdr>
        <w:top w:val="none" w:sz="0" w:space="0" w:color="auto"/>
        <w:left w:val="none" w:sz="0" w:space="0" w:color="auto"/>
        <w:bottom w:val="none" w:sz="0" w:space="0" w:color="auto"/>
        <w:right w:val="none" w:sz="0" w:space="0" w:color="auto"/>
      </w:divBdr>
    </w:div>
    <w:div w:id="821311273">
      <w:bodyDiv w:val="1"/>
      <w:marLeft w:val="0"/>
      <w:marRight w:val="0"/>
      <w:marTop w:val="0"/>
      <w:marBottom w:val="0"/>
      <w:divBdr>
        <w:top w:val="none" w:sz="0" w:space="0" w:color="auto"/>
        <w:left w:val="none" w:sz="0" w:space="0" w:color="auto"/>
        <w:bottom w:val="none" w:sz="0" w:space="0" w:color="auto"/>
        <w:right w:val="none" w:sz="0" w:space="0" w:color="auto"/>
      </w:divBdr>
    </w:div>
    <w:div w:id="827404810">
      <w:bodyDiv w:val="1"/>
      <w:marLeft w:val="0"/>
      <w:marRight w:val="0"/>
      <w:marTop w:val="0"/>
      <w:marBottom w:val="0"/>
      <w:divBdr>
        <w:top w:val="none" w:sz="0" w:space="0" w:color="auto"/>
        <w:left w:val="none" w:sz="0" w:space="0" w:color="auto"/>
        <w:bottom w:val="none" w:sz="0" w:space="0" w:color="auto"/>
        <w:right w:val="none" w:sz="0" w:space="0" w:color="auto"/>
      </w:divBdr>
    </w:div>
    <w:div w:id="830174237">
      <w:bodyDiv w:val="1"/>
      <w:marLeft w:val="0"/>
      <w:marRight w:val="0"/>
      <w:marTop w:val="0"/>
      <w:marBottom w:val="0"/>
      <w:divBdr>
        <w:top w:val="none" w:sz="0" w:space="0" w:color="auto"/>
        <w:left w:val="none" w:sz="0" w:space="0" w:color="auto"/>
        <w:bottom w:val="none" w:sz="0" w:space="0" w:color="auto"/>
        <w:right w:val="none" w:sz="0" w:space="0" w:color="auto"/>
      </w:divBdr>
    </w:div>
    <w:div w:id="831067186">
      <w:bodyDiv w:val="1"/>
      <w:marLeft w:val="0"/>
      <w:marRight w:val="0"/>
      <w:marTop w:val="0"/>
      <w:marBottom w:val="0"/>
      <w:divBdr>
        <w:top w:val="none" w:sz="0" w:space="0" w:color="auto"/>
        <w:left w:val="none" w:sz="0" w:space="0" w:color="auto"/>
        <w:bottom w:val="none" w:sz="0" w:space="0" w:color="auto"/>
        <w:right w:val="none" w:sz="0" w:space="0" w:color="auto"/>
      </w:divBdr>
    </w:div>
    <w:div w:id="837158267">
      <w:bodyDiv w:val="1"/>
      <w:marLeft w:val="0"/>
      <w:marRight w:val="0"/>
      <w:marTop w:val="0"/>
      <w:marBottom w:val="0"/>
      <w:divBdr>
        <w:top w:val="none" w:sz="0" w:space="0" w:color="auto"/>
        <w:left w:val="none" w:sz="0" w:space="0" w:color="auto"/>
        <w:bottom w:val="none" w:sz="0" w:space="0" w:color="auto"/>
        <w:right w:val="none" w:sz="0" w:space="0" w:color="auto"/>
      </w:divBdr>
    </w:div>
    <w:div w:id="839538797">
      <w:bodyDiv w:val="1"/>
      <w:marLeft w:val="0"/>
      <w:marRight w:val="0"/>
      <w:marTop w:val="0"/>
      <w:marBottom w:val="0"/>
      <w:divBdr>
        <w:top w:val="none" w:sz="0" w:space="0" w:color="auto"/>
        <w:left w:val="none" w:sz="0" w:space="0" w:color="auto"/>
        <w:bottom w:val="none" w:sz="0" w:space="0" w:color="auto"/>
        <w:right w:val="none" w:sz="0" w:space="0" w:color="auto"/>
      </w:divBdr>
    </w:div>
    <w:div w:id="848644131">
      <w:bodyDiv w:val="1"/>
      <w:marLeft w:val="0"/>
      <w:marRight w:val="0"/>
      <w:marTop w:val="0"/>
      <w:marBottom w:val="0"/>
      <w:divBdr>
        <w:top w:val="none" w:sz="0" w:space="0" w:color="auto"/>
        <w:left w:val="none" w:sz="0" w:space="0" w:color="auto"/>
        <w:bottom w:val="none" w:sz="0" w:space="0" w:color="auto"/>
        <w:right w:val="none" w:sz="0" w:space="0" w:color="auto"/>
      </w:divBdr>
    </w:div>
    <w:div w:id="852231377">
      <w:bodyDiv w:val="1"/>
      <w:marLeft w:val="0"/>
      <w:marRight w:val="0"/>
      <w:marTop w:val="0"/>
      <w:marBottom w:val="0"/>
      <w:divBdr>
        <w:top w:val="none" w:sz="0" w:space="0" w:color="auto"/>
        <w:left w:val="none" w:sz="0" w:space="0" w:color="auto"/>
        <w:bottom w:val="none" w:sz="0" w:space="0" w:color="auto"/>
        <w:right w:val="none" w:sz="0" w:space="0" w:color="auto"/>
      </w:divBdr>
    </w:div>
    <w:div w:id="852499122">
      <w:bodyDiv w:val="1"/>
      <w:marLeft w:val="0"/>
      <w:marRight w:val="0"/>
      <w:marTop w:val="0"/>
      <w:marBottom w:val="0"/>
      <w:divBdr>
        <w:top w:val="none" w:sz="0" w:space="0" w:color="auto"/>
        <w:left w:val="none" w:sz="0" w:space="0" w:color="auto"/>
        <w:bottom w:val="none" w:sz="0" w:space="0" w:color="auto"/>
        <w:right w:val="none" w:sz="0" w:space="0" w:color="auto"/>
      </w:divBdr>
    </w:div>
    <w:div w:id="871260187">
      <w:bodyDiv w:val="1"/>
      <w:marLeft w:val="0"/>
      <w:marRight w:val="0"/>
      <w:marTop w:val="0"/>
      <w:marBottom w:val="0"/>
      <w:divBdr>
        <w:top w:val="none" w:sz="0" w:space="0" w:color="auto"/>
        <w:left w:val="none" w:sz="0" w:space="0" w:color="auto"/>
        <w:bottom w:val="none" w:sz="0" w:space="0" w:color="auto"/>
        <w:right w:val="none" w:sz="0" w:space="0" w:color="auto"/>
      </w:divBdr>
    </w:div>
    <w:div w:id="877744127">
      <w:bodyDiv w:val="1"/>
      <w:marLeft w:val="0"/>
      <w:marRight w:val="0"/>
      <w:marTop w:val="0"/>
      <w:marBottom w:val="0"/>
      <w:divBdr>
        <w:top w:val="none" w:sz="0" w:space="0" w:color="auto"/>
        <w:left w:val="none" w:sz="0" w:space="0" w:color="auto"/>
        <w:bottom w:val="none" w:sz="0" w:space="0" w:color="auto"/>
        <w:right w:val="none" w:sz="0" w:space="0" w:color="auto"/>
      </w:divBdr>
    </w:div>
    <w:div w:id="888537987">
      <w:bodyDiv w:val="1"/>
      <w:marLeft w:val="0"/>
      <w:marRight w:val="0"/>
      <w:marTop w:val="0"/>
      <w:marBottom w:val="0"/>
      <w:divBdr>
        <w:top w:val="none" w:sz="0" w:space="0" w:color="auto"/>
        <w:left w:val="none" w:sz="0" w:space="0" w:color="auto"/>
        <w:bottom w:val="none" w:sz="0" w:space="0" w:color="auto"/>
        <w:right w:val="none" w:sz="0" w:space="0" w:color="auto"/>
      </w:divBdr>
    </w:div>
    <w:div w:id="890843273">
      <w:bodyDiv w:val="1"/>
      <w:marLeft w:val="0"/>
      <w:marRight w:val="0"/>
      <w:marTop w:val="0"/>
      <w:marBottom w:val="0"/>
      <w:divBdr>
        <w:top w:val="none" w:sz="0" w:space="0" w:color="auto"/>
        <w:left w:val="none" w:sz="0" w:space="0" w:color="auto"/>
        <w:bottom w:val="none" w:sz="0" w:space="0" w:color="auto"/>
        <w:right w:val="none" w:sz="0" w:space="0" w:color="auto"/>
      </w:divBdr>
    </w:div>
    <w:div w:id="894662719">
      <w:bodyDiv w:val="1"/>
      <w:marLeft w:val="0"/>
      <w:marRight w:val="0"/>
      <w:marTop w:val="0"/>
      <w:marBottom w:val="0"/>
      <w:divBdr>
        <w:top w:val="none" w:sz="0" w:space="0" w:color="auto"/>
        <w:left w:val="none" w:sz="0" w:space="0" w:color="auto"/>
        <w:bottom w:val="none" w:sz="0" w:space="0" w:color="auto"/>
        <w:right w:val="none" w:sz="0" w:space="0" w:color="auto"/>
      </w:divBdr>
    </w:div>
    <w:div w:id="895433821">
      <w:bodyDiv w:val="1"/>
      <w:marLeft w:val="0"/>
      <w:marRight w:val="0"/>
      <w:marTop w:val="0"/>
      <w:marBottom w:val="0"/>
      <w:divBdr>
        <w:top w:val="none" w:sz="0" w:space="0" w:color="auto"/>
        <w:left w:val="none" w:sz="0" w:space="0" w:color="auto"/>
        <w:bottom w:val="none" w:sz="0" w:space="0" w:color="auto"/>
        <w:right w:val="none" w:sz="0" w:space="0" w:color="auto"/>
      </w:divBdr>
    </w:div>
    <w:div w:id="896548681">
      <w:bodyDiv w:val="1"/>
      <w:marLeft w:val="0"/>
      <w:marRight w:val="0"/>
      <w:marTop w:val="0"/>
      <w:marBottom w:val="0"/>
      <w:divBdr>
        <w:top w:val="none" w:sz="0" w:space="0" w:color="auto"/>
        <w:left w:val="none" w:sz="0" w:space="0" w:color="auto"/>
        <w:bottom w:val="none" w:sz="0" w:space="0" w:color="auto"/>
        <w:right w:val="none" w:sz="0" w:space="0" w:color="auto"/>
      </w:divBdr>
    </w:div>
    <w:div w:id="904339829">
      <w:bodyDiv w:val="1"/>
      <w:marLeft w:val="0"/>
      <w:marRight w:val="0"/>
      <w:marTop w:val="0"/>
      <w:marBottom w:val="0"/>
      <w:divBdr>
        <w:top w:val="none" w:sz="0" w:space="0" w:color="auto"/>
        <w:left w:val="none" w:sz="0" w:space="0" w:color="auto"/>
        <w:bottom w:val="none" w:sz="0" w:space="0" w:color="auto"/>
        <w:right w:val="none" w:sz="0" w:space="0" w:color="auto"/>
      </w:divBdr>
    </w:div>
    <w:div w:id="904922116">
      <w:bodyDiv w:val="1"/>
      <w:marLeft w:val="0"/>
      <w:marRight w:val="0"/>
      <w:marTop w:val="0"/>
      <w:marBottom w:val="0"/>
      <w:divBdr>
        <w:top w:val="none" w:sz="0" w:space="0" w:color="auto"/>
        <w:left w:val="none" w:sz="0" w:space="0" w:color="auto"/>
        <w:bottom w:val="none" w:sz="0" w:space="0" w:color="auto"/>
        <w:right w:val="none" w:sz="0" w:space="0" w:color="auto"/>
      </w:divBdr>
    </w:div>
    <w:div w:id="908003586">
      <w:marLeft w:val="0"/>
      <w:marRight w:val="0"/>
      <w:marTop w:val="0"/>
      <w:marBottom w:val="0"/>
      <w:divBdr>
        <w:top w:val="none" w:sz="0" w:space="0" w:color="auto"/>
        <w:left w:val="none" w:sz="0" w:space="0" w:color="auto"/>
        <w:bottom w:val="none" w:sz="0" w:space="0" w:color="auto"/>
        <w:right w:val="none" w:sz="0" w:space="0" w:color="auto"/>
      </w:divBdr>
    </w:div>
    <w:div w:id="908003587">
      <w:marLeft w:val="0"/>
      <w:marRight w:val="0"/>
      <w:marTop w:val="0"/>
      <w:marBottom w:val="0"/>
      <w:divBdr>
        <w:top w:val="none" w:sz="0" w:space="0" w:color="auto"/>
        <w:left w:val="none" w:sz="0" w:space="0" w:color="auto"/>
        <w:bottom w:val="none" w:sz="0" w:space="0" w:color="auto"/>
        <w:right w:val="none" w:sz="0" w:space="0" w:color="auto"/>
      </w:divBdr>
    </w:div>
    <w:div w:id="908003591">
      <w:marLeft w:val="0"/>
      <w:marRight w:val="0"/>
      <w:marTop w:val="0"/>
      <w:marBottom w:val="0"/>
      <w:divBdr>
        <w:top w:val="none" w:sz="0" w:space="0" w:color="auto"/>
        <w:left w:val="none" w:sz="0" w:space="0" w:color="auto"/>
        <w:bottom w:val="none" w:sz="0" w:space="0" w:color="auto"/>
        <w:right w:val="none" w:sz="0" w:space="0" w:color="auto"/>
      </w:divBdr>
    </w:div>
    <w:div w:id="908003592">
      <w:marLeft w:val="0"/>
      <w:marRight w:val="0"/>
      <w:marTop w:val="0"/>
      <w:marBottom w:val="0"/>
      <w:divBdr>
        <w:top w:val="none" w:sz="0" w:space="0" w:color="auto"/>
        <w:left w:val="none" w:sz="0" w:space="0" w:color="auto"/>
        <w:bottom w:val="none" w:sz="0" w:space="0" w:color="auto"/>
        <w:right w:val="none" w:sz="0" w:space="0" w:color="auto"/>
      </w:divBdr>
    </w:div>
    <w:div w:id="908003595">
      <w:marLeft w:val="0"/>
      <w:marRight w:val="0"/>
      <w:marTop w:val="0"/>
      <w:marBottom w:val="0"/>
      <w:divBdr>
        <w:top w:val="none" w:sz="0" w:space="0" w:color="auto"/>
        <w:left w:val="none" w:sz="0" w:space="0" w:color="auto"/>
        <w:bottom w:val="none" w:sz="0" w:space="0" w:color="auto"/>
        <w:right w:val="none" w:sz="0" w:space="0" w:color="auto"/>
      </w:divBdr>
    </w:div>
    <w:div w:id="908003596">
      <w:marLeft w:val="0"/>
      <w:marRight w:val="0"/>
      <w:marTop w:val="0"/>
      <w:marBottom w:val="0"/>
      <w:divBdr>
        <w:top w:val="none" w:sz="0" w:space="0" w:color="auto"/>
        <w:left w:val="none" w:sz="0" w:space="0" w:color="auto"/>
        <w:bottom w:val="none" w:sz="0" w:space="0" w:color="auto"/>
        <w:right w:val="none" w:sz="0" w:space="0" w:color="auto"/>
      </w:divBdr>
    </w:div>
    <w:div w:id="908003597">
      <w:marLeft w:val="0"/>
      <w:marRight w:val="0"/>
      <w:marTop w:val="0"/>
      <w:marBottom w:val="0"/>
      <w:divBdr>
        <w:top w:val="none" w:sz="0" w:space="0" w:color="auto"/>
        <w:left w:val="none" w:sz="0" w:space="0" w:color="auto"/>
        <w:bottom w:val="none" w:sz="0" w:space="0" w:color="auto"/>
        <w:right w:val="none" w:sz="0" w:space="0" w:color="auto"/>
      </w:divBdr>
    </w:div>
    <w:div w:id="908003598">
      <w:marLeft w:val="0"/>
      <w:marRight w:val="0"/>
      <w:marTop w:val="0"/>
      <w:marBottom w:val="0"/>
      <w:divBdr>
        <w:top w:val="none" w:sz="0" w:space="0" w:color="auto"/>
        <w:left w:val="none" w:sz="0" w:space="0" w:color="auto"/>
        <w:bottom w:val="none" w:sz="0" w:space="0" w:color="auto"/>
        <w:right w:val="none" w:sz="0" w:space="0" w:color="auto"/>
      </w:divBdr>
    </w:div>
    <w:div w:id="908003599">
      <w:marLeft w:val="0"/>
      <w:marRight w:val="0"/>
      <w:marTop w:val="0"/>
      <w:marBottom w:val="0"/>
      <w:divBdr>
        <w:top w:val="none" w:sz="0" w:space="0" w:color="auto"/>
        <w:left w:val="none" w:sz="0" w:space="0" w:color="auto"/>
        <w:bottom w:val="none" w:sz="0" w:space="0" w:color="auto"/>
        <w:right w:val="none" w:sz="0" w:space="0" w:color="auto"/>
      </w:divBdr>
    </w:div>
    <w:div w:id="908003600">
      <w:marLeft w:val="0"/>
      <w:marRight w:val="0"/>
      <w:marTop w:val="0"/>
      <w:marBottom w:val="0"/>
      <w:divBdr>
        <w:top w:val="none" w:sz="0" w:space="0" w:color="auto"/>
        <w:left w:val="none" w:sz="0" w:space="0" w:color="auto"/>
        <w:bottom w:val="none" w:sz="0" w:space="0" w:color="auto"/>
        <w:right w:val="none" w:sz="0" w:space="0" w:color="auto"/>
      </w:divBdr>
    </w:div>
    <w:div w:id="908003601">
      <w:marLeft w:val="0"/>
      <w:marRight w:val="0"/>
      <w:marTop w:val="0"/>
      <w:marBottom w:val="0"/>
      <w:divBdr>
        <w:top w:val="none" w:sz="0" w:space="0" w:color="auto"/>
        <w:left w:val="none" w:sz="0" w:space="0" w:color="auto"/>
        <w:bottom w:val="none" w:sz="0" w:space="0" w:color="auto"/>
        <w:right w:val="none" w:sz="0" w:space="0" w:color="auto"/>
      </w:divBdr>
    </w:div>
    <w:div w:id="908003602">
      <w:marLeft w:val="0"/>
      <w:marRight w:val="0"/>
      <w:marTop w:val="0"/>
      <w:marBottom w:val="0"/>
      <w:divBdr>
        <w:top w:val="none" w:sz="0" w:space="0" w:color="auto"/>
        <w:left w:val="none" w:sz="0" w:space="0" w:color="auto"/>
        <w:bottom w:val="none" w:sz="0" w:space="0" w:color="auto"/>
        <w:right w:val="none" w:sz="0" w:space="0" w:color="auto"/>
      </w:divBdr>
    </w:div>
    <w:div w:id="908003603">
      <w:marLeft w:val="0"/>
      <w:marRight w:val="0"/>
      <w:marTop w:val="0"/>
      <w:marBottom w:val="0"/>
      <w:divBdr>
        <w:top w:val="none" w:sz="0" w:space="0" w:color="auto"/>
        <w:left w:val="none" w:sz="0" w:space="0" w:color="auto"/>
        <w:bottom w:val="none" w:sz="0" w:space="0" w:color="auto"/>
        <w:right w:val="none" w:sz="0" w:space="0" w:color="auto"/>
      </w:divBdr>
      <w:divsChild>
        <w:div w:id="908003848">
          <w:marLeft w:val="0"/>
          <w:marRight w:val="0"/>
          <w:marTop w:val="0"/>
          <w:marBottom w:val="0"/>
          <w:divBdr>
            <w:top w:val="none" w:sz="0" w:space="0" w:color="auto"/>
            <w:left w:val="none" w:sz="0" w:space="0" w:color="auto"/>
            <w:bottom w:val="none" w:sz="0" w:space="0" w:color="auto"/>
            <w:right w:val="none" w:sz="0" w:space="0" w:color="auto"/>
          </w:divBdr>
        </w:div>
        <w:div w:id="908003852">
          <w:marLeft w:val="0"/>
          <w:marRight w:val="0"/>
          <w:marTop w:val="0"/>
          <w:marBottom w:val="0"/>
          <w:divBdr>
            <w:top w:val="none" w:sz="0" w:space="0" w:color="auto"/>
            <w:left w:val="none" w:sz="0" w:space="0" w:color="auto"/>
            <w:bottom w:val="none" w:sz="0" w:space="0" w:color="auto"/>
            <w:right w:val="none" w:sz="0" w:space="0" w:color="auto"/>
          </w:divBdr>
        </w:div>
      </w:divsChild>
    </w:div>
    <w:div w:id="908003604">
      <w:marLeft w:val="0"/>
      <w:marRight w:val="0"/>
      <w:marTop w:val="0"/>
      <w:marBottom w:val="0"/>
      <w:divBdr>
        <w:top w:val="none" w:sz="0" w:space="0" w:color="auto"/>
        <w:left w:val="none" w:sz="0" w:space="0" w:color="auto"/>
        <w:bottom w:val="none" w:sz="0" w:space="0" w:color="auto"/>
        <w:right w:val="none" w:sz="0" w:space="0" w:color="auto"/>
      </w:divBdr>
    </w:div>
    <w:div w:id="908003607">
      <w:marLeft w:val="0"/>
      <w:marRight w:val="0"/>
      <w:marTop w:val="0"/>
      <w:marBottom w:val="0"/>
      <w:divBdr>
        <w:top w:val="none" w:sz="0" w:space="0" w:color="auto"/>
        <w:left w:val="none" w:sz="0" w:space="0" w:color="auto"/>
        <w:bottom w:val="none" w:sz="0" w:space="0" w:color="auto"/>
        <w:right w:val="none" w:sz="0" w:space="0" w:color="auto"/>
      </w:divBdr>
    </w:div>
    <w:div w:id="908003608">
      <w:marLeft w:val="0"/>
      <w:marRight w:val="0"/>
      <w:marTop w:val="0"/>
      <w:marBottom w:val="0"/>
      <w:divBdr>
        <w:top w:val="none" w:sz="0" w:space="0" w:color="auto"/>
        <w:left w:val="none" w:sz="0" w:space="0" w:color="auto"/>
        <w:bottom w:val="none" w:sz="0" w:space="0" w:color="auto"/>
        <w:right w:val="none" w:sz="0" w:space="0" w:color="auto"/>
      </w:divBdr>
    </w:div>
    <w:div w:id="908003609">
      <w:marLeft w:val="0"/>
      <w:marRight w:val="0"/>
      <w:marTop w:val="0"/>
      <w:marBottom w:val="0"/>
      <w:divBdr>
        <w:top w:val="none" w:sz="0" w:space="0" w:color="auto"/>
        <w:left w:val="none" w:sz="0" w:space="0" w:color="auto"/>
        <w:bottom w:val="none" w:sz="0" w:space="0" w:color="auto"/>
        <w:right w:val="none" w:sz="0" w:space="0" w:color="auto"/>
      </w:divBdr>
    </w:div>
    <w:div w:id="908003612">
      <w:marLeft w:val="0"/>
      <w:marRight w:val="0"/>
      <w:marTop w:val="0"/>
      <w:marBottom w:val="0"/>
      <w:divBdr>
        <w:top w:val="none" w:sz="0" w:space="0" w:color="auto"/>
        <w:left w:val="none" w:sz="0" w:space="0" w:color="auto"/>
        <w:bottom w:val="none" w:sz="0" w:space="0" w:color="auto"/>
        <w:right w:val="none" w:sz="0" w:space="0" w:color="auto"/>
      </w:divBdr>
    </w:div>
    <w:div w:id="908003613">
      <w:marLeft w:val="0"/>
      <w:marRight w:val="0"/>
      <w:marTop w:val="0"/>
      <w:marBottom w:val="0"/>
      <w:divBdr>
        <w:top w:val="none" w:sz="0" w:space="0" w:color="auto"/>
        <w:left w:val="none" w:sz="0" w:space="0" w:color="auto"/>
        <w:bottom w:val="none" w:sz="0" w:space="0" w:color="auto"/>
        <w:right w:val="none" w:sz="0" w:space="0" w:color="auto"/>
      </w:divBdr>
    </w:div>
    <w:div w:id="908003614">
      <w:marLeft w:val="0"/>
      <w:marRight w:val="0"/>
      <w:marTop w:val="0"/>
      <w:marBottom w:val="0"/>
      <w:divBdr>
        <w:top w:val="none" w:sz="0" w:space="0" w:color="auto"/>
        <w:left w:val="none" w:sz="0" w:space="0" w:color="auto"/>
        <w:bottom w:val="none" w:sz="0" w:space="0" w:color="auto"/>
        <w:right w:val="none" w:sz="0" w:space="0" w:color="auto"/>
      </w:divBdr>
    </w:div>
    <w:div w:id="908003615">
      <w:marLeft w:val="0"/>
      <w:marRight w:val="0"/>
      <w:marTop w:val="0"/>
      <w:marBottom w:val="0"/>
      <w:divBdr>
        <w:top w:val="none" w:sz="0" w:space="0" w:color="auto"/>
        <w:left w:val="none" w:sz="0" w:space="0" w:color="auto"/>
        <w:bottom w:val="none" w:sz="0" w:space="0" w:color="auto"/>
        <w:right w:val="none" w:sz="0" w:space="0" w:color="auto"/>
      </w:divBdr>
    </w:div>
    <w:div w:id="908003616">
      <w:marLeft w:val="0"/>
      <w:marRight w:val="0"/>
      <w:marTop w:val="0"/>
      <w:marBottom w:val="0"/>
      <w:divBdr>
        <w:top w:val="none" w:sz="0" w:space="0" w:color="auto"/>
        <w:left w:val="none" w:sz="0" w:space="0" w:color="auto"/>
        <w:bottom w:val="none" w:sz="0" w:space="0" w:color="auto"/>
        <w:right w:val="none" w:sz="0" w:space="0" w:color="auto"/>
      </w:divBdr>
    </w:div>
    <w:div w:id="908003617">
      <w:marLeft w:val="0"/>
      <w:marRight w:val="0"/>
      <w:marTop w:val="0"/>
      <w:marBottom w:val="0"/>
      <w:divBdr>
        <w:top w:val="none" w:sz="0" w:space="0" w:color="auto"/>
        <w:left w:val="none" w:sz="0" w:space="0" w:color="auto"/>
        <w:bottom w:val="none" w:sz="0" w:space="0" w:color="auto"/>
        <w:right w:val="none" w:sz="0" w:space="0" w:color="auto"/>
      </w:divBdr>
    </w:div>
    <w:div w:id="908003619">
      <w:marLeft w:val="0"/>
      <w:marRight w:val="0"/>
      <w:marTop w:val="0"/>
      <w:marBottom w:val="0"/>
      <w:divBdr>
        <w:top w:val="none" w:sz="0" w:space="0" w:color="auto"/>
        <w:left w:val="none" w:sz="0" w:space="0" w:color="auto"/>
        <w:bottom w:val="none" w:sz="0" w:space="0" w:color="auto"/>
        <w:right w:val="none" w:sz="0" w:space="0" w:color="auto"/>
      </w:divBdr>
    </w:div>
    <w:div w:id="908003620">
      <w:marLeft w:val="0"/>
      <w:marRight w:val="0"/>
      <w:marTop w:val="0"/>
      <w:marBottom w:val="0"/>
      <w:divBdr>
        <w:top w:val="none" w:sz="0" w:space="0" w:color="auto"/>
        <w:left w:val="none" w:sz="0" w:space="0" w:color="auto"/>
        <w:bottom w:val="none" w:sz="0" w:space="0" w:color="auto"/>
        <w:right w:val="none" w:sz="0" w:space="0" w:color="auto"/>
      </w:divBdr>
      <w:divsChild>
        <w:div w:id="908003736">
          <w:marLeft w:val="0"/>
          <w:marRight w:val="0"/>
          <w:marTop w:val="0"/>
          <w:marBottom w:val="0"/>
          <w:divBdr>
            <w:top w:val="none" w:sz="0" w:space="0" w:color="auto"/>
            <w:left w:val="none" w:sz="0" w:space="0" w:color="auto"/>
            <w:bottom w:val="none" w:sz="0" w:space="0" w:color="auto"/>
            <w:right w:val="none" w:sz="0" w:space="0" w:color="auto"/>
          </w:divBdr>
        </w:div>
        <w:div w:id="908003751">
          <w:marLeft w:val="0"/>
          <w:marRight w:val="0"/>
          <w:marTop w:val="0"/>
          <w:marBottom w:val="0"/>
          <w:divBdr>
            <w:top w:val="none" w:sz="0" w:space="0" w:color="auto"/>
            <w:left w:val="none" w:sz="0" w:space="0" w:color="auto"/>
            <w:bottom w:val="none" w:sz="0" w:space="0" w:color="auto"/>
            <w:right w:val="none" w:sz="0" w:space="0" w:color="auto"/>
          </w:divBdr>
        </w:div>
        <w:div w:id="908003796">
          <w:marLeft w:val="0"/>
          <w:marRight w:val="0"/>
          <w:marTop w:val="0"/>
          <w:marBottom w:val="0"/>
          <w:divBdr>
            <w:top w:val="none" w:sz="0" w:space="0" w:color="auto"/>
            <w:left w:val="none" w:sz="0" w:space="0" w:color="auto"/>
            <w:bottom w:val="none" w:sz="0" w:space="0" w:color="auto"/>
            <w:right w:val="none" w:sz="0" w:space="0" w:color="auto"/>
          </w:divBdr>
        </w:div>
        <w:div w:id="908003882">
          <w:marLeft w:val="0"/>
          <w:marRight w:val="0"/>
          <w:marTop w:val="0"/>
          <w:marBottom w:val="0"/>
          <w:divBdr>
            <w:top w:val="none" w:sz="0" w:space="0" w:color="auto"/>
            <w:left w:val="none" w:sz="0" w:space="0" w:color="auto"/>
            <w:bottom w:val="none" w:sz="0" w:space="0" w:color="auto"/>
            <w:right w:val="none" w:sz="0" w:space="0" w:color="auto"/>
          </w:divBdr>
        </w:div>
        <w:div w:id="908003917">
          <w:marLeft w:val="0"/>
          <w:marRight w:val="0"/>
          <w:marTop w:val="0"/>
          <w:marBottom w:val="0"/>
          <w:divBdr>
            <w:top w:val="none" w:sz="0" w:space="0" w:color="auto"/>
            <w:left w:val="none" w:sz="0" w:space="0" w:color="auto"/>
            <w:bottom w:val="none" w:sz="0" w:space="0" w:color="auto"/>
            <w:right w:val="none" w:sz="0" w:space="0" w:color="auto"/>
          </w:divBdr>
        </w:div>
        <w:div w:id="908003934">
          <w:marLeft w:val="0"/>
          <w:marRight w:val="0"/>
          <w:marTop w:val="0"/>
          <w:marBottom w:val="0"/>
          <w:divBdr>
            <w:top w:val="none" w:sz="0" w:space="0" w:color="auto"/>
            <w:left w:val="none" w:sz="0" w:space="0" w:color="auto"/>
            <w:bottom w:val="none" w:sz="0" w:space="0" w:color="auto"/>
            <w:right w:val="none" w:sz="0" w:space="0" w:color="auto"/>
          </w:divBdr>
        </w:div>
      </w:divsChild>
    </w:div>
    <w:div w:id="908003621">
      <w:marLeft w:val="0"/>
      <w:marRight w:val="0"/>
      <w:marTop w:val="0"/>
      <w:marBottom w:val="0"/>
      <w:divBdr>
        <w:top w:val="none" w:sz="0" w:space="0" w:color="auto"/>
        <w:left w:val="none" w:sz="0" w:space="0" w:color="auto"/>
        <w:bottom w:val="none" w:sz="0" w:space="0" w:color="auto"/>
        <w:right w:val="none" w:sz="0" w:space="0" w:color="auto"/>
      </w:divBdr>
    </w:div>
    <w:div w:id="908003622">
      <w:marLeft w:val="0"/>
      <w:marRight w:val="0"/>
      <w:marTop w:val="0"/>
      <w:marBottom w:val="0"/>
      <w:divBdr>
        <w:top w:val="none" w:sz="0" w:space="0" w:color="auto"/>
        <w:left w:val="none" w:sz="0" w:space="0" w:color="auto"/>
        <w:bottom w:val="none" w:sz="0" w:space="0" w:color="auto"/>
        <w:right w:val="none" w:sz="0" w:space="0" w:color="auto"/>
      </w:divBdr>
    </w:div>
    <w:div w:id="908003623">
      <w:marLeft w:val="0"/>
      <w:marRight w:val="0"/>
      <w:marTop w:val="0"/>
      <w:marBottom w:val="0"/>
      <w:divBdr>
        <w:top w:val="none" w:sz="0" w:space="0" w:color="auto"/>
        <w:left w:val="none" w:sz="0" w:space="0" w:color="auto"/>
        <w:bottom w:val="none" w:sz="0" w:space="0" w:color="auto"/>
        <w:right w:val="none" w:sz="0" w:space="0" w:color="auto"/>
      </w:divBdr>
      <w:divsChild>
        <w:div w:id="908003712">
          <w:marLeft w:val="1800"/>
          <w:marRight w:val="0"/>
          <w:marTop w:val="53"/>
          <w:marBottom w:val="0"/>
          <w:divBdr>
            <w:top w:val="none" w:sz="0" w:space="0" w:color="auto"/>
            <w:left w:val="none" w:sz="0" w:space="0" w:color="auto"/>
            <w:bottom w:val="none" w:sz="0" w:space="0" w:color="auto"/>
            <w:right w:val="none" w:sz="0" w:space="0" w:color="auto"/>
          </w:divBdr>
        </w:div>
        <w:div w:id="908003759">
          <w:marLeft w:val="1800"/>
          <w:marRight w:val="0"/>
          <w:marTop w:val="53"/>
          <w:marBottom w:val="0"/>
          <w:divBdr>
            <w:top w:val="none" w:sz="0" w:space="0" w:color="auto"/>
            <w:left w:val="none" w:sz="0" w:space="0" w:color="auto"/>
            <w:bottom w:val="none" w:sz="0" w:space="0" w:color="auto"/>
            <w:right w:val="none" w:sz="0" w:space="0" w:color="auto"/>
          </w:divBdr>
        </w:div>
        <w:div w:id="908003836">
          <w:marLeft w:val="1800"/>
          <w:marRight w:val="0"/>
          <w:marTop w:val="53"/>
          <w:marBottom w:val="0"/>
          <w:divBdr>
            <w:top w:val="none" w:sz="0" w:space="0" w:color="auto"/>
            <w:left w:val="none" w:sz="0" w:space="0" w:color="auto"/>
            <w:bottom w:val="none" w:sz="0" w:space="0" w:color="auto"/>
            <w:right w:val="none" w:sz="0" w:space="0" w:color="auto"/>
          </w:divBdr>
        </w:div>
        <w:div w:id="908003862">
          <w:marLeft w:val="1800"/>
          <w:marRight w:val="0"/>
          <w:marTop w:val="53"/>
          <w:marBottom w:val="0"/>
          <w:divBdr>
            <w:top w:val="none" w:sz="0" w:space="0" w:color="auto"/>
            <w:left w:val="none" w:sz="0" w:space="0" w:color="auto"/>
            <w:bottom w:val="none" w:sz="0" w:space="0" w:color="auto"/>
            <w:right w:val="none" w:sz="0" w:space="0" w:color="auto"/>
          </w:divBdr>
        </w:div>
      </w:divsChild>
    </w:div>
    <w:div w:id="908003624">
      <w:marLeft w:val="0"/>
      <w:marRight w:val="0"/>
      <w:marTop w:val="0"/>
      <w:marBottom w:val="0"/>
      <w:divBdr>
        <w:top w:val="none" w:sz="0" w:space="0" w:color="auto"/>
        <w:left w:val="none" w:sz="0" w:space="0" w:color="auto"/>
        <w:bottom w:val="none" w:sz="0" w:space="0" w:color="auto"/>
        <w:right w:val="none" w:sz="0" w:space="0" w:color="auto"/>
      </w:divBdr>
    </w:div>
    <w:div w:id="908003626">
      <w:marLeft w:val="0"/>
      <w:marRight w:val="0"/>
      <w:marTop w:val="0"/>
      <w:marBottom w:val="0"/>
      <w:divBdr>
        <w:top w:val="none" w:sz="0" w:space="0" w:color="auto"/>
        <w:left w:val="none" w:sz="0" w:space="0" w:color="auto"/>
        <w:bottom w:val="none" w:sz="0" w:space="0" w:color="auto"/>
        <w:right w:val="none" w:sz="0" w:space="0" w:color="auto"/>
      </w:divBdr>
    </w:div>
    <w:div w:id="908003628">
      <w:marLeft w:val="0"/>
      <w:marRight w:val="0"/>
      <w:marTop w:val="0"/>
      <w:marBottom w:val="0"/>
      <w:divBdr>
        <w:top w:val="none" w:sz="0" w:space="0" w:color="auto"/>
        <w:left w:val="none" w:sz="0" w:space="0" w:color="auto"/>
        <w:bottom w:val="none" w:sz="0" w:space="0" w:color="auto"/>
        <w:right w:val="none" w:sz="0" w:space="0" w:color="auto"/>
      </w:divBdr>
    </w:div>
    <w:div w:id="908003629">
      <w:marLeft w:val="0"/>
      <w:marRight w:val="0"/>
      <w:marTop w:val="0"/>
      <w:marBottom w:val="0"/>
      <w:divBdr>
        <w:top w:val="none" w:sz="0" w:space="0" w:color="auto"/>
        <w:left w:val="none" w:sz="0" w:space="0" w:color="auto"/>
        <w:bottom w:val="none" w:sz="0" w:space="0" w:color="auto"/>
        <w:right w:val="none" w:sz="0" w:space="0" w:color="auto"/>
      </w:divBdr>
    </w:div>
    <w:div w:id="908003630">
      <w:marLeft w:val="0"/>
      <w:marRight w:val="0"/>
      <w:marTop w:val="0"/>
      <w:marBottom w:val="0"/>
      <w:divBdr>
        <w:top w:val="none" w:sz="0" w:space="0" w:color="auto"/>
        <w:left w:val="none" w:sz="0" w:space="0" w:color="auto"/>
        <w:bottom w:val="none" w:sz="0" w:space="0" w:color="auto"/>
        <w:right w:val="none" w:sz="0" w:space="0" w:color="auto"/>
      </w:divBdr>
    </w:div>
    <w:div w:id="908003632">
      <w:marLeft w:val="0"/>
      <w:marRight w:val="0"/>
      <w:marTop w:val="0"/>
      <w:marBottom w:val="0"/>
      <w:divBdr>
        <w:top w:val="none" w:sz="0" w:space="0" w:color="auto"/>
        <w:left w:val="none" w:sz="0" w:space="0" w:color="auto"/>
        <w:bottom w:val="none" w:sz="0" w:space="0" w:color="auto"/>
        <w:right w:val="none" w:sz="0" w:space="0" w:color="auto"/>
      </w:divBdr>
    </w:div>
    <w:div w:id="908003633">
      <w:marLeft w:val="0"/>
      <w:marRight w:val="0"/>
      <w:marTop w:val="0"/>
      <w:marBottom w:val="0"/>
      <w:divBdr>
        <w:top w:val="none" w:sz="0" w:space="0" w:color="auto"/>
        <w:left w:val="none" w:sz="0" w:space="0" w:color="auto"/>
        <w:bottom w:val="none" w:sz="0" w:space="0" w:color="auto"/>
        <w:right w:val="none" w:sz="0" w:space="0" w:color="auto"/>
      </w:divBdr>
    </w:div>
    <w:div w:id="908003634">
      <w:marLeft w:val="0"/>
      <w:marRight w:val="0"/>
      <w:marTop w:val="0"/>
      <w:marBottom w:val="0"/>
      <w:divBdr>
        <w:top w:val="none" w:sz="0" w:space="0" w:color="auto"/>
        <w:left w:val="none" w:sz="0" w:space="0" w:color="auto"/>
        <w:bottom w:val="none" w:sz="0" w:space="0" w:color="auto"/>
        <w:right w:val="none" w:sz="0" w:space="0" w:color="auto"/>
      </w:divBdr>
    </w:div>
    <w:div w:id="908003635">
      <w:marLeft w:val="0"/>
      <w:marRight w:val="0"/>
      <w:marTop w:val="0"/>
      <w:marBottom w:val="0"/>
      <w:divBdr>
        <w:top w:val="none" w:sz="0" w:space="0" w:color="auto"/>
        <w:left w:val="none" w:sz="0" w:space="0" w:color="auto"/>
        <w:bottom w:val="none" w:sz="0" w:space="0" w:color="auto"/>
        <w:right w:val="none" w:sz="0" w:space="0" w:color="auto"/>
      </w:divBdr>
    </w:div>
    <w:div w:id="908003636">
      <w:marLeft w:val="0"/>
      <w:marRight w:val="0"/>
      <w:marTop w:val="0"/>
      <w:marBottom w:val="0"/>
      <w:divBdr>
        <w:top w:val="none" w:sz="0" w:space="0" w:color="auto"/>
        <w:left w:val="none" w:sz="0" w:space="0" w:color="auto"/>
        <w:bottom w:val="none" w:sz="0" w:space="0" w:color="auto"/>
        <w:right w:val="none" w:sz="0" w:space="0" w:color="auto"/>
      </w:divBdr>
    </w:div>
    <w:div w:id="908003638">
      <w:marLeft w:val="0"/>
      <w:marRight w:val="0"/>
      <w:marTop w:val="0"/>
      <w:marBottom w:val="0"/>
      <w:divBdr>
        <w:top w:val="none" w:sz="0" w:space="0" w:color="auto"/>
        <w:left w:val="none" w:sz="0" w:space="0" w:color="auto"/>
        <w:bottom w:val="none" w:sz="0" w:space="0" w:color="auto"/>
        <w:right w:val="none" w:sz="0" w:space="0" w:color="auto"/>
      </w:divBdr>
    </w:div>
    <w:div w:id="908003639">
      <w:marLeft w:val="0"/>
      <w:marRight w:val="0"/>
      <w:marTop w:val="0"/>
      <w:marBottom w:val="0"/>
      <w:divBdr>
        <w:top w:val="none" w:sz="0" w:space="0" w:color="auto"/>
        <w:left w:val="none" w:sz="0" w:space="0" w:color="auto"/>
        <w:bottom w:val="none" w:sz="0" w:space="0" w:color="auto"/>
        <w:right w:val="none" w:sz="0" w:space="0" w:color="auto"/>
      </w:divBdr>
    </w:div>
    <w:div w:id="908003640">
      <w:marLeft w:val="0"/>
      <w:marRight w:val="0"/>
      <w:marTop w:val="0"/>
      <w:marBottom w:val="0"/>
      <w:divBdr>
        <w:top w:val="none" w:sz="0" w:space="0" w:color="auto"/>
        <w:left w:val="none" w:sz="0" w:space="0" w:color="auto"/>
        <w:bottom w:val="none" w:sz="0" w:space="0" w:color="auto"/>
        <w:right w:val="none" w:sz="0" w:space="0" w:color="auto"/>
      </w:divBdr>
    </w:div>
    <w:div w:id="908003641">
      <w:marLeft w:val="0"/>
      <w:marRight w:val="0"/>
      <w:marTop w:val="0"/>
      <w:marBottom w:val="0"/>
      <w:divBdr>
        <w:top w:val="none" w:sz="0" w:space="0" w:color="auto"/>
        <w:left w:val="none" w:sz="0" w:space="0" w:color="auto"/>
        <w:bottom w:val="none" w:sz="0" w:space="0" w:color="auto"/>
        <w:right w:val="none" w:sz="0" w:space="0" w:color="auto"/>
      </w:divBdr>
    </w:div>
    <w:div w:id="908003643">
      <w:marLeft w:val="0"/>
      <w:marRight w:val="0"/>
      <w:marTop w:val="0"/>
      <w:marBottom w:val="0"/>
      <w:divBdr>
        <w:top w:val="none" w:sz="0" w:space="0" w:color="auto"/>
        <w:left w:val="none" w:sz="0" w:space="0" w:color="auto"/>
        <w:bottom w:val="none" w:sz="0" w:space="0" w:color="auto"/>
        <w:right w:val="none" w:sz="0" w:space="0" w:color="auto"/>
      </w:divBdr>
    </w:div>
    <w:div w:id="908003644">
      <w:marLeft w:val="0"/>
      <w:marRight w:val="0"/>
      <w:marTop w:val="0"/>
      <w:marBottom w:val="0"/>
      <w:divBdr>
        <w:top w:val="none" w:sz="0" w:space="0" w:color="auto"/>
        <w:left w:val="none" w:sz="0" w:space="0" w:color="auto"/>
        <w:bottom w:val="none" w:sz="0" w:space="0" w:color="auto"/>
        <w:right w:val="none" w:sz="0" w:space="0" w:color="auto"/>
      </w:divBdr>
    </w:div>
    <w:div w:id="908003648">
      <w:marLeft w:val="0"/>
      <w:marRight w:val="0"/>
      <w:marTop w:val="0"/>
      <w:marBottom w:val="0"/>
      <w:divBdr>
        <w:top w:val="none" w:sz="0" w:space="0" w:color="auto"/>
        <w:left w:val="none" w:sz="0" w:space="0" w:color="auto"/>
        <w:bottom w:val="none" w:sz="0" w:space="0" w:color="auto"/>
        <w:right w:val="none" w:sz="0" w:space="0" w:color="auto"/>
      </w:divBdr>
    </w:div>
    <w:div w:id="908003649">
      <w:marLeft w:val="0"/>
      <w:marRight w:val="0"/>
      <w:marTop w:val="0"/>
      <w:marBottom w:val="0"/>
      <w:divBdr>
        <w:top w:val="none" w:sz="0" w:space="0" w:color="auto"/>
        <w:left w:val="none" w:sz="0" w:space="0" w:color="auto"/>
        <w:bottom w:val="none" w:sz="0" w:space="0" w:color="auto"/>
        <w:right w:val="none" w:sz="0" w:space="0" w:color="auto"/>
      </w:divBdr>
    </w:div>
    <w:div w:id="908003650">
      <w:marLeft w:val="0"/>
      <w:marRight w:val="0"/>
      <w:marTop w:val="0"/>
      <w:marBottom w:val="0"/>
      <w:divBdr>
        <w:top w:val="none" w:sz="0" w:space="0" w:color="auto"/>
        <w:left w:val="none" w:sz="0" w:space="0" w:color="auto"/>
        <w:bottom w:val="none" w:sz="0" w:space="0" w:color="auto"/>
        <w:right w:val="none" w:sz="0" w:space="0" w:color="auto"/>
      </w:divBdr>
    </w:div>
    <w:div w:id="908003651">
      <w:marLeft w:val="0"/>
      <w:marRight w:val="0"/>
      <w:marTop w:val="0"/>
      <w:marBottom w:val="0"/>
      <w:divBdr>
        <w:top w:val="none" w:sz="0" w:space="0" w:color="auto"/>
        <w:left w:val="none" w:sz="0" w:space="0" w:color="auto"/>
        <w:bottom w:val="none" w:sz="0" w:space="0" w:color="auto"/>
        <w:right w:val="none" w:sz="0" w:space="0" w:color="auto"/>
      </w:divBdr>
    </w:div>
    <w:div w:id="908003654">
      <w:marLeft w:val="0"/>
      <w:marRight w:val="0"/>
      <w:marTop w:val="0"/>
      <w:marBottom w:val="0"/>
      <w:divBdr>
        <w:top w:val="none" w:sz="0" w:space="0" w:color="auto"/>
        <w:left w:val="none" w:sz="0" w:space="0" w:color="auto"/>
        <w:bottom w:val="none" w:sz="0" w:space="0" w:color="auto"/>
        <w:right w:val="none" w:sz="0" w:space="0" w:color="auto"/>
      </w:divBdr>
    </w:div>
    <w:div w:id="908003655">
      <w:marLeft w:val="0"/>
      <w:marRight w:val="0"/>
      <w:marTop w:val="0"/>
      <w:marBottom w:val="0"/>
      <w:divBdr>
        <w:top w:val="none" w:sz="0" w:space="0" w:color="auto"/>
        <w:left w:val="none" w:sz="0" w:space="0" w:color="auto"/>
        <w:bottom w:val="none" w:sz="0" w:space="0" w:color="auto"/>
        <w:right w:val="none" w:sz="0" w:space="0" w:color="auto"/>
      </w:divBdr>
    </w:div>
    <w:div w:id="908003656">
      <w:marLeft w:val="0"/>
      <w:marRight w:val="0"/>
      <w:marTop w:val="0"/>
      <w:marBottom w:val="0"/>
      <w:divBdr>
        <w:top w:val="none" w:sz="0" w:space="0" w:color="auto"/>
        <w:left w:val="none" w:sz="0" w:space="0" w:color="auto"/>
        <w:bottom w:val="none" w:sz="0" w:space="0" w:color="auto"/>
        <w:right w:val="none" w:sz="0" w:space="0" w:color="auto"/>
      </w:divBdr>
    </w:div>
    <w:div w:id="908003657">
      <w:marLeft w:val="0"/>
      <w:marRight w:val="0"/>
      <w:marTop w:val="0"/>
      <w:marBottom w:val="0"/>
      <w:divBdr>
        <w:top w:val="none" w:sz="0" w:space="0" w:color="auto"/>
        <w:left w:val="none" w:sz="0" w:space="0" w:color="auto"/>
        <w:bottom w:val="none" w:sz="0" w:space="0" w:color="auto"/>
        <w:right w:val="none" w:sz="0" w:space="0" w:color="auto"/>
      </w:divBdr>
    </w:div>
    <w:div w:id="908003658">
      <w:marLeft w:val="0"/>
      <w:marRight w:val="0"/>
      <w:marTop w:val="0"/>
      <w:marBottom w:val="0"/>
      <w:divBdr>
        <w:top w:val="none" w:sz="0" w:space="0" w:color="auto"/>
        <w:left w:val="none" w:sz="0" w:space="0" w:color="auto"/>
        <w:bottom w:val="none" w:sz="0" w:space="0" w:color="auto"/>
        <w:right w:val="none" w:sz="0" w:space="0" w:color="auto"/>
      </w:divBdr>
    </w:div>
    <w:div w:id="908003659">
      <w:marLeft w:val="0"/>
      <w:marRight w:val="0"/>
      <w:marTop w:val="0"/>
      <w:marBottom w:val="0"/>
      <w:divBdr>
        <w:top w:val="none" w:sz="0" w:space="0" w:color="auto"/>
        <w:left w:val="none" w:sz="0" w:space="0" w:color="auto"/>
        <w:bottom w:val="none" w:sz="0" w:space="0" w:color="auto"/>
        <w:right w:val="none" w:sz="0" w:space="0" w:color="auto"/>
      </w:divBdr>
    </w:div>
    <w:div w:id="908003660">
      <w:marLeft w:val="0"/>
      <w:marRight w:val="0"/>
      <w:marTop w:val="0"/>
      <w:marBottom w:val="0"/>
      <w:divBdr>
        <w:top w:val="none" w:sz="0" w:space="0" w:color="auto"/>
        <w:left w:val="none" w:sz="0" w:space="0" w:color="auto"/>
        <w:bottom w:val="none" w:sz="0" w:space="0" w:color="auto"/>
        <w:right w:val="none" w:sz="0" w:space="0" w:color="auto"/>
      </w:divBdr>
    </w:div>
    <w:div w:id="908003661">
      <w:marLeft w:val="0"/>
      <w:marRight w:val="0"/>
      <w:marTop w:val="0"/>
      <w:marBottom w:val="0"/>
      <w:divBdr>
        <w:top w:val="none" w:sz="0" w:space="0" w:color="auto"/>
        <w:left w:val="none" w:sz="0" w:space="0" w:color="auto"/>
        <w:bottom w:val="none" w:sz="0" w:space="0" w:color="auto"/>
        <w:right w:val="none" w:sz="0" w:space="0" w:color="auto"/>
      </w:divBdr>
    </w:div>
    <w:div w:id="908003662">
      <w:marLeft w:val="0"/>
      <w:marRight w:val="0"/>
      <w:marTop w:val="0"/>
      <w:marBottom w:val="0"/>
      <w:divBdr>
        <w:top w:val="none" w:sz="0" w:space="0" w:color="auto"/>
        <w:left w:val="none" w:sz="0" w:space="0" w:color="auto"/>
        <w:bottom w:val="none" w:sz="0" w:space="0" w:color="auto"/>
        <w:right w:val="none" w:sz="0" w:space="0" w:color="auto"/>
      </w:divBdr>
    </w:div>
    <w:div w:id="908003663">
      <w:marLeft w:val="0"/>
      <w:marRight w:val="0"/>
      <w:marTop w:val="0"/>
      <w:marBottom w:val="0"/>
      <w:divBdr>
        <w:top w:val="none" w:sz="0" w:space="0" w:color="auto"/>
        <w:left w:val="none" w:sz="0" w:space="0" w:color="auto"/>
        <w:bottom w:val="none" w:sz="0" w:space="0" w:color="auto"/>
        <w:right w:val="none" w:sz="0" w:space="0" w:color="auto"/>
      </w:divBdr>
    </w:div>
    <w:div w:id="908003664">
      <w:marLeft w:val="0"/>
      <w:marRight w:val="0"/>
      <w:marTop w:val="0"/>
      <w:marBottom w:val="0"/>
      <w:divBdr>
        <w:top w:val="none" w:sz="0" w:space="0" w:color="auto"/>
        <w:left w:val="none" w:sz="0" w:space="0" w:color="auto"/>
        <w:bottom w:val="none" w:sz="0" w:space="0" w:color="auto"/>
        <w:right w:val="none" w:sz="0" w:space="0" w:color="auto"/>
      </w:divBdr>
    </w:div>
    <w:div w:id="908003665">
      <w:marLeft w:val="0"/>
      <w:marRight w:val="0"/>
      <w:marTop w:val="0"/>
      <w:marBottom w:val="0"/>
      <w:divBdr>
        <w:top w:val="none" w:sz="0" w:space="0" w:color="auto"/>
        <w:left w:val="none" w:sz="0" w:space="0" w:color="auto"/>
        <w:bottom w:val="none" w:sz="0" w:space="0" w:color="auto"/>
        <w:right w:val="none" w:sz="0" w:space="0" w:color="auto"/>
      </w:divBdr>
    </w:div>
    <w:div w:id="908003667">
      <w:marLeft w:val="0"/>
      <w:marRight w:val="0"/>
      <w:marTop w:val="0"/>
      <w:marBottom w:val="0"/>
      <w:divBdr>
        <w:top w:val="none" w:sz="0" w:space="0" w:color="auto"/>
        <w:left w:val="none" w:sz="0" w:space="0" w:color="auto"/>
        <w:bottom w:val="none" w:sz="0" w:space="0" w:color="auto"/>
        <w:right w:val="none" w:sz="0" w:space="0" w:color="auto"/>
      </w:divBdr>
    </w:div>
    <w:div w:id="908003668">
      <w:marLeft w:val="0"/>
      <w:marRight w:val="0"/>
      <w:marTop w:val="0"/>
      <w:marBottom w:val="0"/>
      <w:divBdr>
        <w:top w:val="none" w:sz="0" w:space="0" w:color="auto"/>
        <w:left w:val="none" w:sz="0" w:space="0" w:color="auto"/>
        <w:bottom w:val="none" w:sz="0" w:space="0" w:color="auto"/>
        <w:right w:val="none" w:sz="0" w:space="0" w:color="auto"/>
      </w:divBdr>
    </w:div>
    <w:div w:id="908003670">
      <w:marLeft w:val="0"/>
      <w:marRight w:val="0"/>
      <w:marTop w:val="0"/>
      <w:marBottom w:val="0"/>
      <w:divBdr>
        <w:top w:val="none" w:sz="0" w:space="0" w:color="auto"/>
        <w:left w:val="none" w:sz="0" w:space="0" w:color="auto"/>
        <w:bottom w:val="none" w:sz="0" w:space="0" w:color="auto"/>
        <w:right w:val="none" w:sz="0" w:space="0" w:color="auto"/>
      </w:divBdr>
    </w:div>
    <w:div w:id="908003672">
      <w:marLeft w:val="0"/>
      <w:marRight w:val="0"/>
      <w:marTop w:val="0"/>
      <w:marBottom w:val="0"/>
      <w:divBdr>
        <w:top w:val="none" w:sz="0" w:space="0" w:color="auto"/>
        <w:left w:val="none" w:sz="0" w:space="0" w:color="auto"/>
        <w:bottom w:val="none" w:sz="0" w:space="0" w:color="auto"/>
        <w:right w:val="none" w:sz="0" w:space="0" w:color="auto"/>
      </w:divBdr>
    </w:div>
    <w:div w:id="908003675">
      <w:marLeft w:val="0"/>
      <w:marRight w:val="0"/>
      <w:marTop w:val="0"/>
      <w:marBottom w:val="0"/>
      <w:divBdr>
        <w:top w:val="none" w:sz="0" w:space="0" w:color="auto"/>
        <w:left w:val="none" w:sz="0" w:space="0" w:color="auto"/>
        <w:bottom w:val="none" w:sz="0" w:space="0" w:color="auto"/>
        <w:right w:val="none" w:sz="0" w:space="0" w:color="auto"/>
      </w:divBdr>
    </w:div>
    <w:div w:id="908003676">
      <w:marLeft w:val="0"/>
      <w:marRight w:val="0"/>
      <w:marTop w:val="0"/>
      <w:marBottom w:val="0"/>
      <w:divBdr>
        <w:top w:val="none" w:sz="0" w:space="0" w:color="auto"/>
        <w:left w:val="none" w:sz="0" w:space="0" w:color="auto"/>
        <w:bottom w:val="none" w:sz="0" w:space="0" w:color="auto"/>
        <w:right w:val="none" w:sz="0" w:space="0" w:color="auto"/>
      </w:divBdr>
    </w:div>
    <w:div w:id="908003677">
      <w:marLeft w:val="0"/>
      <w:marRight w:val="0"/>
      <w:marTop w:val="0"/>
      <w:marBottom w:val="0"/>
      <w:divBdr>
        <w:top w:val="none" w:sz="0" w:space="0" w:color="auto"/>
        <w:left w:val="none" w:sz="0" w:space="0" w:color="auto"/>
        <w:bottom w:val="none" w:sz="0" w:space="0" w:color="auto"/>
        <w:right w:val="none" w:sz="0" w:space="0" w:color="auto"/>
      </w:divBdr>
    </w:div>
    <w:div w:id="908003678">
      <w:marLeft w:val="0"/>
      <w:marRight w:val="0"/>
      <w:marTop w:val="0"/>
      <w:marBottom w:val="0"/>
      <w:divBdr>
        <w:top w:val="none" w:sz="0" w:space="0" w:color="auto"/>
        <w:left w:val="none" w:sz="0" w:space="0" w:color="auto"/>
        <w:bottom w:val="none" w:sz="0" w:space="0" w:color="auto"/>
        <w:right w:val="none" w:sz="0" w:space="0" w:color="auto"/>
      </w:divBdr>
    </w:div>
    <w:div w:id="908003679">
      <w:marLeft w:val="0"/>
      <w:marRight w:val="0"/>
      <w:marTop w:val="0"/>
      <w:marBottom w:val="0"/>
      <w:divBdr>
        <w:top w:val="none" w:sz="0" w:space="0" w:color="auto"/>
        <w:left w:val="none" w:sz="0" w:space="0" w:color="auto"/>
        <w:bottom w:val="none" w:sz="0" w:space="0" w:color="auto"/>
        <w:right w:val="none" w:sz="0" w:space="0" w:color="auto"/>
      </w:divBdr>
    </w:div>
    <w:div w:id="908003681">
      <w:marLeft w:val="0"/>
      <w:marRight w:val="0"/>
      <w:marTop w:val="0"/>
      <w:marBottom w:val="0"/>
      <w:divBdr>
        <w:top w:val="none" w:sz="0" w:space="0" w:color="auto"/>
        <w:left w:val="none" w:sz="0" w:space="0" w:color="auto"/>
        <w:bottom w:val="none" w:sz="0" w:space="0" w:color="auto"/>
        <w:right w:val="none" w:sz="0" w:space="0" w:color="auto"/>
      </w:divBdr>
    </w:div>
    <w:div w:id="908003682">
      <w:marLeft w:val="0"/>
      <w:marRight w:val="0"/>
      <w:marTop w:val="0"/>
      <w:marBottom w:val="0"/>
      <w:divBdr>
        <w:top w:val="none" w:sz="0" w:space="0" w:color="auto"/>
        <w:left w:val="none" w:sz="0" w:space="0" w:color="auto"/>
        <w:bottom w:val="none" w:sz="0" w:space="0" w:color="auto"/>
        <w:right w:val="none" w:sz="0" w:space="0" w:color="auto"/>
      </w:divBdr>
    </w:div>
    <w:div w:id="908003683">
      <w:marLeft w:val="0"/>
      <w:marRight w:val="0"/>
      <w:marTop w:val="0"/>
      <w:marBottom w:val="0"/>
      <w:divBdr>
        <w:top w:val="none" w:sz="0" w:space="0" w:color="auto"/>
        <w:left w:val="none" w:sz="0" w:space="0" w:color="auto"/>
        <w:bottom w:val="none" w:sz="0" w:space="0" w:color="auto"/>
        <w:right w:val="none" w:sz="0" w:space="0" w:color="auto"/>
      </w:divBdr>
    </w:div>
    <w:div w:id="908003684">
      <w:marLeft w:val="0"/>
      <w:marRight w:val="0"/>
      <w:marTop w:val="0"/>
      <w:marBottom w:val="0"/>
      <w:divBdr>
        <w:top w:val="none" w:sz="0" w:space="0" w:color="auto"/>
        <w:left w:val="none" w:sz="0" w:space="0" w:color="auto"/>
        <w:bottom w:val="none" w:sz="0" w:space="0" w:color="auto"/>
        <w:right w:val="none" w:sz="0" w:space="0" w:color="auto"/>
      </w:divBdr>
    </w:div>
    <w:div w:id="908003685">
      <w:marLeft w:val="0"/>
      <w:marRight w:val="0"/>
      <w:marTop w:val="0"/>
      <w:marBottom w:val="0"/>
      <w:divBdr>
        <w:top w:val="none" w:sz="0" w:space="0" w:color="auto"/>
        <w:left w:val="none" w:sz="0" w:space="0" w:color="auto"/>
        <w:bottom w:val="none" w:sz="0" w:space="0" w:color="auto"/>
        <w:right w:val="none" w:sz="0" w:space="0" w:color="auto"/>
      </w:divBdr>
    </w:div>
    <w:div w:id="908003686">
      <w:marLeft w:val="0"/>
      <w:marRight w:val="0"/>
      <w:marTop w:val="0"/>
      <w:marBottom w:val="0"/>
      <w:divBdr>
        <w:top w:val="none" w:sz="0" w:space="0" w:color="auto"/>
        <w:left w:val="none" w:sz="0" w:space="0" w:color="auto"/>
        <w:bottom w:val="none" w:sz="0" w:space="0" w:color="auto"/>
        <w:right w:val="none" w:sz="0" w:space="0" w:color="auto"/>
      </w:divBdr>
    </w:div>
    <w:div w:id="908003687">
      <w:marLeft w:val="0"/>
      <w:marRight w:val="0"/>
      <w:marTop w:val="0"/>
      <w:marBottom w:val="0"/>
      <w:divBdr>
        <w:top w:val="none" w:sz="0" w:space="0" w:color="auto"/>
        <w:left w:val="none" w:sz="0" w:space="0" w:color="auto"/>
        <w:bottom w:val="none" w:sz="0" w:space="0" w:color="auto"/>
        <w:right w:val="none" w:sz="0" w:space="0" w:color="auto"/>
      </w:divBdr>
    </w:div>
    <w:div w:id="908003688">
      <w:marLeft w:val="0"/>
      <w:marRight w:val="0"/>
      <w:marTop w:val="0"/>
      <w:marBottom w:val="0"/>
      <w:divBdr>
        <w:top w:val="none" w:sz="0" w:space="0" w:color="auto"/>
        <w:left w:val="none" w:sz="0" w:space="0" w:color="auto"/>
        <w:bottom w:val="none" w:sz="0" w:space="0" w:color="auto"/>
        <w:right w:val="none" w:sz="0" w:space="0" w:color="auto"/>
      </w:divBdr>
    </w:div>
    <w:div w:id="908003689">
      <w:marLeft w:val="0"/>
      <w:marRight w:val="0"/>
      <w:marTop w:val="0"/>
      <w:marBottom w:val="0"/>
      <w:divBdr>
        <w:top w:val="none" w:sz="0" w:space="0" w:color="auto"/>
        <w:left w:val="none" w:sz="0" w:space="0" w:color="auto"/>
        <w:bottom w:val="none" w:sz="0" w:space="0" w:color="auto"/>
        <w:right w:val="none" w:sz="0" w:space="0" w:color="auto"/>
      </w:divBdr>
    </w:div>
    <w:div w:id="908003690">
      <w:marLeft w:val="0"/>
      <w:marRight w:val="0"/>
      <w:marTop w:val="0"/>
      <w:marBottom w:val="0"/>
      <w:divBdr>
        <w:top w:val="none" w:sz="0" w:space="0" w:color="auto"/>
        <w:left w:val="none" w:sz="0" w:space="0" w:color="auto"/>
        <w:bottom w:val="none" w:sz="0" w:space="0" w:color="auto"/>
        <w:right w:val="none" w:sz="0" w:space="0" w:color="auto"/>
      </w:divBdr>
    </w:div>
    <w:div w:id="908003691">
      <w:marLeft w:val="0"/>
      <w:marRight w:val="0"/>
      <w:marTop w:val="0"/>
      <w:marBottom w:val="0"/>
      <w:divBdr>
        <w:top w:val="none" w:sz="0" w:space="0" w:color="auto"/>
        <w:left w:val="none" w:sz="0" w:space="0" w:color="auto"/>
        <w:bottom w:val="none" w:sz="0" w:space="0" w:color="auto"/>
        <w:right w:val="none" w:sz="0" w:space="0" w:color="auto"/>
      </w:divBdr>
    </w:div>
    <w:div w:id="908003694">
      <w:marLeft w:val="0"/>
      <w:marRight w:val="0"/>
      <w:marTop w:val="0"/>
      <w:marBottom w:val="0"/>
      <w:divBdr>
        <w:top w:val="none" w:sz="0" w:space="0" w:color="auto"/>
        <w:left w:val="none" w:sz="0" w:space="0" w:color="auto"/>
        <w:bottom w:val="none" w:sz="0" w:space="0" w:color="auto"/>
        <w:right w:val="none" w:sz="0" w:space="0" w:color="auto"/>
      </w:divBdr>
    </w:div>
    <w:div w:id="908003696">
      <w:marLeft w:val="0"/>
      <w:marRight w:val="0"/>
      <w:marTop w:val="0"/>
      <w:marBottom w:val="0"/>
      <w:divBdr>
        <w:top w:val="none" w:sz="0" w:space="0" w:color="auto"/>
        <w:left w:val="none" w:sz="0" w:space="0" w:color="auto"/>
        <w:bottom w:val="none" w:sz="0" w:space="0" w:color="auto"/>
        <w:right w:val="none" w:sz="0" w:space="0" w:color="auto"/>
      </w:divBdr>
    </w:div>
    <w:div w:id="908003698">
      <w:marLeft w:val="0"/>
      <w:marRight w:val="0"/>
      <w:marTop w:val="0"/>
      <w:marBottom w:val="0"/>
      <w:divBdr>
        <w:top w:val="none" w:sz="0" w:space="0" w:color="auto"/>
        <w:left w:val="none" w:sz="0" w:space="0" w:color="auto"/>
        <w:bottom w:val="none" w:sz="0" w:space="0" w:color="auto"/>
        <w:right w:val="none" w:sz="0" w:space="0" w:color="auto"/>
      </w:divBdr>
    </w:div>
    <w:div w:id="908003699">
      <w:marLeft w:val="0"/>
      <w:marRight w:val="0"/>
      <w:marTop w:val="0"/>
      <w:marBottom w:val="0"/>
      <w:divBdr>
        <w:top w:val="none" w:sz="0" w:space="0" w:color="auto"/>
        <w:left w:val="none" w:sz="0" w:space="0" w:color="auto"/>
        <w:bottom w:val="none" w:sz="0" w:space="0" w:color="auto"/>
        <w:right w:val="none" w:sz="0" w:space="0" w:color="auto"/>
      </w:divBdr>
    </w:div>
    <w:div w:id="908003700">
      <w:marLeft w:val="0"/>
      <w:marRight w:val="0"/>
      <w:marTop w:val="0"/>
      <w:marBottom w:val="0"/>
      <w:divBdr>
        <w:top w:val="none" w:sz="0" w:space="0" w:color="auto"/>
        <w:left w:val="none" w:sz="0" w:space="0" w:color="auto"/>
        <w:bottom w:val="none" w:sz="0" w:space="0" w:color="auto"/>
        <w:right w:val="none" w:sz="0" w:space="0" w:color="auto"/>
      </w:divBdr>
    </w:div>
    <w:div w:id="908003701">
      <w:marLeft w:val="0"/>
      <w:marRight w:val="0"/>
      <w:marTop w:val="0"/>
      <w:marBottom w:val="0"/>
      <w:divBdr>
        <w:top w:val="none" w:sz="0" w:space="0" w:color="auto"/>
        <w:left w:val="none" w:sz="0" w:space="0" w:color="auto"/>
        <w:bottom w:val="none" w:sz="0" w:space="0" w:color="auto"/>
        <w:right w:val="none" w:sz="0" w:space="0" w:color="auto"/>
      </w:divBdr>
    </w:div>
    <w:div w:id="908003702">
      <w:marLeft w:val="0"/>
      <w:marRight w:val="0"/>
      <w:marTop w:val="0"/>
      <w:marBottom w:val="0"/>
      <w:divBdr>
        <w:top w:val="none" w:sz="0" w:space="0" w:color="auto"/>
        <w:left w:val="none" w:sz="0" w:space="0" w:color="auto"/>
        <w:bottom w:val="none" w:sz="0" w:space="0" w:color="auto"/>
        <w:right w:val="none" w:sz="0" w:space="0" w:color="auto"/>
      </w:divBdr>
    </w:div>
    <w:div w:id="908003704">
      <w:marLeft w:val="0"/>
      <w:marRight w:val="0"/>
      <w:marTop w:val="0"/>
      <w:marBottom w:val="0"/>
      <w:divBdr>
        <w:top w:val="none" w:sz="0" w:space="0" w:color="auto"/>
        <w:left w:val="none" w:sz="0" w:space="0" w:color="auto"/>
        <w:bottom w:val="none" w:sz="0" w:space="0" w:color="auto"/>
        <w:right w:val="none" w:sz="0" w:space="0" w:color="auto"/>
      </w:divBdr>
      <w:divsChild>
        <w:div w:id="908003594">
          <w:marLeft w:val="0"/>
          <w:marRight w:val="0"/>
          <w:marTop w:val="0"/>
          <w:marBottom w:val="0"/>
          <w:divBdr>
            <w:top w:val="none" w:sz="0" w:space="0" w:color="auto"/>
            <w:left w:val="none" w:sz="0" w:space="0" w:color="auto"/>
            <w:bottom w:val="none" w:sz="0" w:space="0" w:color="auto"/>
            <w:right w:val="none" w:sz="0" w:space="0" w:color="auto"/>
          </w:divBdr>
        </w:div>
        <w:div w:id="908003606">
          <w:marLeft w:val="0"/>
          <w:marRight w:val="0"/>
          <w:marTop w:val="0"/>
          <w:marBottom w:val="0"/>
          <w:divBdr>
            <w:top w:val="none" w:sz="0" w:space="0" w:color="auto"/>
            <w:left w:val="none" w:sz="0" w:space="0" w:color="auto"/>
            <w:bottom w:val="none" w:sz="0" w:space="0" w:color="auto"/>
            <w:right w:val="none" w:sz="0" w:space="0" w:color="auto"/>
          </w:divBdr>
        </w:div>
        <w:div w:id="908003645">
          <w:marLeft w:val="0"/>
          <w:marRight w:val="0"/>
          <w:marTop w:val="0"/>
          <w:marBottom w:val="0"/>
          <w:divBdr>
            <w:top w:val="none" w:sz="0" w:space="0" w:color="auto"/>
            <w:left w:val="none" w:sz="0" w:space="0" w:color="auto"/>
            <w:bottom w:val="none" w:sz="0" w:space="0" w:color="auto"/>
            <w:right w:val="none" w:sz="0" w:space="0" w:color="auto"/>
          </w:divBdr>
        </w:div>
        <w:div w:id="908003693">
          <w:marLeft w:val="0"/>
          <w:marRight w:val="0"/>
          <w:marTop w:val="0"/>
          <w:marBottom w:val="0"/>
          <w:divBdr>
            <w:top w:val="none" w:sz="0" w:space="0" w:color="auto"/>
            <w:left w:val="none" w:sz="0" w:space="0" w:color="auto"/>
            <w:bottom w:val="none" w:sz="0" w:space="0" w:color="auto"/>
            <w:right w:val="none" w:sz="0" w:space="0" w:color="auto"/>
          </w:divBdr>
        </w:div>
        <w:div w:id="908003703">
          <w:marLeft w:val="0"/>
          <w:marRight w:val="0"/>
          <w:marTop w:val="0"/>
          <w:marBottom w:val="0"/>
          <w:divBdr>
            <w:top w:val="none" w:sz="0" w:space="0" w:color="auto"/>
            <w:left w:val="none" w:sz="0" w:space="0" w:color="auto"/>
            <w:bottom w:val="none" w:sz="0" w:space="0" w:color="auto"/>
            <w:right w:val="none" w:sz="0" w:space="0" w:color="auto"/>
          </w:divBdr>
        </w:div>
        <w:div w:id="908003730">
          <w:marLeft w:val="0"/>
          <w:marRight w:val="0"/>
          <w:marTop w:val="0"/>
          <w:marBottom w:val="0"/>
          <w:divBdr>
            <w:top w:val="none" w:sz="0" w:space="0" w:color="auto"/>
            <w:left w:val="none" w:sz="0" w:space="0" w:color="auto"/>
            <w:bottom w:val="none" w:sz="0" w:space="0" w:color="auto"/>
            <w:right w:val="none" w:sz="0" w:space="0" w:color="auto"/>
          </w:divBdr>
        </w:div>
        <w:div w:id="908003738">
          <w:marLeft w:val="0"/>
          <w:marRight w:val="0"/>
          <w:marTop w:val="0"/>
          <w:marBottom w:val="0"/>
          <w:divBdr>
            <w:top w:val="none" w:sz="0" w:space="0" w:color="auto"/>
            <w:left w:val="none" w:sz="0" w:space="0" w:color="auto"/>
            <w:bottom w:val="none" w:sz="0" w:space="0" w:color="auto"/>
            <w:right w:val="none" w:sz="0" w:space="0" w:color="auto"/>
          </w:divBdr>
        </w:div>
        <w:div w:id="908003760">
          <w:marLeft w:val="0"/>
          <w:marRight w:val="0"/>
          <w:marTop w:val="0"/>
          <w:marBottom w:val="0"/>
          <w:divBdr>
            <w:top w:val="none" w:sz="0" w:space="0" w:color="auto"/>
            <w:left w:val="none" w:sz="0" w:space="0" w:color="auto"/>
            <w:bottom w:val="none" w:sz="0" w:space="0" w:color="auto"/>
            <w:right w:val="none" w:sz="0" w:space="0" w:color="auto"/>
          </w:divBdr>
        </w:div>
        <w:div w:id="908003767">
          <w:marLeft w:val="0"/>
          <w:marRight w:val="0"/>
          <w:marTop w:val="0"/>
          <w:marBottom w:val="0"/>
          <w:divBdr>
            <w:top w:val="none" w:sz="0" w:space="0" w:color="auto"/>
            <w:left w:val="none" w:sz="0" w:space="0" w:color="auto"/>
            <w:bottom w:val="none" w:sz="0" w:space="0" w:color="auto"/>
            <w:right w:val="none" w:sz="0" w:space="0" w:color="auto"/>
          </w:divBdr>
        </w:div>
        <w:div w:id="908003786">
          <w:marLeft w:val="0"/>
          <w:marRight w:val="0"/>
          <w:marTop w:val="0"/>
          <w:marBottom w:val="0"/>
          <w:divBdr>
            <w:top w:val="none" w:sz="0" w:space="0" w:color="auto"/>
            <w:left w:val="none" w:sz="0" w:space="0" w:color="auto"/>
            <w:bottom w:val="none" w:sz="0" w:space="0" w:color="auto"/>
            <w:right w:val="none" w:sz="0" w:space="0" w:color="auto"/>
          </w:divBdr>
        </w:div>
        <w:div w:id="908003798">
          <w:marLeft w:val="0"/>
          <w:marRight w:val="0"/>
          <w:marTop w:val="0"/>
          <w:marBottom w:val="0"/>
          <w:divBdr>
            <w:top w:val="none" w:sz="0" w:space="0" w:color="auto"/>
            <w:left w:val="none" w:sz="0" w:space="0" w:color="auto"/>
            <w:bottom w:val="none" w:sz="0" w:space="0" w:color="auto"/>
            <w:right w:val="none" w:sz="0" w:space="0" w:color="auto"/>
          </w:divBdr>
        </w:div>
        <w:div w:id="908003837">
          <w:marLeft w:val="0"/>
          <w:marRight w:val="0"/>
          <w:marTop w:val="0"/>
          <w:marBottom w:val="0"/>
          <w:divBdr>
            <w:top w:val="none" w:sz="0" w:space="0" w:color="auto"/>
            <w:left w:val="none" w:sz="0" w:space="0" w:color="auto"/>
            <w:bottom w:val="none" w:sz="0" w:space="0" w:color="auto"/>
            <w:right w:val="none" w:sz="0" w:space="0" w:color="auto"/>
          </w:divBdr>
        </w:div>
        <w:div w:id="908003849">
          <w:marLeft w:val="0"/>
          <w:marRight w:val="0"/>
          <w:marTop w:val="0"/>
          <w:marBottom w:val="0"/>
          <w:divBdr>
            <w:top w:val="none" w:sz="0" w:space="0" w:color="auto"/>
            <w:left w:val="none" w:sz="0" w:space="0" w:color="auto"/>
            <w:bottom w:val="none" w:sz="0" w:space="0" w:color="auto"/>
            <w:right w:val="none" w:sz="0" w:space="0" w:color="auto"/>
          </w:divBdr>
        </w:div>
        <w:div w:id="908003850">
          <w:marLeft w:val="0"/>
          <w:marRight w:val="0"/>
          <w:marTop w:val="0"/>
          <w:marBottom w:val="0"/>
          <w:divBdr>
            <w:top w:val="none" w:sz="0" w:space="0" w:color="auto"/>
            <w:left w:val="none" w:sz="0" w:space="0" w:color="auto"/>
            <w:bottom w:val="none" w:sz="0" w:space="0" w:color="auto"/>
            <w:right w:val="none" w:sz="0" w:space="0" w:color="auto"/>
          </w:divBdr>
        </w:div>
        <w:div w:id="908003853">
          <w:marLeft w:val="0"/>
          <w:marRight w:val="0"/>
          <w:marTop w:val="0"/>
          <w:marBottom w:val="0"/>
          <w:divBdr>
            <w:top w:val="none" w:sz="0" w:space="0" w:color="auto"/>
            <w:left w:val="none" w:sz="0" w:space="0" w:color="auto"/>
            <w:bottom w:val="none" w:sz="0" w:space="0" w:color="auto"/>
            <w:right w:val="none" w:sz="0" w:space="0" w:color="auto"/>
          </w:divBdr>
        </w:div>
        <w:div w:id="908003886">
          <w:marLeft w:val="0"/>
          <w:marRight w:val="0"/>
          <w:marTop w:val="0"/>
          <w:marBottom w:val="0"/>
          <w:divBdr>
            <w:top w:val="none" w:sz="0" w:space="0" w:color="auto"/>
            <w:left w:val="none" w:sz="0" w:space="0" w:color="auto"/>
            <w:bottom w:val="none" w:sz="0" w:space="0" w:color="auto"/>
            <w:right w:val="none" w:sz="0" w:space="0" w:color="auto"/>
          </w:divBdr>
        </w:div>
        <w:div w:id="908003889">
          <w:marLeft w:val="0"/>
          <w:marRight w:val="0"/>
          <w:marTop w:val="0"/>
          <w:marBottom w:val="0"/>
          <w:divBdr>
            <w:top w:val="none" w:sz="0" w:space="0" w:color="auto"/>
            <w:left w:val="none" w:sz="0" w:space="0" w:color="auto"/>
            <w:bottom w:val="none" w:sz="0" w:space="0" w:color="auto"/>
            <w:right w:val="none" w:sz="0" w:space="0" w:color="auto"/>
          </w:divBdr>
        </w:div>
        <w:div w:id="908003937">
          <w:marLeft w:val="0"/>
          <w:marRight w:val="0"/>
          <w:marTop w:val="0"/>
          <w:marBottom w:val="0"/>
          <w:divBdr>
            <w:top w:val="none" w:sz="0" w:space="0" w:color="auto"/>
            <w:left w:val="none" w:sz="0" w:space="0" w:color="auto"/>
            <w:bottom w:val="none" w:sz="0" w:space="0" w:color="auto"/>
            <w:right w:val="none" w:sz="0" w:space="0" w:color="auto"/>
          </w:divBdr>
        </w:div>
        <w:div w:id="908003943">
          <w:marLeft w:val="0"/>
          <w:marRight w:val="0"/>
          <w:marTop w:val="0"/>
          <w:marBottom w:val="0"/>
          <w:divBdr>
            <w:top w:val="none" w:sz="0" w:space="0" w:color="auto"/>
            <w:left w:val="none" w:sz="0" w:space="0" w:color="auto"/>
            <w:bottom w:val="none" w:sz="0" w:space="0" w:color="auto"/>
            <w:right w:val="none" w:sz="0" w:space="0" w:color="auto"/>
          </w:divBdr>
        </w:div>
      </w:divsChild>
    </w:div>
    <w:div w:id="908003705">
      <w:marLeft w:val="0"/>
      <w:marRight w:val="0"/>
      <w:marTop w:val="0"/>
      <w:marBottom w:val="0"/>
      <w:divBdr>
        <w:top w:val="none" w:sz="0" w:space="0" w:color="auto"/>
        <w:left w:val="none" w:sz="0" w:space="0" w:color="auto"/>
        <w:bottom w:val="none" w:sz="0" w:space="0" w:color="auto"/>
        <w:right w:val="none" w:sz="0" w:space="0" w:color="auto"/>
      </w:divBdr>
    </w:div>
    <w:div w:id="908003706">
      <w:marLeft w:val="0"/>
      <w:marRight w:val="0"/>
      <w:marTop w:val="0"/>
      <w:marBottom w:val="0"/>
      <w:divBdr>
        <w:top w:val="none" w:sz="0" w:space="0" w:color="auto"/>
        <w:left w:val="none" w:sz="0" w:space="0" w:color="auto"/>
        <w:bottom w:val="none" w:sz="0" w:space="0" w:color="auto"/>
        <w:right w:val="none" w:sz="0" w:space="0" w:color="auto"/>
      </w:divBdr>
    </w:div>
    <w:div w:id="908003709">
      <w:marLeft w:val="0"/>
      <w:marRight w:val="0"/>
      <w:marTop w:val="0"/>
      <w:marBottom w:val="0"/>
      <w:divBdr>
        <w:top w:val="none" w:sz="0" w:space="0" w:color="auto"/>
        <w:left w:val="none" w:sz="0" w:space="0" w:color="auto"/>
        <w:bottom w:val="none" w:sz="0" w:space="0" w:color="auto"/>
        <w:right w:val="none" w:sz="0" w:space="0" w:color="auto"/>
      </w:divBdr>
    </w:div>
    <w:div w:id="908003711">
      <w:marLeft w:val="0"/>
      <w:marRight w:val="0"/>
      <w:marTop w:val="0"/>
      <w:marBottom w:val="0"/>
      <w:divBdr>
        <w:top w:val="none" w:sz="0" w:space="0" w:color="auto"/>
        <w:left w:val="none" w:sz="0" w:space="0" w:color="auto"/>
        <w:bottom w:val="none" w:sz="0" w:space="0" w:color="auto"/>
        <w:right w:val="none" w:sz="0" w:space="0" w:color="auto"/>
      </w:divBdr>
    </w:div>
    <w:div w:id="908003713">
      <w:marLeft w:val="0"/>
      <w:marRight w:val="0"/>
      <w:marTop w:val="0"/>
      <w:marBottom w:val="0"/>
      <w:divBdr>
        <w:top w:val="none" w:sz="0" w:space="0" w:color="auto"/>
        <w:left w:val="none" w:sz="0" w:space="0" w:color="auto"/>
        <w:bottom w:val="none" w:sz="0" w:space="0" w:color="auto"/>
        <w:right w:val="none" w:sz="0" w:space="0" w:color="auto"/>
      </w:divBdr>
    </w:div>
    <w:div w:id="908003714">
      <w:marLeft w:val="0"/>
      <w:marRight w:val="0"/>
      <w:marTop w:val="0"/>
      <w:marBottom w:val="0"/>
      <w:divBdr>
        <w:top w:val="none" w:sz="0" w:space="0" w:color="auto"/>
        <w:left w:val="none" w:sz="0" w:space="0" w:color="auto"/>
        <w:bottom w:val="none" w:sz="0" w:space="0" w:color="auto"/>
        <w:right w:val="none" w:sz="0" w:space="0" w:color="auto"/>
      </w:divBdr>
    </w:div>
    <w:div w:id="908003715">
      <w:marLeft w:val="0"/>
      <w:marRight w:val="0"/>
      <w:marTop w:val="0"/>
      <w:marBottom w:val="0"/>
      <w:divBdr>
        <w:top w:val="none" w:sz="0" w:space="0" w:color="auto"/>
        <w:left w:val="none" w:sz="0" w:space="0" w:color="auto"/>
        <w:bottom w:val="none" w:sz="0" w:space="0" w:color="auto"/>
        <w:right w:val="none" w:sz="0" w:space="0" w:color="auto"/>
      </w:divBdr>
    </w:div>
    <w:div w:id="908003716">
      <w:marLeft w:val="0"/>
      <w:marRight w:val="0"/>
      <w:marTop w:val="0"/>
      <w:marBottom w:val="0"/>
      <w:divBdr>
        <w:top w:val="none" w:sz="0" w:space="0" w:color="auto"/>
        <w:left w:val="none" w:sz="0" w:space="0" w:color="auto"/>
        <w:bottom w:val="none" w:sz="0" w:space="0" w:color="auto"/>
        <w:right w:val="none" w:sz="0" w:space="0" w:color="auto"/>
      </w:divBdr>
    </w:div>
    <w:div w:id="908003717">
      <w:marLeft w:val="0"/>
      <w:marRight w:val="0"/>
      <w:marTop w:val="0"/>
      <w:marBottom w:val="0"/>
      <w:divBdr>
        <w:top w:val="none" w:sz="0" w:space="0" w:color="auto"/>
        <w:left w:val="none" w:sz="0" w:space="0" w:color="auto"/>
        <w:bottom w:val="none" w:sz="0" w:space="0" w:color="auto"/>
        <w:right w:val="none" w:sz="0" w:space="0" w:color="auto"/>
      </w:divBdr>
    </w:div>
    <w:div w:id="908003719">
      <w:marLeft w:val="0"/>
      <w:marRight w:val="0"/>
      <w:marTop w:val="0"/>
      <w:marBottom w:val="0"/>
      <w:divBdr>
        <w:top w:val="none" w:sz="0" w:space="0" w:color="auto"/>
        <w:left w:val="none" w:sz="0" w:space="0" w:color="auto"/>
        <w:bottom w:val="none" w:sz="0" w:space="0" w:color="auto"/>
        <w:right w:val="none" w:sz="0" w:space="0" w:color="auto"/>
      </w:divBdr>
    </w:div>
    <w:div w:id="908003720">
      <w:marLeft w:val="0"/>
      <w:marRight w:val="0"/>
      <w:marTop w:val="0"/>
      <w:marBottom w:val="0"/>
      <w:divBdr>
        <w:top w:val="none" w:sz="0" w:space="0" w:color="auto"/>
        <w:left w:val="none" w:sz="0" w:space="0" w:color="auto"/>
        <w:bottom w:val="none" w:sz="0" w:space="0" w:color="auto"/>
        <w:right w:val="none" w:sz="0" w:space="0" w:color="auto"/>
      </w:divBdr>
    </w:div>
    <w:div w:id="908003722">
      <w:marLeft w:val="0"/>
      <w:marRight w:val="0"/>
      <w:marTop w:val="0"/>
      <w:marBottom w:val="0"/>
      <w:divBdr>
        <w:top w:val="none" w:sz="0" w:space="0" w:color="auto"/>
        <w:left w:val="none" w:sz="0" w:space="0" w:color="auto"/>
        <w:bottom w:val="none" w:sz="0" w:space="0" w:color="auto"/>
        <w:right w:val="none" w:sz="0" w:space="0" w:color="auto"/>
      </w:divBdr>
    </w:div>
    <w:div w:id="908003723">
      <w:marLeft w:val="0"/>
      <w:marRight w:val="0"/>
      <w:marTop w:val="0"/>
      <w:marBottom w:val="0"/>
      <w:divBdr>
        <w:top w:val="none" w:sz="0" w:space="0" w:color="auto"/>
        <w:left w:val="none" w:sz="0" w:space="0" w:color="auto"/>
        <w:bottom w:val="none" w:sz="0" w:space="0" w:color="auto"/>
        <w:right w:val="none" w:sz="0" w:space="0" w:color="auto"/>
      </w:divBdr>
    </w:div>
    <w:div w:id="908003724">
      <w:marLeft w:val="0"/>
      <w:marRight w:val="0"/>
      <w:marTop w:val="0"/>
      <w:marBottom w:val="0"/>
      <w:divBdr>
        <w:top w:val="none" w:sz="0" w:space="0" w:color="auto"/>
        <w:left w:val="none" w:sz="0" w:space="0" w:color="auto"/>
        <w:bottom w:val="none" w:sz="0" w:space="0" w:color="auto"/>
        <w:right w:val="none" w:sz="0" w:space="0" w:color="auto"/>
      </w:divBdr>
    </w:div>
    <w:div w:id="908003727">
      <w:marLeft w:val="0"/>
      <w:marRight w:val="0"/>
      <w:marTop w:val="0"/>
      <w:marBottom w:val="0"/>
      <w:divBdr>
        <w:top w:val="none" w:sz="0" w:space="0" w:color="auto"/>
        <w:left w:val="none" w:sz="0" w:space="0" w:color="auto"/>
        <w:bottom w:val="none" w:sz="0" w:space="0" w:color="auto"/>
        <w:right w:val="none" w:sz="0" w:space="0" w:color="auto"/>
      </w:divBdr>
    </w:div>
    <w:div w:id="908003728">
      <w:marLeft w:val="0"/>
      <w:marRight w:val="0"/>
      <w:marTop w:val="0"/>
      <w:marBottom w:val="0"/>
      <w:divBdr>
        <w:top w:val="none" w:sz="0" w:space="0" w:color="auto"/>
        <w:left w:val="none" w:sz="0" w:space="0" w:color="auto"/>
        <w:bottom w:val="none" w:sz="0" w:space="0" w:color="auto"/>
        <w:right w:val="none" w:sz="0" w:space="0" w:color="auto"/>
      </w:divBdr>
    </w:div>
    <w:div w:id="908003729">
      <w:marLeft w:val="0"/>
      <w:marRight w:val="0"/>
      <w:marTop w:val="0"/>
      <w:marBottom w:val="0"/>
      <w:divBdr>
        <w:top w:val="none" w:sz="0" w:space="0" w:color="auto"/>
        <w:left w:val="none" w:sz="0" w:space="0" w:color="auto"/>
        <w:bottom w:val="none" w:sz="0" w:space="0" w:color="auto"/>
        <w:right w:val="none" w:sz="0" w:space="0" w:color="auto"/>
      </w:divBdr>
    </w:div>
    <w:div w:id="908003731">
      <w:marLeft w:val="0"/>
      <w:marRight w:val="0"/>
      <w:marTop w:val="0"/>
      <w:marBottom w:val="0"/>
      <w:divBdr>
        <w:top w:val="none" w:sz="0" w:space="0" w:color="auto"/>
        <w:left w:val="none" w:sz="0" w:space="0" w:color="auto"/>
        <w:bottom w:val="none" w:sz="0" w:space="0" w:color="auto"/>
        <w:right w:val="none" w:sz="0" w:space="0" w:color="auto"/>
      </w:divBdr>
    </w:div>
    <w:div w:id="908003733">
      <w:marLeft w:val="0"/>
      <w:marRight w:val="0"/>
      <w:marTop w:val="0"/>
      <w:marBottom w:val="0"/>
      <w:divBdr>
        <w:top w:val="none" w:sz="0" w:space="0" w:color="auto"/>
        <w:left w:val="none" w:sz="0" w:space="0" w:color="auto"/>
        <w:bottom w:val="none" w:sz="0" w:space="0" w:color="auto"/>
        <w:right w:val="none" w:sz="0" w:space="0" w:color="auto"/>
      </w:divBdr>
    </w:div>
    <w:div w:id="908003734">
      <w:marLeft w:val="0"/>
      <w:marRight w:val="0"/>
      <w:marTop w:val="0"/>
      <w:marBottom w:val="0"/>
      <w:divBdr>
        <w:top w:val="none" w:sz="0" w:space="0" w:color="auto"/>
        <w:left w:val="none" w:sz="0" w:space="0" w:color="auto"/>
        <w:bottom w:val="none" w:sz="0" w:space="0" w:color="auto"/>
        <w:right w:val="none" w:sz="0" w:space="0" w:color="auto"/>
      </w:divBdr>
    </w:div>
    <w:div w:id="908003735">
      <w:marLeft w:val="0"/>
      <w:marRight w:val="0"/>
      <w:marTop w:val="0"/>
      <w:marBottom w:val="0"/>
      <w:divBdr>
        <w:top w:val="none" w:sz="0" w:space="0" w:color="auto"/>
        <w:left w:val="none" w:sz="0" w:space="0" w:color="auto"/>
        <w:bottom w:val="none" w:sz="0" w:space="0" w:color="auto"/>
        <w:right w:val="none" w:sz="0" w:space="0" w:color="auto"/>
      </w:divBdr>
    </w:div>
    <w:div w:id="908003737">
      <w:marLeft w:val="0"/>
      <w:marRight w:val="0"/>
      <w:marTop w:val="0"/>
      <w:marBottom w:val="0"/>
      <w:divBdr>
        <w:top w:val="none" w:sz="0" w:space="0" w:color="auto"/>
        <w:left w:val="none" w:sz="0" w:space="0" w:color="auto"/>
        <w:bottom w:val="none" w:sz="0" w:space="0" w:color="auto"/>
        <w:right w:val="none" w:sz="0" w:space="0" w:color="auto"/>
      </w:divBdr>
    </w:div>
    <w:div w:id="908003739">
      <w:marLeft w:val="0"/>
      <w:marRight w:val="0"/>
      <w:marTop w:val="0"/>
      <w:marBottom w:val="0"/>
      <w:divBdr>
        <w:top w:val="none" w:sz="0" w:space="0" w:color="auto"/>
        <w:left w:val="none" w:sz="0" w:space="0" w:color="auto"/>
        <w:bottom w:val="none" w:sz="0" w:space="0" w:color="auto"/>
        <w:right w:val="none" w:sz="0" w:space="0" w:color="auto"/>
      </w:divBdr>
    </w:div>
    <w:div w:id="908003740">
      <w:marLeft w:val="0"/>
      <w:marRight w:val="0"/>
      <w:marTop w:val="0"/>
      <w:marBottom w:val="0"/>
      <w:divBdr>
        <w:top w:val="none" w:sz="0" w:space="0" w:color="auto"/>
        <w:left w:val="none" w:sz="0" w:space="0" w:color="auto"/>
        <w:bottom w:val="none" w:sz="0" w:space="0" w:color="auto"/>
        <w:right w:val="none" w:sz="0" w:space="0" w:color="auto"/>
      </w:divBdr>
    </w:div>
    <w:div w:id="908003742">
      <w:marLeft w:val="0"/>
      <w:marRight w:val="0"/>
      <w:marTop w:val="0"/>
      <w:marBottom w:val="0"/>
      <w:divBdr>
        <w:top w:val="none" w:sz="0" w:space="0" w:color="auto"/>
        <w:left w:val="none" w:sz="0" w:space="0" w:color="auto"/>
        <w:bottom w:val="none" w:sz="0" w:space="0" w:color="auto"/>
        <w:right w:val="none" w:sz="0" w:space="0" w:color="auto"/>
      </w:divBdr>
    </w:div>
    <w:div w:id="908003745">
      <w:marLeft w:val="0"/>
      <w:marRight w:val="0"/>
      <w:marTop w:val="0"/>
      <w:marBottom w:val="0"/>
      <w:divBdr>
        <w:top w:val="none" w:sz="0" w:space="0" w:color="auto"/>
        <w:left w:val="none" w:sz="0" w:space="0" w:color="auto"/>
        <w:bottom w:val="none" w:sz="0" w:space="0" w:color="auto"/>
        <w:right w:val="none" w:sz="0" w:space="0" w:color="auto"/>
      </w:divBdr>
    </w:div>
    <w:div w:id="908003746">
      <w:marLeft w:val="0"/>
      <w:marRight w:val="0"/>
      <w:marTop w:val="0"/>
      <w:marBottom w:val="0"/>
      <w:divBdr>
        <w:top w:val="none" w:sz="0" w:space="0" w:color="auto"/>
        <w:left w:val="none" w:sz="0" w:space="0" w:color="auto"/>
        <w:bottom w:val="none" w:sz="0" w:space="0" w:color="auto"/>
        <w:right w:val="none" w:sz="0" w:space="0" w:color="auto"/>
      </w:divBdr>
    </w:div>
    <w:div w:id="908003749">
      <w:marLeft w:val="0"/>
      <w:marRight w:val="0"/>
      <w:marTop w:val="0"/>
      <w:marBottom w:val="0"/>
      <w:divBdr>
        <w:top w:val="none" w:sz="0" w:space="0" w:color="auto"/>
        <w:left w:val="none" w:sz="0" w:space="0" w:color="auto"/>
        <w:bottom w:val="none" w:sz="0" w:space="0" w:color="auto"/>
        <w:right w:val="none" w:sz="0" w:space="0" w:color="auto"/>
      </w:divBdr>
    </w:div>
    <w:div w:id="908003750">
      <w:marLeft w:val="0"/>
      <w:marRight w:val="0"/>
      <w:marTop w:val="0"/>
      <w:marBottom w:val="0"/>
      <w:divBdr>
        <w:top w:val="none" w:sz="0" w:space="0" w:color="auto"/>
        <w:left w:val="none" w:sz="0" w:space="0" w:color="auto"/>
        <w:bottom w:val="none" w:sz="0" w:space="0" w:color="auto"/>
        <w:right w:val="none" w:sz="0" w:space="0" w:color="auto"/>
      </w:divBdr>
    </w:div>
    <w:div w:id="908003752">
      <w:marLeft w:val="0"/>
      <w:marRight w:val="0"/>
      <w:marTop w:val="0"/>
      <w:marBottom w:val="0"/>
      <w:divBdr>
        <w:top w:val="none" w:sz="0" w:space="0" w:color="auto"/>
        <w:left w:val="none" w:sz="0" w:space="0" w:color="auto"/>
        <w:bottom w:val="none" w:sz="0" w:space="0" w:color="auto"/>
        <w:right w:val="none" w:sz="0" w:space="0" w:color="auto"/>
      </w:divBdr>
    </w:div>
    <w:div w:id="908003753">
      <w:marLeft w:val="0"/>
      <w:marRight w:val="0"/>
      <w:marTop w:val="0"/>
      <w:marBottom w:val="0"/>
      <w:divBdr>
        <w:top w:val="none" w:sz="0" w:space="0" w:color="auto"/>
        <w:left w:val="none" w:sz="0" w:space="0" w:color="auto"/>
        <w:bottom w:val="none" w:sz="0" w:space="0" w:color="auto"/>
        <w:right w:val="none" w:sz="0" w:space="0" w:color="auto"/>
      </w:divBdr>
    </w:div>
    <w:div w:id="908003754">
      <w:marLeft w:val="0"/>
      <w:marRight w:val="0"/>
      <w:marTop w:val="0"/>
      <w:marBottom w:val="0"/>
      <w:divBdr>
        <w:top w:val="none" w:sz="0" w:space="0" w:color="auto"/>
        <w:left w:val="none" w:sz="0" w:space="0" w:color="auto"/>
        <w:bottom w:val="none" w:sz="0" w:space="0" w:color="auto"/>
        <w:right w:val="none" w:sz="0" w:space="0" w:color="auto"/>
      </w:divBdr>
    </w:div>
    <w:div w:id="908003755">
      <w:marLeft w:val="0"/>
      <w:marRight w:val="0"/>
      <w:marTop w:val="0"/>
      <w:marBottom w:val="0"/>
      <w:divBdr>
        <w:top w:val="none" w:sz="0" w:space="0" w:color="auto"/>
        <w:left w:val="none" w:sz="0" w:space="0" w:color="auto"/>
        <w:bottom w:val="none" w:sz="0" w:space="0" w:color="auto"/>
        <w:right w:val="none" w:sz="0" w:space="0" w:color="auto"/>
      </w:divBdr>
    </w:div>
    <w:div w:id="908003756">
      <w:marLeft w:val="0"/>
      <w:marRight w:val="0"/>
      <w:marTop w:val="0"/>
      <w:marBottom w:val="0"/>
      <w:divBdr>
        <w:top w:val="none" w:sz="0" w:space="0" w:color="auto"/>
        <w:left w:val="none" w:sz="0" w:space="0" w:color="auto"/>
        <w:bottom w:val="none" w:sz="0" w:space="0" w:color="auto"/>
        <w:right w:val="none" w:sz="0" w:space="0" w:color="auto"/>
      </w:divBdr>
    </w:div>
    <w:div w:id="908003757">
      <w:marLeft w:val="0"/>
      <w:marRight w:val="0"/>
      <w:marTop w:val="0"/>
      <w:marBottom w:val="0"/>
      <w:divBdr>
        <w:top w:val="none" w:sz="0" w:space="0" w:color="auto"/>
        <w:left w:val="none" w:sz="0" w:space="0" w:color="auto"/>
        <w:bottom w:val="none" w:sz="0" w:space="0" w:color="auto"/>
        <w:right w:val="none" w:sz="0" w:space="0" w:color="auto"/>
      </w:divBdr>
    </w:div>
    <w:div w:id="908003758">
      <w:marLeft w:val="0"/>
      <w:marRight w:val="0"/>
      <w:marTop w:val="0"/>
      <w:marBottom w:val="0"/>
      <w:divBdr>
        <w:top w:val="none" w:sz="0" w:space="0" w:color="auto"/>
        <w:left w:val="none" w:sz="0" w:space="0" w:color="auto"/>
        <w:bottom w:val="none" w:sz="0" w:space="0" w:color="auto"/>
        <w:right w:val="none" w:sz="0" w:space="0" w:color="auto"/>
      </w:divBdr>
    </w:div>
    <w:div w:id="908003761">
      <w:marLeft w:val="0"/>
      <w:marRight w:val="0"/>
      <w:marTop w:val="0"/>
      <w:marBottom w:val="0"/>
      <w:divBdr>
        <w:top w:val="none" w:sz="0" w:space="0" w:color="auto"/>
        <w:left w:val="none" w:sz="0" w:space="0" w:color="auto"/>
        <w:bottom w:val="none" w:sz="0" w:space="0" w:color="auto"/>
        <w:right w:val="none" w:sz="0" w:space="0" w:color="auto"/>
      </w:divBdr>
    </w:div>
    <w:div w:id="908003762">
      <w:marLeft w:val="0"/>
      <w:marRight w:val="0"/>
      <w:marTop w:val="0"/>
      <w:marBottom w:val="0"/>
      <w:divBdr>
        <w:top w:val="none" w:sz="0" w:space="0" w:color="auto"/>
        <w:left w:val="none" w:sz="0" w:space="0" w:color="auto"/>
        <w:bottom w:val="none" w:sz="0" w:space="0" w:color="auto"/>
        <w:right w:val="none" w:sz="0" w:space="0" w:color="auto"/>
      </w:divBdr>
    </w:div>
    <w:div w:id="908003763">
      <w:marLeft w:val="0"/>
      <w:marRight w:val="0"/>
      <w:marTop w:val="0"/>
      <w:marBottom w:val="0"/>
      <w:divBdr>
        <w:top w:val="none" w:sz="0" w:space="0" w:color="auto"/>
        <w:left w:val="none" w:sz="0" w:space="0" w:color="auto"/>
        <w:bottom w:val="none" w:sz="0" w:space="0" w:color="auto"/>
        <w:right w:val="none" w:sz="0" w:space="0" w:color="auto"/>
      </w:divBdr>
    </w:div>
    <w:div w:id="908003765">
      <w:marLeft w:val="0"/>
      <w:marRight w:val="0"/>
      <w:marTop w:val="0"/>
      <w:marBottom w:val="0"/>
      <w:divBdr>
        <w:top w:val="none" w:sz="0" w:space="0" w:color="auto"/>
        <w:left w:val="none" w:sz="0" w:space="0" w:color="auto"/>
        <w:bottom w:val="none" w:sz="0" w:space="0" w:color="auto"/>
        <w:right w:val="none" w:sz="0" w:space="0" w:color="auto"/>
      </w:divBdr>
    </w:div>
    <w:div w:id="908003766">
      <w:marLeft w:val="0"/>
      <w:marRight w:val="0"/>
      <w:marTop w:val="0"/>
      <w:marBottom w:val="0"/>
      <w:divBdr>
        <w:top w:val="none" w:sz="0" w:space="0" w:color="auto"/>
        <w:left w:val="none" w:sz="0" w:space="0" w:color="auto"/>
        <w:bottom w:val="none" w:sz="0" w:space="0" w:color="auto"/>
        <w:right w:val="none" w:sz="0" w:space="0" w:color="auto"/>
      </w:divBdr>
    </w:div>
    <w:div w:id="908003768">
      <w:marLeft w:val="0"/>
      <w:marRight w:val="0"/>
      <w:marTop w:val="0"/>
      <w:marBottom w:val="0"/>
      <w:divBdr>
        <w:top w:val="none" w:sz="0" w:space="0" w:color="auto"/>
        <w:left w:val="none" w:sz="0" w:space="0" w:color="auto"/>
        <w:bottom w:val="none" w:sz="0" w:space="0" w:color="auto"/>
        <w:right w:val="none" w:sz="0" w:space="0" w:color="auto"/>
      </w:divBdr>
    </w:div>
    <w:div w:id="908003769">
      <w:marLeft w:val="0"/>
      <w:marRight w:val="0"/>
      <w:marTop w:val="0"/>
      <w:marBottom w:val="0"/>
      <w:divBdr>
        <w:top w:val="none" w:sz="0" w:space="0" w:color="auto"/>
        <w:left w:val="none" w:sz="0" w:space="0" w:color="auto"/>
        <w:bottom w:val="none" w:sz="0" w:space="0" w:color="auto"/>
        <w:right w:val="none" w:sz="0" w:space="0" w:color="auto"/>
      </w:divBdr>
    </w:div>
    <w:div w:id="908003771">
      <w:marLeft w:val="0"/>
      <w:marRight w:val="0"/>
      <w:marTop w:val="0"/>
      <w:marBottom w:val="0"/>
      <w:divBdr>
        <w:top w:val="none" w:sz="0" w:space="0" w:color="auto"/>
        <w:left w:val="none" w:sz="0" w:space="0" w:color="auto"/>
        <w:bottom w:val="none" w:sz="0" w:space="0" w:color="auto"/>
        <w:right w:val="none" w:sz="0" w:space="0" w:color="auto"/>
      </w:divBdr>
    </w:div>
    <w:div w:id="908003774">
      <w:marLeft w:val="0"/>
      <w:marRight w:val="0"/>
      <w:marTop w:val="0"/>
      <w:marBottom w:val="0"/>
      <w:divBdr>
        <w:top w:val="none" w:sz="0" w:space="0" w:color="auto"/>
        <w:left w:val="none" w:sz="0" w:space="0" w:color="auto"/>
        <w:bottom w:val="none" w:sz="0" w:space="0" w:color="auto"/>
        <w:right w:val="none" w:sz="0" w:space="0" w:color="auto"/>
      </w:divBdr>
    </w:div>
    <w:div w:id="908003776">
      <w:marLeft w:val="0"/>
      <w:marRight w:val="0"/>
      <w:marTop w:val="0"/>
      <w:marBottom w:val="0"/>
      <w:divBdr>
        <w:top w:val="none" w:sz="0" w:space="0" w:color="auto"/>
        <w:left w:val="none" w:sz="0" w:space="0" w:color="auto"/>
        <w:bottom w:val="none" w:sz="0" w:space="0" w:color="auto"/>
        <w:right w:val="none" w:sz="0" w:space="0" w:color="auto"/>
      </w:divBdr>
    </w:div>
    <w:div w:id="908003778">
      <w:marLeft w:val="0"/>
      <w:marRight w:val="0"/>
      <w:marTop w:val="0"/>
      <w:marBottom w:val="0"/>
      <w:divBdr>
        <w:top w:val="none" w:sz="0" w:space="0" w:color="auto"/>
        <w:left w:val="none" w:sz="0" w:space="0" w:color="auto"/>
        <w:bottom w:val="none" w:sz="0" w:space="0" w:color="auto"/>
        <w:right w:val="none" w:sz="0" w:space="0" w:color="auto"/>
      </w:divBdr>
    </w:div>
    <w:div w:id="908003779">
      <w:marLeft w:val="0"/>
      <w:marRight w:val="0"/>
      <w:marTop w:val="0"/>
      <w:marBottom w:val="0"/>
      <w:divBdr>
        <w:top w:val="none" w:sz="0" w:space="0" w:color="auto"/>
        <w:left w:val="none" w:sz="0" w:space="0" w:color="auto"/>
        <w:bottom w:val="none" w:sz="0" w:space="0" w:color="auto"/>
        <w:right w:val="none" w:sz="0" w:space="0" w:color="auto"/>
      </w:divBdr>
    </w:div>
    <w:div w:id="908003783">
      <w:marLeft w:val="0"/>
      <w:marRight w:val="0"/>
      <w:marTop w:val="0"/>
      <w:marBottom w:val="0"/>
      <w:divBdr>
        <w:top w:val="none" w:sz="0" w:space="0" w:color="auto"/>
        <w:left w:val="none" w:sz="0" w:space="0" w:color="auto"/>
        <w:bottom w:val="none" w:sz="0" w:space="0" w:color="auto"/>
        <w:right w:val="none" w:sz="0" w:space="0" w:color="auto"/>
      </w:divBdr>
    </w:div>
    <w:div w:id="908003784">
      <w:marLeft w:val="0"/>
      <w:marRight w:val="0"/>
      <w:marTop w:val="0"/>
      <w:marBottom w:val="0"/>
      <w:divBdr>
        <w:top w:val="none" w:sz="0" w:space="0" w:color="auto"/>
        <w:left w:val="none" w:sz="0" w:space="0" w:color="auto"/>
        <w:bottom w:val="none" w:sz="0" w:space="0" w:color="auto"/>
        <w:right w:val="none" w:sz="0" w:space="0" w:color="auto"/>
      </w:divBdr>
    </w:div>
    <w:div w:id="908003788">
      <w:marLeft w:val="0"/>
      <w:marRight w:val="0"/>
      <w:marTop w:val="0"/>
      <w:marBottom w:val="0"/>
      <w:divBdr>
        <w:top w:val="none" w:sz="0" w:space="0" w:color="auto"/>
        <w:left w:val="none" w:sz="0" w:space="0" w:color="auto"/>
        <w:bottom w:val="none" w:sz="0" w:space="0" w:color="auto"/>
        <w:right w:val="none" w:sz="0" w:space="0" w:color="auto"/>
      </w:divBdr>
    </w:div>
    <w:div w:id="908003789">
      <w:marLeft w:val="0"/>
      <w:marRight w:val="0"/>
      <w:marTop w:val="0"/>
      <w:marBottom w:val="0"/>
      <w:divBdr>
        <w:top w:val="none" w:sz="0" w:space="0" w:color="auto"/>
        <w:left w:val="none" w:sz="0" w:space="0" w:color="auto"/>
        <w:bottom w:val="none" w:sz="0" w:space="0" w:color="auto"/>
        <w:right w:val="none" w:sz="0" w:space="0" w:color="auto"/>
      </w:divBdr>
    </w:div>
    <w:div w:id="908003790">
      <w:marLeft w:val="0"/>
      <w:marRight w:val="0"/>
      <w:marTop w:val="0"/>
      <w:marBottom w:val="0"/>
      <w:divBdr>
        <w:top w:val="none" w:sz="0" w:space="0" w:color="auto"/>
        <w:left w:val="none" w:sz="0" w:space="0" w:color="auto"/>
        <w:bottom w:val="none" w:sz="0" w:space="0" w:color="auto"/>
        <w:right w:val="none" w:sz="0" w:space="0" w:color="auto"/>
      </w:divBdr>
    </w:div>
    <w:div w:id="908003792">
      <w:marLeft w:val="0"/>
      <w:marRight w:val="0"/>
      <w:marTop w:val="0"/>
      <w:marBottom w:val="0"/>
      <w:divBdr>
        <w:top w:val="none" w:sz="0" w:space="0" w:color="auto"/>
        <w:left w:val="none" w:sz="0" w:space="0" w:color="auto"/>
        <w:bottom w:val="none" w:sz="0" w:space="0" w:color="auto"/>
        <w:right w:val="none" w:sz="0" w:space="0" w:color="auto"/>
      </w:divBdr>
    </w:div>
    <w:div w:id="908003793">
      <w:marLeft w:val="0"/>
      <w:marRight w:val="0"/>
      <w:marTop w:val="0"/>
      <w:marBottom w:val="0"/>
      <w:divBdr>
        <w:top w:val="none" w:sz="0" w:space="0" w:color="auto"/>
        <w:left w:val="none" w:sz="0" w:space="0" w:color="auto"/>
        <w:bottom w:val="none" w:sz="0" w:space="0" w:color="auto"/>
        <w:right w:val="none" w:sz="0" w:space="0" w:color="auto"/>
      </w:divBdr>
    </w:div>
    <w:div w:id="908003794">
      <w:marLeft w:val="0"/>
      <w:marRight w:val="0"/>
      <w:marTop w:val="0"/>
      <w:marBottom w:val="0"/>
      <w:divBdr>
        <w:top w:val="none" w:sz="0" w:space="0" w:color="auto"/>
        <w:left w:val="none" w:sz="0" w:space="0" w:color="auto"/>
        <w:bottom w:val="none" w:sz="0" w:space="0" w:color="auto"/>
        <w:right w:val="none" w:sz="0" w:space="0" w:color="auto"/>
      </w:divBdr>
    </w:div>
    <w:div w:id="908003795">
      <w:marLeft w:val="0"/>
      <w:marRight w:val="0"/>
      <w:marTop w:val="0"/>
      <w:marBottom w:val="0"/>
      <w:divBdr>
        <w:top w:val="none" w:sz="0" w:space="0" w:color="auto"/>
        <w:left w:val="none" w:sz="0" w:space="0" w:color="auto"/>
        <w:bottom w:val="none" w:sz="0" w:space="0" w:color="auto"/>
        <w:right w:val="none" w:sz="0" w:space="0" w:color="auto"/>
      </w:divBdr>
    </w:div>
    <w:div w:id="908003797">
      <w:marLeft w:val="0"/>
      <w:marRight w:val="0"/>
      <w:marTop w:val="0"/>
      <w:marBottom w:val="0"/>
      <w:divBdr>
        <w:top w:val="none" w:sz="0" w:space="0" w:color="auto"/>
        <w:left w:val="none" w:sz="0" w:space="0" w:color="auto"/>
        <w:bottom w:val="none" w:sz="0" w:space="0" w:color="auto"/>
        <w:right w:val="none" w:sz="0" w:space="0" w:color="auto"/>
      </w:divBdr>
    </w:div>
    <w:div w:id="908003800">
      <w:marLeft w:val="0"/>
      <w:marRight w:val="0"/>
      <w:marTop w:val="0"/>
      <w:marBottom w:val="0"/>
      <w:divBdr>
        <w:top w:val="none" w:sz="0" w:space="0" w:color="auto"/>
        <w:left w:val="none" w:sz="0" w:space="0" w:color="auto"/>
        <w:bottom w:val="none" w:sz="0" w:space="0" w:color="auto"/>
        <w:right w:val="none" w:sz="0" w:space="0" w:color="auto"/>
      </w:divBdr>
    </w:div>
    <w:div w:id="908003801">
      <w:marLeft w:val="0"/>
      <w:marRight w:val="0"/>
      <w:marTop w:val="0"/>
      <w:marBottom w:val="0"/>
      <w:divBdr>
        <w:top w:val="none" w:sz="0" w:space="0" w:color="auto"/>
        <w:left w:val="none" w:sz="0" w:space="0" w:color="auto"/>
        <w:bottom w:val="none" w:sz="0" w:space="0" w:color="auto"/>
        <w:right w:val="none" w:sz="0" w:space="0" w:color="auto"/>
      </w:divBdr>
    </w:div>
    <w:div w:id="908003802">
      <w:marLeft w:val="0"/>
      <w:marRight w:val="0"/>
      <w:marTop w:val="0"/>
      <w:marBottom w:val="0"/>
      <w:divBdr>
        <w:top w:val="none" w:sz="0" w:space="0" w:color="auto"/>
        <w:left w:val="none" w:sz="0" w:space="0" w:color="auto"/>
        <w:bottom w:val="none" w:sz="0" w:space="0" w:color="auto"/>
        <w:right w:val="none" w:sz="0" w:space="0" w:color="auto"/>
      </w:divBdr>
    </w:div>
    <w:div w:id="908003803">
      <w:marLeft w:val="0"/>
      <w:marRight w:val="0"/>
      <w:marTop w:val="0"/>
      <w:marBottom w:val="0"/>
      <w:divBdr>
        <w:top w:val="none" w:sz="0" w:space="0" w:color="auto"/>
        <w:left w:val="none" w:sz="0" w:space="0" w:color="auto"/>
        <w:bottom w:val="none" w:sz="0" w:space="0" w:color="auto"/>
        <w:right w:val="none" w:sz="0" w:space="0" w:color="auto"/>
      </w:divBdr>
    </w:div>
    <w:div w:id="908003804">
      <w:marLeft w:val="0"/>
      <w:marRight w:val="0"/>
      <w:marTop w:val="0"/>
      <w:marBottom w:val="0"/>
      <w:divBdr>
        <w:top w:val="none" w:sz="0" w:space="0" w:color="auto"/>
        <w:left w:val="none" w:sz="0" w:space="0" w:color="auto"/>
        <w:bottom w:val="none" w:sz="0" w:space="0" w:color="auto"/>
        <w:right w:val="none" w:sz="0" w:space="0" w:color="auto"/>
      </w:divBdr>
      <w:divsChild>
        <w:div w:id="908003589">
          <w:marLeft w:val="0"/>
          <w:marRight w:val="0"/>
          <w:marTop w:val="0"/>
          <w:marBottom w:val="0"/>
          <w:divBdr>
            <w:top w:val="none" w:sz="0" w:space="0" w:color="auto"/>
            <w:left w:val="none" w:sz="0" w:space="0" w:color="auto"/>
            <w:bottom w:val="none" w:sz="0" w:space="0" w:color="auto"/>
            <w:right w:val="none" w:sz="0" w:space="0" w:color="auto"/>
          </w:divBdr>
        </w:div>
        <w:div w:id="908003590">
          <w:marLeft w:val="0"/>
          <w:marRight w:val="0"/>
          <w:marTop w:val="0"/>
          <w:marBottom w:val="0"/>
          <w:divBdr>
            <w:top w:val="none" w:sz="0" w:space="0" w:color="auto"/>
            <w:left w:val="none" w:sz="0" w:space="0" w:color="auto"/>
            <w:bottom w:val="none" w:sz="0" w:space="0" w:color="auto"/>
            <w:right w:val="none" w:sz="0" w:space="0" w:color="auto"/>
          </w:divBdr>
        </w:div>
        <w:div w:id="908003610">
          <w:marLeft w:val="0"/>
          <w:marRight w:val="0"/>
          <w:marTop w:val="0"/>
          <w:marBottom w:val="0"/>
          <w:divBdr>
            <w:top w:val="none" w:sz="0" w:space="0" w:color="auto"/>
            <w:left w:val="none" w:sz="0" w:space="0" w:color="auto"/>
            <w:bottom w:val="none" w:sz="0" w:space="0" w:color="auto"/>
            <w:right w:val="none" w:sz="0" w:space="0" w:color="auto"/>
          </w:divBdr>
        </w:div>
        <w:div w:id="908003642">
          <w:marLeft w:val="0"/>
          <w:marRight w:val="0"/>
          <w:marTop w:val="0"/>
          <w:marBottom w:val="0"/>
          <w:divBdr>
            <w:top w:val="none" w:sz="0" w:space="0" w:color="auto"/>
            <w:left w:val="none" w:sz="0" w:space="0" w:color="auto"/>
            <w:bottom w:val="none" w:sz="0" w:space="0" w:color="auto"/>
            <w:right w:val="none" w:sz="0" w:space="0" w:color="auto"/>
          </w:divBdr>
        </w:div>
        <w:div w:id="908003692">
          <w:marLeft w:val="0"/>
          <w:marRight w:val="0"/>
          <w:marTop w:val="0"/>
          <w:marBottom w:val="0"/>
          <w:divBdr>
            <w:top w:val="none" w:sz="0" w:space="0" w:color="auto"/>
            <w:left w:val="none" w:sz="0" w:space="0" w:color="auto"/>
            <w:bottom w:val="none" w:sz="0" w:space="0" w:color="auto"/>
            <w:right w:val="none" w:sz="0" w:space="0" w:color="auto"/>
          </w:divBdr>
        </w:div>
        <w:div w:id="908003725">
          <w:marLeft w:val="0"/>
          <w:marRight w:val="0"/>
          <w:marTop w:val="0"/>
          <w:marBottom w:val="0"/>
          <w:divBdr>
            <w:top w:val="none" w:sz="0" w:space="0" w:color="auto"/>
            <w:left w:val="none" w:sz="0" w:space="0" w:color="auto"/>
            <w:bottom w:val="none" w:sz="0" w:space="0" w:color="auto"/>
            <w:right w:val="none" w:sz="0" w:space="0" w:color="auto"/>
          </w:divBdr>
        </w:div>
        <w:div w:id="908003741">
          <w:marLeft w:val="0"/>
          <w:marRight w:val="0"/>
          <w:marTop w:val="0"/>
          <w:marBottom w:val="0"/>
          <w:divBdr>
            <w:top w:val="none" w:sz="0" w:space="0" w:color="auto"/>
            <w:left w:val="none" w:sz="0" w:space="0" w:color="auto"/>
            <w:bottom w:val="none" w:sz="0" w:space="0" w:color="auto"/>
            <w:right w:val="none" w:sz="0" w:space="0" w:color="auto"/>
          </w:divBdr>
        </w:div>
        <w:div w:id="908003780">
          <w:marLeft w:val="0"/>
          <w:marRight w:val="0"/>
          <w:marTop w:val="0"/>
          <w:marBottom w:val="0"/>
          <w:divBdr>
            <w:top w:val="none" w:sz="0" w:space="0" w:color="auto"/>
            <w:left w:val="none" w:sz="0" w:space="0" w:color="auto"/>
            <w:bottom w:val="none" w:sz="0" w:space="0" w:color="auto"/>
            <w:right w:val="none" w:sz="0" w:space="0" w:color="auto"/>
          </w:divBdr>
        </w:div>
        <w:div w:id="908003782">
          <w:marLeft w:val="0"/>
          <w:marRight w:val="0"/>
          <w:marTop w:val="0"/>
          <w:marBottom w:val="0"/>
          <w:divBdr>
            <w:top w:val="none" w:sz="0" w:space="0" w:color="auto"/>
            <w:left w:val="none" w:sz="0" w:space="0" w:color="auto"/>
            <w:bottom w:val="none" w:sz="0" w:space="0" w:color="auto"/>
            <w:right w:val="none" w:sz="0" w:space="0" w:color="auto"/>
          </w:divBdr>
        </w:div>
        <w:div w:id="908003806">
          <w:marLeft w:val="0"/>
          <w:marRight w:val="0"/>
          <w:marTop w:val="0"/>
          <w:marBottom w:val="0"/>
          <w:divBdr>
            <w:top w:val="none" w:sz="0" w:space="0" w:color="auto"/>
            <w:left w:val="none" w:sz="0" w:space="0" w:color="auto"/>
            <w:bottom w:val="none" w:sz="0" w:space="0" w:color="auto"/>
            <w:right w:val="none" w:sz="0" w:space="0" w:color="auto"/>
          </w:divBdr>
        </w:div>
        <w:div w:id="908003808">
          <w:marLeft w:val="0"/>
          <w:marRight w:val="0"/>
          <w:marTop w:val="0"/>
          <w:marBottom w:val="0"/>
          <w:divBdr>
            <w:top w:val="none" w:sz="0" w:space="0" w:color="auto"/>
            <w:left w:val="none" w:sz="0" w:space="0" w:color="auto"/>
            <w:bottom w:val="none" w:sz="0" w:space="0" w:color="auto"/>
            <w:right w:val="none" w:sz="0" w:space="0" w:color="auto"/>
          </w:divBdr>
        </w:div>
        <w:div w:id="908003828">
          <w:marLeft w:val="0"/>
          <w:marRight w:val="0"/>
          <w:marTop w:val="0"/>
          <w:marBottom w:val="0"/>
          <w:divBdr>
            <w:top w:val="none" w:sz="0" w:space="0" w:color="auto"/>
            <w:left w:val="none" w:sz="0" w:space="0" w:color="auto"/>
            <w:bottom w:val="none" w:sz="0" w:space="0" w:color="auto"/>
            <w:right w:val="none" w:sz="0" w:space="0" w:color="auto"/>
          </w:divBdr>
        </w:div>
        <w:div w:id="908003841">
          <w:marLeft w:val="0"/>
          <w:marRight w:val="0"/>
          <w:marTop w:val="0"/>
          <w:marBottom w:val="0"/>
          <w:divBdr>
            <w:top w:val="none" w:sz="0" w:space="0" w:color="auto"/>
            <w:left w:val="none" w:sz="0" w:space="0" w:color="auto"/>
            <w:bottom w:val="none" w:sz="0" w:space="0" w:color="auto"/>
            <w:right w:val="none" w:sz="0" w:space="0" w:color="auto"/>
          </w:divBdr>
        </w:div>
        <w:div w:id="908003863">
          <w:marLeft w:val="0"/>
          <w:marRight w:val="0"/>
          <w:marTop w:val="0"/>
          <w:marBottom w:val="0"/>
          <w:divBdr>
            <w:top w:val="none" w:sz="0" w:space="0" w:color="auto"/>
            <w:left w:val="none" w:sz="0" w:space="0" w:color="auto"/>
            <w:bottom w:val="none" w:sz="0" w:space="0" w:color="auto"/>
            <w:right w:val="none" w:sz="0" w:space="0" w:color="auto"/>
          </w:divBdr>
        </w:div>
        <w:div w:id="908003867">
          <w:marLeft w:val="0"/>
          <w:marRight w:val="0"/>
          <w:marTop w:val="0"/>
          <w:marBottom w:val="0"/>
          <w:divBdr>
            <w:top w:val="none" w:sz="0" w:space="0" w:color="auto"/>
            <w:left w:val="none" w:sz="0" w:space="0" w:color="auto"/>
            <w:bottom w:val="none" w:sz="0" w:space="0" w:color="auto"/>
            <w:right w:val="none" w:sz="0" w:space="0" w:color="auto"/>
          </w:divBdr>
        </w:div>
        <w:div w:id="908003870">
          <w:marLeft w:val="0"/>
          <w:marRight w:val="0"/>
          <w:marTop w:val="0"/>
          <w:marBottom w:val="0"/>
          <w:divBdr>
            <w:top w:val="none" w:sz="0" w:space="0" w:color="auto"/>
            <w:left w:val="none" w:sz="0" w:space="0" w:color="auto"/>
            <w:bottom w:val="none" w:sz="0" w:space="0" w:color="auto"/>
            <w:right w:val="none" w:sz="0" w:space="0" w:color="auto"/>
          </w:divBdr>
        </w:div>
        <w:div w:id="908003897">
          <w:marLeft w:val="0"/>
          <w:marRight w:val="0"/>
          <w:marTop w:val="0"/>
          <w:marBottom w:val="0"/>
          <w:divBdr>
            <w:top w:val="none" w:sz="0" w:space="0" w:color="auto"/>
            <w:left w:val="none" w:sz="0" w:space="0" w:color="auto"/>
            <w:bottom w:val="none" w:sz="0" w:space="0" w:color="auto"/>
            <w:right w:val="none" w:sz="0" w:space="0" w:color="auto"/>
          </w:divBdr>
        </w:div>
        <w:div w:id="908003925">
          <w:marLeft w:val="0"/>
          <w:marRight w:val="0"/>
          <w:marTop w:val="0"/>
          <w:marBottom w:val="0"/>
          <w:divBdr>
            <w:top w:val="none" w:sz="0" w:space="0" w:color="auto"/>
            <w:left w:val="none" w:sz="0" w:space="0" w:color="auto"/>
            <w:bottom w:val="none" w:sz="0" w:space="0" w:color="auto"/>
            <w:right w:val="none" w:sz="0" w:space="0" w:color="auto"/>
          </w:divBdr>
        </w:div>
        <w:div w:id="908003940">
          <w:marLeft w:val="0"/>
          <w:marRight w:val="0"/>
          <w:marTop w:val="0"/>
          <w:marBottom w:val="0"/>
          <w:divBdr>
            <w:top w:val="none" w:sz="0" w:space="0" w:color="auto"/>
            <w:left w:val="none" w:sz="0" w:space="0" w:color="auto"/>
            <w:bottom w:val="none" w:sz="0" w:space="0" w:color="auto"/>
            <w:right w:val="none" w:sz="0" w:space="0" w:color="auto"/>
          </w:divBdr>
        </w:div>
      </w:divsChild>
    </w:div>
    <w:div w:id="908003807">
      <w:marLeft w:val="0"/>
      <w:marRight w:val="0"/>
      <w:marTop w:val="0"/>
      <w:marBottom w:val="0"/>
      <w:divBdr>
        <w:top w:val="none" w:sz="0" w:space="0" w:color="auto"/>
        <w:left w:val="none" w:sz="0" w:space="0" w:color="auto"/>
        <w:bottom w:val="none" w:sz="0" w:space="0" w:color="auto"/>
        <w:right w:val="none" w:sz="0" w:space="0" w:color="auto"/>
      </w:divBdr>
    </w:div>
    <w:div w:id="908003809">
      <w:marLeft w:val="0"/>
      <w:marRight w:val="0"/>
      <w:marTop w:val="0"/>
      <w:marBottom w:val="0"/>
      <w:divBdr>
        <w:top w:val="none" w:sz="0" w:space="0" w:color="auto"/>
        <w:left w:val="none" w:sz="0" w:space="0" w:color="auto"/>
        <w:bottom w:val="none" w:sz="0" w:space="0" w:color="auto"/>
        <w:right w:val="none" w:sz="0" w:space="0" w:color="auto"/>
      </w:divBdr>
    </w:div>
    <w:div w:id="908003810">
      <w:marLeft w:val="0"/>
      <w:marRight w:val="0"/>
      <w:marTop w:val="0"/>
      <w:marBottom w:val="0"/>
      <w:divBdr>
        <w:top w:val="none" w:sz="0" w:space="0" w:color="auto"/>
        <w:left w:val="none" w:sz="0" w:space="0" w:color="auto"/>
        <w:bottom w:val="none" w:sz="0" w:space="0" w:color="auto"/>
        <w:right w:val="none" w:sz="0" w:space="0" w:color="auto"/>
      </w:divBdr>
    </w:div>
    <w:div w:id="908003811">
      <w:marLeft w:val="0"/>
      <w:marRight w:val="0"/>
      <w:marTop w:val="0"/>
      <w:marBottom w:val="0"/>
      <w:divBdr>
        <w:top w:val="none" w:sz="0" w:space="0" w:color="auto"/>
        <w:left w:val="none" w:sz="0" w:space="0" w:color="auto"/>
        <w:bottom w:val="none" w:sz="0" w:space="0" w:color="auto"/>
        <w:right w:val="none" w:sz="0" w:space="0" w:color="auto"/>
      </w:divBdr>
    </w:div>
    <w:div w:id="908003813">
      <w:marLeft w:val="0"/>
      <w:marRight w:val="0"/>
      <w:marTop w:val="0"/>
      <w:marBottom w:val="0"/>
      <w:divBdr>
        <w:top w:val="none" w:sz="0" w:space="0" w:color="auto"/>
        <w:left w:val="none" w:sz="0" w:space="0" w:color="auto"/>
        <w:bottom w:val="none" w:sz="0" w:space="0" w:color="auto"/>
        <w:right w:val="none" w:sz="0" w:space="0" w:color="auto"/>
      </w:divBdr>
    </w:div>
    <w:div w:id="908003814">
      <w:marLeft w:val="0"/>
      <w:marRight w:val="0"/>
      <w:marTop w:val="0"/>
      <w:marBottom w:val="0"/>
      <w:divBdr>
        <w:top w:val="none" w:sz="0" w:space="0" w:color="auto"/>
        <w:left w:val="none" w:sz="0" w:space="0" w:color="auto"/>
        <w:bottom w:val="none" w:sz="0" w:space="0" w:color="auto"/>
        <w:right w:val="none" w:sz="0" w:space="0" w:color="auto"/>
      </w:divBdr>
    </w:div>
    <w:div w:id="908003816">
      <w:marLeft w:val="0"/>
      <w:marRight w:val="0"/>
      <w:marTop w:val="0"/>
      <w:marBottom w:val="0"/>
      <w:divBdr>
        <w:top w:val="none" w:sz="0" w:space="0" w:color="auto"/>
        <w:left w:val="none" w:sz="0" w:space="0" w:color="auto"/>
        <w:bottom w:val="none" w:sz="0" w:space="0" w:color="auto"/>
        <w:right w:val="none" w:sz="0" w:space="0" w:color="auto"/>
      </w:divBdr>
      <w:divsChild>
        <w:div w:id="908003605">
          <w:marLeft w:val="0"/>
          <w:marRight w:val="0"/>
          <w:marTop w:val="0"/>
          <w:marBottom w:val="0"/>
          <w:divBdr>
            <w:top w:val="none" w:sz="0" w:space="0" w:color="auto"/>
            <w:left w:val="none" w:sz="0" w:space="0" w:color="auto"/>
            <w:bottom w:val="none" w:sz="0" w:space="0" w:color="auto"/>
            <w:right w:val="none" w:sz="0" w:space="0" w:color="auto"/>
          </w:divBdr>
        </w:div>
        <w:div w:id="908003666">
          <w:marLeft w:val="0"/>
          <w:marRight w:val="0"/>
          <w:marTop w:val="0"/>
          <w:marBottom w:val="0"/>
          <w:divBdr>
            <w:top w:val="none" w:sz="0" w:space="0" w:color="auto"/>
            <w:left w:val="none" w:sz="0" w:space="0" w:color="auto"/>
            <w:bottom w:val="none" w:sz="0" w:space="0" w:color="auto"/>
            <w:right w:val="none" w:sz="0" w:space="0" w:color="auto"/>
          </w:divBdr>
        </w:div>
        <w:div w:id="908003674">
          <w:marLeft w:val="0"/>
          <w:marRight w:val="0"/>
          <w:marTop w:val="0"/>
          <w:marBottom w:val="0"/>
          <w:divBdr>
            <w:top w:val="none" w:sz="0" w:space="0" w:color="auto"/>
            <w:left w:val="none" w:sz="0" w:space="0" w:color="auto"/>
            <w:bottom w:val="none" w:sz="0" w:space="0" w:color="auto"/>
            <w:right w:val="none" w:sz="0" w:space="0" w:color="auto"/>
          </w:divBdr>
        </w:div>
        <w:div w:id="908003710">
          <w:marLeft w:val="0"/>
          <w:marRight w:val="0"/>
          <w:marTop w:val="0"/>
          <w:marBottom w:val="0"/>
          <w:divBdr>
            <w:top w:val="none" w:sz="0" w:space="0" w:color="auto"/>
            <w:left w:val="none" w:sz="0" w:space="0" w:color="auto"/>
            <w:bottom w:val="none" w:sz="0" w:space="0" w:color="auto"/>
            <w:right w:val="none" w:sz="0" w:space="0" w:color="auto"/>
          </w:divBdr>
        </w:div>
        <w:div w:id="908003773">
          <w:marLeft w:val="0"/>
          <w:marRight w:val="0"/>
          <w:marTop w:val="0"/>
          <w:marBottom w:val="0"/>
          <w:divBdr>
            <w:top w:val="none" w:sz="0" w:space="0" w:color="auto"/>
            <w:left w:val="none" w:sz="0" w:space="0" w:color="auto"/>
            <w:bottom w:val="none" w:sz="0" w:space="0" w:color="auto"/>
            <w:right w:val="none" w:sz="0" w:space="0" w:color="auto"/>
          </w:divBdr>
        </w:div>
        <w:div w:id="908003775">
          <w:marLeft w:val="0"/>
          <w:marRight w:val="0"/>
          <w:marTop w:val="0"/>
          <w:marBottom w:val="0"/>
          <w:divBdr>
            <w:top w:val="none" w:sz="0" w:space="0" w:color="auto"/>
            <w:left w:val="none" w:sz="0" w:space="0" w:color="auto"/>
            <w:bottom w:val="none" w:sz="0" w:space="0" w:color="auto"/>
            <w:right w:val="none" w:sz="0" w:space="0" w:color="auto"/>
          </w:divBdr>
        </w:div>
        <w:div w:id="908003777">
          <w:marLeft w:val="0"/>
          <w:marRight w:val="0"/>
          <w:marTop w:val="0"/>
          <w:marBottom w:val="0"/>
          <w:divBdr>
            <w:top w:val="none" w:sz="0" w:space="0" w:color="auto"/>
            <w:left w:val="none" w:sz="0" w:space="0" w:color="auto"/>
            <w:bottom w:val="none" w:sz="0" w:space="0" w:color="auto"/>
            <w:right w:val="none" w:sz="0" w:space="0" w:color="auto"/>
          </w:divBdr>
        </w:div>
        <w:div w:id="908003781">
          <w:marLeft w:val="0"/>
          <w:marRight w:val="0"/>
          <w:marTop w:val="0"/>
          <w:marBottom w:val="0"/>
          <w:divBdr>
            <w:top w:val="none" w:sz="0" w:space="0" w:color="auto"/>
            <w:left w:val="none" w:sz="0" w:space="0" w:color="auto"/>
            <w:bottom w:val="none" w:sz="0" w:space="0" w:color="auto"/>
            <w:right w:val="none" w:sz="0" w:space="0" w:color="auto"/>
          </w:divBdr>
        </w:div>
        <w:div w:id="908003791">
          <w:marLeft w:val="0"/>
          <w:marRight w:val="0"/>
          <w:marTop w:val="0"/>
          <w:marBottom w:val="0"/>
          <w:divBdr>
            <w:top w:val="none" w:sz="0" w:space="0" w:color="auto"/>
            <w:left w:val="none" w:sz="0" w:space="0" w:color="auto"/>
            <w:bottom w:val="none" w:sz="0" w:space="0" w:color="auto"/>
            <w:right w:val="none" w:sz="0" w:space="0" w:color="auto"/>
          </w:divBdr>
        </w:div>
        <w:div w:id="908003799">
          <w:marLeft w:val="0"/>
          <w:marRight w:val="0"/>
          <w:marTop w:val="0"/>
          <w:marBottom w:val="0"/>
          <w:divBdr>
            <w:top w:val="none" w:sz="0" w:space="0" w:color="auto"/>
            <w:left w:val="none" w:sz="0" w:space="0" w:color="auto"/>
            <w:bottom w:val="none" w:sz="0" w:space="0" w:color="auto"/>
            <w:right w:val="none" w:sz="0" w:space="0" w:color="auto"/>
          </w:divBdr>
        </w:div>
        <w:div w:id="908003817">
          <w:marLeft w:val="0"/>
          <w:marRight w:val="0"/>
          <w:marTop w:val="0"/>
          <w:marBottom w:val="0"/>
          <w:divBdr>
            <w:top w:val="none" w:sz="0" w:space="0" w:color="auto"/>
            <w:left w:val="none" w:sz="0" w:space="0" w:color="auto"/>
            <w:bottom w:val="none" w:sz="0" w:space="0" w:color="auto"/>
            <w:right w:val="none" w:sz="0" w:space="0" w:color="auto"/>
          </w:divBdr>
        </w:div>
        <w:div w:id="908003833">
          <w:marLeft w:val="0"/>
          <w:marRight w:val="0"/>
          <w:marTop w:val="0"/>
          <w:marBottom w:val="0"/>
          <w:divBdr>
            <w:top w:val="none" w:sz="0" w:space="0" w:color="auto"/>
            <w:left w:val="none" w:sz="0" w:space="0" w:color="auto"/>
            <w:bottom w:val="none" w:sz="0" w:space="0" w:color="auto"/>
            <w:right w:val="none" w:sz="0" w:space="0" w:color="auto"/>
          </w:divBdr>
        </w:div>
        <w:div w:id="908003846">
          <w:marLeft w:val="0"/>
          <w:marRight w:val="0"/>
          <w:marTop w:val="0"/>
          <w:marBottom w:val="0"/>
          <w:divBdr>
            <w:top w:val="none" w:sz="0" w:space="0" w:color="auto"/>
            <w:left w:val="none" w:sz="0" w:space="0" w:color="auto"/>
            <w:bottom w:val="none" w:sz="0" w:space="0" w:color="auto"/>
            <w:right w:val="none" w:sz="0" w:space="0" w:color="auto"/>
          </w:divBdr>
        </w:div>
        <w:div w:id="908003847">
          <w:marLeft w:val="0"/>
          <w:marRight w:val="0"/>
          <w:marTop w:val="0"/>
          <w:marBottom w:val="0"/>
          <w:divBdr>
            <w:top w:val="none" w:sz="0" w:space="0" w:color="auto"/>
            <w:left w:val="none" w:sz="0" w:space="0" w:color="auto"/>
            <w:bottom w:val="none" w:sz="0" w:space="0" w:color="auto"/>
            <w:right w:val="none" w:sz="0" w:space="0" w:color="auto"/>
          </w:divBdr>
        </w:div>
        <w:div w:id="908003881">
          <w:marLeft w:val="0"/>
          <w:marRight w:val="0"/>
          <w:marTop w:val="0"/>
          <w:marBottom w:val="0"/>
          <w:divBdr>
            <w:top w:val="none" w:sz="0" w:space="0" w:color="auto"/>
            <w:left w:val="none" w:sz="0" w:space="0" w:color="auto"/>
            <w:bottom w:val="none" w:sz="0" w:space="0" w:color="auto"/>
            <w:right w:val="none" w:sz="0" w:space="0" w:color="auto"/>
          </w:divBdr>
        </w:div>
        <w:div w:id="908003888">
          <w:marLeft w:val="0"/>
          <w:marRight w:val="0"/>
          <w:marTop w:val="0"/>
          <w:marBottom w:val="0"/>
          <w:divBdr>
            <w:top w:val="none" w:sz="0" w:space="0" w:color="auto"/>
            <w:left w:val="none" w:sz="0" w:space="0" w:color="auto"/>
            <w:bottom w:val="none" w:sz="0" w:space="0" w:color="auto"/>
            <w:right w:val="none" w:sz="0" w:space="0" w:color="auto"/>
          </w:divBdr>
        </w:div>
        <w:div w:id="908003896">
          <w:marLeft w:val="0"/>
          <w:marRight w:val="0"/>
          <w:marTop w:val="0"/>
          <w:marBottom w:val="0"/>
          <w:divBdr>
            <w:top w:val="none" w:sz="0" w:space="0" w:color="auto"/>
            <w:left w:val="none" w:sz="0" w:space="0" w:color="auto"/>
            <w:bottom w:val="none" w:sz="0" w:space="0" w:color="auto"/>
            <w:right w:val="none" w:sz="0" w:space="0" w:color="auto"/>
          </w:divBdr>
        </w:div>
        <w:div w:id="908003916">
          <w:marLeft w:val="0"/>
          <w:marRight w:val="0"/>
          <w:marTop w:val="0"/>
          <w:marBottom w:val="0"/>
          <w:divBdr>
            <w:top w:val="none" w:sz="0" w:space="0" w:color="auto"/>
            <w:left w:val="none" w:sz="0" w:space="0" w:color="auto"/>
            <w:bottom w:val="none" w:sz="0" w:space="0" w:color="auto"/>
            <w:right w:val="none" w:sz="0" w:space="0" w:color="auto"/>
          </w:divBdr>
        </w:div>
      </w:divsChild>
    </w:div>
    <w:div w:id="908003818">
      <w:marLeft w:val="0"/>
      <w:marRight w:val="0"/>
      <w:marTop w:val="0"/>
      <w:marBottom w:val="0"/>
      <w:divBdr>
        <w:top w:val="none" w:sz="0" w:space="0" w:color="auto"/>
        <w:left w:val="none" w:sz="0" w:space="0" w:color="auto"/>
        <w:bottom w:val="none" w:sz="0" w:space="0" w:color="auto"/>
        <w:right w:val="none" w:sz="0" w:space="0" w:color="auto"/>
      </w:divBdr>
      <w:divsChild>
        <w:div w:id="908003588">
          <w:marLeft w:val="0"/>
          <w:marRight w:val="0"/>
          <w:marTop w:val="0"/>
          <w:marBottom w:val="0"/>
          <w:divBdr>
            <w:top w:val="none" w:sz="0" w:space="0" w:color="auto"/>
            <w:left w:val="none" w:sz="0" w:space="0" w:color="auto"/>
            <w:bottom w:val="none" w:sz="0" w:space="0" w:color="auto"/>
            <w:right w:val="none" w:sz="0" w:space="0" w:color="auto"/>
          </w:divBdr>
        </w:div>
        <w:div w:id="908003805">
          <w:marLeft w:val="0"/>
          <w:marRight w:val="0"/>
          <w:marTop w:val="0"/>
          <w:marBottom w:val="0"/>
          <w:divBdr>
            <w:top w:val="none" w:sz="0" w:space="0" w:color="auto"/>
            <w:left w:val="none" w:sz="0" w:space="0" w:color="auto"/>
            <w:bottom w:val="none" w:sz="0" w:space="0" w:color="auto"/>
            <w:right w:val="none" w:sz="0" w:space="0" w:color="auto"/>
          </w:divBdr>
        </w:div>
      </w:divsChild>
    </w:div>
    <w:div w:id="908003819">
      <w:marLeft w:val="0"/>
      <w:marRight w:val="0"/>
      <w:marTop w:val="0"/>
      <w:marBottom w:val="0"/>
      <w:divBdr>
        <w:top w:val="none" w:sz="0" w:space="0" w:color="auto"/>
        <w:left w:val="none" w:sz="0" w:space="0" w:color="auto"/>
        <w:bottom w:val="none" w:sz="0" w:space="0" w:color="auto"/>
        <w:right w:val="none" w:sz="0" w:space="0" w:color="auto"/>
      </w:divBdr>
    </w:div>
    <w:div w:id="908003820">
      <w:marLeft w:val="0"/>
      <w:marRight w:val="0"/>
      <w:marTop w:val="0"/>
      <w:marBottom w:val="0"/>
      <w:divBdr>
        <w:top w:val="none" w:sz="0" w:space="0" w:color="auto"/>
        <w:left w:val="none" w:sz="0" w:space="0" w:color="auto"/>
        <w:bottom w:val="none" w:sz="0" w:space="0" w:color="auto"/>
        <w:right w:val="none" w:sz="0" w:space="0" w:color="auto"/>
      </w:divBdr>
    </w:div>
    <w:div w:id="908003821">
      <w:marLeft w:val="0"/>
      <w:marRight w:val="0"/>
      <w:marTop w:val="0"/>
      <w:marBottom w:val="0"/>
      <w:divBdr>
        <w:top w:val="none" w:sz="0" w:space="0" w:color="auto"/>
        <w:left w:val="none" w:sz="0" w:space="0" w:color="auto"/>
        <w:bottom w:val="none" w:sz="0" w:space="0" w:color="auto"/>
        <w:right w:val="none" w:sz="0" w:space="0" w:color="auto"/>
      </w:divBdr>
    </w:div>
    <w:div w:id="908003822">
      <w:marLeft w:val="0"/>
      <w:marRight w:val="0"/>
      <w:marTop w:val="0"/>
      <w:marBottom w:val="0"/>
      <w:divBdr>
        <w:top w:val="none" w:sz="0" w:space="0" w:color="auto"/>
        <w:left w:val="none" w:sz="0" w:space="0" w:color="auto"/>
        <w:bottom w:val="none" w:sz="0" w:space="0" w:color="auto"/>
        <w:right w:val="none" w:sz="0" w:space="0" w:color="auto"/>
      </w:divBdr>
    </w:div>
    <w:div w:id="908003823">
      <w:marLeft w:val="0"/>
      <w:marRight w:val="0"/>
      <w:marTop w:val="0"/>
      <w:marBottom w:val="0"/>
      <w:divBdr>
        <w:top w:val="none" w:sz="0" w:space="0" w:color="auto"/>
        <w:left w:val="none" w:sz="0" w:space="0" w:color="auto"/>
        <w:bottom w:val="none" w:sz="0" w:space="0" w:color="auto"/>
        <w:right w:val="none" w:sz="0" w:space="0" w:color="auto"/>
      </w:divBdr>
    </w:div>
    <w:div w:id="908003824">
      <w:marLeft w:val="0"/>
      <w:marRight w:val="0"/>
      <w:marTop w:val="0"/>
      <w:marBottom w:val="0"/>
      <w:divBdr>
        <w:top w:val="none" w:sz="0" w:space="0" w:color="auto"/>
        <w:left w:val="none" w:sz="0" w:space="0" w:color="auto"/>
        <w:bottom w:val="none" w:sz="0" w:space="0" w:color="auto"/>
        <w:right w:val="none" w:sz="0" w:space="0" w:color="auto"/>
      </w:divBdr>
    </w:div>
    <w:div w:id="908003825">
      <w:marLeft w:val="0"/>
      <w:marRight w:val="0"/>
      <w:marTop w:val="0"/>
      <w:marBottom w:val="0"/>
      <w:divBdr>
        <w:top w:val="none" w:sz="0" w:space="0" w:color="auto"/>
        <w:left w:val="none" w:sz="0" w:space="0" w:color="auto"/>
        <w:bottom w:val="none" w:sz="0" w:space="0" w:color="auto"/>
        <w:right w:val="none" w:sz="0" w:space="0" w:color="auto"/>
      </w:divBdr>
    </w:div>
    <w:div w:id="908003826">
      <w:marLeft w:val="0"/>
      <w:marRight w:val="0"/>
      <w:marTop w:val="0"/>
      <w:marBottom w:val="0"/>
      <w:divBdr>
        <w:top w:val="none" w:sz="0" w:space="0" w:color="auto"/>
        <w:left w:val="none" w:sz="0" w:space="0" w:color="auto"/>
        <w:bottom w:val="none" w:sz="0" w:space="0" w:color="auto"/>
        <w:right w:val="none" w:sz="0" w:space="0" w:color="auto"/>
      </w:divBdr>
    </w:div>
    <w:div w:id="908003827">
      <w:marLeft w:val="0"/>
      <w:marRight w:val="0"/>
      <w:marTop w:val="0"/>
      <w:marBottom w:val="0"/>
      <w:divBdr>
        <w:top w:val="none" w:sz="0" w:space="0" w:color="auto"/>
        <w:left w:val="none" w:sz="0" w:space="0" w:color="auto"/>
        <w:bottom w:val="none" w:sz="0" w:space="0" w:color="auto"/>
        <w:right w:val="none" w:sz="0" w:space="0" w:color="auto"/>
      </w:divBdr>
    </w:div>
    <w:div w:id="908003829">
      <w:marLeft w:val="0"/>
      <w:marRight w:val="0"/>
      <w:marTop w:val="0"/>
      <w:marBottom w:val="0"/>
      <w:divBdr>
        <w:top w:val="none" w:sz="0" w:space="0" w:color="auto"/>
        <w:left w:val="none" w:sz="0" w:space="0" w:color="auto"/>
        <w:bottom w:val="none" w:sz="0" w:space="0" w:color="auto"/>
        <w:right w:val="none" w:sz="0" w:space="0" w:color="auto"/>
      </w:divBdr>
    </w:div>
    <w:div w:id="908003830">
      <w:marLeft w:val="0"/>
      <w:marRight w:val="0"/>
      <w:marTop w:val="0"/>
      <w:marBottom w:val="0"/>
      <w:divBdr>
        <w:top w:val="none" w:sz="0" w:space="0" w:color="auto"/>
        <w:left w:val="none" w:sz="0" w:space="0" w:color="auto"/>
        <w:bottom w:val="none" w:sz="0" w:space="0" w:color="auto"/>
        <w:right w:val="none" w:sz="0" w:space="0" w:color="auto"/>
      </w:divBdr>
    </w:div>
    <w:div w:id="908003831">
      <w:marLeft w:val="0"/>
      <w:marRight w:val="0"/>
      <w:marTop w:val="0"/>
      <w:marBottom w:val="0"/>
      <w:divBdr>
        <w:top w:val="none" w:sz="0" w:space="0" w:color="auto"/>
        <w:left w:val="none" w:sz="0" w:space="0" w:color="auto"/>
        <w:bottom w:val="none" w:sz="0" w:space="0" w:color="auto"/>
        <w:right w:val="none" w:sz="0" w:space="0" w:color="auto"/>
      </w:divBdr>
    </w:div>
    <w:div w:id="908003832">
      <w:marLeft w:val="0"/>
      <w:marRight w:val="0"/>
      <w:marTop w:val="0"/>
      <w:marBottom w:val="0"/>
      <w:divBdr>
        <w:top w:val="none" w:sz="0" w:space="0" w:color="auto"/>
        <w:left w:val="none" w:sz="0" w:space="0" w:color="auto"/>
        <w:bottom w:val="none" w:sz="0" w:space="0" w:color="auto"/>
        <w:right w:val="none" w:sz="0" w:space="0" w:color="auto"/>
      </w:divBdr>
    </w:div>
    <w:div w:id="908003834">
      <w:marLeft w:val="0"/>
      <w:marRight w:val="0"/>
      <w:marTop w:val="0"/>
      <w:marBottom w:val="0"/>
      <w:divBdr>
        <w:top w:val="none" w:sz="0" w:space="0" w:color="auto"/>
        <w:left w:val="none" w:sz="0" w:space="0" w:color="auto"/>
        <w:bottom w:val="none" w:sz="0" w:space="0" w:color="auto"/>
        <w:right w:val="none" w:sz="0" w:space="0" w:color="auto"/>
      </w:divBdr>
    </w:div>
    <w:div w:id="908003835">
      <w:marLeft w:val="0"/>
      <w:marRight w:val="0"/>
      <w:marTop w:val="0"/>
      <w:marBottom w:val="0"/>
      <w:divBdr>
        <w:top w:val="none" w:sz="0" w:space="0" w:color="auto"/>
        <w:left w:val="none" w:sz="0" w:space="0" w:color="auto"/>
        <w:bottom w:val="none" w:sz="0" w:space="0" w:color="auto"/>
        <w:right w:val="none" w:sz="0" w:space="0" w:color="auto"/>
      </w:divBdr>
    </w:div>
    <w:div w:id="908003838">
      <w:marLeft w:val="0"/>
      <w:marRight w:val="0"/>
      <w:marTop w:val="0"/>
      <w:marBottom w:val="0"/>
      <w:divBdr>
        <w:top w:val="none" w:sz="0" w:space="0" w:color="auto"/>
        <w:left w:val="none" w:sz="0" w:space="0" w:color="auto"/>
        <w:bottom w:val="none" w:sz="0" w:space="0" w:color="auto"/>
        <w:right w:val="none" w:sz="0" w:space="0" w:color="auto"/>
      </w:divBdr>
    </w:div>
    <w:div w:id="908003839">
      <w:marLeft w:val="0"/>
      <w:marRight w:val="0"/>
      <w:marTop w:val="0"/>
      <w:marBottom w:val="0"/>
      <w:divBdr>
        <w:top w:val="none" w:sz="0" w:space="0" w:color="auto"/>
        <w:left w:val="none" w:sz="0" w:space="0" w:color="auto"/>
        <w:bottom w:val="none" w:sz="0" w:space="0" w:color="auto"/>
        <w:right w:val="none" w:sz="0" w:space="0" w:color="auto"/>
      </w:divBdr>
    </w:div>
    <w:div w:id="908003840">
      <w:marLeft w:val="0"/>
      <w:marRight w:val="0"/>
      <w:marTop w:val="0"/>
      <w:marBottom w:val="0"/>
      <w:divBdr>
        <w:top w:val="none" w:sz="0" w:space="0" w:color="auto"/>
        <w:left w:val="none" w:sz="0" w:space="0" w:color="auto"/>
        <w:bottom w:val="none" w:sz="0" w:space="0" w:color="auto"/>
        <w:right w:val="none" w:sz="0" w:space="0" w:color="auto"/>
      </w:divBdr>
    </w:div>
    <w:div w:id="908003842">
      <w:marLeft w:val="0"/>
      <w:marRight w:val="0"/>
      <w:marTop w:val="0"/>
      <w:marBottom w:val="0"/>
      <w:divBdr>
        <w:top w:val="none" w:sz="0" w:space="0" w:color="auto"/>
        <w:left w:val="none" w:sz="0" w:space="0" w:color="auto"/>
        <w:bottom w:val="none" w:sz="0" w:space="0" w:color="auto"/>
        <w:right w:val="none" w:sz="0" w:space="0" w:color="auto"/>
      </w:divBdr>
    </w:div>
    <w:div w:id="908003843">
      <w:marLeft w:val="0"/>
      <w:marRight w:val="0"/>
      <w:marTop w:val="0"/>
      <w:marBottom w:val="0"/>
      <w:divBdr>
        <w:top w:val="none" w:sz="0" w:space="0" w:color="auto"/>
        <w:left w:val="none" w:sz="0" w:space="0" w:color="auto"/>
        <w:bottom w:val="none" w:sz="0" w:space="0" w:color="auto"/>
        <w:right w:val="none" w:sz="0" w:space="0" w:color="auto"/>
      </w:divBdr>
    </w:div>
    <w:div w:id="908003844">
      <w:marLeft w:val="0"/>
      <w:marRight w:val="0"/>
      <w:marTop w:val="0"/>
      <w:marBottom w:val="0"/>
      <w:divBdr>
        <w:top w:val="none" w:sz="0" w:space="0" w:color="auto"/>
        <w:left w:val="none" w:sz="0" w:space="0" w:color="auto"/>
        <w:bottom w:val="none" w:sz="0" w:space="0" w:color="auto"/>
        <w:right w:val="none" w:sz="0" w:space="0" w:color="auto"/>
      </w:divBdr>
    </w:div>
    <w:div w:id="908003845">
      <w:marLeft w:val="0"/>
      <w:marRight w:val="0"/>
      <w:marTop w:val="0"/>
      <w:marBottom w:val="0"/>
      <w:divBdr>
        <w:top w:val="none" w:sz="0" w:space="0" w:color="auto"/>
        <w:left w:val="none" w:sz="0" w:space="0" w:color="auto"/>
        <w:bottom w:val="none" w:sz="0" w:space="0" w:color="auto"/>
        <w:right w:val="none" w:sz="0" w:space="0" w:color="auto"/>
      </w:divBdr>
    </w:div>
    <w:div w:id="908003851">
      <w:marLeft w:val="0"/>
      <w:marRight w:val="0"/>
      <w:marTop w:val="0"/>
      <w:marBottom w:val="0"/>
      <w:divBdr>
        <w:top w:val="none" w:sz="0" w:space="0" w:color="auto"/>
        <w:left w:val="none" w:sz="0" w:space="0" w:color="auto"/>
        <w:bottom w:val="none" w:sz="0" w:space="0" w:color="auto"/>
        <w:right w:val="none" w:sz="0" w:space="0" w:color="auto"/>
      </w:divBdr>
    </w:div>
    <w:div w:id="908003854">
      <w:marLeft w:val="0"/>
      <w:marRight w:val="0"/>
      <w:marTop w:val="0"/>
      <w:marBottom w:val="0"/>
      <w:divBdr>
        <w:top w:val="none" w:sz="0" w:space="0" w:color="auto"/>
        <w:left w:val="none" w:sz="0" w:space="0" w:color="auto"/>
        <w:bottom w:val="none" w:sz="0" w:space="0" w:color="auto"/>
        <w:right w:val="none" w:sz="0" w:space="0" w:color="auto"/>
      </w:divBdr>
    </w:div>
    <w:div w:id="908003855">
      <w:marLeft w:val="0"/>
      <w:marRight w:val="0"/>
      <w:marTop w:val="0"/>
      <w:marBottom w:val="0"/>
      <w:divBdr>
        <w:top w:val="none" w:sz="0" w:space="0" w:color="auto"/>
        <w:left w:val="none" w:sz="0" w:space="0" w:color="auto"/>
        <w:bottom w:val="none" w:sz="0" w:space="0" w:color="auto"/>
        <w:right w:val="none" w:sz="0" w:space="0" w:color="auto"/>
      </w:divBdr>
    </w:div>
    <w:div w:id="908003858">
      <w:marLeft w:val="0"/>
      <w:marRight w:val="0"/>
      <w:marTop w:val="0"/>
      <w:marBottom w:val="0"/>
      <w:divBdr>
        <w:top w:val="none" w:sz="0" w:space="0" w:color="auto"/>
        <w:left w:val="none" w:sz="0" w:space="0" w:color="auto"/>
        <w:bottom w:val="none" w:sz="0" w:space="0" w:color="auto"/>
        <w:right w:val="none" w:sz="0" w:space="0" w:color="auto"/>
      </w:divBdr>
    </w:div>
    <w:div w:id="908003860">
      <w:marLeft w:val="0"/>
      <w:marRight w:val="0"/>
      <w:marTop w:val="0"/>
      <w:marBottom w:val="0"/>
      <w:divBdr>
        <w:top w:val="none" w:sz="0" w:space="0" w:color="auto"/>
        <w:left w:val="none" w:sz="0" w:space="0" w:color="auto"/>
        <w:bottom w:val="none" w:sz="0" w:space="0" w:color="auto"/>
        <w:right w:val="none" w:sz="0" w:space="0" w:color="auto"/>
      </w:divBdr>
    </w:div>
    <w:div w:id="908003861">
      <w:marLeft w:val="0"/>
      <w:marRight w:val="0"/>
      <w:marTop w:val="0"/>
      <w:marBottom w:val="0"/>
      <w:divBdr>
        <w:top w:val="none" w:sz="0" w:space="0" w:color="auto"/>
        <w:left w:val="none" w:sz="0" w:space="0" w:color="auto"/>
        <w:bottom w:val="none" w:sz="0" w:space="0" w:color="auto"/>
        <w:right w:val="none" w:sz="0" w:space="0" w:color="auto"/>
      </w:divBdr>
    </w:div>
    <w:div w:id="908003864">
      <w:marLeft w:val="0"/>
      <w:marRight w:val="0"/>
      <w:marTop w:val="0"/>
      <w:marBottom w:val="0"/>
      <w:divBdr>
        <w:top w:val="none" w:sz="0" w:space="0" w:color="auto"/>
        <w:left w:val="none" w:sz="0" w:space="0" w:color="auto"/>
        <w:bottom w:val="none" w:sz="0" w:space="0" w:color="auto"/>
        <w:right w:val="none" w:sz="0" w:space="0" w:color="auto"/>
      </w:divBdr>
    </w:div>
    <w:div w:id="908003865">
      <w:marLeft w:val="0"/>
      <w:marRight w:val="0"/>
      <w:marTop w:val="0"/>
      <w:marBottom w:val="0"/>
      <w:divBdr>
        <w:top w:val="none" w:sz="0" w:space="0" w:color="auto"/>
        <w:left w:val="none" w:sz="0" w:space="0" w:color="auto"/>
        <w:bottom w:val="none" w:sz="0" w:space="0" w:color="auto"/>
        <w:right w:val="none" w:sz="0" w:space="0" w:color="auto"/>
      </w:divBdr>
    </w:div>
    <w:div w:id="908003866">
      <w:marLeft w:val="0"/>
      <w:marRight w:val="0"/>
      <w:marTop w:val="0"/>
      <w:marBottom w:val="0"/>
      <w:divBdr>
        <w:top w:val="none" w:sz="0" w:space="0" w:color="auto"/>
        <w:left w:val="none" w:sz="0" w:space="0" w:color="auto"/>
        <w:bottom w:val="none" w:sz="0" w:space="0" w:color="auto"/>
        <w:right w:val="none" w:sz="0" w:space="0" w:color="auto"/>
      </w:divBdr>
      <w:divsChild>
        <w:div w:id="908003680">
          <w:marLeft w:val="0"/>
          <w:marRight w:val="0"/>
          <w:marTop w:val="0"/>
          <w:marBottom w:val="0"/>
          <w:divBdr>
            <w:top w:val="none" w:sz="0" w:space="0" w:color="auto"/>
            <w:left w:val="none" w:sz="0" w:space="0" w:color="auto"/>
            <w:bottom w:val="none" w:sz="0" w:space="0" w:color="auto"/>
            <w:right w:val="none" w:sz="0" w:space="0" w:color="auto"/>
          </w:divBdr>
        </w:div>
        <w:div w:id="908003911">
          <w:marLeft w:val="0"/>
          <w:marRight w:val="0"/>
          <w:marTop w:val="0"/>
          <w:marBottom w:val="0"/>
          <w:divBdr>
            <w:top w:val="none" w:sz="0" w:space="0" w:color="auto"/>
            <w:left w:val="none" w:sz="0" w:space="0" w:color="auto"/>
            <w:bottom w:val="none" w:sz="0" w:space="0" w:color="auto"/>
            <w:right w:val="none" w:sz="0" w:space="0" w:color="auto"/>
          </w:divBdr>
        </w:div>
      </w:divsChild>
    </w:div>
    <w:div w:id="908003868">
      <w:marLeft w:val="0"/>
      <w:marRight w:val="0"/>
      <w:marTop w:val="0"/>
      <w:marBottom w:val="0"/>
      <w:divBdr>
        <w:top w:val="none" w:sz="0" w:space="0" w:color="auto"/>
        <w:left w:val="none" w:sz="0" w:space="0" w:color="auto"/>
        <w:bottom w:val="none" w:sz="0" w:space="0" w:color="auto"/>
        <w:right w:val="none" w:sz="0" w:space="0" w:color="auto"/>
      </w:divBdr>
    </w:div>
    <w:div w:id="908003869">
      <w:marLeft w:val="0"/>
      <w:marRight w:val="0"/>
      <w:marTop w:val="0"/>
      <w:marBottom w:val="0"/>
      <w:divBdr>
        <w:top w:val="none" w:sz="0" w:space="0" w:color="auto"/>
        <w:left w:val="none" w:sz="0" w:space="0" w:color="auto"/>
        <w:bottom w:val="none" w:sz="0" w:space="0" w:color="auto"/>
        <w:right w:val="none" w:sz="0" w:space="0" w:color="auto"/>
      </w:divBdr>
    </w:div>
    <w:div w:id="908003871">
      <w:marLeft w:val="0"/>
      <w:marRight w:val="0"/>
      <w:marTop w:val="0"/>
      <w:marBottom w:val="0"/>
      <w:divBdr>
        <w:top w:val="none" w:sz="0" w:space="0" w:color="auto"/>
        <w:left w:val="none" w:sz="0" w:space="0" w:color="auto"/>
        <w:bottom w:val="none" w:sz="0" w:space="0" w:color="auto"/>
        <w:right w:val="none" w:sz="0" w:space="0" w:color="auto"/>
      </w:divBdr>
    </w:div>
    <w:div w:id="908003872">
      <w:marLeft w:val="0"/>
      <w:marRight w:val="0"/>
      <w:marTop w:val="0"/>
      <w:marBottom w:val="0"/>
      <w:divBdr>
        <w:top w:val="none" w:sz="0" w:space="0" w:color="auto"/>
        <w:left w:val="none" w:sz="0" w:space="0" w:color="auto"/>
        <w:bottom w:val="none" w:sz="0" w:space="0" w:color="auto"/>
        <w:right w:val="none" w:sz="0" w:space="0" w:color="auto"/>
      </w:divBdr>
    </w:div>
    <w:div w:id="908003873">
      <w:marLeft w:val="0"/>
      <w:marRight w:val="0"/>
      <w:marTop w:val="0"/>
      <w:marBottom w:val="0"/>
      <w:divBdr>
        <w:top w:val="none" w:sz="0" w:space="0" w:color="auto"/>
        <w:left w:val="none" w:sz="0" w:space="0" w:color="auto"/>
        <w:bottom w:val="none" w:sz="0" w:space="0" w:color="auto"/>
        <w:right w:val="none" w:sz="0" w:space="0" w:color="auto"/>
      </w:divBdr>
      <w:divsChild>
        <w:div w:id="908003593">
          <w:marLeft w:val="0"/>
          <w:marRight w:val="0"/>
          <w:marTop w:val="0"/>
          <w:marBottom w:val="0"/>
          <w:divBdr>
            <w:top w:val="none" w:sz="0" w:space="0" w:color="auto"/>
            <w:left w:val="none" w:sz="0" w:space="0" w:color="auto"/>
            <w:bottom w:val="none" w:sz="0" w:space="0" w:color="auto"/>
            <w:right w:val="none" w:sz="0" w:space="0" w:color="auto"/>
          </w:divBdr>
        </w:div>
        <w:div w:id="908003611">
          <w:marLeft w:val="0"/>
          <w:marRight w:val="0"/>
          <w:marTop w:val="0"/>
          <w:marBottom w:val="0"/>
          <w:divBdr>
            <w:top w:val="none" w:sz="0" w:space="0" w:color="auto"/>
            <w:left w:val="none" w:sz="0" w:space="0" w:color="auto"/>
            <w:bottom w:val="none" w:sz="0" w:space="0" w:color="auto"/>
            <w:right w:val="none" w:sz="0" w:space="0" w:color="auto"/>
          </w:divBdr>
        </w:div>
        <w:div w:id="908003618">
          <w:marLeft w:val="0"/>
          <w:marRight w:val="0"/>
          <w:marTop w:val="0"/>
          <w:marBottom w:val="0"/>
          <w:divBdr>
            <w:top w:val="none" w:sz="0" w:space="0" w:color="auto"/>
            <w:left w:val="none" w:sz="0" w:space="0" w:color="auto"/>
            <w:bottom w:val="none" w:sz="0" w:space="0" w:color="auto"/>
            <w:right w:val="none" w:sz="0" w:space="0" w:color="auto"/>
          </w:divBdr>
        </w:div>
        <w:div w:id="908003625">
          <w:marLeft w:val="0"/>
          <w:marRight w:val="0"/>
          <w:marTop w:val="0"/>
          <w:marBottom w:val="0"/>
          <w:divBdr>
            <w:top w:val="none" w:sz="0" w:space="0" w:color="auto"/>
            <w:left w:val="none" w:sz="0" w:space="0" w:color="auto"/>
            <w:bottom w:val="none" w:sz="0" w:space="0" w:color="auto"/>
            <w:right w:val="none" w:sz="0" w:space="0" w:color="auto"/>
          </w:divBdr>
        </w:div>
        <w:div w:id="908003627">
          <w:marLeft w:val="0"/>
          <w:marRight w:val="0"/>
          <w:marTop w:val="0"/>
          <w:marBottom w:val="0"/>
          <w:divBdr>
            <w:top w:val="none" w:sz="0" w:space="0" w:color="auto"/>
            <w:left w:val="none" w:sz="0" w:space="0" w:color="auto"/>
            <w:bottom w:val="none" w:sz="0" w:space="0" w:color="auto"/>
            <w:right w:val="none" w:sz="0" w:space="0" w:color="auto"/>
          </w:divBdr>
        </w:div>
        <w:div w:id="908003631">
          <w:marLeft w:val="0"/>
          <w:marRight w:val="0"/>
          <w:marTop w:val="0"/>
          <w:marBottom w:val="0"/>
          <w:divBdr>
            <w:top w:val="none" w:sz="0" w:space="0" w:color="auto"/>
            <w:left w:val="none" w:sz="0" w:space="0" w:color="auto"/>
            <w:bottom w:val="none" w:sz="0" w:space="0" w:color="auto"/>
            <w:right w:val="none" w:sz="0" w:space="0" w:color="auto"/>
          </w:divBdr>
        </w:div>
        <w:div w:id="908003637">
          <w:marLeft w:val="0"/>
          <w:marRight w:val="0"/>
          <w:marTop w:val="0"/>
          <w:marBottom w:val="0"/>
          <w:divBdr>
            <w:top w:val="none" w:sz="0" w:space="0" w:color="auto"/>
            <w:left w:val="none" w:sz="0" w:space="0" w:color="auto"/>
            <w:bottom w:val="none" w:sz="0" w:space="0" w:color="auto"/>
            <w:right w:val="none" w:sz="0" w:space="0" w:color="auto"/>
          </w:divBdr>
        </w:div>
        <w:div w:id="908003646">
          <w:marLeft w:val="0"/>
          <w:marRight w:val="0"/>
          <w:marTop w:val="0"/>
          <w:marBottom w:val="0"/>
          <w:divBdr>
            <w:top w:val="none" w:sz="0" w:space="0" w:color="auto"/>
            <w:left w:val="none" w:sz="0" w:space="0" w:color="auto"/>
            <w:bottom w:val="none" w:sz="0" w:space="0" w:color="auto"/>
            <w:right w:val="none" w:sz="0" w:space="0" w:color="auto"/>
          </w:divBdr>
        </w:div>
        <w:div w:id="908003647">
          <w:marLeft w:val="0"/>
          <w:marRight w:val="0"/>
          <w:marTop w:val="0"/>
          <w:marBottom w:val="0"/>
          <w:divBdr>
            <w:top w:val="none" w:sz="0" w:space="0" w:color="auto"/>
            <w:left w:val="none" w:sz="0" w:space="0" w:color="auto"/>
            <w:bottom w:val="none" w:sz="0" w:space="0" w:color="auto"/>
            <w:right w:val="none" w:sz="0" w:space="0" w:color="auto"/>
          </w:divBdr>
        </w:div>
        <w:div w:id="908003652">
          <w:marLeft w:val="0"/>
          <w:marRight w:val="0"/>
          <w:marTop w:val="0"/>
          <w:marBottom w:val="0"/>
          <w:divBdr>
            <w:top w:val="none" w:sz="0" w:space="0" w:color="auto"/>
            <w:left w:val="none" w:sz="0" w:space="0" w:color="auto"/>
            <w:bottom w:val="none" w:sz="0" w:space="0" w:color="auto"/>
            <w:right w:val="none" w:sz="0" w:space="0" w:color="auto"/>
          </w:divBdr>
        </w:div>
        <w:div w:id="908003653">
          <w:marLeft w:val="0"/>
          <w:marRight w:val="0"/>
          <w:marTop w:val="0"/>
          <w:marBottom w:val="0"/>
          <w:divBdr>
            <w:top w:val="none" w:sz="0" w:space="0" w:color="auto"/>
            <w:left w:val="none" w:sz="0" w:space="0" w:color="auto"/>
            <w:bottom w:val="none" w:sz="0" w:space="0" w:color="auto"/>
            <w:right w:val="none" w:sz="0" w:space="0" w:color="auto"/>
          </w:divBdr>
        </w:div>
        <w:div w:id="908003669">
          <w:marLeft w:val="0"/>
          <w:marRight w:val="0"/>
          <w:marTop w:val="0"/>
          <w:marBottom w:val="0"/>
          <w:divBdr>
            <w:top w:val="none" w:sz="0" w:space="0" w:color="auto"/>
            <w:left w:val="none" w:sz="0" w:space="0" w:color="auto"/>
            <w:bottom w:val="none" w:sz="0" w:space="0" w:color="auto"/>
            <w:right w:val="none" w:sz="0" w:space="0" w:color="auto"/>
          </w:divBdr>
        </w:div>
        <w:div w:id="908003671">
          <w:marLeft w:val="0"/>
          <w:marRight w:val="0"/>
          <w:marTop w:val="0"/>
          <w:marBottom w:val="0"/>
          <w:divBdr>
            <w:top w:val="none" w:sz="0" w:space="0" w:color="auto"/>
            <w:left w:val="none" w:sz="0" w:space="0" w:color="auto"/>
            <w:bottom w:val="none" w:sz="0" w:space="0" w:color="auto"/>
            <w:right w:val="none" w:sz="0" w:space="0" w:color="auto"/>
          </w:divBdr>
        </w:div>
        <w:div w:id="908003673">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908003697">
          <w:marLeft w:val="0"/>
          <w:marRight w:val="0"/>
          <w:marTop w:val="0"/>
          <w:marBottom w:val="0"/>
          <w:divBdr>
            <w:top w:val="none" w:sz="0" w:space="0" w:color="auto"/>
            <w:left w:val="none" w:sz="0" w:space="0" w:color="auto"/>
            <w:bottom w:val="none" w:sz="0" w:space="0" w:color="auto"/>
            <w:right w:val="none" w:sz="0" w:space="0" w:color="auto"/>
          </w:divBdr>
        </w:div>
        <w:div w:id="908003707">
          <w:marLeft w:val="0"/>
          <w:marRight w:val="0"/>
          <w:marTop w:val="0"/>
          <w:marBottom w:val="0"/>
          <w:divBdr>
            <w:top w:val="none" w:sz="0" w:space="0" w:color="auto"/>
            <w:left w:val="none" w:sz="0" w:space="0" w:color="auto"/>
            <w:bottom w:val="none" w:sz="0" w:space="0" w:color="auto"/>
            <w:right w:val="none" w:sz="0" w:space="0" w:color="auto"/>
          </w:divBdr>
        </w:div>
        <w:div w:id="908003708">
          <w:marLeft w:val="0"/>
          <w:marRight w:val="0"/>
          <w:marTop w:val="0"/>
          <w:marBottom w:val="0"/>
          <w:divBdr>
            <w:top w:val="none" w:sz="0" w:space="0" w:color="auto"/>
            <w:left w:val="none" w:sz="0" w:space="0" w:color="auto"/>
            <w:bottom w:val="none" w:sz="0" w:space="0" w:color="auto"/>
            <w:right w:val="none" w:sz="0" w:space="0" w:color="auto"/>
          </w:divBdr>
        </w:div>
        <w:div w:id="908003718">
          <w:marLeft w:val="0"/>
          <w:marRight w:val="0"/>
          <w:marTop w:val="0"/>
          <w:marBottom w:val="0"/>
          <w:divBdr>
            <w:top w:val="none" w:sz="0" w:space="0" w:color="auto"/>
            <w:left w:val="none" w:sz="0" w:space="0" w:color="auto"/>
            <w:bottom w:val="none" w:sz="0" w:space="0" w:color="auto"/>
            <w:right w:val="none" w:sz="0" w:space="0" w:color="auto"/>
          </w:divBdr>
        </w:div>
        <w:div w:id="908003721">
          <w:marLeft w:val="0"/>
          <w:marRight w:val="0"/>
          <w:marTop w:val="0"/>
          <w:marBottom w:val="0"/>
          <w:divBdr>
            <w:top w:val="none" w:sz="0" w:space="0" w:color="auto"/>
            <w:left w:val="none" w:sz="0" w:space="0" w:color="auto"/>
            <w:bottom w:val="none" w:sz="0" w:space="0" w:color="auto"/>
            <w:right w:val="none" w:sz="0" w:space="0" w:color="auto"/>
          </w:divBdr>
        </w:div>
        <w:div w:id="908003726">
          <w:marLeft w:val="0"/>
          <w:marRight w:val="0"/>
          <w:marTop w:val="0"/>
          <w:marBottom w:val="0"/>
          <w:divBdr>
            <w:top w:val="none" w:sz="0" w:space="0" w:color="auto"/>
            <w:left w:val="none" w:sz="0" w:space="0" w:color="auto"/>
            <w:bottom w:val="none" w:sz="0" w:space="0" w:color="auto"/>
            <w:right w:val="none" w:sz="0" w:space="0" w:color="auto"/>
          </w:divBdr>
        </w:div>
        <w:div w:id="908003732">
          <w:marLeft w:val="0"/>
          <w:marRight w:val="0"/>
          <w:marTop w:val="0"/>
          <w:marBottom w:val="0"/>
          <w:divBdr>
            <w:top w:val="none" w:sz="0" w:space="0" w:color="auto"/>
            <w:left w:val="none" w:sz="0" w:space="0" w:color="auto"/>
            <w:bottom w:val="none" w:sz="0" w:space="0" w:color="auto"/>
            <w:right w:val="none" w:sz="0" w:space="0" w:color="auto"/>
          </w:divBdr>
        </w:div>
        <w:div w:id="908003743">
          <w:marLeft w:val="0"/>
          <w:marRight w:val="0"/>
          <w:marTop w:val="0"/>
          <w:marBottom w:val="0"/>
          <w:divBdr>
            <w:top w:val="none" w:sz="0" w:space="0" w:color="auto"/>
            <w:left w:val="none" w:sz="0" w:space="0" w:color="auto"/>
            <w:bottom w:val="none" w:sz="0" w:space="0" w:color="auto"/>
            <w:right w:val="none" w:sz="0" w:space="0" w:color="auto"/>
          </w:divBdr>
        </w:div>
        <w:div w:id="908003744">
          <w:marLeft w:val="0"/>
          <w:marRight w:val="0"/>
          <w:marTop w:val="0"/>
          <w:marBottom w:val="0"/>
          <w:divBdr>
            <w:top w:val="none" w:sz="0" w:space="0" w:color="auto"/>
            <w:left w:val="none" w:sz="0" w:space="0" w:color="auto"/>
            <w:bottom w:val="none" w:sz="0" w:space="0" w:color="auto"/>
            <w:right w:val="none" w:sz="0" w:space="0" w:color="auto"/>
          </w:divBdr>
        </w:div>
        <w:div w:id="908003747">
          <w:marLeft w:val="0"/>
          <w:marRight w:val="0"/>
          <w:marTop w:val="0"/>
          <w:marBottom w:val="0"/>
          <w:divBdr>
            <w:top w:val="none" w:sz="0" w:space="0" w:color="auto"/>
            <w:left w:val="none" w:sz="0" w:space="0" w:color="auto"/>
            <w:bottom w:val="none" w:sz="0" w:space="0" w:color="auto"/>
            <w:right w:val="none" w:sz="0" w:space="0" w:color="auto"/>
          </w:divBdr>
        </w:div>
        <w:div w:id="908003748">
          <w:marLeft w:val="0"/>
          <w:marRight w:val="0"/>
          <w:marTop w:val="0"/>
          <w:marBottom w:val="0"/>
          <w:divBdr>
            <w:top w:val="none" w:sz="0" w:space="0" w:color="auto"/>
            <w:left w:val="none" w:sz="0" w:space="0" w:color="auto"/>
            <w:bottom w:val="none" w:sz="0" w:space="0" w:color="auto"/>
            <w:right w:val="none" w:sz="0" w:space="0" w:color="auto"/>
          </w:divBdr>
        </w:div>
        <w:div w:id="908003764">
          <w:marLeft w:val="0"/>
          <w:marRight w:val="0"/>
          <w:marTop w:val="0"/>
          <w:marBottom w:val="0"/>
          <w:divBdr>
            <w:top w:val="none" w:sz="0" w:space="0" w:color="auto"/>
            <w:left w:val="none" w:sz="0" w:space="0" w:color="auto"/>
            <w:bottom w:val="none" w:sz="0" w:space="0" w:color="auto"/>
            <w:right w:val="none" w:sz="0" w:space="0" w:color="auto"/>
          </w:divBdr>
        </w:div>
        <w:div w:id="908003770">
          <w:marLeft w:val="0"/>
          <w:marRight w:val="0"/>
          <w:marTop w:val="0"/>
          <w:marBottom w:val="0"/>
          <w:divBdr>
            <w:top w:val="none" w:sz="0" w:space="0" w:color="auto"/>
            <w:left w:val="none" w:sz="0" w:space="0" w:color="auto"/>
            <w:bottom w:val="none" w:sz="0" w:space="0" w:color="auto"/>
            <w:right w:val="none" w:sz="0" w:space="0" w:color="auto"/>
          </w:divBdr>
        </w:div>
        <w:div w:id="908003772">
          <w:marLeft w:val="0"/>
          <w:marRight w:val="0"/>
          <w:marTop w:val="0"/>
          <w:marBottom w:val="0"/>
          <w:divBdr>
            <w:top w:val="none" w:sz="0" w:space="0" w:color="auto"/>
            <w:left w:val="none" w:sz="0" w:space="0" w:color="auto"/>
            <w:bottom w:val="none" w:sz="0" w:space="0" w:color="auto"/>
            <w:right w:val="none" w:sz="0" w:space="0" w:color="auto"/>
          </w:divBdr>
        </w:div>
        <w:div w:id="908003785">
          <w:marLeft w:val="0"/>
          <w:marRight w:val="0"/>
          <w:marTop w:val="0"/>
          <w:marBottom w:val="0"/>
          <w:divBdr>
            <w:top w:val="none" w:sz="0" w:space="0" w:color="auto"/>
            <w:left w:val="none" w:sz="0" w:space="0" w:color="auto"/>
            <w:bottom w:val="none" w:sz="0" w:space="0" w:color="auto"/>
            <w:right w:val="none" w:sz="0" w:space="0" w:color="auto"/>
          </w:divBdr>
        </w:div>
        <w:div w:id="908003787">
          <w:marLeft w:val="0"/>
          <w:marRight w:val="0"/>
          <w:marTop w:val="0"/>
          <w:marBottom w:val="0"/>
          <w:divBdr>
            <w:top w:val="none" w:sz="0" w:space="0" w:color="auto"/>
            <w:left w:val="none" w:sz="0" w:space="0" w:color="auto"/>
            <w:bottom w:val="none" w:sz="0" w:space="0" w:color="auto"/>
            <w:right w:val="none" w:sz="0" w:space="0" w:color="auto"/>
          </w:divBdr>
        </w:div>
        <w:div w:id="908003812">
          <w:marLeft w:val="0"/>
          <w:marRight w:val="0"/>
          <w:marTop w:val="0"/>
          <w:marBottom w:val="0"/>
          <w:divBdr>
            <w:top w:val="none" w:sz="0" w:space="0" w:color="auto"/>
            <w:left w:val="none" w:sz="0" w:space="0" w:color="auto"/>
            <w:bottom w:val="none" w:sz="0" w:space="0" w:color="auto"/>
            <w:right w:val="none" w:sz="0" w:space="0" w:color="auto"/>
          </w:divBdr>
        </w:div>
        <w:div w:id="908003815">
          <w:marLeft w:val="0"/>
          <w:marRight w:val="0"/>
          <w:marTop w:val="0"/>
          <w:marBottom w:val="0"/>
          <w:divBdr>
            <w:top w:val="none" w:sz="0" w:space="0" w:color="auto"/>
            <w:left w:val="none" w:sz="0" w:space="0" w:color="auto"/>
            <w:bottom w:val="none" w:sz="0" w:space="0" w:color="auto"/>
            <w:right w:val="none" w:sz="0" w:space="0" w:color="auto"/>
          </w:divBdr>
        </w:div>
        <w:div w:id="908003856">
          <w:marLeft w:val="0"/>
          <w:marRight w:val="0"/>
          <w:marTop w:val="0"/>
          <w:marBottom w:val="0"/>
          <w:divBdr>
            <w:top w:val="none" w:sz="0" w:space="0" w:color="auto"/>
            <w:left w:val="none" w:sz="0" w:space="0" w:color="auto"/>
            <w:bottom w:val="none" w:sz="0" w:space="0" w:color="auto"/>
            <w:right w:val="none" w:sz="0" w:space="0" w:color="auto"/>
          </w:divBdr>
        </w:div>
        <w:div w:id="908003857">
          <w:marLeft w:val="0"/>
          <w:marRight w:val="0"/>
          <w:marTop w:val="0"/>
          <w:marBottom w:val="0"/>
          <w:divBdr>
            <w:top w:val="none" w:sz="0" w:space="0" w:color="auto"/>
            <w:left w:val="none" w:sz="0" w:space="0" w:color="auto"/>
            <w:bottom w:val="none" w:sz="0" w:space="0" w:color="auto"/>
            <w:right w:val="none" w:sz="0" w:space="0" w:color="auto"/>
          </w:divBdr>
        </w:div>
        <w:div w:id="908003859">
          <w:marLeft w:val="0"/>
          <w:marRight w:val="0"/>
          <w:marTop w:val="0"/>
          <w:marBottom w:val="0"/>
          <w:divBdr>
            <w:top w:val="none" w:sz="0" w:space="0" w:color="auto"/>
            <w:left w:val="none" w:sz="0" w:space="0" w:color="auto"/>
            <w:bottom w:val="none" w:sz="0" w:space="0" w:color="auto"/>
            <w:right w:val="none" w:sz="0" w:space="0" w:color="auto"/>
          </w:divBdr>
        </w:div>
        <w:div w:id="908003890">
          <w:marLeft w:val="0"/>
          <w:marRight w:val="0"/>
          <w:marTop w:val="0"/>
          <w:marBottom w:val="0"/>
          <w:divBdr>
            <w:top w:val="none" w:sz="0" w:space="0" w:color="auto"/>
            <w:left w:val="none" w:sz="0" w:space="0" w:color="auto"/>
            <w:bottom w:val="none" w:sz="0" w:space="0" w:color="auto"/>
            <w:right w:val="none" w:sz="0" w:space="0" w:color="auto"/>
          </w:divBdr>
        </w:div>
        <w:div w:id="908003893">
          <w:marLeft w:val="0"/>
          <w:marRight w:val="0"/>
          <w:marTop w:val="0"/>
          <w:marBottom w:val="0"/>
          <w:divBdr>
            <w:top w:val="none" w:sz="0" w:space="0" w:color="auto"/>
            <w:left w:val="none" w:sz="0" w:space="0" w:color="auto"/>
            <w:bottom w:val="none" w:sz="0" w:space="0" w:color="auto"/>
            <w:right w:val="none" w:sz="0" w:space="0" w:color="auto"/>
          </w:divBdr>
        </w:div>
        <w:div w:id="908003915">
          <w:marLeft w:val="0"/>
          <w:marRight w:val="0"/>
          <w:marTop w:val="0"/>
          <w:marBottom w:val="0"/>
          <w:divBdr>
            <w:top w:val="none" w:sz="0" w:space="0" w:color="auto"/>
            <w:left w:val="none" w:sz="0" w:space="0" w:color="auto"/>
            <w:bottom w:val="none" w:sz="0" w:space="0" w:color="auto"/>
            <w:right w:val="none" w:sz="0" w:space="0" w:color="auto"/>
          </w:divBdr>
        </w:div>
        <w:div w:id="908003928">
          <w:marLeft w:val="0"/>
          <w:marRight w:val="0"/>
          <w:marTop w:val="0"/>
          <w:marBottom w:val="0"/>
          <w:divBdr>
            <w:top w:val="none" w:sz="0" w:space="0" w:color="auto"/>
            <w:left w:val="none" w:sz="0" w:space="0" w:color="auto"/>
            <w:bottom w:val="none" w:sz="0" w:space="0" w:color="auto"/>
            <w:right w:val="none" w:sz="0" w:space="0" w:color="auto"/>
          </w:divBdr>
        </w:div>
        <w:div w:id="908003930">
          <w:marLeft w:val="0"/>
          <w:marRight w:val="0"/>
          <w:marTop w:val="0"/>
          <w:marBottom w:val="0"/>
          <w:divBdr>
            <w:top w:val="none" w:sz="0" w:space="0" w:color="auto"/>
            <w:left w:val="none" w:sz="0" w:space="0" w:color="auto"/>
            <w:bottom w:val="none" w:sz="0" w:space="0" w:color="auto"/>
            <w:right w:val="none" w:sz="0" w:space="0" w:color="auto"/>
          </w:divBdr>
        </w:div>
        <w:div w:id="908003942">
          <w:marLeft w:val="0"/>
          <w:marRight w:val="0"/>
          <w:marTop w:val="0"/>
          <w:marBottom w:val="0"/>
          <w:divBdr>
            <w:top w:val="none" w:sz="0" w:space="0" w:color="auto"/>
            <w:left w:val="none" w:sz="0" w:space="0" w:color="auto"/>
            <w:bottom w:val="none" w:sz="0" w:space="0" w:color="auto"/>
            <w:right w:val="none" w:sz="0" w:space="0" w:color="auto"/>
          </w:divBdr>
        </w:div>
        <w:div w:id="908003944">
          <w:marLeft w:val="0"/>
          <w:marRight w:val="0"/>
          <w:marTop w:val="0"/>
          <w:marBottom w:val="0"/>
          <w:divBdr>
            <w:top w:val="none" w:sz="0" w:space="0" w:color="auto"/>
            <w:left w:val="none" w:sz="0" w:space="0" w:color="auto"/>
            <w:bottom w:val="none" w:sz="0" w:space="0" w:color="auto"/>
            <w:right w:val="none" w:sz="0" w:space="0" w:color="auto"/>
          </w:divBdr>
        </w:div>
        <w:div w:id="908003945">
          <w:marLeft w:val="0"/>
          <w:marRight w:val="0"/>
          <w:marTop w:val="0"/>
          <w:marBottom w:val="0"/>
          <w:divBdr>
            <w:top w:val="none" w:sz="0" w:space="0" w:color="auto"/>
            <w:left w:val="none" w:sz="0" w:space="0" w:color="auto"/>
            <w:bottom w:val="none" w:sz="0" w:space="0" w:color="auto"/>
            <w:right w:val="none" w:sz="0" w:space="0" w:color="auto"/>
          </w:divBdr>
        </w:div>
      </w:divsChild>
    </w:div>
    <w:div w:id="908003874">
      <w:marLeft w:val="0"/>
      <w:marRight w:val="0"/>
      <w:marTop w:val="0"/>
      <w:marBottom w:val="0"/>
      <w:divBdr>
        <w:top w:val="none" w:sz="0" w:space="0" w:color="auto"/>
        <w:left w:val="none" w:sz="0" w:space="0" w:color="auto"/>
        <w:bottom w:val="none" w:sz="0" w:space="0" w:color="auto"/>
        <w:right w:val="none" w:sz="0" w:space="0" w:color="auto"/>
      </w:divBdr>
    </w:div>
    <w:div w:id="908003875">
      <w:marLeft w:val="0"/>
      <w:marRight w:val="0"/>
      <w:marTop w:val="0"/>
      <w:marBottom w:val="0"/>
      <w:divBdr>
        <w:top w:val="none" w:sz="0" w:space="0" w:color="auto"/>
        <w:left w:val="none" w:sz="0" w:space="0" w:color="auto"/>
        <w:bottom w:val="none" w:sz="0" w:space="0" w:color="auto"/>
        <w:right w:val="none" w:sz="0" w:space="0" w:color="auto"/>
      </w:divBdr>
    </w:div>
    <w:div w:id="908003876">
      <w:marLeft w:val="0"/>
      <w:marRight w:val="0"/>
      <w:marTop w:val="0"/>
      <w:marBottom w:val="0"/>
      <w:divBdr>
        <w:top w:val="none" w:sz="0" w:space="0" w:color="auto"/>
        <w:left w:val="none" w:sz="0" w:space="0" w:color="auto"/>
        <w:bottom w:val="none" w:sz="0" w:space="0" w:color="auto"/>
        <w:right w:val="none" w:sz="0" w:space="0" w:color="auto"/>
      </w:divBdr>
    </w:div>
    <w:div w:id="908003877">
      <w:marLeft w:val="0"/>
      <w:marRight w:val="0"/>
      <w:marTop w:val="0"/>
      <w:marBottom w:val="0"/>
      <w:divBdr>
        <w:top w:val="none" w:sz="0" w:space="0" w:color="auto"/>
        <w:left w:val="none" w:sz="0" w:space="0" w:color="auto"/>
        <w:bottom w:val="none" w:sz="0" w:space="0" w:color="auto"/>
        <w:right w:val="none" w:sz="0" w:space="0" w:color="auto"/>
      </w:divBdr>
    </w:div>
    <w:div w:id="908003878">
      <w:marLeft w:val="0"/>
      <w:marRight w:val="0"/>
      <w:marTop w:val="0"/>
      <w:marBottom w:val="0"/>
      <w:divBdr>
        <w:top w:val="none" w:sz="0" w:space="0" w:color="auto"/>
        <w:left w:val="none" w:sz="0" w:space="0" w:color="auto"/>
        <w:bottom w:val="none" w:sz="0" w:space="0" w:color="auto"/>
        <w:right w:val="none" w:sz="0" w:space="0" w:color="auto"/>
      </w:divBdr>
    </w:div>
    <w:div w:id="908003879">
      <w:marLeft w:val="0"/>
      <w:marRight w:val="0"/>
      <w:marTop w:val="0"/>
      <w:marBottom w:val="0"/>
      <w:divBdr>
        <w:top w:val="none" w:sz="0" w:space="0" w:color="auto"/>
        <w:left w:val="none" w:sz="0" w:space="0" w:color="auto"/>
        <w:bottom w:val="none" w:sz="0" w:space="0" w:color="auto"/>
        <w:right w:val="none" w:sz="0" w:space="0" w:color="auto"/>
      </w:divBdr>
    </w:div>
    <w:div w:id="908003880">
      <w:marLeft w:val="0"/>
      <w:marRight w:val="0"/>
      <w:marTop w:val="0"/>
      <w:marBottom w:val="0"/>
      <w:divBdr>
        <w:top w:val="none" w:sz="0" w:space="0" w:color="auto"/>
        <w:left w:val="none" w:sz="0" w:space="0" w:color="auto"/>
        <w:bottom w:val="none" w:sz="0" w:space="0" w:color="auto"/>
        <w:right w:val="none" w:sz="0" w:space="0" w:color="auto"/>
      </w:divBdr>
    </w:div>
    <w:div w:id="908003883">
      <w:marLeft w:val="0"/>
      <w:marRight w:val="0"/>
      <w:marTop w:val="0"/>
      <w:marBottom w:val="0"/>
      <w:divBdr>
        <w:top w:val="none" w:sz="0" w:space="0" w:color="auto"/>
        <w:left w:val="none" w:sz="0" w:space="0" w:color="auto"/>
        <w:bottom w:val="none" w:sz="0" w:space="0" w:color="auto"/>
        <w:right w:val="none" w:sz="0" w:space="0" w:color="auto"/>
      </w:divBdr>
    </w:div>
    <w:div w:id="908003884">
      <w:marLeft w:val="0"/>
      <w:marRight w:val="0"/>
      <w:marTop w:val="0"/>
      <w:marBottom w:val="0"/>
      <w:divBdr>
        <w:top w:val="none" w:sz="0" w:space="0" w:color="auto"/>
        <w:left w:val="none" w:sz="0" w:space="0" w:color="auto"/>
        <w:bottom w:val="none" w:sz="0" w:space="0" w:color="auto"/>
        <w:right w:val="none" w:sz="0" w:space="0" w:color="auto"/>
      </w:divBdr>
    </w:div>
    <w:div w:id="908003885">
      <w:marLeft w:val="0"/>
      <w:marRight w:val="0"/>
      <w:marTop w:val="0"/>
      <w:marBottom w:val="0"/>
      <w:divBdr>
        <w:top w:val="none" w:sz="0" w:space="0" w:color="auto"/>
        <w:left w:val="none" w:sz="0" w:space="0" w:color="auto"/>
        <w:bottom w:val="none" w:sz="0" w:space="0" w:color="auto"/>
        <w:right w:val="none" w:sz="0" w:space="0" w:color="auto"/>
      </w:divBdr>
    </w:div>
    <w:div w:id="908003887">
      <w:marLeft w:val="0"/>
      <w:marRight w:val="0"/>
      <w:marTop w:val="0"/>
      <w:marBottom w:val="0"/>
      <w:divBdr>
        <w:top w:val="none" w:sz="0" w:space="0" w:color="auto"/>
        <w:left w:val="none" w:sz="0" w:space="0" w:color="auto"/>
        <w:bottom w:val="none" w:sz="0" w:space="0" w:color="auto"/>
        <w:right w:val="none" w:sz="0" w:space="0" w:color="auto"/>
      </w:divBdr>
    </w:div>
    <w:div w:id="908003891">
      <w:marLeft w:val="0"/>
      <w:marRight w:val="0"/>
      <w:marTop w:val="0"/>
      <w:marBottom w:val="0"/>
      <w:divBdr>
        <w:top w:val="none" w:sz="0" w:space="0" w:color="auto"/>
        <w:left w:val="none" w:sz="0" w:space="0" w:color="auto"/>
        <w:bottom w:val="none" w:sz="0" w:space="0" w:color="auto"/>
        <w:right w:val="none" w:sz="0" w:space="0" w:color="auto"/>
      </w:divBdr>
    </w:div>
    <w:div w:id="908003892">
      <w:marLeft w:val="0"/>
      <w:marRight w:val="0"/>
      <w:marTop w:val="0"/>
      <w:marBottom w:val="0"/>
      <w:divBdr>
        <w:top w:val="none" w:sz="0" w:space="0" w:color="auto"/>
        <w:left w:val="none" w:sz="0" w:space="0" w:color="auto"/>
        <w:bottom w:val="none" w:sz="0" w:space="0" w:color="auto"/>
        <w:right w:val="none" w:sz="0" w:space="0" w:color="auto"/>
      </w:divBdr>
    </w:div>
    <w:div w:id="908003894">
      <w:marLeft w:val="0"/>
      <w:marRight w:val="0"/>
      <w:marTop w:val="0"/>
      <w:marBottom w:val="0"/>
      <w:divBdr>
        <w:top w:val="none" w:sz="0" w:space="0" w:color="auto"/>
        <w:left w:val="none" w:sz="0" w:space="0" w:color="auto"/>
        <w:bottom w:val="none" w:sz="0" w:space="0" w:color="auto"/>
        <w:right w:val="none" w:sz="0" w:space="0" w:color="auto"/>
      </w:divBdr>
    </w:div>
    <w:div w:id="908003895">
      <w:marLeft w:val="0"/>
      <w:marRight w:val="0"/>
      <w:marTop w:val="0"/>
      <w:marBottom w:val="0"/>
      <w:divBdr>
        <w:top w:val="none" w:sz="0" w:space="0" w:color="auto"/>
        <w:left w:val="none" w:sz="0" w:space="0" w:color="auto"/>
        <w:bottom w:val="none" w:sz="0" w:space="0" w:color="auto"/>
        <w:right w:val="none" w:sz="0" w:space="0" w:color="auto"/>
      </w:divBdr>
    </w:div>
    <w:div w:id="908003898">
      <w:marLeft w:val="0"/>
      <w:marRight w:val="0"/>
      <w:marTop w:val="0"/>
      <w:marBottom w:val="0"/>
      <w:divBdr>
        <w:top w:val="none" w:sz="0" w:space="0" w:color="auto"/>
        <w:left w:val="none" w:sz="0" w:space="0" w:color="auto"/>
        <w:bottom w:val="none" w:sz="0" w:space="0" w:color="auto"/>
        <w:right w:val="none" w:sz="0" w:space="0" w:color="auto"/>
      </w:divBdr>
    </w:div>
    <w:div w:id="908003899">
      <w:marLeft w:val="0"/>
      <w:marRight w:val="0"/>
      <w:marTop w:val="0"/>
      <w:marBottom w:val="0"/>
      <w:divBdr>
        <w:top w:val="none" w:sz="0" w:space="0" w:color="auto"/>
        <w:left w:val="none" w:sz="0" w:space="0" w:color="auto"/>
        <w:bottom w:val="none" w:sz="0" w:space="0" w:color="auto"/>
        <w:right w:val="none" w:sz="0" w:space="0" w:color="auto"/>
      </w:divBdr>
    </w:div>
    <w:div w:id="908003900">
      <w:marLeft w:val="0"/>
      <w:marRight w:val="0"/>
      <w:marTop w:val="0"/>
      <w:marBottom w:val="0"/>
      <w:divBdr>
        <w:top w:val="none" w:sz="0" w:space="0" w:color="auto"/>
        <w:left w:val="none" w:sz="0" w:space="0" w:color="auto"/>
        <w:bottom w:val="none" w:sz="0" w:space="0" w:color="auto"/>
        <w:right w:val="none" w:sz="0" w:space="0" w:color="auto"/>
      </w:divBdr>
    </w:div>
    <w:div w:id="908003901">
      <w:marLeft w:val="0"/>
      <w:marRight w:val="0"/>
      <w:marTop w:val="0"/>
      <w:marBottom w:val="0"/>
      <w:divBdr>
        <w:top w:val="none" w:sz="0" w:space="0" w:color="auto"/>
        <w:left w:val="none" w:sz="0" w:space="0" w:color="auto"/>
        <w:bottom w:val="none" w:sz="0" w:space="0" w:color="auto"/>
        <w:right w:val="none" w:sz="0" w:space="0" w:color="auto"/>
      </w:divBdr>
    </w:div>
    <w:div w:id="908003902">
      <w:marLeft w:val="0"/>
      <w:marRight w:val="0"/>
      <w:marTop w:val="0"/>
      <w:marBottom w:val="0"/>
      <w:divBdr>
        <w:top w:val="none" w:sz="0" w:space="0" w:color="auto"/>
        <w:left w:val="none" w:sz="0" w:space="0" w:color="auto"/>
        <w:bottom w:val="none" w:sz="0" w:space="0" w:color="auto"/>
        <w:right w:val="none" w:sz="0" w:space="0" w:color="auto"/>
      </w:divBdr>
    </w:div>
    <w:div w:id="908003903">
      <w:marLeft w:val="0"/>
      <w:marRight w:val="0"/>
      <w:marTop w:val="0"/>
      <w:marBottom w:val="0"/>
      <w:divBdr>
        <w:top w:val="none" w:sz="0" w:space="0" w:color="auto"/>
        <w:left w:val="none" w:sz="0" w:space="0" w:color="auto"/>
        <w:bottom w:val="none" w:sz="0" w:space="0" w:color="auto"/>
        <w:right w:val="none" w:sz="0" w:space="0" w:color="auto"/>
      </w:divBdr>
    </w:div>
    <w:div w:id="908003904">
      <w:marLeft w:val="0"/>
      <w:marRight w:val="0"/>
      <w:marTop w:val="0"/>
      <w:marBottom w:val="0"/>
      <w:divBdr>
        <w:top w:val="none" w:sz="0" w:space="0" w:color="auto"/>
        <w:left w:val="none" w:sz="0" w:space="0" w:color="auto"/>
        <w:bottom w:val="none" w:sz="0" w:space="0" w:color="auto"/>
        <w:right w:val="none" w:sz="0" w:space="0" w:color="auto"/>
      </w:divBdr>
    </w:div>
    <w:div w:id="908003905">
      <w:marLeft w:val="0"/>
      <w:marRight w:val="0"/>
      <w:marTop w:val="0"/>
      <w:marBottom w:val="0"/>
      <w:divBdr>
        <w:top w:val="none" w:sz="0" w:space="0" w:color="auto"/>
        <w:left w:val="none" w:sz="0" w:space="0" w:color="auto"/>
        <w:bottom w:val="none" w:sz="0" w:space="0" w:color="auto"/>
        <w:right w:val="none" w:sz="0" w:space="0" w:color="auto"/>
      </w:divBdr>
    </w:div>
    <w:div w:id="908003906">
      <w:marLeft w:val="0"/>
      <w:marRight w:val="0"/>
      <w:marTop w:val="0"/>
      <w:marBottom w:val="0"/>
      <w:divBdr>
        <w:top w:val="none" w:sz="0" w:space="0" w:color="auto"/>
        <w:left w:val="none" w:sz="0" w:space="0" w:color="auto"/>
        <w:bottom w:val="none" w:sz="0" w:space="0" w:color="auto"/>
        <w:right w:val="none" w:sz="0" w:space="0" w:color="auto"/>
      </w:divBdr>
    </w:div>
    <w:div w:id="908003907">
      <w:marLeft w:val="0"/>
      <w:marRight w:val="0"/>
      <w:marTop w:val="0"/>
      <w:marBottom w:val="0"/>
      <w:divBdr>
        <w:top w:val="none" w:sz="0" w:space="0" w:color="auto"/>
        <w:left w:val="none" w:sz="0" w:space="0" w:color="auto"/>
        <w:bottom w:val="none" w:sz="0" w:space="0" w:color="auto"/>
        <w:right w:val="none" w:sz="0" w:space="0" w:color="auto"/>
      </w:divBdr>
    </w:div>
    <w:div w:id="908003908">
      <w:marLeft w:val="0"/>
      <w:marRight w:val="0"/>
      <w:marTop w:val="0"/>
      <w:marBottom w:val="0"/>
      <w:divBdr>
        <w:top w:val="none" w:sz="0" w:space="0" w:color="auto"/>
        <w:left w:val="none" w:sz="0" w:space="0" w:color="auto"/>
        <w:bottom w:val="none" w:sz="0" w:space="0" w:color="auto"/>
        <w:right w:val="none" w:sz="0" w:space="0" w:color="auto"/>
      </w:divBdr>
    </w:div>
    <w:div w:id="908003909">
      <w:marLeft w:val="0"/>
      <w:marRight w:val="0"/>
      <w:marTop w:val="0"/>
      <w:marBottom w:val="0"/>
      <w:divBdr>
        <w:top w:val="none" w:sz="0" w:space="0" w:color="auto"/>
        <w:left w:val="none" w:sz="0" w:space="0" w:color="auto"/>
        <w:bottom w:val="none" w:sz="0" w:space="0" w:color="auto"/>
        <w:right w:val="none" w:sz="0" w:space="0" w:color="auto"/>
      </w:divBdr>
    </w:div>
    <w:div w:id="908003910">
      <w:marLeft w:val="0"/>
      <w:marRight w:val="0"/>
      <w:marTop w:val="0"/>
      <w:marBottom w:val="0"/>
      <w:divBdr>
        <w:top w:val="none" w:sz="0" w:space="0" w:color="auto"/>
        <w:left w:val="none" w:sz="0" w:space="0" w:color="auto"/>
        <w:bottom w:val="none" w:sz="0" w:space="0" w:color="auto"/>
        <w:right w:val="none" w:sz="0" w:space="0" w:color="auto"/>
      </w:divBdr>
    </w:div>
    <w:div w:id="908003912">
      <w:marLeft w:val="0"/>
      <w:marRight w:val="0"/>
      <w:marTop w:val="0"/>
      <w:marBottom w:val="0"/>
      <w:divBdr>
        <w:top w:val="none" w:sz="0" w:space="0" w:color="auto"/>
        <w:left w:val="none" w:sz="0" w:space="0" w:color="auto"/>
        <w:bottom w:val="none" w:sz="0" w:space="0" w:color="auto"/>
        <w:right w:val="none" w:sz="0" w:space="0" w:color="auto"/>
      </w:divBdr>
    </w:div>
    <w:div w:id="908003913">
      <w:marLeft w:val="0"/>
      <w:marRight w:val="0"/>
      <w:marTop w:val="0"/>
      <w:marBottom w:val="0"/>
      <w:divBdr>
        <w:top w:val="none" w:sz="0" w:space="0" w:color="auto"/>
        <w:left w:val="none" w:sz="0" w:space="0" w:color="auto"/>
        <w:bottom w:val="none" w:sz="0" w:space="0" w:color="auto"/>
        <w:right w:val="none" w:sz="0" w:space="0" w:color="auto"/>
      </w:divBdr>
    </w:div>
    <w:div w:id="908003914">
      <w:marLeft w:val="0"/>
      <w:marRight w:val="0"/>
      <w:marTop w:val="0"/>
      <w:marBottom w:val="0"/>
      <w:divBdr>
        <w:top w:val="none" w:sz="0" w:space="0" w:color="auto"/>
        <w:left w:val="none" w:sz="0" w:space="0" w:color="auto"/>
        <w:bottom w:val="none" w:sz="0" w:space="0" w:color="auto"/>
        <w:right w:val="none" w:sz="0" w:space="0" w:color="auto"/>
      </w:divBdr>
    </w:div>
    <w:div w:id="908003918">
      <w:marLeft w:val="0"/>
      <w:marRight w:val="0"/>
      <w:marTop w:val="0"/>
      <w:marBottom w:val="0"/>
      <w:divBdr>
        <w:top w:val="none" w:sz="0" w:space="0" w:color="auto"/>
        <w:left w:val="none" w:sz="0" w:space="0" w:color="auto"/>
        <w:bottom w:val="none" w:sz="0" w:space="0" w:color="auto"/>
        <w:right w:val="none" w:sz="0" w:space="0" w:color="auto"/>
      </w:divBdr>
    </w:div>
    <w:div w:id="908003919">
      <w:marLeft w:val="0"/>
      <w:marRight w:val="0"/>
      <w:marTop w:val="0"/>
      <w:marBottom w:val="0"/>
      <w:divBdr>
        <w:top w:val="none" w:sz="0" w:space="0" w:color="auto"/>
        <w:left w:val="none" w:sz="0" w:space="0" w:color="auto"/>
        <w:bottom w:val="none" w:sz="0" w:space="0" w:color="auto"/>
        <w:right w:val="none" w:sz="0" w:space="0" w:color="auto"/>
      </w:divBdr>
    </w:div>
    <w:div w:id="908003920">
      <w:marLeft w:val="0"/>
      <w:marRight w:val="0"/>
      <w:marTop w:val="0"/>
      <w:marBottom w:val="0"/>
      <w:divBdr>
        <w:top w:val="none" w:sz="0" w:space="0" w:color="auto"/>
        <w:left w:val="none" w:sz="0" w:space="0" w:color="auto"/>
        <w:bottom w:val="none" w:sz="0" w:space="0" w:color="auto"/>
        <w:right w:val="none" w:sz="0" w:space="0" w:color="auto"/>
      </w:divBdr>
    </w:div>
    <w:div w:id="908003921">
      <w:marLeft w:val="0"/>
      <w:marRight w:val="0"/>
      <w:marTop w:val="0"/>
      <w:marBottom w:val="0"/>
      <w:divBdr>
        <w:top w:val="none" w:sz="0" w:space="0" w:color="auto"/>
        <w:left w:val="none" w:sz="0" w:space="0" w:color="auto"/>
        <w:bottom w:val="none" w:sz="0" w:space="0" w:color="auto"/>
        <w:right w:val="none" w:sz="0" w:space="0" w:color="auto"/>
      </w:divBdr>
    </w:div>
    <w:div w:id="908003922">
      <w:marLeft w:val="0"/>
      <w:marRight w:val="0"/>
      <w:marTop w:val="0"/>
      <w:marBottom w:val="0"/>
      <w:divBdr>
        <w:top w:val="none" w:sz="0" w:space="0" w:color="auto"/>
        <w:left w:val="none" w:sz="0" w:space="0" w:color="auto"/>
        <w:bottom w:val="none" w:sz="0" w:space="0" w:color="auto"/>
        <w:right w:val="none" w:sz="0" w:space="0" w:color="auto"/>
      </w:divBdr>
    </w:div>
    <w:div w:id="908003923">
      <w:marLeft w:val="0"/>
      <w:marRight w:val="0"/>
      <w:marTop w:val="0"/>
      <w:marBottom w:val="0"/>
      <w:divBdr>
        <w:top w:val="none" w:sz="0" w:space="0" w:color="auto"/>
        <w:left w:val="none" w:sz="0" w:space="0" w:color="auto"/>
        <w:bottom w:val="none" w:sz="0" w:space="0" w:color="auto"/>
        <w:right w:val="none" w:sz="0" w:space="0" w:color="auto"/>
      </w:divBdr>
    </w:div>
    <w:div w:id="908003924">
      <w:marLeft w:val="0"/>
      <w:marRight w:val="0"/>
      <w:marTop w:val="0"/>
      <w:marBottom w:val="0"/>
      <w:divBdr>
        <w:top w:val="none" w:sz="0" w:space="0" w:color="auto"/>
        <w:left w:val="none" w:sz="0" w:space="0" w:color="auto"/>
        <w:bottom w:val="none" w:sz="0" w:space="0" w:color="auto"/>
        <w:right w:val="none" w:sz="0" w:space="0" w:color="auto"/>
      </w:divBdr>
    </w:div>
    <w:div w:id="908003926">
      <w:marLeft w:val="0"/>
      <w:marRight w:val="0"/>
      <w:marTop w:val="0"/>
      <w:marBottom w:val="0"/>
      <w:divBdr>
        <w:top w:val="none" w:sz="0" w:space="0" w:color="auto"/>
        <w:left w:val="none" w:sz="0" w:space="0" w:color="auto"/>
        <w:bottom w:val="none" w:sz="0" w:space="0" w:color="auto"/>
        <w:right w:val="none" w:sz="0" w:space="0" w:color="auto"/>
      </w:divBdr>
    </w:div>
    <w:div w:id="908003927">
      <w:marLeft w:val="0"/>
      <w:marRight w:val="0"/>
      <w:marTop w:val="0"/>
      <w:marBottom w:val="0"/>
      <w:divBdr>
        <w:top w:val="none" w:sz="0" w:space="0" w:color="auto"/>
        <w:left w:val="none" w:sz="0" w:space="0" w:color="auto"/>
        <w:bottom w:val="none" w:sz="0" w:space="0" w:color="auto"/>
        <w:right w:val="none" w:sz="0" w:space="0" w:color="auto"/>
      </w:divBdr>
    </w:div>
    <w:div w:id="908003929">
      <w:marLeft w:val="0"/>
      <w:marRight w:val="0"/>
      <w:marTop w:val="0"/>
      <w:marBottom w:val="0"/>
      <w:divBdr>
        <w:top w:val="none" w:sz="0" w:space="0" w:color="auto"/>
        <w:left w:val="none" w:sz="0" w:space="0" w:color="auto"/>
        <w:bottom w:val="none" w:sz="0" w:space="0" w:color="auto"/>
        <w:right w:val="none" w:sz="0" w:space="0" w:color="auto"/>
      </w:divBdr>
    </w:div>
    <w:div w:id="908003931">
      <w:marLeft w:val="0"/>
      <w:marRight w:val="0"/>
      <w:marTop w:val="0"/>
      <w:marBottom w:val="0"/>
      <w:divBdr>
        <w:top w:val="none" w:sz="0" w:space="0" w:color="auto"/>
        <w:left w:val="none" w:sz="0" w:space="0" w:color="auto"/>
        <w:bottom w:val="none" w:sz="0" w:space="0" w:color="auto"/>
        <w:right w:val="none" w:sz="0" w:space="0" w:color="auto"/>
      </w:divBdr>
    </w:div>
    <w:div w:id="908003932">
      <w:marLeft w:val="0"/>
      <w:marRight w:val="0"/>
      <w:marTop w:val="0"/>
      <w:marBottom w:val="0"/>
      <w:divBdr>
        <w:top w:val="none" w:sz="0" w:space="0" w:color="auto"/>
        <w:left w:val="none" w:sz="0" w:space="0" w:color="auto"/>
        <w:bottom w:val="none" w:sz="0" w:space="0" w:color="auto"/>
        <w:right w:val="none" w:sz="0" w:space="0" w:color="auto"/>
      </w:divBdr>
    </w:div>
    <w:div w:id="908003933">
      <w:marLeft w:val="0"/>
      <w:marRight w:val="0"/>
      <w:marTop w:val="0"/>
      <w:marBottom w:val="0"/>
      <w:divBdr>
        <w:top w:val="none" w:sz="0" w:space="0" w:color="auto"/>
        <w:left w:val="none" w:sz="0" w:space="0" w:color="auto"/>
        <w:bottom w:val="none" w:sz="0" w:space="0" w:color="auto"/>
        <w:right w:val="none" w:sz="0" w:space="0" w:color="auto"/>
      </w:divBdr>
    </w:div>
    <w:div w:id="908003935">
      <w:marLeft w:val="0"/>
      <w:marRight w:val="0"/>
      <w:marTop w:val="0"/>
      <w:marBottom w:val="0"/>
      <w:divBdr>
        <w:top w:val="none" w:sz="0" w:space="0" w:color="auto"/>
        <w:left w:val="none" w:sz="0" w:space="0" w:color="auto"/>
        <w:bottom w:val="none" w:sz="0" w:space="0" w:color="auto"/>
        <w:right w:val="none" w:sz="0" w:space="0" w:color="auto"/>
      </w:divBdr>
    </w:div>
    <w:div w:id="908003936">
      <w:marLeft w:val="0"/>
      <w:marRight w:val="0"/>
      <w:marTop w:val="0"/>
      <w:marBottom w:val="0"/>
      <w:divBdr>
        <w:top w:val="none" w:sz="0" w:space="0" w:color="auto"/>
        <w:left w:val="none" w:sz="0" w:space="0" w:color="auto"/>
        <w:bottom w:val="none" w:sz="0" w:space="0" w:color="auto"/>
        <w:right w:val="none" w:sz="0" w:space="0" w:color="auto"/>
      </w:divBdr>
    </w:div>
    <w:div w:id="908003938">
      <w:marLeft w:val="0"/>
      <w:marRight w:val="0"/>
      <w:marTop w:val="0"/>
      <w:marBottom w:val="0"/>
      <w:divBdr>
        <w:top w:val="none" w:sz="0" w:space="0" w:color="auto"/>
        <w:left w:val="none" w:sz="0" w:space="0" w:color="auto"/>
        <w:bottom w:val="none" w:sz="0" w:space="0" w:color="auto"/>
        <w:right w:val="none" w:sz="0" w:space="0" w:color="auto"/>
      </w:divBdr>
    </w:div>
    <w:div w:id="908003939">
      <w:marLeft w:val="0"/>
      <w:marRight w:val="0"/>
      <w:marTop w:val="0"/>
      <w:marBottom w:val="0"/>
      <w:divBdr>
        <w:top w:val="none" w:sz="0" w:space="0" w:color="auto"/>
        <w:left w:val="none" w:sz="0" w:space="0" w:color="auto"/>
        <w:bottom w:val="none" w:sz="0" w:space="0" w:color="auto"/>
        <w:right w:val="none" w:sz="0" w:space="0" w:color="auto"/>
      </w:divBdr>
    </w:div>
    <w:div w:id="908003941">
      <w:marLeft w:val="0"/>
      <w:marRight w:val="0"/>
      <w:marTop w:val="0"/>
      <w:marBottom w:val="0"/>
      <w:divBdr>
        <w:top w:val="none" w:sz="0" w:space="0" w:color="auto"/>
        <w:left w:val="none" w:sz="0" w:space="0" w:color="auto"/>
        <w:bottom w:val="none" w:sz="0" w:space="0" w:color="auto"/>
        <w:right w:val="none" w:sz="0" w:space="0" w:color="auto"/>
      </w:divBdr>
    </w:div>
    <w:div w:id="908003946">
      <w:marLeft w:val="0"/>
      <w:marRight w:val="0"/>
      <w:marTop w:val="0"/>
      <w:marBottom w:val="0"/>
      <w:divBdr>
        <w:top w:val="none" w:sz="0" w:space="0" w:color="auto"/>
        <w:left w:val="none" w:sz="0" w:space="0" w:color="auto"/>
        <w:bottom w:val="none" w:sz="0" w:space="0" w:color="auto"/>
        <w:right w:val="none" w:sz="0" w:space="0" w:color="auto"/>
      </w:divBdr>
    </w:div>
    <w:div w:id="908003947">
      <w:marLeft w:val="0"/>
      <w:marRight w:val="0"/>
      <w:marTop w:val="0"/>
      <w:marBottom w:val="0"/>
      <w:divBdr>
        <w:top w:val="none" w:sz="0" w:space="0" w:color="auto"/>
        <w:left w:val="none" w:sz="0" w:space="0" w:color="auto"/>
        <w:bottom w:val="none" w:sz="0" w:space="0" w:color="auto"/>
        <w:right w:val="none" w:sz="0" w:space="0" w:color="auto"/>
      </w:divBdr>
    </w:div>
    <w:div w:id="908003948">
      <w:marLeft w:val="0"/>
      <w:marRight w:val="0"/>
      <w:marTop w:val="0"/>
      <w:marBottom w:val="0"/>
      <w:divBdr>
        <w:top w:val="none" w:sz="0" w:space="0" w:color="auto"/>
        <w:left w:val="none" w:sz="0" w:space="0" w:color="auto"/>
        <w:bottom w:val="none" w:sz="0" w:space="0" w:color="auto"/>
        <w:right w:val="none" w:sz="0" w:space="0" w:color="auto"/>
      </w:divBdr>
    </w:div>
    <w:div w:id="908003949">
      <w:marLeft w:val="0"/>
      <w:marRight w:val="0"/>
      <w:marTop w:val="0"/>
      <w:marBottom w:val="0"/>
      <w:divBdr>
        <w:top w:val="none" w:sz="0" w:space="0" w:color="auto"/>
        <w:left w:val="none" w:sz="0" w:space="0" w:color="auto"/>
        <w:bottom w:val="none" w:sz="0" w:space="0" w:color="auto"/>
        <w:right w:val="none" w:sz="0" w:space="0" w:color="auto"/>
      </w:divBdr>
    </w:div>
    <w:div w:id="908686341">
      <w:bodyDiv w:val="1"/>
      <w:marLeft w:val="0"/>
      <w:marRight w:val="0"/>
      <w:marTop w:val="0"/>
      <w:marBottom w:val="0"/>
      <w:divBdr>
        <w:top w:val="none" w:sz="0" w:space="0" w:color="auto"/>
        <w:left w:val="none" w:sz="0" w:space="0" w:color="auto"/>
        <w:bottom w:val="none" w:sz="0" w:space="0" w:color="auto"/>
        <w:right w:val="none" w:sz="0" w:space="0" w:color="auto"/>
      </w:divBdr>
    </w:div>
    <w:div w:id="914364436">
      <w:bodyDiv w:val="1"/>
      <w:marLeft w:val="0"/>
      <w:marRight w:val="0"/>
      <w:marTop w:val="0"/>
      <w:marBottom w:val="0"/>
      <w:divBdr>
        <w:top w:val="none" w:sz="0" w:space="0" w:color="auto"/>
        <w:left w:val="none" w:sz="0" w:space="0" w:color="auto"/>
        <w:bottom w:val="none" w:sz="0" w:space="0" w:color="auto"/>
        <w:right w:val="none" w:sz="0" w:space="0" w:color="auto"/>
      </w:divBdr>
    </w:div>
    <w:div w:id="916595159">
      <w:bodyDiv w:val="1"/>
      <w:marLeft w:val="0"/>
      <w:marRight w:val="0"/>
      <w:marTop w:val="0"/>
      <w:marBottom w:val="0"/>
      <w:divBdr>
        <w:top w:val="none" w:sz="0" w:space="0" w:color="auto"/>
        <w:left w:val="none" w:sz="0" w:space="0" w:color="auto"/>
        <w:bottom w:val="none" w:sz="0" w:space="0" w:color="auto"/>
        <w:right w:val="none" w:sz="0" w:space="0" w:color="auto"/>
      </w:divBdr>
    </w:div>
    <w:div w:id="927737063">
      <w:bodyDiv w:val="1"/>
      <w:marLeft w:val="0"/>
      <w:marRight w:val="0"/>
      <w:marTop w:val="0"/>
      <w:marBottom w:val="0"/>
      <w:divBdr>
        <w:top w:val="none" w:sz="0" w:space="0" w:color="auto"/>
        <w:left w:val="none" w:sz="0" w:space="0" w:color="auto"/>
        <w:bottom w:val="none" w:sz="0" w:space="0" w:color="auto"/>
        <w:right w:val="none" w:sz="0" w:space="0" w:color="auto"/>
      </w:divBdr>
    </w:div>
    <w:div w:id="930968681">
      <w:bodyDiv w:val="1"/>
      <w:marLeft w:val="0"/>
      <w:marRight w:val="0"/>
      <w:marTop w:val="0"/>
      <w:marBottom w:val="0"/>
      <w:divBdr>
        <w:top w:val="none" w:sz="0" w:space="0" w:color="auto"/>
        <w:left w:val="none" w:sz="0" w:space="0" w:color="auto"/>
        <w:bottom w:val="none" w:sz="0" w:space="0" w:color="auto"/>
        <w:right w:val="none" w:sz="0" w:space="0" w:color="auto"/>
      </w:divBdr>
    </w:div>
    <w:div w:id="936400966">
      <w:bodyDiv w:val="1"/>
      <w:marLeft w:val="0"/>
      <w:marRight w:val="0"/>
      <w:marTop w:val="0"/>
      <w:marBottom w:val="0"/>
      <w:divBdr>
        <w:top w:val="none" w:sz="0" w:space="0" w:color="auto"/>
        <w:left w:val="none" w:sz="0" w:space="0" w:color="auto"/>
        <w:bottom w:val="none" w:sz="0" w:space="0" w:color="auto"/>
        <w:right w:val="none" w:sz="0" w:space="0" w:color="auto"/>
      </w:divBdr>
    </w:div>
    <w:div w:id="940600909">
      <w:bodyDiv w:val="1"/>
      <w:marLeft w:val="0"/>
      <w:marRight w:val="0"/>
      <w:marTop w:val="0"/>
      <w:marBottom w:val="0"/>
      <w:divBdr>
        <w:top w:val="none" w:sz="0" w:space="0" w:color="auto"/>
        <w:left w:val="none" w:sz="0" w:space="0" w:color="auto"/>
        <w:bottom w:val="none" w:sz="0" w:space="0" w:color="auto"/>
        <w:right w:val="none" w:sz="0" w:space="0" w:color="auto"/>
      </w:divBdr>
    </w:div>
    <w:div w:id="941110272">
      <w:bodyDiv w:val="1"/>
      <w:marLeft w:val="0"/>
      <w:marRight w:val="0"/>
      <w:marTop w:val="0"/>
      <w:marBottom w:val="0"/>
      <w:divBdr>
        <w:top w:val="none" w:sz="0" w:space="0" w:color="auto"/>
        <w:left w:val="none" w:sz="0" w:space="0" w:color="auto"/>
        <w:bottom w:val="none" w:sz="0" w:space="0" w:color="auto"/>
        <w:right w:val="none" w:sz="0" w:space="0" w:color="auto"/>
      </w:divBdr>
    </w:div>
    <w:div w:id="946502119">
      <w:bodyDiv w:val="1"/>
      <w:marLeft w:val="0"/>
      <w:marRight w:val="0"/>
      <w:marTop w:val="0"/>
      <w:marBottom w:val="0"/>
      <w:divBdr>
        <w:top w:val="none" w:sz="0" w:space="0" w:color="auto"/>
        <w:left w:val="none" w:sz="0" w:space="0" w:color="auto"/>
        <w:bottom w:val="none" w:sz="0" w:space="0" w:color="auto"/>
        <w:right w:val="none" w:sz="0" w:space="0" w:color="auto"/>
      </w:divBdr>
    </w:div>
    <w:div w:id="954672101">
      <w:bodyDiv w:val="1"/>
      <w:marLeft w:val="0"/>
      <w:marRight w:val="0"/>
      <w:marTop w:val="0"/>
      <w:marBottom w:val="0"/>
      <w:divBdr>
        <w:top w:val="none" w:sz="0" w:space="0" w:color="auto"/>
        <w:left w:val="none" w:sz="0" w:space="0" w:color="auto"/>
        <w:bottom w:val="none" w:sz="0" w:space="0" w:color="auto"/>
        <w:right w:val="none" w:sz="0" w:space="0" w:color="auto"/>
      </w:divBdr>
    </w:div>
    <w:div w:id="956526537">
      <w:bodyDiv w:val="1"/>
      <w:marLeft w:val="0"/>
      <w:marRight w:val="0"/>
      <w:marTop w:val="0"/>
      <w:marBottom w:val="0"/>
      <w:divBdr>
        <w:top w:val="none" w:sz="0" w:space="0" w:color="auto"/>
        <w:left w:val="none" w:sz="0" w:space="0" w:color="auto"/>
        <w:bottom w:val="none" w:sz="0" w:space="0" w:color="auto"/>
        <w:right w:val="none" w:sz="0" w:space="0" w:color="auto"/>
      </w:divBdr>
    </w:div>
    <w:div w:id="956834917">
      <w:bodyDiv w:val="1"/>
      <w:marLeft w:val="0"/>
      <w:marRight w:val="0"/>
      <w:marTop w:val="0"/>
      <w:marBottom w:val="0"/>
      <w:divBdr>
        <w:top w:val="none" w:sz="0" w:space="0" w:color="auto"/>
        <w:left w:val="none" w:sz="0" w:space="0" w:color="auto"/>
        <w:bottom w:val="none" w:sz="0" w:space="0" w:color="auto"/>
        <w:right w:val="none" w:sz="0" w:space="0" w:color="auto"/>
      </w:divBdr>
    </w:div>
    <w:div w:id="959459117">
      <w:bodyDiv w:val="1"/>
      <w:marLeft w:val="0"/>
      <w:marRight w:val="0"/>
      <w:marTop w:val="0"/>
      <w:marBottom w:val="0"/>
      <w:divBdr>
        <w:top w:val="none" w:sz="0" w:space="0" w:color="auto"/>
        <w:left w:val="none" w:sz="0" w:space="0" w:color="auto"/>
        <w:bottom w:val="none" w:sz="0" w:space="0" w:color="auto"/>
        <w:right w:val="none" w:sz="0" w:space="0" w:color="auto"/>
      </w:divBdr>
    </w:div>
    <w:div w:id="965962988">
      <w:bodyDiv w:val="1"/>
      <w:marLeft w:val="0"/>
      <w:marRight w:val="0"/>
      <w:marTop w:val="0"/>
      <w:marBottom w:val="0"/>
      <w:divBdr>
        <w:top w:val="none" w:sz="0" w:space="0" w:color="auto"/>
        <w:left w:val="none" w:sz="0" w:space="0" w:color="auto"/>
        <w:bottom w:val="none" w:sz="0" w:space="0" w:color="auto"/>
        <w:right w:val="none" w:sz="0" w:space="0" w:color="auto"/>
      </w:divBdr>
    </w:div>
    <w:div w:id="976379057">
      <w:bodyDiv w:val="1"/>
      <w:marLeft w:val="0"/>
      <w:marRight w:val="0"/>
      <w:marTop w:val="0"/>
      <w:marBottom w:val="0"/>
      <w:divBdr>
        <w:top w:val="none" w:sz="0" w:space="0" w:color="auto"/>
        <w:left w:val="none" w:sz="0" w:space="0" w:color="auto"/>
        <w:bottom w:val="none" w:sz="0" w:space="0" w:color="auto"/>
        <w:right w:val="none" w:sz="0" w:space="0" w:color="auto"/>
      </w:divBdr>
    </w:div>
    <w:div w:id="980111813">
      <w:bodyDiv w:val="1"/>
      <w:marLeft w:val="0"/>
      <w:marRight w:val="0"/>
      <w:marTop w:val="0"/>
      <w:marBottom w:val="0"/>
      <w:divBdr>
        <w:top w:val="none" w:sz="0" w:space="0" w:color="auto"/>
        <w:left w:val="none" w:sz="0" w:space="0" w:color="auto"/>
        <w:bottom w:val="none" w:sz="0" w:space="0" w:color="auto"/>
        <w:right w:val="none" w:sz="0" w:space="0" w:color="auto"/>
      </w:divBdr>
    </w:div>
    <w:div w:id="981427975">
      <w:bodyDiv w:val="1"/>
      <w:marLeft w:val="0"/>
      <w:marRight w:val="0"/>
      <w:marTop w:val="0"/>
      <w:marBottom w:val="0"/>
      <w:divBdr>
        <w:top w:val="none" w:sz="0" w:space="0" w:color="auto"/>
        <w:left w:val="none" w:sz="0" w:space="0" w:color="auto"/>
        <w:bottom w:val="none" w:sz="0" w:space="0" w:color="auto"/>
        <w:right w:val="none" w:sz="0" w:space="0" w:color="auto"/>
      </w:divBdr>
    </w:div>
    <w:div w:id="982927150">
      <w:bodyDiv w:val="1"/>
      <w:marLeft w:val="0"/>
      <w:marRight w:val="0"/>
      <w:marTop w:val="0"/>
      <w:marBottom w:val="0"/>
      <w:divBdr>
        <w:top w:val="none" w:sz="0" w:space="0" w:color="auto"/>
        <w:left w:val="none" w:sz="0" w:space="0" w:color="auto"/>
        <w:bottom w:val="none" w:sz="0" w:space="0" w:color="auto"/>
        <w:right w:val="none" w:sz="0" w:space="0" w:color="auto"/>
      </w:divBdr>
    </w:div>
    <w:div w:id="987395003">
      <w:bodyDiv w:val="1"/>
      <w:marLeft w:val="0"/>
      <w:marRight w:val="0"/>
      <w:marTop w:val="0"/>
      <w:marBottom w:val="0"/>
      <w:divBdr>
        <w:top w:val="none" w:sz="0" w:space="0" w:color="auto"/>
        <w:left w:val="none" w:sz="0" w:space="0" w:color="auto"/>
        <w:bottom w:val="none" w:sz="0" w:space="0" w:color="auto"/>
        <w:right w:val="none" w:sz="0" w:space="0" w:color="auto"/>
      </w:divBdr>
    </w:div>
    <w:div w:id="997073491">
      <w:bodyDiv w:val="1"/>
      <w:marLeft w:val="0"/>
      <w:marRight w:val="0"/>
      <w:marTop w:val="0"/>
      <w:marBottom w:val="0"/>
      <w:divBdr>
        <w:top w:val="none" w:sz="0" w:space="0" w:color="auto"/>
        <w:left w:val="none" w:sz="0" w:space="0" w:color="auto"/>
        <w:bottom w:val="none" w:sz="0" w:space="0" w:color="auto"/>
        <w:right w:val="none" w:sz="0" w:space="0" w:color="auto"/>
      </w:divBdr>
    </w:div>
    <w:div w:id="1012336425">
      <w:bodyDiv w:val="1"/>
      <w:marLeft w:val="0"/>
      <w:marRight w:val="0"/>
      <w:marTop w:val="0"/>
      <w:marBottom w:val="0"/>
      <w:divBdr>
        <w:top w:val="none" w:sz="0" w:space="0" w:color="auto"/>
        <w:left w:val="none" w:sz="0" w:space="0" w:color="auto"/>
        <w:bottom w:val="none" w:sz="0" w:space="0" w:color="auto"/>
        <w:right w:val="none" w:sz="0" w:space="0" w:color="auto"/>
      </w:divBdr>
    </w:div>
    <w:div w:id="1016231492">
      <w:bodyDiv w:val="1"/>
      <w:marLeft w:val="0"/>
      <w:marRight w:val="0"/>
      <w:marTop w:val="0"/>
      <w:marBottom w:val="0"/>
      <w:divBdr>
        <w:top w:val="none" w:sz="0" w:space="0" w:color="auto"/>
        <w:left w:val="none" w:sz="0" w:space="0" w:color="auto"/>
        <w:bottom w:val="none" w:sz="0" w:space="0" w:color="auto"/>
        <w:right w:val="none" w:sz="0" w:space="0" w:color="auto"/>
      </w:divBdr>
    </w:div>
    <w:div w:id="1017198479">
      <w:bodyDiv w:val="1"/>
      <w:marLeft w:val="0"/>
      <w:marRight w:val="0"/>
      <w:marTop w:val="0"/>
      <w:marBottom w:val="0"/>
      <w:divBdr>
        <w:top w:val="none" w:sz="0" w:space="0" w:color="auto"/>
        <w:left w:val="none" w:sz="0" w:space="0" w:color="auto"/>
        <w:bottom w:val="none" w:sz="0" w:space="0" w:color="auto"/>
        <w:right w:val="none" w:sz="0" w:space="0" w:color="auto"/>
      </w:divBdr>
    </w:div>
    <w:div w:id="1018118146">
      <w:bodyDiv w:val="1"/>
      <w:marLeft w:val="0"/>
      <w:marRight w:val="0"/>
      <w:marTop w:val="0"/>
      <w:marBottom w:val="0"/>
      <w:divBdr>
        <w:top w:val="none" w:sz="0" w:space="0" w:color="auto"/>
        <w:left w:val="none" w:sz="0" w:space="0" w:color="auto"/>
        <w:bottom w:val="none" w:sz="0" w:space="0" w:color="auto"/>
        <w:right w:val="none" w:sz="0" w:space="0" w:color="auto"/>
      </w:divBdr>
    </w:div>
    <w:div w:id="1018309169">
      <w:bodyDiv w:val="1"/>
      <w:marLeft w:val="0"/>
      <w:marRight w:val="0"/>
      <w:marTop w:val="0"/>
      <w:marBottom w:val="0"/>
      <w:divBdr>
        <w:top w:val="none" w:sz="0" w:space="0" w:color="auto"/>
        <w:left w:val="none" w:sz="0" w:space="0" w:color="auto"/>
        <w:bottom w:val="none" w:sz="0" w:space="0" w:color="auto"/>
        <w:right w:val="none" w:sz="0" w:space="0" w:color="auto"/>
      </w:divBdr>
    </w:div>
    <w:div w:id="1020356697">
      <w:bodyDiv w:val="1"/>
      <w:marLeft w:val="0"/>
      <w:marRight w:val="0"/>
      <w:marTop w:val="0"/>
      <w:marBottom w:val="0"/>
      <w:divBdr>
        <w:top w:val="none" w:sz="0" w:space="0" w:color="auto"/>
        <w:left w:val="none" w:sz="0" w:space="0" w:color="auto"/>
        <w:bottom w:val="none" w:sz="0" w:space="0" w:color="auto"/>
        <w:right w:val="none" w:sz="0" w:space="0" w:color="auto"/>
      </w:divBdr>
    </w:div>
    <w:div w:id="1024943781">
      <w:bodyDiv w:val="1"/>
      <w:marLeft w:val="0"/>
      <w:marRight w:val="0"/>
      <w:marTop w:val="0"/>
      <w:marBottom w:val="0"/>
      <w:divBdr>
        <w:top w:val="none" w:sz="0" w:space="0" w:color="auto"/>
        <w:left w:val="none" w:sz="0" w:space="0" w:color="auto"/>
        <w:bottom w:val="none" w:sz="0" w:space="0" w:color="auto"/>
        <w:right w:val="none" w:sz="0" w:space="0" w:color="auto"/>
      </w:divBdr>
    </w:div>
    <w:div w:id="1028410330">
      <w:bodyDiv w:val="1"/>
      <w:marLeft w:val="0"/>
      <w:marRight w:val="0"/>
      <w:marTop w:val="0"/>
      <w:marBottom w:val="0"/>
      <w:divBdr>
        <w:top w:val="none" w:sz="0" w:space="0" w:color="auto"/>
        <w:left w:val="none" w:sz="0" w:space="0" w:color="auto"/>
        <w:bottom w:val="none" w:sz="0" w:space="0" w:color="auto"/>
        <w:right w:val="none" w:sz="0" w:space="0" w:color="auto"/>
      </w:divBdr>
    </w:div>
    <w:div w:id="1029716873">
      <w:bodyDiv w:val="1"/>
      <w:marLeft w:val="0"/>
      <w:marRight w:val="0"/>
      <w:marTop w:val="0"/>
      <w:marBottom w:val="0"/>
      <w:divBdr>
        <w:top w:val="none" w:sz="0" w:space="0" w:color="auto"/>
        <w:left w:val="none" w:sz="0" w:space="0" w:color="auto"/>
        <w:bottom w:val="none" w:sz="0" w:space="0" w:color="auto"/>
        <w:right w:val="none" w:sz="0" w:space="0" w:color="auto"/>
      </w:divBdr>
    </w:div>
    <w:div w:id="1039738965">
      <w:bodyDiv w:val="1"/>
      <w:marLeft w:val="0"/>
      <w:marRight w:val="0"/>
      <w:marTop w:val="0"/>
      <w:marBottom w:val="0"/>
      <w:divBdr>
        <w:top w:val="none" w:sz="0" w:space="0" w:color="auto"/>
        <w:left w:val="none" w:sz="0" w:space="0" w:color="auto"/>
        <w:bottom w:val="none" w:sz="0" w:space="0" w:color="auto"/>
        <w:right w:val="none" w:sz="0" w:space="0" w:color="auto"/>
      </w:divBdr>
    </w:div>
    <w:div w:id="1041979084">
      <w:bodyDiv w:val="1"/>
      <w:marLeft w:val="0"/>
      <w:marRight w:val="0"/>
      <w:marTop w:val="0"/>
      <w:marBottom w:val="0"/>
      <w:divBdr>
        <w:top w:val="none" w:sz="0" w:space="0" w:color="auto"/>
        <w:left w:val="none" w:sz="0" w:space="0" w:color="auto"/>
        <w:bottom w:val="none" w:sz="0" w:space="0" w:color="auto"/>
        <w:right w:val="none" w:sz="0" w:space="0" w:color="auto"/>
      </w:divBdr>
    </w:div>
    <w:div w:id="1051079901">
      <w:bodyDiv w:val="1"/>
      <w:marLeft w:val="0"/>
      <w:marRight w:val="0"/>
      <w:marTop w:val="0"/>
      <w:marBottom w:val="0"/>
      <w:divBdr>
        <w:top w:val="none" w:sz="0" w:space="0" w:color="auto"/>
        <w:left w:val="none" w:sz="0" w:space="0" w:color="auto"/>
        <w:bottom w:val="none" w:sz="0" w:space="0" w:color="auto"/>
        <w:right w:val="none" w:sz="0" w:space="0" w:color="auto"/>
      </w:divBdr>
    </w:div>
    <w:div w:id="1053041897">
      <w:bodyDiv w:val="1"/>
      <w:marLeft w:val="0"/>
      <w:marRight w:val="0"/>
      <w:marTop w:val="0"/>
      <w:marBottom w:val="0"/>
      <w:divBdr>
        <w:top w:val="none" w:sz="0" w:space="0" w:color="auto"/>
        <w:left w:val="none" w:sz="0" w:space="0" w:color="auto"/>
        <w:bottom w:val="none" w:sz="0" w:space="0" w:color="auto"/>
        <w:right w:val="none" w:sz="0" w:space="0" w:color="auto"/>
      </w:divBdr>
    </w:div>
    <w:div w:id="1056010120">
      <w:bodyDiv w:val="1"/>
      <w:marLeft w:val="0"/>
      <w:marRight w:val="0"/>
      <w:marTop w:val="0"/>
      <w:marBottom w:val="0"/>
      <w:divBdr>
        <w:top w:val="none" w:sz="0" w:space="0" w:color="auto"/>
        <w:left w:val="none" w:sz="0" w:space="0" w:color="auto"/>
        <w:bottom w:val="none" w:sz="0" w:space="0" w:color="auto"/>
        <w:right w:val="none" w:sz="0" w:space="0" w:color="auto"/>
      </w:divBdr>
    </w:div>
    <w:div w:id="1058166783">
      <w:bodyDiv w:val="1"/>
      <w:marLeft w:val="0"/>
      <w:marRight w:val="0"/>
      <w:marTop w:val="0"/>
      <w:marBottom w:val="0"/>
      <w:divBdr>
        <w:top w:val="none" w:sz="0" w:space="0" w:color="auto"/>
        <w:left w:val="none" w:sz="0" w:space="0" w:color="auto"/>
        <w:bottom w:val="none" w:sz="0" w:space="0" w:color="auto"/>
        <w:right w:val="none" w:sz="0" w:space="0" w:color="auto"/>
      </w:divBdr>
    </w:div>
    <w:div w:id="1062408907">
      <w:bodyDiv w:val="1"/>
      <w:marLeft w:val="0"/>
      <w:marRight w:val="0"/>
      <w:marTop w:val="0"/>
      <w:marBottom w:val="0"/>
      <w:divBdr>
        <w:top w:val="none" w:sz="0" w:space="0" w:color="auto"/>
        <w:left w:val="none" w:sz="0" w:space="0" w:color="auto"/>
        <w:bottom w:val="none" w:sz="0" w:space="0" w:color="auto"/>
        <w:right w:val="none" w:sz="0" w:space="0" w:color="auto"/>
      </w:divBdr>
    </w:div>
    <w:div w:id="1071583339">
      <w:bodyDiv w:val="1"/>
      <w:marLeft w:val="0"/>
      <w:marRight w:val="0"/>
      <w:marTop w:val="0"/>
      <w:marBottom w:val="0"/>
      <w:divBdr>
        <w:top w:val="none" w:sz="0" w:space="0" w:color="auto"/>
        <w:left w:val="none" w:sz="0" w:space="0" w:color="auto"/>
        <w:bottom w:val="none" w:sz="0" w:space="0" w:color="auto"/>
        <w:right w:val="none" w:sz="0" w:space="0" w:color="auto"/>
      </w:divBdr>
    </w:div>
    <w:div w:id="1074013263">
      <w:bodyDiv w:val="1"/>
      <w:marLeft w:val="0"/>
      <w:marRight w:val="0"/>
      <w:marTop w:val="0"/>
      <w:marBottom w:val="0"/>
      <w:divBdr>
        <w:top w:val="none" w:sz="0" w:space="0" w:color="auto"/>
        <w:left w:val="none" w:sz="0" w:space="0" w:color="auto"/>
        <w:bottom w:val="none" w:sz="0" w:space="0" w:color="auto"/>
        <w:right w:val="none" w:sz="0" w:space="0" w:color="auto"/>
      </w:divBdr>
    </w:div>
    <w:div w:id="1074159101">
      <w:bodyDiv w:val="1"/>
      <w:marLeft w:val="0"/>
      <w:marRight w:val="0"/>
      <w:marTop w:val="0"/>
      <w:marBottom w:val="0"/>
      <w:divBdr>
        <w:top w:val="none" w:sz="0" w:space="0" w:color="auto"/>
        <w:left w:val="none" w:sz="0" w:space="0" w:color="auto"/>
        <w:bottom w:val="none" w:sz="0" w:space="0" w:color="auto"/>
        <w:right w:val="none" w:sz="0" w:space="0" w:color="auto"/>
      </w:divBdr>
    </w:div>
    <w:div w:id="1076903707">
      <w:bodyDiv w:val="1"/>
      <w:marLeft w:val="0"/>
      <w:marRight w:val="0"/>
      <w:marTop w:val="0"/>
      <w:marBottom w:val="0"/>
      <w:divBdr>
        <w:top w:val="none" w:sz="0" w:space="0" w:color="auto"/>
        <w:left w:val="none" w:sz="0" w:space="0" w:color="auto"/>
        <w:bottom w:val="none" w:sz="0" w:space="0" w:color="auto"/>
        <w:right w:val="none" w:sz="0" w:space="0" w:color="auto"/>
      </w:divBdr>
    </w:div>
    <w:div w:id="1078332914">
      <w:bodyDiv w:val="1"/>
      <w:marLeft w:val="0"/>
      <w:marRight w:val="0"/>
      <w:marTop w:val="0"/>
      <w:marBottom w:val="0"/>
      <w:divBdr>
        <w:top w:val="none" w:sz="0" w:space="0" w:color="auto"/>
        <w:left w:val="none" w:sz="0" w:space="0" w:color="auto"/>
        <w:bottom w:val="none" w:sz="0" w:space="0" w:color="auto"/>
        <w:right w:val="none" w:sz="0" w:space="0" w:color="auto"/>
      </w:divBdr>
    </w:div>
    <w:div w:id="1080709489">
      <w:bodyDiv w:val="1"/>
      <w:marLeft w:val="0"/>
      <w:marRight w:val="0"/>
      <w:marTop w:val="0"/>
      <w:marBottom w:val="0"/>
      <w:divBdr>
        <w:top w:val="none" w:sz="0" w:space="0" w:color="auto"/>
        <w:left w:val="none" w:sz="0" w:space="0" w:color="auto"/>
        <w:bottom w:val="none" w:sz="0" w:space="0" w:color="auto"/>
        <w:right w:val="none" w:sz="0" w:space="0" w:color="auto"/>
      </w:divBdr>
    </w:div>
    <w:div w:id="1087455958">
      <w:bodyDiv w:val="1"/>
      <w:marLeft w:val="0"/>
      <w:marRight w:val="0"/>
      <w:marTop w:val="0"/>
      <w:marBottom w:val="0"/>
      <w:divBdr>
        <w:top w:val="none" w:sz="0" w:space="0" w:color="auto"/>
        <w:left w:val="none" w:sz="0" w:space="0" w:color="auto"/>
        <w:bottom w:val="none" w:sz="0" w:space="0" w:color="auto"/>
        <w:right w:val="none" w:sz="0" w:space="0" w:color="auto"/>
      </w:divBdr>
    </w:div>
    <w:div w:id="1087657477">
      <w:bodyDiv w:val="1"/>
      <w:marLeft w:val="0"/>
      <w:marRight w:val="0"/>
      <w:marTop w:val="0"/>
      <w:marBottom w:val="0"/>
      <w:divBdr>
        <w:top w:val="none" w:sz="0" w:space="0" w:color="auto"/>
        <w:left w:val="none" w:sz="0" w:space="0" w:color="auto"/>
        <w:bottom w:val="none" w:sz="0" w:space="0" w:color="auto"/>
        <w:right w:val="none" w:sz="0" w:space="0" w:color="auto"/>
      </w:divBdr>
    </w:div>
    <w:div w:id="1088891394">
      <w:bodyDiv w:val="1"/>
      <w:marLeft w:val="0"/>
      <w:marRight w:val="0"/>
      <w:marTop w:val="0"/>
      <w:marBottom w:val="0"/>
      <w:divBdr>
        <w:top w:val="none" w:sz="0" w:space="0" w:color="auto"/>
        <w:left w:val="none" w:sz="0" w:space="0" w:color="auto"/>
        <w:bottom w:val="none" w:sz="0" w:space="0" w:color="auto"/>
        <w:right w:val="none" w:sz="0" w:space="0" w:color="auto"/>
      </w:divBdr>
    </w:div>
    <w:div w:id="1089960743">
      <w:bodyDiv w:val="1"/>
      <w:marLeft w:val="0"/>
      <w:marRight w:val="0"/>
      <w:marTop w:val="0"/>
      <w:marBottom w:val="0"/>
      <w:divBdr>
        <w:top w:val="none" w:sz="0" w:space="0" w:color="auto"/>
        <w:left w:val="none" w:sz="0" w:space="0" w:color="auto"/>
        <w:bottom w:val="none" w:sz="0" w:space="0" w:color="auto"/>
        <w:right w:val="none" w:sz="0" w:space="0" w:color="auto"/>
      </w:divBdr>
    </w:div>
    <w:div w:id="1097168260">
      <w:bodyDiv w:val="1"/>
      <w:marLeft w:val="0"/>
      <w:marRight w:val="0"/>
      <w:marTop w:val="0"/>
      <w:marBottom w:val="0"/>
      <w:divBdr>
        <w:top w:val="none" w:sz="0" w:space="0" w:color="auto"/>
        <w:left w:val="none" w:sz="0" w:space="0" w:color="auto"/>
        <w:bottom w:val="none" w:sz="0" w:space="0" w:color="auto"/>
        <w:right w:val="none" w:sz="0" w:space="0" w:color="auto"/>
      </w:divBdr>
    </w:div>
    <w:div w:id="1100686520">
      <w:bodyDiv w:val="1"/>
      <w:marLeft w:val="0"/>
      <w:marRight w:val="0"/>
      <w:marTop w:val="0"/>
      <w:marBottom w:val="0"/>
      <w:divBdr>
        <w:top w:val="none" w:sz="0" w:space="0" w:color="auto"/>
        <w:left w:val="none" w:sz="0" w:space="0" w:color="auto"/>
        <w:bottom w:val="none" w:sz="0" w:space="0" w:color="auto"/>
        <w:right w:val="none" w:sz="0" w:space="0" w:color="auto"/>
      </w:divBdr>
    </w:div>
    <w:div w:id="1101561181">
      <w:bodyDiv w:val="1"/>
      <w:marLeft w:val="0"/>
      <w:marRight w:val="0"/>
      <w:marTop w:val="0"/>
      <w:marBottom w:val="0"/>
      <w:divBdr>
        <w:top w:val="none" w:sz="0" w:space="0" w:color="auto"/>
        <w:left w:val="none" w:sz="0" w:space="0" w:color="auto"/>
        <w:bottom w:val="none" w:sz="0" w:space="0" w:color="auto"/>
        <w:right w:val="none" w:sz="0" w:space="0" w:color="auto"/>
      </w:divBdr>
    </w:div>
    <w:div w:id="1105536816">
      <w:bodyDiv w:val="1"/>
      <w:marLeft w:val="0"/>
      <w:marRight w:val="0"/>
      <w:marTop w:val="0"/>
      <w:marBottom w:val="0"/>
      <w:divBdr>
        <w:top w:val="none" w:sz="0" w:space="0" w:color="auto"/>
        <w:left w:val="none" w:sz="0" w:space="0" w:color="auto"/>
        <w:bottom w:val="none" w:sz="0" w:space="0" w:color="auto"/>
        <w:right w:val="none" w:sz="0" w:space="0" w:color="auto"/>
      </w:divBdr>
    </w:div>
    <w:div w:id="1115634686">
      <w:bodyDiv w:val="1"/>
      <w:marLeft w:val="0"/>
      <w:marRight w:val="0"/>
      <w:marTop w:val="0"/>
      <w:marBottom w:val="0"/>
      <w:divBdr>
        <w:top w:val="none" w:sz="0" w:space="0" w:color="auto"/>
        <w:left w:val="none" w:sz="0" w:space="0" w:color="auto"/>
        <w:bottom w:val="none" w:sz="0" w:space="0" w:color="auto"/>
        <w:right w:val="none" w:sz="0" w:space="0" w:color="auto"/>
      </w:divBdr>
    </w:div>
    <w:div w:id="1115979673">
      <w:bodyDiv w:val="1"/>
      <w:marLeft w:val="0"/>
      <w:marRight w:val="0"/>
      <w:marTop w:val="0"/>
      <w:marBottom w:val="0"/>
      <w:divBdr>
        <w:top w:val="none" w:sz="0" w:space="0" w:color="auto"/>
        <w:left w:val="none" w:sz="0" w:space="0" w:color="auto"/>
        <w:bottom w:val="none" w:sz="0" w:space="0" w:color="auto"/>
        <w:right w:val="none" w:sz="0" w:space="0" w:color="auto"/>
      </w:divBdr>
    </w:div>
    <w:div w:id="1118181708">
      <w:bodyDiv w:val="1"/>
      <w:marLeft w:val="0"/>
      <w:marRight w:val="0"/>
      <w:marTop w:val="0"/>
      <w:marBottom w:val="0"/>
      <w:divBdr>
        <w:top w:val="none" w:sz="0" w:space="0" w:color="auto"/>
        <w:left w:val="none" w:sz="0" w:space="0" w:color="auto"/>
        <w:bottom w:val="none" w:sz="0" w:space="0" w:color="auto"/>
        <w:right w:val="none" w:sz="0" w:space="0" w:color="auto"/>
      </w:divBdr>
    </w:div>
    <w:div w:id="1118722594">
      <w:bodyDiv w:val="1"/>
      <w:marLeft w:val="0"/>
      <w:marRight w:val="0"/>
      <w:marTop w:val="0"/>
      <w:marBottom w:val="0"/>
      <w:divBdr>
        <w:top w:val="none" w:sz="0" w:space="0" w:color="auto"/>
        <w:left w:val="none" w:sz="0" w:space="0" w:color="auto"/>
        <w:bottom w:val="none" w:sz="0" w:space="0" w:color="auto"/>
        <w:right w:val="none" w:sz="0" w:space="0" w:color="auto"/>
      </w:divBdr>
    </w:div>
    <w:div w:id="1121800198">
      <w:bodyDiv w:val="1"/>
      <w:marLeft w:val="0"/>
      <w:marRight w:val="0"/>
      <w:marTop w:val="0"/>
      <w:marBottom w:val="0"/>
      <w:divBdr>
        <w:top w:val="none" w:sz="0" w:space="0" w:color="auto"/>
        <w:left w:val="none" w:sz="0" w:space="0" w:color="auto"/>
        <w:bottom w:val="none" w:sz="0" w:space="0" w:color="auto"/>
        <w:right w:val="none" w:sz="0" w:space="0" w:color="auto"/>
      </w:divBdr>
    </w:div>
    <w:div w:id="1122385269">
      <w:bodyDiv w:val="1"/>
      <w:marLeft w:val="0"/>
      <w:marRight w:val="0"/>
      <w:marTop w:val="0"/>
      <w:marBottom w:val="0"/>
      <w:divBdr>
        <w:top w:val="none" w:sz="0" w:space="0" w:color="auto"/>
        <w:left w:val="none" w:sz="0" w:space="0" w:color="auto"/>
        <w:bottom w:val="none" w:sz="0" w:space="0" w:color="auto"/>
        <w:right w:val="none" w:sz="0" w:space="0" w:color="auto"/>
      </w:divBdr>
    </w:div>
    <w:div w:id="1123890042">
      <w:bodyDiv w:val="1"/>
      <w:marLeft w:val="0"/>
      <w:marRight w:val="0"/>
      <w:marTop w:val="0"/>
      <w:marBottom w:val="0"/>
      <w:divBdr>
        <w:top w:val="none" w:sz="0" w:space="0" w:color="auto"/>
        <w:left w:val="none" w:sz="0" w:space="0" w:color="auto"/>
        <w:bottom w:val="none" w:sz="0" w:space="0" w:color="auto"/>
        <w:right w:val="none" w:sz="0" w:space="0" w:color="auto"/>
      </w:divBdr>
    </w:div>
    <w:div w:id="1129317810">
      <w:bodyDiv w:val="1"/>
      <w:marLeft w:val="0"/>
      <w:marRight w:val="0"/>
      <w:marTop w:val="0"/>
      <w:marBottom w:val="0"/>
      <w:divBdr>
        <w:top w:val="none" w:sz="0" w:space="0" w:color="auto"/>
        <w:left w:val="none" w:sz="0" w:space="0" w:color="auto"/>
        <w:bottom w:val="none" w:sz="0" w:space="0" w:color="auto"/>
        <w:right w:val="none" w:sz="0" w:space="0" w:color="auto"/>
      </w:divBdr>
    </w:div>
    <w:div w:id="1132096604">
      <w:bodyDiv w:val="1"/>
      <w:marLeft w:val="0"/>
      <w:marRight w:val="0"/>
      <w:marTop w:val="0"/>
      <w:marBottom w:val="0"/>
      <w:divBdr>
        <w:top w:val="none" w:sz="0" w:space="0" w:color="auto"/>
        <w:left w:val="none" w:sz="0" w:space="0" w:color="auto"/>
        <w:bottom w:val="none" w:sz="0" w:space="0" w:color="auto"/>
        <w:right w:val="none" w:sz="0" w:space="0" w:color="auto"/>
      </w:divBdr>
    </w:div>
    <w:div w:id="1133403728">
      <w:bodyDiv w:val="1"/>
      <w:marLeft w:val="0"/>
      <w:marRight w:val="0"/>
      <w:marTop w:val="0"/>
      <w:marBottom w:val="0"/>
      <w:divBdr>
        <w:top w:val="none" w:sz="0" w:space="0" w:color="auto"/>
        <w:left w:val="none" w:sz="0" w:space="0" w:color="auto"/>
        <w:bottom w:val="none" w:sz="0" w:space="0" w:color="auto"/>
        <w:right w:val="none" w:sz="0" w:space="0" w:color="auto"/>
      </w:divBdr>
    </w:div>
    <w:div w:id="1133596330">
      <w:bodyDiv w:val="1"/>
      <w:marLeft w:val="0"/>
      <w:marRight w:val="0"/>
      <w:marTop w:val="0"/>
      <w:marBottom w:val="0"/>
      <w:divBdr>
        <w:top w:val="none" w:sz="0" w:space="0" w:color="auto"/>
        <w:left w:val="none" w:sz="0" w:space="0" w:color="auto"/>
        <w:bottom w:val="none" w:sz="0" w:space="0" w:color="auto"/>
        <w:right w:val="none" w:sz="0" w:space="0" w:color="auto"/>
      </w:divBdr>
    </w:div>
    <w:div w:id="1136295529">
      <w:bodyDiv w:val="1"/>
      <w:marLeft w:val="0"/>
      <w:marRight w:val="0"/>
      <w:marTop w:val="0"/>
      <w:marBottom w:val="0"/>
      <w:divBdr>
        <w:top w:val="none" w:sz="0" w:space="0" w:color="auto"/>
        <w:left w:val="none" w:sz="0" w:space="0" w:color="auto"/>
        <w:bottom w:val="none" w:sz="0" w:space="0" w:color="auto"/>
        <w:right w:val="none" w:sz="0" w:space="0" w:color="auto"/>
      </w:divBdr>
    </w:div>
    <w:div w:id="1137650855">
      <w:bodyDiv w:val="1"/>
      <w:marLeft w:val="0"/>
      <w:marRight w:val="0"/>
      <w:marTop w:val="0"/>
      <w:marBottom w:val="0"/>
      <w:divBdr>
        <w:top w:val="none" w:sz="0" w:space="0" w:color="auto"/>
        <w:left w:val="none" w:sz="0" w:space="0" w:color="auto"/>
        <w:bottom w:val="none" w:sz="0" w:space="0" w:color="auto"/>
        <w:right w:val="none" w:sz="0" w:space="0" w:color="auto"/>
      </w:divBdr>
    </w:div>
    <w:div w:id="1139229321">
      <w:bodyDiv w:val="1"/>
      <w:marLeft w:val="0"/>
      <w:marRight w:val="0"/>
      <w:marTop w:val="0"/>
      <w:marBottom w:val="0"/>
      <w:divBdr>
        <w:top w:val="none" w:sz="0" w:space="0" w:color="auto"/>
        <w:left w:val="none" w:sz="0" w:space="0" w:color="auto"/>
        <w:bottom w:val="none" w:sz="0" w:space="0" w:color="auto"/>
        <w:right w:val="none" w:sz="0" w:space="0" w:color="auto"/>
      </w:divBdr>
    </w:div>
    <w:div w:id="1141461342">
      <w:bodyDiv w:val="1"/>
      <w:marLeft w:val="0"/>
      <w:marRight w:val="0"/>
      <w:marTop w:val="0"/>
      <w:marBottom w:val="0"/>
      <w:divBdr>
        <w:top w:val="none" w:sz="0" w:space="0" w:color="auto"/>
        <w:left w:val="none" w:sz="0" w:space="0" w:color="auto"/>
        <w:bottom w:val="none" w:sz="0" w:space="0" w:color="auto"/>
        <w:right w:val="none" w:sz="0" w:space="0" w:color="auto"/>
      </w:divBdr>
    </w:div>
    <w:div w:id="1144740528">
      <w:bodyDiv w:val="1"/>
      <w:marLeft w:val="0"/>
      <w:marRight w:val="0"/>
      <w:marTop w:val="0"/>
      <w:marBottom w:val="0"/>
      <w:divBdr>
        <w:top w:val="none" w:sz="0" w:space="0" w:color="auto"/>
        <w:left w:val="none" w:sz="0" w:space="0" w:color="auto"/>
        <w:bottom w:val="none" w:sz="0" w:space="0" w:color="auto"/>
        <w:right w:val="none" w:sz="0" w:space="0" w:color="auto"/>
      </w:divBdr>
    </w:div>
    <w:div w:id="1148864685">
      <w:bodyDiv w:val="1"/>
      <w:marLeft w:val="0"/>
      <w:marRight w:val="0"/>
      <w:marTop w:val="0"/>
      <w:marBottom w:val="0"/>
      <w:divBdr>
        <w:top w:val="none" w:sz="0" w:space="0" w:color="auto"/>
        <w:left w:val="none" w:sz="0" w:space="0" w:color="auto"/>
        <w:bottom w:val="none" w:sz="0" w:space="0" w:color="auto"/>
        <w:right w:val="none" w:sz="0" w:space="0" w:color="auto"/>
      </w:divBdr>
    </w:div>
    <w:div w:id="1154175472">
      <w:bodyDiv w:val="1"/>
      <w:marLeft w:val="0"/>
      <w:marRight w:val="0"/>
      <w:marTop w:val="0"/>
      <w:marBottom w:val="0"/>
      <w:divBdr>
        <w:top w:val="none" w:sz="0" w:space="0" w:color="auto"/>
        <w:left w:val="none" w:sz="0" w:space="0" w:color="auto"/>
        <w:bottom w:val="none" w:sz="0" w:space="0" w:color="auto"/>
        <w:right w:val="none" w:sz="0" w:space="0" w:color="auto"/>
      </w:divBdr>
    </w:div>
    <w:div w:id="1156721694">
      <w:bodyDiv w:val="1"/>
      <w:marLeft w:val="0"/>
      <w:marRight w:val="0"/>
      <w:marTop w:val="0"/>
      <w:marBottom w:val="0"/>
      <w:divBdr>
        <w:top w:val="none" w:sz="0" w:space="0" w:color="auto"/>
        <w:left w:val="none" w:sz="0" w:space="0" w:color="auto"/>
        <w:bottom w:val="none" w:sz="0" w:space="0" w:color="auto"/>
        <w:right w:val="none" w:sz="0" w:space="0" w:color="auto"/>
      </w:divBdr>
    </w:div>
    <w:div w:id="1164201248">
      <w:bodyDiv w:val="1"/>
      <w:marLeft w:val="0"/>
      <w:marRight w:val="0"/>
      <w:marTop w:val="0"/>
      <w:marBottom w:val="0"/>
      <w:divBdr>
        <w:top w:val="none" w:sz="0" w:space="0" w:color="auto"/>
        <w:left w:val="none" w:sz="0" w:space="0" w:color="auto"/>
        <w:bottom w:val="none" w:sz="0" w:space="0" w:color="auto"/>
        <w:right w:val="none" w:sz="0" w:space="0" w:color="auto"/>
      </w:divBdr>
    </w:div>
    <w:div w:id="1169294866">
      <w:bodyDiv w:val="1"/>
      <w:marLeft w:val="0"/>
      <w:marRight w:val="0"/>
      <w:marTop w:val="0"/>
      <w:marBottom w:val="0"/>
      <w:divBdr>
        <w:top w:val="none" w:sz="0" w:space="0" w:color="auto"/>
        <w:left w:val="none" w:sz="0" w:space="0" w:color="auto"/>
        <w:bottom w:val="none" w:sz="0" w:space="0" w:color="auto"/>
        <w:right w:val="none" w:sz="0" w:space="0" w:color="auto"/>
      </w:divBdr>
    </w:div>
    <w:div w:id="1176456307">
      <w:bodyDiv w:val="1"/>
      <w:marLeft w:val="0"/>
      <w:marRight w:val="0"/>
      <w:marTop w:val="0"/>
      <w:marBottom w:val="0"/>
      <w:divBdr>
        <w:top w:val="none" w:sz="0" w:space="0" w:color="auto"/>
        <w:left w:val="none" w:sz="0" w:space="0" w:color="auto"/>
        <w:bottom w:val="none" w:sz="0" w:space="0" w:color="auto"/>
        <w:right w:val="none" w:sz="0" w:space="0" w:color="auto"/>
      </w:divBdr>
    </w:div>
    <w:div w:id="1176460342">
      <w:bodyDiv w:val="1"/>
      <w:marLeft w:val="0"/>
      <w:marRight w:val="0"/>
      <w:marTop w:val="0"/>
      <w:marBottom w:val="0"/>
      <w:divBdr>
        <w:top w:val="none" w:sz="0" w:space="0" w:color="auto"/>
        <w:left w:val="none" w:sz="0" w:space="0" w:color="auto"/>
        <w:bottom w:val="none" w:sz="0" w:space="0" w:color="auto"/>
        <w:right w:val="none" w:sz="0" w:space="0" w:color="auto"/>
      </w:divBdr>
    </w:div>
    <w:div w:id="1177041601">
      <w:bodyDiv w:val="1"/>
      <w:marLeft w:val="0"/>
      <w:marRight w:val="0"/>
      <w:marTop w:val="0"/>
      <w:marBottom w:val="0"/>
      <w:divBdr>
        <w:top w:val="none" w:sz="0" w:space="0" w:color="auto"/>
        <w:left w:val="none" w:sz="0" w:space="0" w:color="auto"/>
        <w:bottom w:val="none" w:sz="0" w:space="0" w:color="auto"/>
        <w:right w:val="none" w:sz="0" w:space="0" w:color="auto"/>
      </w:divBdr>
    </w:div>
    <w:div w:id="1177304122">
      <w:bodyDiv w:val="1"/>
      <w:marLeft w:val="0"/>
      <w:marRight w:val="0"/>
      <w:marTop w:val="0"/>
      <w:marBottom w:val="0"/>
      <w:divBdr>
        <w:top w:val="none" w:sz="0" w:space="0" w:color="auto"/>
        <w:left w:val="none" w:sz="0" w:space="0" w:color="auto"/>
        <w:bottom w:val="none" w:sz="0" w:space="0" w:color="auto"/>
        <w:right w:val="none" w:sz="0" w:space="0" w:color="auto"/>
      </w:divBdr>
    </w:div>
    <w:div w:id="1183862042">
      <w:bodyDiv w:val="1"/>
      <w:marLeft w:val="0"/>
      <w:marRight w:val="0"/>
      <w:marTop w:val="0"/>
      <w:marBottom w:val="0"/>
      <w:divBdr>
        <w:top w:val="none" w:sz="0" w:space="0" w:color="auto"/>
        <w:left w:val="none" w:sz="0" w:space="0" w:color="auto"/>
        <w:bottom w:val="none" w:sz="0" w:space="0" w:color="auto"/>
        <w:right w:val="none" w:sz="0" w:space="0" w:color="auto"/>
      </w:divBdr>
    </w:div>
    <w:div w:id="1192113606">
      <w:bodyDiv w:val="1"/>
      <w:marLeft w:val="0"/>
      <w:marRight w:val="0"/>
      <w:marTop w:val="0"/>
      <w:marBottom w:val="0"/>
      <w:divBdr>
        <w:top w:val="none" w:sz="0" w:space="0" w:color="auto"/>
        <w:left w:val="none" w:sz="0" w:space="0" w:color="auto"/>
        <w:bottom w:val="none" w:sz="0" w:space="0" w:color="auto"/>
        <w:right w:val="none" w:sz="0" w:space="0" w:color="auto"/>
      </w:divBdr>
    </w:div>
    <w:div w:id="1195072746">
      <w:bodyDiv w:val="1"/>
      <w:marLeft w:val="0"/>
      <w:marRight w:val="0"/>
      <w:marTop w:val="0"/>
      <w:marBottom w:val="0"/>
      <w:divBdr>
        <w:top w:val="none" w:sz="0" w:space="0" w:color="auto"/>
        <w:left w:val="none" w:sz="0" w:space="0" w:color="auto"/>
        <w:bottom w:val="none" w:sz="0" w:space="0" w:color="auto"/>
        <w:right w:val="none" w:sz="0" w:space="0" w:color="auto"/>
      </w:divBdr>
    </w:div>
    <w:div w:id="1195117918">
      <w:bodyDiv w:val="1"/>
      <w:marLeft w:val="0"/>
      <w:marRight w:val="0"/>
      <w:marTop w:val="0"/>
      <w:marBottom w:val="0"/>
      <w:divBdr>
        <w:top w:val="none" w:sz="0" w:space="0" w:color="auto"/>
        <w:left w:val="none" w:sz="0" w:space="0" w:color="auto"/>
        <w:bottom w:val="none" w:sz="0" w:space="0" w:color="auto"/>
        <w:right w:val="none" w:sz="0" w:space="0" w:color="auto"/>
      </w:divBdr>
    </w:div>
    <w:div w:id="1195653815">
      <w:bodyDiv w:val="1"/>
      <w:marLeft w:val="0"/>
      <w:marRight w:val="0"/>
      <w:marTop w:val="0"/>
      <w:marBottom w:val="0"/>
      <w:divBdr>
        <w:top w:val="none" w:sz="0" w:space="0" w:color="auto"/>
        <w:left w:val="none" w:sz="0" w:space="0" w:color="auto"/>
        <w:bottom w:val="none" w:sz="0" w:space="0" w:color="auto"/>
        <w:right w:val="none" w:sz="0" w:space="0" w:color="auto"/>
      </w:divBdr>
    </w:div>
    <w:div w:id="1199929716">
      <w:bodyDiv w:val="1"/>
      <w:marLeft w:val="0"/>
      <w:marRight w:val="0"/>
      <w:marTop w:val="0"/>
      <w:marBottom w:val="0"/>
      <w:divBdr>
        <w:top w:val="none" w:sz="0" w:space="0" w:color="auto"/>
        <w:left w:val="none" w:sz="0" w:space="0" w:color="auto"/>
        <w:bottom w:val="none" w:sz="0" w:space="0" w:color="auto"/>
        <w:right w:val="none" w:sz="0" w:space="0" w:color="auto"/>
      </w:divBdr>
    </w:div>
    <w:div w:id="1201013752">
      <w:bodyDiv w:val="1"/>
      <w:marLeft w:val="0"/>
      <w:marRight w:val="0"/>
      <w:marTop w:val="0"/>
      <w:marBottom w:val="0"/>
      <w:divBdr>
        <w:top w:val="none" w:sz="0" w:space="0" w:color="auto"/>
        <w:left w:val="none" w:sz="0" w:space="0" w:color="auto"/>
        <w:bottom w:val="none" w:sz="0" w:space="0" w:color="auto"/>
        <w:right w:val="none" w:sz="0" w:space="0" w:color="auto"/>
      </w:divBdr>
    </w:div>
    <w:div w:id="1202015143">
      <w:bodyDiv w:val="1"/>
      <w:marLeft w:val="0"/>
      <w:marRight w:val="0"/>
      <w:marTop w:val="0"/>
      <w:marBottom w:val="0"/>
      <w:divBdr>
        <w:top w:val="none" w:sz="0" w:space="0" w:color="auto"/>
        <w:left w:val="none" w:sz="0" w:space="0" w:color="auto"/>
        <w:bottom w:val="none" w:sz="0" w:space="0" w:color="auto"/>
        <w:right w:val="none" w:sz="0" w:space="0" w:color="auto"/>
      </w:divBdr>
    </w:div>
    <w:div w:id="1203250851">
      <w:bodyDiv w:val="1"/>
      <w:marLeft w:val="0"/>
      <w:marRight w:val="0"/>
      <w:marTop w:val="0"/>
      <w:marBottom w:val="0"/>
      <w:divBdr>
        <w:top w:val="none" w:sz="0" w:space="0" w:color="auto"/>
        <w:left w:val="none" w:sz="0" w:space="0" w:color="auto"/>
        <w:bottom w:val="none" w:sz="0" w:space="0" w:color="auto"/>
        <w:right w:val="none" w:sz="0" w:space="0" w:color="auto"/>
      </w:divBdr>
    </w:div>
    <w:div w:id="1209490586">
      <w:bodyDiv w:val="1"/>
      <w:marLeft w:val="0"/>
      <w:marRight w:val="0"/>
      <w:marTop w:val="0"/>
      <w:marBottom w:val="0"/>
      <w:divBdr>
        <w:top w:val="none" w:sz="0" w:space="0" w:color="auto"/>
        <w:left w:val="none" w:sz="0" w:space="0" w:color="auto"/>
        <w:bottom w:val="none" w:sz="0" w:space="0" w:color="auto"/>
        <w:right w:val="none" w:sz="0" w:space="0" w:color="auto"/>
      </w:divBdr>
    </w:div>
    <w:div w:id="1209758652">
      <w:bodyDiv w:val="1"/>
      <w:marLeft w:val="0"/>
      <w:marRight w:val="0"/>
      <w:marTop w:val="0"/>
      <w:marBottom w:val="0"/>
      <w:divBdr>
        <w:top w:val="none" w:sz="0" w:space="0" w:color="auto"/>
        <w:left w:val="none" w:sz="0" w:space="0" w:color="auto"/>
        <w:bottom w:val="none" w:sz="0" w:space="0" w:color="auto"/>
        <w:right w:val="none" w:sz="0" w:space="0" w:color="auto"/>
      </w:divBdr>
    </w:div>
    <w:div w:id="1223370746">
      <w:bodyDiv w:val="1"/>
      <w:marLeft w:val="0"/>
      <w:marRight w:val="0"/>
      <w:marTop w:val="0"/>
      <w:marBottom w:val="0"/>
      <w:divBdr>
        <w:top w:val="none" w:sz="0" w:space="0" w:color="auto"/>
        <w:left w:val="none" w:sz="0" w:space="0" w:color="auto"/>
        <w:bottom w:val="none" w:sz="0" w:space="0" w:color="auto"/>
        <w:right w:val="none" w:sz="0" w:space="0" w:color="auto"/>
      </w:divBdr>
    </w:div>
    <w:div w:id="1223831583">
      <w:bodyDiv w:val="1"/>
      <w:marLeft w:val="0"/>
      <w:marRight w:val="0"/>
      <w:marTop w:val="0"/>
      <w:marBottom w:val="0"/>
      <w:divBdr>
        <w:top w:val="none" w:sz="0" w:space="0" w:color="auto"/>
        <w:left w:val="none" w:sz="0" w:space="0" w:color="auto"/>
        <w:bottom w:val="none" w:sz="0" w:space="0" w:color="auto"/>
        <w:right w:val="none" w:sz="0" w:space="0" w:color="auto"/>
      </w:divBdr>
    </w:div>
    <w:div w:id="1224439461">
      <w:bodyDiv w:val="1"/>
      <w:marLeft w:val="0"/>
      <w:marRight w:val="0"/>
      <w:marTop w:val="0"/>
      <w:marBottom w:val="0"/>
      <w:divBdr>
        <w:top w:val="none" w:sz="0" w:space="0" w:color="auto"/>
        <w:left w:val="none" w:sz="0" w:space="0" w:color="auto"/>
        <w:bottom w:val="none" w:sz="0" w:space="0" w:color="auto"/>
        <w:right w:val="none" w:sz="0" w:space="0" w:color="auto"/>
      </w:divBdr>
    </w:div>
    <w:div w:id="1232082512">
      <w:bodyDiv w:val="1"/>
      <w:marLeft w:val="0"/>
      <w:marRight w:val="0"/>
      <w:marTop w:val="0"/>
      <w:marBottom w:val="0"/>
      <w:divBdr>
        <w:top w:val="none" w:sz="0" w:space="0" w:color="auto"/>
        <w:left w:val="none" w:sz="0" w:space="0" w:color="auto"/>
        <w:bottom w:val="none" w:sz="0" w:space="0" w:color="auto"/>
        <w:right w:val="none" w:sz="0" w:space="0" w:color="auto"/>
      </w:divBdr>
    </w:div>
    <w:div w:id="1235775255">
      <w:bodyDiv w:val="1"/>
      <w:marLeft w:val="0"/>
      <w:marRight w:val="0"/>
      <w:marTop w:val="0"/>
      <w:marBottom w:val="0"/>
      <w:divBdr>
        <w:top w:val="none" w:sz="0" w:space="0" w:color="auto"/>
        <w:left w:val="none" w:sz="0" w:space="0" w:color="auto"/>
        <w:bottom w:val="none" w:sz="0" w:space="0" w:color="auto"/>
        <w:right w:val="none" w:sz="0" w:space="0" w:color="auto"/>
      </w:divBdr>
    </w:div>
    <w:div w:id="1240679587">
      <w:bodyDiv w:val="1"/>
      <w:marLeft w:val="0"/>
      <w:marRight w:val="0"/>
      <w:marTop w:val="0"/>
      <w:marBottom w:val="0"/>
      <w:divBdr>
        <w:top w:val="none" w:sz="0" w:space="0" w:color="auto"/>
        <w:left w:val="none" w:sz="0" w:space="0" w:color="auto"/>
        <w:bottom w:val="none" w:sz="0" w:space="0" w:color="auto"/>
        <w:right w:val="none" w:sz="0" w:space="0" w:color="auto"/>
      </w:divBdr>
    </w:div>
    <w:div w:id="1243686411">
      <w:bodyDiv w:val="1"/>
      <w:marLeft w:val="0"/>
      <w:marRight w:val="0"/>
      <w:marTop w:val="0"/>
      <w:marBottom w:val="0"/>
      <w:divBdr>
        <w:top w:val="none" w:sz="0" w:space="0" w:color="auto"/>
        <w:left w:val="none" w:sz="0" w:space="0" w:color="auto"/>
        <w:bottom w:val="none" w:sz="0" w:space="0" w:color="auto"/>
        <w:right w:val="none" w:sz="0" w:space="0" w:color="auto"/>
      </w:divBdr>
    </w:div>
    <w:div w:id="1245603711">
      <w:bodyDiv w:val="1"/>
      <w:marLeft w:val="0"/>
      <w:marRight w:val="0"/>
      <w:marTop w:val="0"/>
      <w:marBottom w:val="0"/>
      <w:divBdr>
        <w:top w:val="none" w:sz="0" w:space="0" w:color="auto"/>
        <w:left w:val="none" w:sz="0" w:space="0" w:color="auto"/>
        <w:bottom w:val="none" w:sz="0" w:space="0" w:color="auto"/>
        <w:right w:val="none" w:sz="0" w:space="0" w:color="auto"/>
      </w:divBdr>
    </w:div>
    <w:div w:id="1255825156">
      <w:bodyDiv w:val="1"/>
      <w:marLeft w:val="0"/>
      <w:marRight w:val="0"/>
      <w:marTop w:val="0"/>
      <w:marBottom w:val="0"/>
      <w:divBdr>
        <w:top w:val="none" w:sz="0" w:space="0" w:color="auto"/>
        <w:left w:val="none" w:sz="0" w:space="0" w:color="auto"/>
        <w:bottom w:val="none" w:sz="0" w:space="0" w:color="auto"/>
        <w:right w:val="none" w:sz="0" w:space="0" w:color="auto"/>
      </w:divBdr>
    </w:div>
    <w:div w:id="1256085592">
      <w:bodyDiv w:val="1"/>
      <w:marLeft w:val="0"/>
      <w:marRight w:val="0"/>
      <w:marTop w:val="0"/>
      <w:marBottom w:val="0"/>
      <w:divBdr>
        <w:top w:val="none" w:sz="0" w:space="0" w:color="auto"/>
        <w:left w:val="none" w:sz="0" w:space="0" w:color="auto"/>
        <w:bottom w:val="none" w:sz="0" w:space="0" w:color="auto"/>
        <w:right w:val="none" w:sz="0" w:space="0" w:color="auto"/>
      </w:divBdr>
    </w:div>
    <w:div w:id="1262251647">
      <w:bodyDiv w:val="1"/>
      <w:marLeft w:val="0"/>
      <w:marRight w:val="0"/>
      <w:marTop w:val="0"/>
      <w:marBottom w:val="0"/>
      <w:divBdr>
        <w:top w:val="none" w:sz="0" w:space="0" w:color="auto"/>
        <w:left w:val="none" w:sz="0" w:space="0" w:color="auto"/>
        <w:bottom w:val="none" w:sz="0" w:space="0" w:color="auto"/>
        <w:right w:val="none" w:sz="0" w:space="0" w:color="auto"/>
      </w:divBdr>
    </w:div>
    <w:div w:id="1263225063">
      <w:bodyDiv w:val="1"/>
      <w:marLeft w:val="0"/>
      <w:marRight w:val="0"/>
      <w:marTop w:val="0"/>
      <w:marBottom w:val="0"/>
      <w:divBdr>
        <w:top w:val="none" w:sz="0" w:space="0" w:color="auto"/>
        <w:left w:val="none" w:sz="0" w:space="0" w:color="auto"/>
        <w:bottom w:val="none" w:sz="0" w:space="0" w:color="auto"/>
        <w:right w:val="none" w:sz="0" w:space="0" w:color="auto"/>
      </w:divBdr>
    </w:div>
    <w:div w:id="1267422713">
      <w:bodyDiv w:val="1"/>
      <w:marLeft w:val="0"/>
      <w:marRight w:val="0"/>
      <w:marTop w:val="0"/>
      <w:marBottom w:val="0"/>
      <w:divBdr>
        <w:top w:val="none" w:sz="0" w:space="0" w:color="auto"/>
        <w:left w:val="none" w:sz="0" w:space="0" w:color="auto"/>
        <w:bottom w:val="none" w:sz="0" w:space="0" w:color="auto"/>
        <w:right w:val="none" w:sz="0" w:space="0" w:color="auto"/>
      </w:divBdr>
    </w:div>
    <w:div w:id="1270118924">
      <w:bodyDiv w:val="1"/>
      <w:marLeft w:val="0"/>
      <w:marRight w:val="0"/>
      <w:marTop w:val="0"/>
      <w:marBottom w:val="0"/>
      <w:divBdr>
        <w:top w:val="none" w:sz="0" w:space="0" w:color="auto"/>
        <w:left w:val="none" w:sz="0" w:space="0" w:color="auto"/>
        <w:bottom w:val="none" w:sz="0" w:space="0" w:color="auto"/>
        <w:right w:val="none" w:sz="0" w:space="0" w:color="auto"/>
      </w:divBdr>
    </w:div>
    <w:div w:id="1271009827">
      <w:bodyDiv w:val="1"/>
      <w:marLeft w:val="0"/>
      <w:marRight w:val="0"/>
      <w:marTop w:val="0"/>
      <w:marBottom w:val="0"/>
      <w:divBdr>
        <w:top w:val="none" w:sz="0" w:space="0" w:color="auto"/>
        <w:left w:val="none" w:sz="0" w:space="0" w:color="auto"/>
        <w:bottom w:val="none" w:sz="0" w:space="0" w:color="auto"/>
        <w:right w:val="none" w:sz="0" w:space="0" w:color="auto"/>
      </w:divBdr>
    </w:div>
    <w:div w:id="1283919455">
      <w:bodyDiv w:val="1"/>
      <w:marLeft w:val="0"/>
      <w:marRight w:val="0"/>
      <w:marTop w:val="0"/>
      <w:marBottom w:val="0"/>
      <w:divBdr>
        <w:top w:val="none" w:sz="0" w:space="0" w:color="auto"/>
        <w:left w:val="none" w:sz="0" w:space="0" w:color="auto"/>
        <w:bottom w:val="none" w:sz="0" w:space="0" w:color="auto"/>
        <w:right w:val="none" w:sz="0" w:space="0" w:color="auto"/>
      </w:divBdr>
    </w:div>
    <w:div w:id="1284340128">
      <w:bodyDiv w:val="1"/>
      <w:marLeft w:val="0"/>
      <w:marRight w:val="0"/>
      <w:marTop w:val="0"/>
      <w:marBottom w:val="0"/>
      <w:divBdr>
        <w:top w:val="none" w:sz="0" w:space="0" w:color="auto"/>
        <w:left w:val="none" w:sz="0" w:space="0" w:color="auto"/>
        <w:bottom w:val="none" w:sz="0" w:space="0" w:color="auto"/>
        <w:right w:val="none" w:sz="0" w:space="0" w:color="auto"/>
      </w:divBdr>
    </w:div>
    <w:div w:id="1289241700">
      <w:bodyDiv w:val="1"/>
      <w:marLeft w:val="0"/>
      <w:marRight w:val="0"/>
      <w:marTop w:val="0"/>
      <w:marBottom w:val="0"/>
      <w:divBdr>
        <w:top w:val="none" w:sz="0" w:space="0" w:color="auto"/>
        <w:left w:val="none" w:sz="0" w:space="0" w:color="auto"/>
        <w:bottom w:val="none" w:sz="0" w:space="0" w:color="auto"/>
        <w:right w:val="none" w:sz="0" w:space="0" w:color="auto"/>
      </w:divBdr>
    </w:div>
    <w:div w:id="1291279159">
      <w:bodyDiv w:val="1"/>
      <w:marLeft w:val="0"/>
      <w:marRight w:val="0"/>
      <w:marTop w:val="0"/>
      <w:marBottom w:val="0"/>
      <w:divBdr>
        <w:top w:val="none" w:sz="0" w:space="0" w:color="auto"/>
        <w:left w:val="none" w:sz="0" w:space="0" w:color="auto"/>
        <w:bottom w:val="none" w:sz="0" w:space="0" w:color="auto"/>
        <w:right w:val="none" w:sz="0" w:space="0" w:color="auto"/>
      </w:divBdr>
    </w:div>
    <w:div w:id="1292832954">
      <w:bodyDiv w:val="1"/>
      <w:marLeft w:val="0"/>
      <w:marRight w:val="0"/>
      <w:marTop w:val="0"/>
      <w:marBottom w:val="0"/>
      <w:divBdr>
        <w:top w:val="none" w:sz="0" w:space="0" w:color="auto"/>
        <w:left w:val="none" w:sz="0" w:space="0" w:color="auto"/>
        <w:bottom w:val="none" w:sz="0" w:space="0" w:color="auto"/>
        <w:right w:val="none" w:sz="0" w:space="0" w:color="auto"/>
      </w:divBdr>
    </w:div>
    <w:div w:id="1295523017">
      <w:bodyDiv w:val="1"/>
      <w:marLeft w:val="0"/>
      <w:marRight w:val="0"/>
      <w:marTop w:val="0"/>
      <w:marBottom w:val="0"/>
      <w:divBdr>
        <w:top w:val="none" w:sz="0" w:space="0" w:color="auto"/>
        <w:left w:val="none" w:sz="0" w:space="0" w:color="auto"/>
        <w:bottom w:val="none" w:sz="0" w:space="0" w:color="auto"/>
        <w:right w:val="none" w:sz="0" w:space="0" w:color="auto"/>
      </w:divBdr>
    </w:div>
    <w:div w:id="1296446605">
      <w:bodyDiv w:val="1"/>
      <w:marLeft w:val="0"/>
      <w:marRight w:val="0"/>
      <w:marTop w:val="0"/>
      <w:marBottom w:val="0"/>
      <w:divBdr>
        <w:top w:val="none" w:sz="0" w:space="0" w:color="auto"/>
        <w:left w:val="none" w:sz="0" w:space="0" w:color="auto"/>
        <w:bottom w:val="none" w:sz="0" w:space="0" w:color="auto"/>
        <w:right w:val="none" w:sz="0" w:space="0" w:color="auto"/>
      </w:divBdr>
    </w:div>
    <w:div w:id="1304701906">
      <w:bodyDiv w:val="1"/>
      <w:marLeft w:val="0"/>
      <w:marRight w:val="0"/>
      <w:marTop w:val="0"/>
      <w:marBottom w:val="0"/>
      <w:divBdr>
        <w:top w:val="none" w:sz="0" w:space="0" w:color="auto"/>
        <w:left w:val="none" w:sz="0" w:space="0" w:color="auto"/>
        <w:bottom w:val="none" w:sz="0" w:space="0" w:color="auto"/>
        <w:right w:val="none" w:sz="0" w:space="0" w:color="auto"/>
      </w:divBdr>
    </w:div>
    <w:div w:id="1304964032">
      <w:bodyDiv w:val="1"/>
      <w:marLeft w:val="0"/>
      <w:marRight w:val="0"/>
      <w:marTop w:val="0"/>
      <w:marBottom w:val="0"/>
      <w:divBdr>
        <w:top w:val="none" w:sz="0" w:space="0" w:color="auto"/>
        <w:left w:val="none" w:sz="0" w:space="0" w:color="auto"/>
        <w:bottom w:val="none" w:sz="0" w:space="0" w:color="auto"/>
        <w:right w:val="none" w:sz="0" w:space="0" w:color="auto"/>
      </w:divBdr>
    </w:div>
    <w:div w:id="1307934114">
      <w:bodyDiv w:val="1"/>
      <w:marLeft w:val="0"/>
      <w:marRight w:val="0"/>
      <w:marTop w:val="0"/>
      <w:marBottom w:val="0"/>
      <w:divBdr>
        <w:top w:val="none" w:sz="0" w:space="0" w:color="auto"/>
        <w:left w:val="none" w:sz="0" w:space="0" w:color="auto"/>
        <w:bottom w:val="none" w:sz="0" w:space="0" w:color="auto"/>
        <w:right w:val="none" w:sz="0" w:space="0" w:color="auto"/>
      </w:divBdr>
    </w:div>
    <w:div w:id="1310019691">
      <w:bodyDiv w:val="1"/>
      <w:marLeft w:val="0"/>
      <w:marRight w:val="0"/>
      <w:marTop w:val="0"/>
      <w:marBottom w:val="0"/>
      <w:divBdr>
        <w:top w:val="none" w:sz="0" w:space="0" w:color="auto"/>
        <w:left w:val="none" w:sz="0" w:space="0" w:color="auto"/>
        <w:bottom w:val="none" w:sz="0" w:space="0" w:color="auto"/>
        <w:right w:val="none" w:sz="0" w:space="0" w:color="auto"/>
      </w:divBdr>
    </w:div>
    <w:div w:id="1314676076">
      <w:bodyDiv w:val="1"/>
      <w:marLeft w:val="0"/>
      <w:marRight w:val="0"/>
      <w:marTop w:val="0"/>
      <w:marBottom w:val="0"/>
      <w:divBdr>
        <w:top w:val="none" w:sz="0" w:space="0" w:color="auto"/>
        <w:left w:val="none" w:sz="0" w:space="0" w:color="auto"/>
        <w:bottom w:val="none" w:sz="0" w:space="0" w:color="auto"/>
        <w:right w:val="none" w:sz="0" w:space="0" w:color="auto"/>
      </w:divBdr>
    </w:div>
    <w:div w:id="1317535945">
      <w:bodyDiv w:val="1"/>
      <w:marLeft w:val="0"/>
      <w:marRight w:val="0"/>
      <w:marTop w:val="0"/>
      <w:marBottom w:val="0"/>
      <w:divBdr>
        <w:top w:val="none" w:sz="0" w:space="0" w:color="auto"/>
        <w:left w:val="none" w:sz="0" w:space="0" w:color="auto"/>
        <w:bottom w:val="none" w:sz="0" w:space="0" w:color="auto"/>
        <w:right w:val="none" w:sz="0" w:space="0" w:color="auto"/>
      </w:divBdr>
    </w:div>
    <w:div w:id="1323437030">
      <w:bodyDiv w:val="1"/>
      <w:marLeft w:val="0"/>
      <w:marRight w:val="0"/>
      <w:marTop w:val="0"/>
      <w:marBottom w:val="0"/>
      <w:divBdr>
        <w:top w:val="none" w:sz="0" w:space="0" w:color="auto"/>
        <w:left w:val="none" w:sz="0" w:space="0" w:color="auto"/>
        <w:bottom w:val="none" w:sz="0" w:space="0" w:color="auto"/>
        <w:right w:val="none" w:sz="0" w:space="0" w:color="auto"/>
      </w:divBdr>
    </w:div>
    <w:div w:id="1326319280">
      <w:bodyDiv w:val="1"/>
      <w:marLeft w:val="0"/>
      <w:marRight w:val="0"/>
      <w:marTop w:val="0"/>
      <w:marBottom w:val="0"/>
      <w:divBdr>
        <w:top w:val="none" w:sz="0" w:space="0" w:color="auto"/>
        <w:left w:val="none" w:sz="0" w:space="0" w:color="auto"/>
        <w:bottom w:val="none" w:sz="0" w:space="0" w:color="auto"/>
        <w:right w:val="none" w:sz="0" w:space="0" w:color="auto"/>
      </w:divBdr>
    </w:div>
    <w:div w:id="1333219608">
      <w:bodyDiv w:val="1"/>
      <w:marLeft w:val="0"/>
      <w:marRight w:val="0"/>
      <w:marTop w:val="0"/>
      <w:marBottom w:val="0"/>
      <w:divBdr>
        <w:top w:val="none" w:sz="0" w:space="0" w:color="auto"/>
        <w:left w:val="none" w:sz="0" w:space="0" w:color="auto"/>
        <w:bottom w:val="none" w:sz="0" w:space="0" w:color="auto"/>
        <w:right w:val="none" w:sz="0" w:space="0" w:color="auto"/>
      </w:divBdr>
    </w:div>
    <w:div w:id="1335108913">
      <w:bodyDiv w:val="1"/>
      <w:marLeft w:val="0"/>
      <w:marRight w:val="0"/>
      <w:marTop w:val="0"/>
      <w:marBottom w:val="0"/>
      <w:divBdr>
        <w:top w:val="none" w:sz="0" w:space="0" w:color="auto"/>
        <w:left w:val="none" w:sz="0" w:space="0" w:color="auto"/>
        <w:bottom w:val="none" w:sz="0" w:space="0" w:color="auto"/>
        <w:right w:val="none" w:sz="0" w:space="0" w:color="auto"/>
      </w:divBdr>
    </w:div>
    <w:div w:id="1335568581">
      <w:bodyDiv w:val="1"/>
      <w:marLeft w:val="0"/>
      <w:marRight w:val="0"/>
      <w:marTop w:val="0"/>
      <w:marBottom w:val="0"/>
      <w:divBdr>
        <w:top w:val="none" w:sz="0" w:space="0" w:color="auto"/>
        <w:left w:val="none" w:sz="0" w:space="0" w:color="auto"/>
        <w:bottom w:val="none" w:sz="0" w:space="0" w:color="auto"/>
        <w:right w:val="none" w:sz="0" w:space="0" w:color="auto"/>
      </w:divBdr>
    </w:div>
    <w:div w:id="1335959964">
      <w:bodyDiv w:val="1"/>
      <w:marLeft w:val="0"/>
      <w:marRight w:val="0"/>
      <w:marTop w:val="0"/>
      <w:marBottom w:val="0"/>
      <w:divBdr>
        <w:top w:val="none" w:sz="0" w:space="0" w:color="auto"/>
        <w:left w:val="none" w:sz="0" w:space="0" w:color="auto"/>
        <w:bottom w:val="none" w:sz="0" w:space="0" w:color="auto"/>
        <w:right w:val="none" w:sz="0" w:space="0" w:color="auto"/>
      </w:divBdr>
    </w:div>
    <w:div w:id="1342927312">
      <w:bodyDiv w:val="1"/>
      <w:marLeft w:val="0"/>
      <w:marRight w:val="0"/>
      <w:marTop w:val="0"/>
      <w:marBottom w:val="0"/>
      <w:divBdr>
        <w:top w:val="none" w:sz="0" w:space="0" w:color="auto"/>
        <w:left w:val="none" w:sz="0" w:space="0" w:color="auto"/>
        <w:bottom w:val="none" w:sz="0" w:space="0" w:color="auto"/>
        <w:right w:val="none" w:sz="0" w:space="0" w:color="auto"/>
      </w:divBdr>
    </w:div>
    <w:div w:id="1345016378">
      <w:bodyDiv w:val="1"/>
      <w:marLeft w:val="0"/>
      <w:marRight w:val="0"/>
      <w:marTop w:val="0"/>
      <w:marBottom w:val="0"/>
      <w:divBdr>
        <w:top w:val="none" w:sz="0" w:space="0" w:color="auto"/>
        <w:left w:val="none" w:sz="0" w:space="0" w:color="auto"/>
        <w:bottom w:val="none" w:sz="0" w:space="0" w:color="auto"/>
        <w:right w:val="none" w:sz="0" w:space="0" w:color="auto"/>
      </w:divBdr>
    </w:div>
    <w:div w:id="1350449791">
      <w:bodyDiv w:val="1"/>
      <w:marLeft w:val="0"/>
      <w:marRight w:val="0"/>
      <w:marTop w:val="0"/>
      <w:marBottom w:val="0"/>
      <w:divBdr>
        <w:top w:val="none" w:sz="0" w:space="0" w:color="auto"/>
        <w:left w:val="none" w:sz="0" w:space="0" w:color="auto"/>
        <w:bottom w:val="none" w:sz="0" w:space="0" w:color="auto"/>
        <w:right w:val="none" w:sz="0" w:space="0" w:color="auto"/>
      </w:divBdr>
    </w:div>
    <w:div w:id="1354113920">
      <w:bodyDiv w:val="1"/>
      <w:marLeft w:val="0"/>
      <w:marRight w:val="0"/>
      <w:marTop w:val="0"/>
      <w:marBottom w:val="0"/>
      <w:divBdr>
        <w:top w:val="none" w:sz="0" w:space="0" w:color="auto"/>
        <w:left w:val="none" w:sz="0" w:space="0" w:color="auto"/>
        <w:bottom w:val="none" w:sz="0" w:space="0" w:color="auto"/>
        <w:right w:val="none" w:sz="0" w:space="0" w:color="auto"/>
      </w:divBdr>
    </w:div>
    <w:div w:id="1362122184">
      <w:bodyDiv w:val="1"/>
      <w:marLeft w:val="0"/>
      <w:marRight w:val="0"/>
      <w:marTop w:val="0"/>
      <w:marBottom w:val="0"/>
      <w:divBdr>
        <w:top w:val="none" w:sz="0" w:space="0" w:color="auto"/>
        <w:left w:val="none" w:sz="0" w:space="0" w:color="auto"/>
        <w:bottom w:val="none" w:sz="0" w:space="0" w:color="auto"/>
        <w:right w:val="none" w:sz="0" w:space="0" w:color="auto"/>
      </w:divBdr>
    </w:div>
    <w:div w:id="1362972689">
      <w:bodyDiv w:val="1"/>
      <w:marLeft w:val="0"/>
      <w:marRight w:val="0"/>
      <w:marTop w:val="0"/>
      <w:marBottom w:val="0"/>
      <w:divBdr>
        <w:top w:val="none" w:sz="0" w:space="0" w:color="auto"/>
        <w:left w:val="none" w:sz="0" w:space="0" w:color="auto"/>
        <w:bottom w:val="none" w:sz="0" w:space="0" w:color="auto"/>
        <w:right w:val="none" w:sz="0" w:space="0" w:color="auto"/>
      </w:divBdr>
    </w:div>
    <w:div w:id="1363704364">
      <w:bodyDiv w:val="1"/>
      <w:marLeft w:val="0"/>
      <w:marRight w:val="0"/>
      <w:marTop w:val="0"/>
      <w:marBottom w:val="0"/>
      <w:divBdr>
        <w:top w:val="none" w:sz="0" w:space="0" w:color="auto"/>
        <w:left w:val="none" w:sz="0" w:space="0" w:color="auto"/>
        <w:bottom w:val="none" w:sz="0" w:space="0" w:color="auto"/>
        <w:right w:val="none" w:sz="0" w:space="0" w:color="auto"/>
      </w:divBdr>
    </w:div>
    <w:div w:id="1367564855">
      <w:bodyDiv w:val="1"/>
      <w:marLeft w:val="0"/>
      <w:marRight w:val="0"/>
      <w:marTop w:val="0"/>
      <w:marBottom w:val="0"/>
      <w:divBdr>
        <w:top w:val="none" w:sz="0" w:space="0" w:color="auto"/>
        <w:left w:val="none" w:sz="0" w:space="0" w:color="auto"/>
        <w:bottom w:val="none" w:sz="0" w:space="0" w:color="auto"/>
        <w:right w:val="none" w:sz="0" w:space="0" w:color="auto"/>
      </w:divBdr>
    </w:div>
    <w:div w:id="1367756645">
      <w:bodyDiv w:val="1"/>
      <w:marLeft w:val="0"/>
      <w:marRight w:val="0"/>
      <w:marTop w:val="0"/>
      <w:marBottom w:val="0"/>
      <w:divBdr>
        <w:top w:val="none" w:sz="0" w:space="0" w:color="auto"/>
        <w:left w:val="none" w:sz="0" w:space="0" w:color="auto"/>
        <w:bottom w:val="none" w:sz="0" w:space="0" w:color="auto"/>
        <w:right w:val="none" w:sz="0" w:space="0" w:color="auto"/>
      </w:divBdr>
    </w:div>
    <w:div w:id="1371805127">
      <w:bodyDiv w:val="1"/>
      <w:marLeft w:val="0"/>
      <w:marRight w:val="0"/>
      <w:marTop w:val="0"/>
      <w:marBottom w:val="0"/>
      <w:divBdr>
        <w:top w:val="none" w:sz="0" w:space="0" w:color="auto"/>
        <w:left w:val="none" w:sz="0" w:space="0" w:color="auto"/>
        <w:bottom w:val="none" w:sz="0" w:space="0" w:color="auto"/>
        <w:right w:val="none" w:sz="0" w:space="0" w:color="auto"/>
      </w:divBdr>
    </w:div>
    <w:div w:id="1372269629">
      <w:bodyDiv w:val="1"/>
      <w:marLeft w:val="0"/>
      <w:marRight w:val="0"/>
      <w:marTop w:val="0"/>
      <w:marBottom w:val="0"/>
      <w:divBdr>
        <w:top w:val="none" w:sz="0" w:space="0" w:color="auto"/>
        <w:left w:val="none" w:sz="0" w:space="0" w:color="auto"/>
        <w:bottom w:val="none" w:sz="0" w:space="0" w:color="auto"/>
        <w:right w:val="none" w:sz="0" w:space="0" w:color="auto"/>
      </w:divBdr>
    </w:div>
    <w:div w:id="1372920603">
      <w:bodyDiv w:val="1"/>
      <w:marLeft w:val="0"/>
      <w:marRight w:val="0"/>
      <w:marTop w:val="0"/>
      <w:marBottom w:val="0"/>
      <w:divBdr>
        <w:top w:val="none" w:sz="0" w:space="0" w:color="auto"/>
        <w:left w:val="none" w:sz="0" w:space="0" w:color="auto"/>
        <w:bottom w:val="none" w:sz="0" w:space="0" w:color="auto"/>
        <w:right w:val="none" w:sz="0" w:space="0" w:color="auto"/>
      </w:divBdr>
    </w:div>
    <w:div w:id="1377193929">
      <w:bodyDiv w:val="1"/>
      <w:marLeft w:val="0"/>
      <w:marRight w:val="0"/>
      <w:marTop w:val="0"/>
      <w:marBottom w:val="0"/>
      <w:divBdr>
        <w:top w:val="none" w:sz="0" w:space="0" w:color="auto"/>
        <w:left w:val="none" w:sz="0" w:space="0" w:color="auto"/>
        <w:bottom w:val="none" w:sz="0" w:space="0" w:color="auto"/>
        <w:right w:val="none" w:sz="0" w:space="0" w:color="auto"/>
      </w:divBdr>
    </w:div>
    <w:div w:id="1379234581">
      <w:bodyDiv w:val="1"/>
      <w:marLeft w:val="0"/>
      <w:marRight w:val="0"/>
      <w:marTop w:val="0"/>
      <w:marBottom w:val="0"/>
      <w:divBdr>
        <w:top w:val="none" w:sz="0" w:space="0" w:color="auto"/>
        <w:left w:val="none" w:sz="0" w:space="0" w:color="auto"/>
        <w:bottom w:val="none" w:sz="0" w:space="0" w:color="auto"/>
        <w:right w:val="none" w:sz="0" w:space="0" w:color="auto"/>
      </w:divBdr>
    </w:div>
    <w:div w:id="1382485718">
      <w:bodyDiv w:val="1"/>
      <w:marLeft w:val="0"/>
      <w:marRight w:val="0"/>
      <w:marTop w:val="0"/>
      <w:marBottom w:val="0"/>
      <w:divBdr>
        <w:top w:val="none" w:sz="0" w:space="0" w:color="auto"/>
        <w:left w:val="none" w:sz="0" w:space="0" w:color="auto"/>
        <w:bottom w:val="none" w:sz="0" w:space="0" w:color="auto"/>
        <w:right w:val="none" w:sz="0" w:space="0" w:color="auto"/>
      </w:divBdr>
    </w:div>
    <w:div w:id="1388648845">
      <w:bodyDiv w:val="1"/>
      <w:marLeft w:val="0"/>
      <w:marRight w:val="0"/>
      <w:marTop w:val="0"/>
      <w:marBottom w:val="0"/>
      <w:divBdr>
        <w:top w:val="none" w:sz="0" w:space="0" w:color="auto"/>
        <w:left w:val="none" w:sz="0" w:space="0" w:color="auto"/>
        <w:bottom w:val="none" w:sz="0" w:space="0" w:color="auto"/>
        <w:right w:val="none" w:sz="0" w:space="0" w:color="auto"/>
      </w:divBdr>
    </w:div>
    <w:div w:id="1400134158">
      <w:bodyDiv w:val="1"/>
      <w:marLeft w:val="0"/>
      <w:marRight w:val="0"/>
      <w:marTop w:val="0"/>
      <w:marBottom w:val="0"/>
      <w:divBdr>
        <w:top w:val="none" w:sz="0" w:space="0" w:color="auto"/>
        <w:left w:val="none" w:sz="0" w:space="0" w:color="auto"/>
        <w:bottom w:val="none" w:sz="0" w:space="0" w:color="auto"/>
        <w:right w:val="none" w:sz="0" w:space="0" w:color="auto"/>
      </w:divBdr>
    </w:div>
    <w:div w:id="1402605806">
      <w:bodyDiv w:val="1"/>
      <w:marLeft w:val="0"/>
      <w:marRight w:val="0"/>
      <w:marTop w:val="0"/>
      <w:marBottom w:val="0"/>
      <w:divBdr>
        <w:top w:val="none" w:sz="0" w:space="0" w:color="auto"/>
        <w:left w:val="none" w:sz="0" w:space="0" w:color="auto"/>
        <w:bottom w:val="none" w:sz="0" w:space="0" w:color="auto"/>
        <w:right w:val="none" w:sz="0" w:space="0" w:color="auto"/>
      </w:divBdr>
    </w:div>
    <w:div w:id="1406731093">
      <w:bodyDiv w:val="1"/>
      <w:marLeft w:val="0"/>
      <w:marRight w:val="0"/>
      <w:marTop w:val="0"/>
      <w:marBottom w:val="0"/>
      <w:divBdr>
        <w:top w:val="none" w:sz="0" w:space="0" w:color="auto"/>
        <w:left w:val="none" w:sz="0" w:space="0" w:color="auto"/>
        <w:bottom w:val="none" w:sz="0" w:space="0" w:color="auto"/>
        <w:right w:val="none" w:sz="0" w:space="0" w:color="auto"/>
      </w:divBdr>
    </w:div>
    <w:div w:id="1420515846">
      <w:bodyDiv w:val="1"/>
      <w:marLeft w:val="0"/>
      <w:marRight w:val="0"/>
      <w:marTop w:val="0"/>
      <w:marBottom w:val="0"/>
      <w:divBdr>
        <w:top w:val="none" w:sz="0" w:space="0" w:color="auto"/>
        <w:left w:val="none" w:sz="0" w:space="0" w:color="auto"/>
        <w:bottom w:val="none" w:sz="0" w:space="0" w:color="auto"/>
        <w:right w:val="none" w:sz="0" w:space="0" w:color="auto"/>
      </w:divBdr>
    </w:div>
    <w:div w:id="1421947528">
      <w:bodyDiv w:val="1"/>
      <w:marLeft w:val="0"/>
      <w:marRight w:val="0"/>
      <w:marTop w:val="0"/>
      <w:marBottom w:val="0"/>
      <w:divBdr>
        <w:top w:val="none" w:sz="0" w:space="0" w:color="auto"/>
        <w:left w:val="none" w:sz="0" w:space="0" w:color="auto"/>
        <w:bottom w:val="none" w:sz="0" w:space="0" w:color="auto"/>
        <w:right w:val="none" w:sz="0" w:space="0" w:color="auto"/>
      </w:divBdr>
    </w:div>
    <w:div w:id="1425957585">
      <w:bodyDiv w:val="1"/>
      <w:marLeft w:val="0"/>
      <w:marRight w:val="0"/>
      <w:marTop w:val="0"/>
      <w:marBottom w:val="0"/>
      <w:divBdr>
        <w:top w:val="none" w:sz="0" w:space="0" w:color="auto"/>
        <w:left w:val="none" w:sz="0" w:space="0" w:color="auto"/>
        <w:bottom w:val="none" w:sz="0" w:space="0" w:color="auto"/>
        <w:right w:val="none" w:sz="0" w:space="0" w:color="auto"/>
      </w:divBdr>
    </w:div>
    <w:div w:id="1430736553">
      <w:bodyDiv w:val="1"/>
      <w:marLeft w:val="0"/>
      <w:marRight w:val="0"/>
      <w:marTop w:val="0"/>
      <w:marBottom w:val="0"/>
      <w:divBdr>
        <w:top w:val="none" w:sz="0" w:space="0" w:color="auto"/>
        <w:left w:val="none" w:sz="0" w:space="0" w:color="auto"/>
        <w:bottom w:val="none" w:sz="0" w:space="0" w:color="auto"/>
        <w:right w:val="none" w:sz="0" w:space="0" w:color="auto"/>
      </w:divBdr>
    </w:div>
    <w:div w:id="1436365790">
      <w:bodyDiv w:val="1"/>
      <w:marLeft w:val="0"/>
      <w:marRight w:val="0"/>
      <w:marTop w:val="0"/>
      <w:marBottom w:val="0"/>
      <w:divBdr>
        <w:top w:val="none" w:sz="0" w:space="0" w:color="auto"/>
        <w:left w:val="none" w:sz="0" w:space="0" w:color="auto"/>
        <w:bottom w:val="none" w:sz="0" w:space="0" w:color="auto"/>
        <w:right w:val="none" w:sz="0" w:space="0" w:color="auto"/>
      </w:divBdr>
    </w:div>
    <w:div w:id="1444227116">
      <w:bodyDiv w:val="1"/>
      <w:marLeft w:val="0"/>
      <w:marRight w:val="0"/>
      <w:marTop w:val="0"/>
      <w:marBottom w:val="0"/>
      <w:divBdr>
        <w:top w:val="none" w:sz="0" w:space="0" w:color="auto"/>
        <w:left w:val="none" w:sz="0" w:space="0" w:color="auto"/>
        <w:bottom w:val="none" w:sz="0" w:space="0" w:color="auto"/>
        <w:right w:val="none" w:sz="0" w:space="0" w:color="auto"/>
      </w:divBdr>
    </w:div>
    <w:div w:id="1446344450">
      <w:bodyDiv w:val="1"/>
      <w:marLeft w:val="0"/>
      <w:marRight w:val="0"/>
      <w:marTop w:val="0"/>
      <w:marBottom w:val="0"/>
      <w:divBdr>
        <w:top w:val="none" w:sz="0" w:space="0" w:color="auto"/>
        <w:left w:val="none" w:sz="0" w:space="0" w:color="auto"/>
        <w:bottom w:val="none" w:sz="0" w:space="0" w:color="auto"/>
        <w:right w:val="none" w:sz="0" w:space="0" w:color="auto"/>
      </w:divBdr>
    </w:div>
    <w:div w:id="1449739344">
      <w:bodyDiv w:val="1"/>
      <w:marLeft w:val="0"/>
      <w:marRight w:val="0"/>
      <w:marTop w:val="0"/>
      <w:marBottom w:val="0"/>
      <w:divBdr>
        <w:top w:val="none" w:sz="0" w:space="0" w:color="auto"/>
        <w:left w:val="none" w:sz="0" w:space="0" w:color="auto"/>
        <w:bottom w:val="none" w:sz="0" w:space="0" w:color="auto"/>
        <w:right w:val="none" w:sz="0" w:space="0" w:color="auto"/>
      </w:divBdr>
    </w:div>
    <w:div w:id="1450052446">
      <w:bodyDiv w:val="1"/>
      <w:marLeft w:val="0"/>
      <w:marRight w:val="0"/>
      <w:marTop w:val="0"/>
      <w:marBottom w:val="0"/>
      <w:divBdr>
        <w:top w:val="none" w:sz="0" w:space="0" w:color="auto"/>
        <w:left w:val="none" w:sz="0" w:space="0" w:color="auto"/>
        <w:bottom w:val="none" w:sz="0" w:space="0" w:color="auto"/>
        <w:right w:val="none" w:sz="0" w:space="0" w:color="auto"/>
      </w:divBdr>
    </w:div>
    <w:div w:id="1455980290">
      <w:bodyDiv w:val="1"/>
      <w:marLeft w:val="0"/>
      <w:marRight w:val="0"/>
      <w:marTop w:val="0"/>
      <w:marBottom w:val="0"/>
      <w:divBdr>
        <w:top w:val="none" w:sz="0" w:space="0" w:color="auto"/>
        <w:left w:val="none" w:sz="0" w:space="0" w:color="auto"/>
        <w:bottom w:val="none" w:sz="0" w:space="0" w:color="auto"/>
        <w:right w:val="none" w:sz="0" w:space="0" w:color="auto"/>
      </w:divBdr>
    </w:div>
    <w:div w:id="1457484292">
      <w:bodyDiv w:val="1"/>
      <w:marLeft w:val="0"/>
      <w:marRight w:val="0"/>
      <w:marTop w:val="0"/>
      <w:marBottom w:val="0"/>
      <w:divBdr>
        <w:top w:val="none" w:sz="0" w:space="0" w:color="auto"/>
        <w:left w:val="none" w:sz="0" w:space="0" w:color="auto"/>
        <w:bottom w:val="none" w:sz="0" w:space="0" w:color="auto"/>
        <w:right w:val="none" w:sz="0" w:space="0" w:color="auto"/>
      </w:divBdr>
    </w:div>
    <w:div w:id="1471167936">
      <w:bodyDiv w:val="1"/>
      <w:marLeft w:val="0"/>
      <w:marRight w:val="0"/>
      <w:marTop w:val="0"/>
      <w:marBottom w:val="0"/>
      <w:divBdr>
        <w:top w:val="none" w:sz="0" w:space="0" w:color="auto"/>
        <w:left w:val="none" w:sz="0" w:space="0" w:color="auto"/>
        <w:bottom w:val="none" w:sz="0" w:space="0" w:color="auto"/>
        <w:right w:val="none" w:sz="0" w:space="0" w:color="auto"/>
      </w:divBdr>
    </w:div>
    <w:div w:id="1477599529">
      <w:bodyDiv w:val="1"/>
      <w:marLeft w:val="0"/>
      <w:marRight w:val="0"/>
      <w:marTop w:val="0"/>
      <w:marBottom w:val="0"/>
      <w:divBdr>
        <w:top w:val="none" w:sz="0" w:space="0" w:color="auto"/>
        <w:left w:val="none" w:sz="0" w:space="0" w:color="auto"/>
        <w:bottom w:val="none" w:sz="0" w:space="0" w:color="auto"/>
        <w:right w:val="none" w:sz="0" w:space="0" w:color="auto"/>
      </w:divBdr>
    </w:div>
    <w:div w:id="1478381785">
      <w:bodyDiv w:val="1"/>
      <w:marLeft w:val="0"/>
      <w:marRight w:val="0"/>
      <w:marTop w:val="0"/>
      <w:marBottom w:val="0"/>
      <w:divBdr>
        <w:top w:val="none" w:sz="0" w:space="0" w:color="auto"/>
        <w:left w:val="none" w:sz="0" w:space="0" w:color="auto"/>
        <w:bottom w:val="none" w:sz="0" w:space="0" w:color="auto"/>
        <w:right w:val="none" w:sz="0" w:space="0" w:color="auto"/>
      </w:divBdr>
    </w:div>
    <w:div w:id="1480465944">
      <w:bodyDiv w:val="1"/>
      <w:marLeft w:val="0"/>
      <w:marRight w:val="0"/>
      <w:marTop w:val="0"/>
      <w:marBottom w:val="0"/>
      <w:divBdr>
        <w:top w:val="none" w:sz="0" w:space="0" w:color="auto"/>
        <w:left w:val="none" w:sz="0" w:space="0" w:color="auto"/>
        <w:bottom w:val="none" w:sz="0" w:space="0" w:color="auto"/>
        <w:right w:val="none" w:sz="0" w:space="0" w:color="auto"/>
      </w:divBdr>
    </w:div>
    <w:div w:id="1481338165">
      <w:bodyDiv w:val="1"/>
      <w:marLeft w:val="0"/>
      <w:marRight w:val="0"/>
      <w:marTop w:val="0"/>
      <w:marBottom w:val="0"/>
      <w:divBdr>
        <w:top w:val="none" w:sz="0" w:space="0" w:color="auto"/>
        <w:left w:val="none" w:sz="0" w:space="0" w:color="auto"/>
        <w:bottom w:val="none" w:sz="0" w:space="0" w:color="auto"/>
        <w:right w:val="none" w:sz="0" w:space="0" w:color="auto"/>
      </w:divBdr>
    </w:div>
    <w:div w:id="1482038656">
      <w:bodyDiv w:val="1"/>
      <w:marLeft w:val="0"/>
      <w:marRight w:val="0"/>
      <w:marTop w:val="0"/>
      <w:marBottom w:val="0"/>
      <w:divBdr>
        <w:top w:val="none" w:sz="0" w:space="0" w:color="auto"/>
        <w:left w:val="none" w:sz="0" w:space="0" w:color="auto"/>
        <w:bottom w:val="none" w:sz="0" w:space="0" w:color="auto"/>
        <w:right w:val="none" w:sz="0" w:space="0" w:color="auto"/>
      </w:divBdr>
    </w:div>
    <w:div w:id="1491022232">
      <w:bodyDiv w:val="1"/>
      <w:marLeft w:val="0"/>
      <w:marRight w:val="0"/>
      <w:marTop w:val="0"/>
      <w:marBottom w:val="0"/>
      <w:divBdr>
        <w:top w:val="none" w:sz="0" w:space="0" w:color="auto"/>
        <w:left w:val="none" w:sz="0" w:space="0" w:color="auto"/>
        <w:bottom w:val="none" w:sz="0" w:space="0" w:color="auto"/>
        <w:right w:val="none" w:sz="0" w:space="0" w:color="auto"/>
      </w:divBdr>
    </w:div>
    <w:div w:id="1501044916">
      <w:bodyDiv w:val="1"/>
      <w:marLeft w:val="0"/>
      <w:marRight w:val="0"/>
      <w:marTop w:val="0"/>
      <w:marBottom w:val="0"/>
      <w:divBdr>
        <w:top w:val="none" w:sz="0" w:space="0" w:color="auto"/>
        <w:left w:val="none" w:sz="0" w:space="0" w:color="auto"/>
        <w:bottom w:val="none" w:sz="0" w:space="0" w:color="auto"/>
        <w:right w:val="none" w:sz="0" w:space="0" w:color="auto"/>
      </w:divBdr>
    </w:div>
    <w:div w:id="1503230503">
      <w:bodyDiv w:val="1"/>
      <w:marLeft w:val="0"/>
      <w:marRight w:val="0"/>
      <w:marTop w:val="0"/>
      <w:marBottom w:val="0"/>
      <w:divBdr>
        <w:top w:val="none" w:sz="0" w:space="0" w:color="auto"/>
        <w:left w:val="none" w:sz="0" w:space="0" w:color="auto"/>
        <w:bottom w:val="none" w:sz="0" w:space="0" w:color="auto"/>
        <w:right w:val="none" w:sz="0" w:space="0" w:color="auto"/>
      </w:divBdr>
    </w:div>
    <w:div w:id="1505165340">
      <w:bodyDiv w:val="1"/>
      <w:marLeft w:val="0"/>
      <w:marRight w:val="0"/>
      <w:marTop w:val="0"/>
      <w:marBottom w:val="0"/>
      <w:divBdr>
        <w:top w:val="none" w:sz="0" w:space="0" w:color="auto"/>
        <w:left w:val="none" w:sz="0" w:space="0" w:color="auto"/>
        <w:bottom w:val="none" w:sz="0" w:space="0" w:color="auto"/>
        <w:right w:val="none" w:sz="0" w:space="0" w:color="auto"/>
      </w:divBdr>
    </w:div>
    <w:div w:id="1514223847">
      <w:bodyDiv w:val="1"/>
      <w:marLeft w:val="0"/>
      <w:marRight w:val="0"/>
      <w:marTop w:val="0"/>
      <w:marBottom w:val="0"/>
      <w:divBdr>
        <w:top w:val="none" w:sz="0" w:space="0" w:color="auto"/>
        <w:left w:val="none" w:sz="0" w:space="0" w:color="auto"/>
        <w:bottom w:val="none" w:sz="0" w:space="0" w:color="auto"/>
        <w:right w:val="none" w:sz="0" w:space="0" w:color="auto"/>
      </w:divBdr>
    </w:div>
    <w:div w:id="1515194365">
      <w:bodyDiv w:val="1"/>
      <w:marLeft w:val="0"/>
      <w:marRight w:val="0"/>
      <w:marTop w:val="0"/>
      <w:marBottom w:val="0"/>
      <w:divBdr>
        <w:top w:val="none" w:sz="0" w:space="0" w:color="auto"/>
        <w:left w:val="none" w:sz="0" w:space="0" w:color="auto"/>
        <w:bottom w:val="none" w:sz="0" w:space="0" w:color="auto"/>
        <w:right w:val="none" w:sz="0" w:space="0" w:color="auto"/>
      </w:divBdr>
    </w:div>
    <w:div w:id="1516265501">
      <w:bodyDiv w:val="1"/>
      <w:marLeft w:val="0"/>
      <w:marRight w:val="0"/>
      <w:marTop w:val="0"/>
      <w:marBottom w:val="0"/>
      <w:divBdr>
        <w:top w:val="none" w:sz="0" w:space="0" w:color="auto"/>
        <w:left w:val="none" w:sz="0" w:space="0" w:color="auto"/>
        <w:bottom w:val="none" w:sz="0" w:space="0" w:color="auto"/>
        <w:right w:val="none" w:sz="0" w:space="0" w:color="auto"/>
      </w:divBdr>
    </w:div>
    <w:div w:id="1517574525">
      <w:bodyDiv w:val="1"/>
      <w:marLeft w:val="0"/>
      <w:marRight w:val="0"/>
      <w:marTop w:val="0"/>
      <w:marBottom w:val="0"/>
      <w:divBdr>
        <w:top w:val="none" w:sz="0" w:space="0" w:color="auto"/>
        <w:left w:val="none" w:sz="0" w:space="0" w:color="auto"/>
        <w:bottom w:val="none" w:sz="0" w:space="0" w:color="auto"/>
        <w:right w:val="none" w:sz="0" w:space="0" w:color="auto"/>
      </w:divBdr>
    </w:div>
    <w:div w:id="1518078056">
      <w:bodyDiv w:val="1"/>
      <w:marLeft w:val="0"/>
      <w:marRight w:val="0"/>
      <w:marTop w:val="0"/>
      <w:marBottom w:val="0"/>
      <w:divBdr>
        <w:top w:val="none" w:sz="0" w:space="0" w:color="auto"/>
        <w:left w:val="none" w:sz="0" w:space="0" w:color="auto"/>
        <w:bottom w:val="none" w:sz="0" w:space="0" w:color="auto"/>
        <w:right w:val="none" w:sz="0" w:space="0" w:color="auto"/>
      </w:divBdr>
    </w:div>
    <w:div w:id="1528789202">
      <w:bodyDiv w:val="1"/>
      <w:marLeft w:val="0"/>
      <w:marRight w:val="0"/>
      <w:marTop w:val="0"/>
      <w:marBottom w:val="0"/>
      <w:divBdr>
        <w:top w:val="none" w:sz="0" w:space="0" w:color="auto"/>
        <w:left w:val="none" w:sz="0" w:space="0" w:color="auto"/>
        <w:bottom w:val="none" w:sz="0" w:space="0" w:color="auto"/>
        <w:right w:val="none" w:sz="0" w:space="0" w:color="auto"/>
      </w:divBdr>
    </w:div>
    <w:div w:id="1538620738">
      <w:bodyDiv w:val="1"/>
      <w:marLeft w:val="0"/>
      <w:marRight w:val="0"/>
      <w:marTop w:val="0"/>
      <w:marBottom w:val="0"/>
      <w:divBdr>
        <w:top w:val="none" w:sz="0" w:space="0" w:color="auto"/>
        <w:left w:val="none" w:sz="0" w:space="0" w:color="auto"/>
        <w:bottom w:val="none" w:sz="0" w:space="0" w:color="auto"/>
        <w:right w:val="none" w:sz="0" w:space="0" w:color="auto"/>
      </w:divBdr>
    </w:div>
    <w:div w:id="1539126905">
      <w:bodyDiv w:val="1"/>
      <w:marLeft w:val="0"/>
      <w:marRight w:val="0"/>
      <w:marTop w:val="0"/>
      <w:marBottom w:val="0"/>
      <w:divBdr>
        <w:top w:val="none" w:sz="0" w:space="0" w:color="auto"/>
        <w:left w:val="none" w:sz="0" w:space="0" w:color="auto"/>
        <w:bottom w:val="none" w:sz="0" w:space="0" w:color="auto"/>
        <w:right w:val="none" w:sz="0" w:space="0" w:color="auto"/>
      </w:divBdr>
    </w:div>
    <w:div w:id="1544636657">
      <w:bodyDiv w:val="1"/>
      <w:marLeft w:val="0"/>
      <w:marRight w:val="0"/>
      <w:marTop w:val="0"/>
      <w:marBottom w:val="0"/>
      <w:divBdr>
        <w:top w:val="none" w:sz="0" w:space="0" w:color="auto"/>
        <w:left w:val="none" w:sz="0" w:space="0" w:color="auto"/>
        <w:bottom w:val="none" w:sz="0" w:space="0" w:color="auto"/>
        <w:right w:val="none" w:sz="0" w:space="0" w:color="auto"/>
      </w:divBdr>
    </w:div>
    <w:div w:id="1547568155">
      <w:bodyDiv w:val="1"/>
      <w:marLeft w:val="0"/>
      <w:marRight w:val="0"/>
      <w:marTop w:val="0"/>
      <w:marBottom w:val="0"/>
      <w:divBdr>
        <w:top w:val="none" w:sz="0" w:space="0" w:color="auto"/>
        <w:left w:val="none" w:sz="0" w:space="0" w:color="auto"/>
        <w:bottom w:val="none" w:sz="0" w:space="0" w:color="auto"/>
        <w:right w:val="none" w:sz="0" w:space="0" w:color="auto"/>
      </w:divBdr>
    </w:div>
    <w:div w:id="1551113862">
      <w:bodyDiv w:val="1"/>
      <w:marLeft w:val="0"/>
      <w:marRight w:val="0"/>
      <w:marTop w:val="0"/>
      <w:marBottom w:val="0"/>
      <w:divBdr>
        <w:top w:val="none" w:sz="0" w:space="0" w:color="auto"/>
        <w:left w:val="none" w:sz="0" w:space="0" w:color="auto"/>
        <w:bottom w:val="none" w:sz="0" w:space="0" w:color="auto"/>
        <w:right w:val="none" w:sz="0" w:space="0" w:color="auto"/>
      </w:divBdr>
    </w:div>
    <w:div w:id="1551569636">
      <w:bodyDiv w:val="1"/>
      <w:marLeft w:val="0"/>
      <w:marRight w:val="0"/>
      <w:marTop w:val="0"/>
      <w:marBottom w:val="0"/>
      <w:divBdr>
        <w:top w:val="none" w:sz="0" w:space="0" w:color="auto"/>
        <w:left w:val="none" w:sz="0" w:space="0" w:color="auto"/>
        <w:bottom w:val="none" w:sz="0" w:space="0" w:color="auto"/>
        <w:right w:val="none" w:sz="0" w:space="0" w:color="auto"/>
      </w:divBdr>
    </w:div>
    <w:div w:id="1554392741">
      <w:bodyDiv w:val="1"/>
      <w:marLeft w:val="0"/>
      <w:marRight w:val="0"/>
      <w:marTop w:val="0"/>
      <w:marBottom w:val="0"/>
      <w:divBdr>
        <w:top w:val="none" w:sz="0" w:space="0" w:color="auto"/>
        <w:left w:val="none" w:sz="0" w:space="0" w:color="auto"/>
        <w:bottom w:val="none" w:sz="0" w:space="0" w:color="auto"/>
        <w:right w:val="none" w:sz="0" w:space="0" w:color="auto"/>
      </w:divBdr>
    </w:div>
    <w:div w:id="1554779531">
      <w:bodyDiv w:val="1"/>
      <w:marLeft w:val="0"/>
      <w:marRight w:val="0"/>
      <w:marTop w:val="0"/>
      <w:marBottom w:val="0"/>
      <w:divBdr>
        <w:top w:val="none" w:sz="0" w:space="0" w:color="auto"/>
        <w:left w:val="none" w:sz="0" w:space="0" w:color="auto"/>
        <w:bottom w:val="none" w:sz="0" w:space="0" w:color="auto"/>
        <w:right w:val="none" w:sz="0" w:space="0" w:color="auto"/>
      </w:divBdr>
    </w:div>
    <w:div w:id="1555701097">
      <w:bodyDiv w:val="1"/>
      <w:marLeft w:val="0"/>
      <w:marRight w:val="0"/>
      <w:marTop w:val="0"/>
      <w:marBottom w:val="0"/>
      <w:divBdr>
        <w:top w:val="none" w:sz="0" w:space="0" w:color="auto"/>
        <w:left w:val="none" w:sz="0" w:space="0" w:color="auto"/>
        <w:bottom w:val="none" w:sz="0" w:space="0" w:color="auto"/>
        <w:right w:val="none" w:sz="0" w:space="0" w:color="auto"/>
      </w:divBdr>
    </w:div>
    <w:div w:id="1562208683">
      <w:bodyDiv w:val="1"/>
      <w:marLeft w:val="0"/>
      <w:marRight w:val="0"/>
      <w:marTop w:val="0"/>
      <w:marBottom w:val="0"/>
      <w:divBdr>
        <w:top w:val="none" w:sz="0" w:space="0" w:color="auto"/>
        <w:left w:val="none" w:sz="0" w:space="0" w:color="auto"/>
        <w:bottom w:val="none" w:sz="0" w:space="0" w:color="auto"/>
        <w:right w:val="none" w:sz="0" w:space="0" w:color="auto"/>
      </w:divBdr>
    </w:div>
    <w:div w:id="1563176430">
      <w:bodyDiv w:val="1"/>
      <w:marLeft w:val="0"/>
      <w:marRight w:val="0"/>
      <w:marTop w:val="0"/>
      <w:marBottom w:val="0"/>
      <w:divBdr>
        <w:top w:val="none" w:sz="0" w:space="0" w:color="auto"/>
        <w:left w:val="none" w:sz="0" w:space="0" w:color="auto"/>
        <w:bottom w:val="none" w:sz="0" w:space="0" w:color="auto"/>
        <w:right w:val="none" w:sz="0" w:space="0" w:color="auto"/>
      </w:divBdr>
    </w:div>
    <w:div w:id="1563254534">
      <w:bodyDiv w:val="1"/>
      <w:marLeft w:val="0"/>
      <w:marRight w:val="0"/>
      <w:marTop w:val="0"/>
      <w:marBottom w:val="0"/>
      <w:divBdr>
        <w:top w:val="none" w:sz="0" w:space="0" w:color="auto"/>
        <w:left w:val="none" w:sz="0" w:space="0" w:color="auto"/>
        <w:bottom w:val="none" w:sz="0" w:space="0" w:color="auto"/>
        <w:right w:val="none" w:sz="0" w:space="0" w:color="auto"/>
      </w:divBdr>
    </w:div>
    <w:div w:id="1563831481">
      <w:bodyDiv w:val="1"/>
      <w:marLeft w:val="0"/>
      <w:marRight w:val="0"/>
      <w:marTop w:val="0"/>
      <w:marBottom w:val="0"/>
      <w:divBdr>
        <w:top w:val="none" w:sz="0" w:space="0" w:color="auto"/>
        <w:left w:val="none" w:sz="0" w:space="0" w:color="auto"/>
        <w:bottom w:val="none" w:sz="0" w:space="0" w:color="auto"/>
        <w:right w:val="none" w:sz="0" w:space="0" w:color="auto"/>
      </w:divBdr>
    </w:div>
    <w:div w:id="1566186402">
      <w:bodyDiv w:val="1"/>
      <w:marLeft w:val="0"/>
      <w:marRight w:val="0"/>
      <w:marTop w:val="0"/>
      <w:marBottom w:val="0"/>
      <w:divBdr>
        <w:top w:val="none" w:sz="0" w:space="0" w:color="auto"/>
        <w:left w:val="none" w:sz="0" w:space="0" w:color="auto"/>
        <w:bottom w:val="none" w:sz="0" w:space="0" w:color="auto"/>
        <w:right w:val="none" w:sz="0" w:space="0" w:color="auto"/>
      </w:divBdr>
    </w:div>
    <w:div w:id="1576892185">
      <w:bodyDiv w:val="1"/>
      <w:marLeft w:val="0"/>
      <w:marRight w:val="0"/>
      <w:marTop w:val="0"/>
      <w:marBottom w:val="0"/>
      <w:divBdr>
        <w:top w:val="none" w:sz="0" w:space="0" w:color="auto"/>
        <w:left w:val="none" w:sz="0" w:space="0" w:color="auto"/>
        <w:bottom w:val="none" w:sz="0" w:space="0" w:color="auto"/>
        <w:right w:val="none" w:sz="0" w:space="0" w:color="auto"/>
      </w:divBdr>
    </w:div>
    <w:div w:id="1579438259">
      <w:bodyDiv w:val="1"/>
      <w:marLeft w:val="0"/>
      <w:marRight w:val="0"/>
      <w:marTop w:val="0"/>
      <w:marBottom w:val="0"/>
      <w:divBdr>
        <w:top w:val="none" w:sz="0" w:space="0" w:color="auto"/>
        <w:left w:val="none" w:sz="0" w:space="0" w:color="auto"/>
        <w:bottom w:val="none" w:sz="0" w:space="0" w:color="auto"/>
        <w:right w:val="none" w:sz="0" w:space="0" w:color="auto"/>
      </w:divBdr>
    </w:div>
    <w:div w:id="1580478136">
      <w:bodyDiv w:val="1"/>
      <w:marLeft w:val="0"/>
      <w:marRight w:val="0"/>
      <w:marTop w:val="0"/>
      <w:marBottom w:val="0"/>
      <w:divBdr>
        <w:top w:val="none" w:sz="0" w:space="0" w:color="auto"/>
        <w:left w:val="none" w:sz="0" w:space="0" w:color="auto"/>
        <w:bottom w:val="none" w:sz="0" w:space="0" w:color="auto"/>
        <w:right w:val="none" w:sz="0" w:space="0" w:color="auto"/>
      </w:divBdr>
    </w:div>
    <w:div w:id="1586766552">
      <w:bodyDiv w:val="1"/>
      <w:marLeft w:val="0"/>
      <w:marRight w:val="0"/>
      <w:marTop w:val="0"/>
      <w:marBottom w:val="0"/>
      <w:divBdr>
        <w:top w:val="none" w:sz="0" w:space="0" w:color="auto"/>
        <w:left w:val="none" w:sz="0" w:space="0" w:color="auto"/>
        <w:bottom w:val="none" w:sz="0" w:space="0" w:color="auto"/>
        <w:right w:val="none" w:sz="0" w:space="0" w:color="auto"/>
      </w:divBdr>
    </w:div>
    <w:div w:id="1590232371">
      <w:bodyDiv w:val="1"/>
      <w:marLeft w:val="0"/>
      <w:marRight w:val="0"/>
      <w:marTop w:val="0"/>
      <w:marBottom w:val="0"/>
      <w:divBdr>
        <w:top w:val="none" w:sz="0" w:space="0" w:color="auto"/>
        <w:left w:val="none" w:sz="0" w:space="0" w:color="auto"/>
        <w:bottom w:val="none" w:sz="0" w:space="0" w:color="auto"/>
        <w:right w:val="none" w:sz="0" w:space="0" w:color="auto"/>
      </w:divBdr>
    </w:div>
    <w:div w:id="1591115311">
      <w:bodyDiv w:val="1"/>
      <w:marLeft w:val="0"/>
      <w:marRight w:val="0"/>
      <w:marTop w:val="0"/>
      <w:marBottom w:val="0"/>
      <w:divBdr>
        <w:top w:val="none" w:sz="0" w:space="0" w:color="auto"/>
        <w:left w:val="none" w:sz="0" w:space="0" w:color="auto"/>
        <w:bottom w:val="none" w:sz="0" w:space="0" w:color="auto"/>
        <w:right w:val="none" w:sz="0" w:space="0" w:color="auto"/>
      </w:divBdr>
    </w:div>
    <w:div w:id="1595016852">
      <w:bodyDiv w:val="1"/>
      <w:marLeft w:val="0"/>
      <w:marRight w:val="0"/>
      <w:marTop w:val="0"/>
      <w:marBottom w:val="0"/>
      <w:divBdr>
        <w:top w:val="none" w:sz="0" w:space="0" w:color="auto"/>
        <w:left w:val="none" w:sz="0" w:space="0" w:color="auto"/>
        <w:bottom w:val="none" w:sz="0" w:space="0" w:color="auto"/>
        <w:right w:val="none" w:sz="0" w:space="0" w:color="auto"/>
      </w:divBdr>
    </w:div>
    <w:div w:id="1597668193">
      <w:bodyDiv w:val="1"/>
      <w:marLeft w:val="0"/>
      <w:marRight w:val="0"/>
      <w:marTop w:val="0"/>
      <w:marBottom w:val="0"/>
      <w:divBdr>
        <w:top w:val="none" w:sz="0" w:space="0" w:color="auto"/>
        <w:left w:val="none" w:sz="0" w:space="0" w:color="auto"/>
        <w:bottom w:val="none" w:sz="0" w:space="0" w:color="auto"/>
        <w:right w:val="none" w:sz="0" w:space="0" w:color="auto"/>
      </w:divBdr>
    </w:div>
    <w:div w:id="1601064886">
      <w:bodyDiv w:val="1"/>
      <w:marLeft w:val="0"/>
      <w:marRight w:val="0"/>
      <w:marTop w:val="0"/>
      <w:marBottom w:val="0"/>
      <w:divBdr>
        <w:top w:val="none" w:sz="0" w:space="0" w:color="auto"/>
        <w:left w:val="none" w:sz="0" w:space="0" w:color="auto"/>
        <w:bottom w:val="none" w:sz="0" w:space="0" w:color="auto"/>
        <w:right w:val="none" w:sz="0" w:space="0" w:color="auto"/>
      </w:divBdr>
    </w:div>
    <w:div w:id="1609003022">
      <w:bodyDiv w:val="1"/>
      <w:marLeft w:val="0"/>
      <w:marRight w:val="0"/>
      <w:marTop w:val="0"/>
      <w:marBottom w:val="0"/>
      <w:divBdr>
        <w:top w:val="none" w:sz="0" w:space="0" w:color="auto"/>
        <w:left w:val="none" w:sz="0" w:space="0" w:color="auto"/>
        <w:bottom w:val="none" w:sz="0" w:space="0" w:color="auto"/>
        <w:right w:val="none" w:sz="0" w:space="0" w:color="auto"/>
      </w:divBdr>
    </w:div>
    <w:div w:id="1610700306">
      <w:bodyDiv w:val="1"/>
      <w:marLeft w:val="0"/>
      <w:marRight w:val="0"/>
      <w:marTop w:val="0"/>
      <w:marBottom w:val="0"/>
      <w:divBdr>
        <w:top w:val="none" w:sz="0" w:space="0" w:color="auto"/>
        <w:left w:val="none" w:sz="0" w:space="0" w:color="auto"/>
        <w:bottom w:val="none" w:sz="0" w:space="0" w:color="auto"/>
        <w:right w:val="none" w:sz="0" w:space="0" w:color="auto"/>
      </w:divBdr>
    </w:div>
    <w:div w:id="1611666319">
      <w:bodyDiv w:val="1"/>
      <w:marLeft w:val="0"/>
      <w:marRight w:val="0"/>
      <w:marTop w:val="0"/>
      <w:marBottom w:val="0"/>
      <w:divBdr>
        <w:top w:val="none" w:sz="0" w:space="0" w:color="auto"/>
        <w:left w:val="none" w:sz="0" w:space="0" w:color="auto"/>
        <w:bottom w:val="none" w:sz="0" w:space="0" w:color="auto"/>
        <w:right w:val="none" w:sz="0" w:space="0" w:color="auto"/>
      </w:divBdr>
    </w:div>
    <w:div w:id="1617784975">
      <w:bodyDiv w:val="1"/>
      <w:marLeft w:val="0"/>
      <w:marRight w:val="0"/>
      <w:marTop w:val="0"/>
      <w:marBottom w:val="0"/>
      <w:divBdr>
        <w:top w:val="none" w:sz="0" w:space="0" w:color="auto"/>
        <w:left w:val="none" w:sz="0" w:space="0" w:color="auto"/>
        <w:bottom w:val="none" w:sz="0" w:space="0" w:color="auto"/>
        <w:right w:val="none" w:sz="0" w:space="0" w:color="auto"/>
      </w:divBdr>
    </w:div>
    <w:div w:id="1621181247">
      <w:bodyDiv w:val="1"/>
      <w:marLeft w:val="0"/>
      <w:marRight w:val="0"/>
      <w:marTop w:val="0"/>
      <w:marBottom w:val="0"/>
      <w:divBdr>
        <w:top w:val="none" w:sz="0" w:space="0" w:color="auto"/>
        <w:left w:val="none" w:sz="0" w:space="0" w:color="auto"/>
        <w:bottom w:val="none" w:sz="0" w:space="0" w:color="auto"/>
        <w:right w:val="none" w:sz="0" w:space="0" w:color="auto"/>
      </w:divBdr>
    </w:div>
    <w:div w:id="1624119480">
      <w:bodyDiv w:val="1"/>
      <w:marLeft w:val="0"/>
      <w:marRight w:val="0"/>
      <w:marTop w:val="0"/>
      <w:marBottom w:val="0"/>
      <w:divBdr>
        <w:top w:val="none" w:sz="0" w:space="0" w:color="auto"/>
        <w:left w:val="none" w:sz="0" w:space="0" w:color="auto"/>
        <w:bottom w:val="none" w:sz="0" w:space="0" w:color="auto"/>
        <w:right w:val="none" w:sz="0" w:space="0" w:color="auto"/>
      </w:divBdr>
    </w:div>
    <w:div w:id="1628319018">
      <w:bodyDiv w:val="1"/>
      <w:marLeft w:val="0"/>
      <w:marRight w:val="0"/>
      <w:marTop w:val="0"/>
      <w:marBottom w:val="0"/>
      <w:divBdr>
        <w:top w:val="none" w:sz="0" w:space="0" w:color="auto"/>
        <w:left w:val="none" w:sz="0" w:space="0" w:color="auto"/>
        <w:bottom w:val="none" w:sz="0" w:space="0" w:color="auto"/>
        <w:right w:val="none" w:sz="0" w:space="0" w:color="auto"/>
      </w:divBdr>
    </w:div>
    <w:div w:id="1632444323">
      <w:bodyDiv w:val="1"/>
      <w:marLeft w:val="0"/>
      <w:marRight w:val="0"/>
      <w:marTop w:val="0"/>
      <w:marBottom w:val="0"/>
      <w:divBdr>
        <w:top w:val="none" w:sz="0" w:space="0" w:color="auto"/>
        <w:left w:val="none" w:sz="0" w:space="0" w:color="auto"/>
        <w:bottom w:val="none" w:sz="0" w:space="0" w:color="auto"/>
        <w:right w:val="none" w:sz="0" w:space="0" w:color="auto"/>
      </w:divBdr>
    </w:div>
    <w:div w:id="1635481748">
      <w:bodyDiv w:val="1"/>
      <w:marLeft w:val="0"/>
      <w:marRight w:val="0"/>
      <w:marTop w:val="0"/>
      <w:marBottom w:val="0"/>
      <w:divBdr>
        <w:top w:val="none" w:sz="0" w:space="0" w:color="auto"/>
        <w:left w:val="none" w:sz="0" w:space="0" w:color="auto"/>
        <w:bottom w:val="none" w:sz="0" w:space="0" w:color="auto"/>
        <w:right w:val="none" w:sz="0" w:space="0" w:color="auto"/>
      </w:divBdr>
    </w:div>
    <w:div w:id="1635521044">
      <w:bodyDiv w:val="1"/>
      <w:marLeft w:val="0"/>
      <w:marRight w:val="0"/>
      <w:marTop w:val="0"/>
      <w:marBottom w:val="0"/>
      <w:divBdr>
        <w:top w:val="none" w:sz="0" w:space="0" w:color="auto"/>
        <w:left w:val="none" w:sz="0" w:space="0" w:color="auto"/>
        <w:bottom w:val="none" w:sz="0" w:space="0" w:color="auto"/>
        <w:right w:val="none" w:sz="0" w:space="0" w:color="auto"/>
      </w:divBdr>
    </w:div>
    <w:div w:id="1639336922">
      <w:bodyDiv w:val="1"/>
      <w:marLeft w:val="0"/>
      <w:marRight w:val="0"/>
      <w:marTop w:val="0"/>
      <w:marBottom w:val="0"/>
      <w:divBdr>
        <w:top w:val="none" w:sz="0" w:space="0" w:color="auto"/>
        <w:left w:val="none" w:sz="0" w:space="0" w:color="auto"/>
        <w:bottom w:val="none" w:sz="0" w:space="0" w:color="auto"/>
        <w:right w:val="none" w:sz="0" w:space="0" w:color="auto"/>
      </w:divBdr>
    </w:div>
    <w:div w:id="1648315245">
      <w:bodyDiv w:val="1"/>
      <w:marLeft w:val="0"/>
      <w:marRight w:val="0"/>
      <w:marTop w:val="0"/>
      <w:marBottom w:val="0"/>
      <w:divBdr>
        <w:top w:val="none" w:sz="0" w:space="0" w:color="auto"/>
        <w:left w:val="none" w:sz="0" w:space="0" w:color="auto"/>
        <w:bottom w:val="none" w:sz="0" w:space="0" w:color="auto"/>
        <w:right w:val="none" w:sz="0" w:space="0" w:color="auto"/>
      </w:divBdr>
    </w:div>
    <w:div w:id="1652904329">
      <w:bodyDiv w:val="1"/>
      <w:marLeft w:val="0"/>
      <w:marRight w:val="0"/>
      <w:marTop w:val="0"/>
      <w:marBottom w:val="0"/>
      <w:divBdr>
        <w:top w:val="none" w:sz="0" w:space="0" w:color="auto"/>
        <w:left w:val="none" w:sz="0" w:space="0" w:color="auto"/>
        <w:bottom w:val="none" w:sz="0" w:space="0" w:color="auto"/>
        <w:right w:val="none" w:sz="0" w:space="0" w:color="auto"/>
      </w:divBdr>
    </w:div>
    <w:div w:id="1658411968">
      <w:bodyDiv w:val="1"/>
      <w:marLeft w:val="0"/>
      <w:marRight w:val="0"/>
      <w:marTop w:val="0"/>
      <w:marBottom w:val="0"/>
      <w:divBdr>
        <w:top w:val="none" w:sz="0" w:space="0" w:color="auto"/>
        <w:left w:val="none" w:sz="0" w:space="0" w:color="auto"/>
        <w:bottom w:val="none" w:sz="0" w:space="0" w:color="auto"/>
        <w:right w:val="none" w:sz="0" w:space="0" w:color="auto"/>
      </w:divBdr>
    </w:div>
    <w:div w:id="1661731183">
      <w:bodyDiv w:val="1"/>
      <w:marLeft w:val="0"/>
      <w:marRight w:val="0"/>
      <w:marTop w:val="0"/>
      <w:marBottom w:val="0"/>
      <w:divBdr>
        <w:top w:val="none" w:sz="0" w:space="0" w:color="auto"/>
        <w:left w:val="none" w:sz="0" w:space="0" w:color="auto"/>
        <w:bottom w:val="none" w:sz="0" w:space="0" w:color="auto"/>
        <w:right w:val="none" w:sz="0" w:space="0" w:color="auto"/>
      </w:divBdr>
    </w:div>
    <w:div w:id="1666126860">
      <w:bodyDiv w:val="1"/>
      <w:marLeft w:val="0"/>
      <w:marRight w:val="0"/>
      <w:marTop w:val="0"/>
      <w:marBottom w:val="0"/>
      <w:divBdr>
        <w:top w:val="none" w:sz="0" w:space="0" w:color="auto"/>
        <w:left w:val="none" w:sz="0" w:space="0" w:color="auto"/>
        <w:bottom w:val="none" w:sz="0" w:space="0" w:color="auto"/>
        <w:right w:val="none" w:sz="0" w:space="0" w:color="auto"/>
      </w:divBdr>
    </w:div>
    <w:div w:id="1667584661">
      <w:bodyDiv w:val="1"/>
      <w:marLeft w:val="0"/>
      <w:marRight w:val="0"/>
      <w:marTop w:val="0"/>
      <w:marBottom w:val="0"/>
      <w:divBdr>
        <w:top w:val="none" w:sz="0" w:space="0" w:color="auto"/>
        <w:left w:val="none" w:sz="0" w:space="0" w:color="auto"/>
        <w:bottom w:val="none" w:sz="0" w:space="0" w:color="auto"/>
        <w:right w:val="none" w:sz="0" w:space="0" w:color="auto"/>
      </w:divBdr>
    </w:div>
    <w:div w:id="1668091282">
      <w:bodyDiv w:val="1"/>
      <w:marLeft w:val="0"/>
      <w:marRight w:val="0"/>
      <w:marTop w:val="0"/>
      <w:marBottom w:val="0"/>
      <w:divBdr>
        <w:top w:val="none" w:sz="0" w:space="0" w:color="auto"/>
        <w:left w:val="none" w:sz="0" w:space="0" w:color="auto"/>
        <w:bottom w:val="none" w:sz="0" w:space="0" w:color="auto"/>
        <w:right w:val="none" w:sz="0" w:space="0" w:color="auto"/>
      </w:divBdr>
    </w:div>
    <w:div w:id="1671365576">
      <w:bodyDiv w:val="1"/>
      <w:marLeft w:val="0"/>
      <w:marRight w:val="0"/>
      <w:marTop w:val="0"/>
      <w:marBottom w:val="0"/>
      <w:divBdr>
        <w:top w:val="none" w:sz="0" w:space="0" w:color="auto"/>
        <w:left w:val="none" w:sz="0" w:space="0" w:color="auto"/>
        <w:bottom w:val="none" w:sz="0" w:space="0" w:color="auto"/>
        <w:right w:val="none" w:sz="0" w:space="0" w:color="auto"/>
      </w:divBdr>
    </w:div>
    <w:div w:id="1675575071">
      <w:bodyDiv w:val="1"/>
      <w:marLeft w:val="0"/>
      <w:marRight w:val="0"/>
      <w:marTop w:val="0"/>
      <w:marBottom w:val="0"/>
      <w:divBdr>
        <w:top w:val="none" w:sz="0" w:space="0" w:color="auto"/>
        <w:left w:val="none" w:sz="0" w:space="0" w:color="auto"/>
        <w:bottom w:val="none" w:sz="0" w:space="0" w:color="auto"/>
        <w:right w:val="none" w:sz="0" w:space="0" w:color="auto"/>
      </w:divBdr>
    </w:div>
    <w:div w:id="1676106437">
      <w:bodyDiv w:val="1"/>
      <w:marLeft w:val="0"/>
      <w:marRight w:val="0"/>
      <w:marTop w:val="0"/>
      <w:marBottom w:val="0"/>
      <w:divBdr>
        <w:top w:val="none" w:sz="0" w:space="0" w:color="auto"/>
        <w:left w:val="none" w:sz="0" w:space="0" w:color="auto"/>
        <w:bottom w:val="none" w:sz="0" w:space="0" w:color="auto"/>
        <w:right w:val="none" w:sz="0" w:space="0" w:color="auto"/>
      </w:divBdr>
    </w:div>
    <w:div w:id="1676683842">
      <w:bodyDiv w:val="1"/>
      <w:marLeft w:val="0"/>
      <w:marRight w:val="0"/>
      <w:marTop w:val="0"/>
      <w:marBottom w:val="0"/>
      <w:divBdr>
        <w:top w:val="none" w:sz="0" w:space="0" w:color="auto"/>
        <w:left w:val="none" w:sz="0" w:space="0" w:color="auto"/>
        <w:bottom w:val="none" w:sz="0" w:space="0" w:color="auto"/>
        <w:right w:val="none" w:sz="0" w:space="0" w:color="auto"/>
      </w:divBdr>
    </w:div>
    <w:div w:id="1677153633">
      <w:bodyDiv w:val="1"/>
      <w:marLeft w:val="0"/>
      <w:marRight w:val="0"/>
      <w:marTop w:val="0"/>
      <w:marBottom w:val="0"/>
      <w:divBdr>
        <w:top w:val="none" w:sz="0" w:space="0" w:color="auto"/>
        <w:left w:val="none" w:sz="0" w:space="0" w:color="auto"/>
        <w:bottom w:val="none" w:sz="0" w:space="0" w:color="auto"/>
        <w:right w:val="none" w:sz="0" w:space="0" w:color="auto"/>
      </w:divBdr>
    </w:div>
    <w:div w:id="1679427978">
      <w:bodyDiv w:val="1"/>
      <w:marLeft w:val="0"/>
      <w:marRight w:val="0"/>
      <w:marTop w:val="0"/>
      <w:marBottom w:val="0"/>
      <w:divBdr>
        <w:top w:val="none" w:sz="0" w:space="0" w:color="auto"/>
        <w:left w:val="none" w:sz="0" w:space="0" w:color="auto"/>
        <w:bottom w:val="none" w:sz="0" w:space="0" w:color="auto"/>
        <w:right w:val="none" w:sz="0" w:space="0" w:color="auto"/>
      </w:divBdr>
    </w:div>
    <w:div w:id="1685354966">
      <w:bodyDiv w:val="1"/>
      <w:marLeft w:val="0"/>
      <w:marRight w:val="0"/>
      <w:marTop w:val="0"/>
      <w:marBottom w:val="0"/>
      <w:divBdr>
        <w:top w:val="none" w:sz="0" w:space="0" w:color="auto"/>
        <w:left w:val="none" w:sz="0" w:space="0" w:color="auto"/>
        <w:bottom w:val="none" w:sz="0" w:space="0" w:color="auto"/>
        <w:right w:val="none" w:sz="0" w:space="0" w:color="auto"/>
      </w:divBdr>
    </w:div>
    <w:div w:id="1686899831">
      <w:bodyDiv w:val="1"/>
      <w:marLeft w:val="0"/>
      <w:marRight w:val="0"/>
      <w:marTop w:val="0"/>
      <w:marBottom w:val="0"/>
      <w:divBdr>
        <w:top w:val="none" w:sz="0" w:space="0" w:color="auto"/>
        <w:left w:val="none" w:sz="0" w:space="0" w:color="auto"/>
        <w:bottom w:val="none" w:sz="0" w:space="0" w:color="auto"/>
        <w:right w:val="none" w:sz="0" w:space="0" w:color="auto"/>
      </w:divBdr>
    </w:div>
    <w:div w:id="1687176160">
      <w:bodyDiv w:val="1"/>
      <w:marLeft w:val="0"/>
      <w:marRight w:val="0"/>
      <w:marTop w:val="0"/>
      <w:marBottom w:val="0"/>
      <w:divBdr>
        <w:top w:val="none" w:sz="0" w:space="0" w:color="auto"/>
        <w:left w:val="none" w:sz="0" w:space="0" w:color="auto"/>
        <w:bottom w:val="none" w:sz="0" w:space="0" w:color="auto"/>
        <w:right w:val="none" w:sz="0" w:space="0" w:color="auto"/>
      </w:divBdr>
    </w:div>
    <w:div w:id="1687362258">
      <w:bodyDiv w:val="1"/>
      <w:marLeft w:val="0"/>
      <w:marRight w:val="0"/>
      <w:marTop w:val="0"/>
      <w:marBottom w:val="0"/>
      <w:divBdr>
        <w:top w:val="none" w:sz="0" w:space="0" w:color="auto"/>
        <w:left w:val="none" w:sz="0" w:space="0" w:color="auto"/>
        <w:bottom w:val="none" w:sz="0" w:space="0" w:color="auto"/>
        <w:right w:val="none" w:sz="0" w:space="0" w:color="auto"/>
      </w:divBdr>
    </w:div>
    <w:div w:id="1689524776">
      <w:bodyDiv w:val="1"/>
      <w:marLeft w:val="0"/>
      <w:marRight w:val="0"/>
      <w:marTop w:val="0"/>
      <w:marBottom w:val="0"/>
      <w:divBdr>
        <w:top w:val="none" w:sz="0" w:space="0" w:color="auto"/>
        <w:left w:val="none" w:sz="0" w:space="0" w:color="auto"/>
        <w:bottom w:val="none" w:sz="0" w:space="0" w:color="auto"/>
        <w:right w:val="none" w:sz="0" w:space="0" w:color="auto"/>
      </w:divBdr>
    </w:div>
    <w:div w:id="1690715546">
      <w:bodyDiv w:val="1"/>
      <w:marLeft w:val="0"/>
      <w:marRight w:val="0"/>
      <w:marTop w:val="0"/>
      <w:marBottom w:val="0"/>
      <w:divBdr>
        <w:top w:val="none" w:sz="0" w:space="0" w:color="auto"/>
        <w:left w:val="none" w:sz="0" w:space="0" w:color="auto"/>
        <w:bottom w:val="none" w:sz="0" w:space="0" w:color="auto"/>
        <w:right w:val="none" w:sz="0" w:space="0" w:color="auto"/>
      </w:divBdr>
    </w:div>
    <w:div w:id="1691450688">
      <w:bodyDiv w:val="1"/>
      <w:marLeft w:val="0"/>
      <w:marRight w:val="0"/>
      <w:marTop w:val="0"/>
      <w:marBottom w:val="0"/>
      <w:divBdr>
        <w:top w:val="none" w:sz="0" w:space="0" w:color="auto"/>
        <w:left w:val="none" w:sz="0" w:space="0" w:color="auto"/>
        <w:bottom w:val="none" w:sz="0" w:space="0" w:color="auto"/>
        <w:right w:val="none" w:sz="0" w:space="0" w:color="auto"/>
      </w:divBdr>
    </w:div>
    <w:div w:id="1692951289">
      <w:bodyDiv w:val="1"/>
      <w:marLeft w:val="0"/>
      <w:marRight w:val="0"/>
      <w:marTop w:val="0"/>
      <w:marBottom w:val="0"/>
      <w:divBdr>
        <w:top w:val="none" w:sz="0" w:space="0" w:color="auto"/>
        <w:left w:val="none" w:sz="0" w:space="0" w:color="auto"/>
        <w:bottom w:val="none" w:sz="0" w:space="0" w:color="auto"/>
        <w:right w:val="none" w:sz="0" w:space="0" w:color="auto"/>
      </w:divBdr>
    </w:div>
    <w:div w:id="1696077405">
      <w:bodyDiv w:val="1"/>
      <w:marLeft w:val="0"/>
      <w:marRight w:val="0"/>
      <w:marTop w:val="0"/>
      <w:marBottom w:val="0"/>
      <w:divBdr>
        <w:top w:val="none" w:sz="0" w:space="0" w:color="auto"/>
        <w:left w:val="none" w:sz="0" w:space="0" w:color="auto"/>
        <w:bottom w:val="none" w:sz="0" w:space="0" w:color="auto"/>
        <w:right w:val="none" w:sz="0" w:space="0" w:color="auto"/>
      </w:divBdr>
    </w:div>
    <w:div w:id="1698432166">
      <w:bodyDiv w:val="1"/>
      <w:marLeft w:val="0"/>
      <w:marRight w:val="0"/>
      <w:marTop w:val="0"/>
      <w:marBottom w:val="0"/>
      <w:divBdr>
        <w:top w:val="none" w:sz="0" w:space="0" w:color="auto"/>
        <w:left w:val="none" w:sz="0" w:space="0" w:color="auto"/>
        <w:bottom w:val="none" w:sz="0" w:space="0" w:color="auto"/>
        <w:right w:val="none" w:sz="0" w:space="0" w:color="auto"/>
      </w:divBdr>
    </w:div>
    <w:div w:id="1698962319">
      <w:bodyDiv w:val="1"/>
      <w:marLeft w:val="0"/>
      <w:marRight w:val="0"/>
      <w:marTop w:val="0"/>
      <w:marBottom w:val="0"/>
      <w:divBdr>
        <w:top w:val="none" w:sz="0" w:space="0" w:color="auto"/>
        <w:left w:val="none" w:sz="0" w:space="0" w:color="auto"/>
        <w:bottom w:val="none" w:sz="0" w:space="0" w:color="auto"/>
        <w:right w:val="none" w:sz="0" w:space="0" w:color="auto"/>
      </w:divBdr>
    </w:div>
    <w:div w:id="1704207942">
      <w:bodyDiv w:val="1"/>
      <w:marLeft w:val="0"/>
      <w:marRight w:val="0"/>
      <w:marTop w:val="0"/>
      <w:marBottom w:val="0"/>
      <w:divBdr>
        <w:top w:val="none" w:sz="0" w:space="0" w:color="auto"/>
        <w:left w:val="none" w:sz="0" w:space="0" w:color="auto"/>
        <w:bottom w:val="none" w:sz="0" w:space="0" w:color="auto"/>
        <w:right w:val="none" w:sz="0" w:space="0" w:color="auto"/>
      </w:divBdr>
    </w:div>
    <w:div w:id="1704407198">
      <w:bodyDiv w:val="1"/>
      <w:marLeft w:val="0"/>
      <w:marRight w:val="0"/>
      <w:marTop w:val="0"/>
      <w:marBottom w:val="0"/>
      <w:divBdr>
        <w:top w:val="none" w:sz="0" w:space="0" w:color="auto"/>
        <w:left w:val="none" w:sz="0" w:space="0" w:color="auto"/>
        <w:bottom w:val="none" w:sz="0" w:space="0" w:color="auto"/>
        <w:right w:val="none" w:sz="0" w:space="0" w:color="auto"/>
      </w:divBdr>
    </w:div>
    <w:div w:id="1705790897">
      <w:bodyDiv w:val="1"/>
      <w:marLeft w:val="0"/>
      <w:marRight w:val="0"/>
      <w:marTop w:val="0"/>
      <w:marBottom w:val="0"/>
      <w:divBdr>
        <w:top w:val="none" w:sz="0" w:space="0" w:color="auto"/>
        <w:left w:val="none" w:sz="0" w:space="0" w:color="auto"/>
        <w:bottom w:val="none" w:sz="0" w:space="0" w:color="auto"/>
        <w:right w:val="none" w:sz="0" w:space="0" w:color="auto"/>
      </w:divBdr>
    </w:div>
    <w:div w:id="1706755904">
      <w:bodyDiv w:val="1"/>
      <w:marLeft w:val="0"/>
      <w:marRight w:val="0"/>
      <w:marTop w:val="0"/>
      <w:marBottom w:val="0"/>
      <w:divBdr>
        <w:top w:val="none" w:sz="0" w:space="0" w:color="auto"/>
        <w:left w:val="none" w:sz="0" w:space="0" w:color="auto"/>
        <w:bottom w:val="none" w:sz="0" w:space="0" w:color="auto"/>
        <w:right w:val="none" w:sz="0" w:space="0" w:color="auto"/>
      </w:divBdr>
    </w:div>
    <w:div w:id="1710952062">
      <w:bodyDiv w:val="1"/>
      <w:marLeft w:val="0"/>
      <w:marRight w:val="0"/>
      <w:marTop w:val="0"/>
      <w:marBottom w:val="0"/>
      <w:divBdr>
        <w:top w:val="none" w:sz="0" w:space="0" w:color="auto"/>
        <w:left w:val="none" w:sz="0" w:space="0" w:color="auto"/>
        <w:bottom w:val="none" w:sz="0" w:space="0" w:color="auto"/>
        <w:right w:val="none" w:sz="0" w:space="0" w:color="auto"/>
      </w:divBdr>
    </w:div>
    <w:div w:id="1712919556">
      <w:bodyDiv w:val="1"/>
      <w:marLeft w:val="0"/>
      <w:marRight w:val="0"/>
      <w:marTop w:val="0"/>
      <w:marBottom w:val="0"/>
      <w:divBdr>
        <w:top w:val="none" w:sz="0" w:space="0" w:color="auto"/>
        <w:left w:val="none" w:sz="0" w:space="0" w:color="auto"/>
        <w:bottom w:val="none" w:sz="0" w:space="0" w:color="auto"/>
        <w:right w:val="none" w:sz="0" w:space="0" w:color="auto"/>
      </w:divBdr>
    </w:div>
    <w:div w:id="1713841701">
      <w:bodyDiv w:val="1"/>
      <w:marLeft w:val="0"/>
      <w:marRight w:val="0"/>
      <w:marTop w:val="0"/>
      <w:marBottom w:val="0"/>
      <w:divBdr>
        <w:top w:val="none" w:sz="0" w:space="0" w:color="auto"/>
        <w:left w:val="none" w:sz="0" w:space="0" w:color="auto"/>
        <w:bottom w:val="none" w:sz="0" w:space="0" w:color="auto"/>
        <w:right w:val="none" w:sz="0" w:space="0" w:color="auto"/>
      </w:divBdr>
    </w:div>
    <w:div w:id="1716394712">
      <w:bodyDiv w:val="1"/>
      <w:marLeft w:val="0"/>
      <w:marRight w:val="0"/>
      <w:marTop w:val="0"/>
      <w:marBottom w:val="0"/>
      <w:divBdr>
        <w:top w:val="none" w:sz="0" w:space="0" w:color="auto"/>
        <w:left w:val="none" w:sz="0" w:space="0" w:color="auto"/>
        <w:bottom w:val="none" w:sz="0" w:space="0" w:color="auto"/>
        <w:right w:val="none" w:sz="0" w:space="0" w:color="auto"/>
      </w:divBdr>
    </w:div>
    <w:div w:id="1719352348">
      <w:bodyDiv w:val="1"/>
      <w:marLeft w:val="0"/>
      <w:marRight w:val="0"/>
      <w:marTop w:val="0"/>
      <w:marBottom w:val="0"/>
      <w:divBdr>
        <w:top w:val="none" w:sz="0" w:space="0" w:color="auto"/>
        <w:left w:val="none" w:sz="0" w:space="0" w:color="auto"/>
        <w:bottom w:val="none" w:sz="0" w:space="0" w:color="auto"/>
        <w:right w:val="none" w:sz="0" w:space="0" w:color="auto"/>
      </w:divBdr>
    </w:div>
    <w:div w:id="1721898684">
      <w:bodyDiv w:val="1"/>
      <w:marLeft w:val="0"/>
      <w:marRight w:val="0"/>
      <w:marTop w:val="0"/>
      <w:marBottom w:val="0"/>
      <w:divBdr>
        <w:top w:val="none" w:sz="0" w:space="0" w:color="auto"/>
        <w:left w:val="none" w:sz="0" w:space="0" w:color="auto"/>
        <w:bottom w:val="none" w:sz="0" w:space="0" w:color="auto"/>
        <w:right w:val="none" w:sz="0" w:space="0" w:color="auto"/>
      </w:divBdr>
    </w:div>
    <w:div w:id="1723555755">
      <w:bodyDiv w:val="1"/>
      <w:marLeft w:val="0"/>
      <w:marRight w:val="0"/>
      <w:marTop w:val="0"/>
      <w:marBottom w:val="0"/>
      <w:divBdr>
        <w:top w:val="none" w:sz="0" w:space="0" w:color="auto"/>
        <w:left w:val="none" w:sz="0" w:space="0" w:color="auto"/>
        <w:bottom w:val="none" w:sz="0" w:space="0" w:color="auto"/>
        <w:right w:val="none" w:sz="0" w:space="0" w:color="auto"/>
      </w:divBdr>
    </w:div>
    <w:div w:id="1724786934">
      <w:bodyDiv w:val="1"/>
      <w:marLeft w:val="0"/>
      <w:marRight w:val="0"/>
      <w:marTop w:val="0"/>
      <w:marBottom w:val="0"/>
      <w:divBdr>
        <w:top w:val="none" w:sz="0" w:space="0" w:color="auto"/>
        <w:left w:val="none" w:sz="0" w:space="0" w:color="auto"/>
        <w:bottom w:val="none" w:sz="0" w:space="0" w:color="auto"/>
        <w:right w:val="none" w:sz="0" w:space="0" w:color="auto"/>
      </w:divBdr>
    </w:div>
    <w:div w:id="1725524192">
      <w:bodyDiv w:val="1"/>
      <w:marLeft w:val="0"/>
      <w:marRight w:val="0"/>
      <w:marTop w:val="0"/>
      <w:marBottom w:val="0"/>
      <w:divBdr>
        <w:top w:val="none" w:sz="0" w:space="0" w:color="auto"/>
        <w:left w:val="none" w:sz="0" w:space="0" w:color="auto"/>
        <w:bottom w:val="none" w:sz="0" w:space="0" w:color="auto"/>
        <w:right w:val="none" w:sz="0" w:space="0" w:color="auto"/>
      </w:divBdr>
    </w:div>
    <w:div w:id="1726294590">
      <w:bodyDiv w:val="1"/>
      <w:marLeft w:val="0"/>
      <w:marRight w:val="0"/>
      <w:marTop w:val="0"/>
      <w:marBottom w:val="0"/>
      <w:divBdr>
        <w:top w:val="none" w:sz="0" w:space="0" w:color="auto"/>
        <w:left w:val="none" w:sz="0" w:space="0" w:color="auto"/>
        <w:bottom w:val="none" w:sz="0" w:space="0" w:color="auto"/>
        <w:right w:val="none" w:sz="0" w:space="0" w:color="auto"/>
      </w:divBdr>
    </w:div>
    <w:div w:id="1728216824">
      <w:bodyDiv w:val="1"/>
      <w:marLeft w:val="0"/>
      <w:marRight w:val="0"/>
      <w:marTop w:val="0"/>
      <w:marBottom w:val="0"/>
      <w:divBdr>
        <w:top w:val="none" w:sz="0" w:space="0" w:color="auto"/>
        <w:left w:val="none" w:sz="0" w:space="0" w:color="auto"/>
        <w:bottom w:val="none" w:sz="0" w:space="0" w:color="auto"/>
        <w:right w:val="none" w:sz="0" w:space="0" w:color="auto"/>
      </w:divBdr>
    </w:div>
    <w:div w:id="1729722154">
      <w:bodyDiv w:val="1"/>
      <w:marLeft w:val="0"/>
      <w:marRight w:val="0"/>
      <w:marTop w:val="0"/>
      <w:marBottom w:val="0"/>
      <w:divBdr>
        <w:top w:val="none" w:sz="0" w:space="0" w:color="auto"/>
        <w:left w:val="none" w:sz="0" w:space="0" w:color="auto"/>
        <w:bottom w:val="none" w:sz="0" w:space="0" w:color="auto"/>
        <w:right w:val="none" w:sz="0" w:space="0" w:color="auto"/>
      </w:divBdr>
    </w:div>
    <w:div w:id="1732802084">
      <w:bodyDiv w:val="1"/>
      <w:marLeft w:val="0"/>
      <w:marRight w:val="0"/>
      <w:marTop w:val="0"/>
      <w:marBottom w:val="0"/>
      <w:divBdr>
        <w:top w:val="none" w:sz="0" w:space="0" w:color="auto"/>
        <w:left w:val="none" w:sz="0" w:space="0" w:color="auto"/>
        <w:bottom w:val="none" w:sz="0" w:space="0" w:color="auto"/>
        <w:right w:val="none" w:sz="0" w:space="0" w:color="auto"/>
      </w:divBdr>
    </w:div>
    <w:div w:id="1733504801">
      <w:bodyDiv w:val="1"/>
      <w:marLeft w:val="0"/>
      <w:marRight w:val="0"/>
      <w:marTop w:val="0"/>
      <w:marBottom w:val="0"/>
      <w:divBdr>
        <w:top w:val="none" w:sz="0" w:space="0" w:color="auto"/>
        <w:left w:val="none" w:sz="0" w:space="0" w:color="auto"/>
        <w:bottom w:val="none" w:sz="0" w:space="0" w:color="auto"/>
        <w:right w:val="none" w:sz="0" w:space="0" w:color="auto"/>
      </w:divBdr>
    </w:div>
    <w:div w:id="1738017611">
      <w:bodyDiv w:val="1"/>
      <w:marLeft w:val="0"/>
      <w:marRight w:val="0"/>
      <w:marTop w:val="0"/>
      <w:marBottom w:val="0"/>
      <w:divBdr>
        <w:top w:val="none" w:sz="0" w:space="0" w:color="auto"/>
        <w:left w:val="none" w:sz="0" w:space="0" w:color="auto"/>
        <w:bottom w:val="none" w:sz="0" w:space="0" w:color="auto"/>
        <w:right w:val="none" w:sz="0" w:space="0" w:color="auto"/>
      </w:divBdr>
    </w:div>
    <w:div w:id="1738628920">
      <w:bodyDiv w:val="1"/>
      <w:marLeft w:val="0"/>
      <w:marRight w:val="0"/>
      <w:marTop w:val="0"/>
      <w:marBottom w:val="0"/>
      <w:divBdr>
        <w:top w:val="none" w:sz="0" w:space="0" w:color="auto"/>
        <w:left w:val="none" w:sz="0" w:space="0" w:color="auto"/>
        <w:bottom w:val="none" w:sz="0" w:space="0" w:color="auto"/>
        <w:right w:val="none" w:sz="0" w:space="0" w:color="auto"/>
      </w:divBdr>
    </w:div>
    <w:div w:id="1740713208">
      <w:bodyDiv w:val="1"/>
      <w:marLeft w:val="0"/>
      <w:marRight w:val="0"/>
      <w:marTop w:val="0"/>
      <w:marBottom w:val="0"/>
      <w:divBdr>
        <w:top w:val="none" w:sz="0" w:space="0" w:color="auto"/>
        <w:left w:val="none" w:sz="0" w:space="0" w:color="auto"/>
        <w:bottom w:val="none" w:sz="0" w:space="0" w:color="auto"/>
        <w:right w:val="none" w:sz="0" w:space="0" w:color="auto"/>
      </w:divBdr>
    </w:div>
    <w:div w:id="1745490193">
      <w:bodyDiv w:val="1"/>
      <w:marLeft w:val="0"/>
      <w:marRight w:val="0"/>
      <w:marTop w:val="0"/>
      <w:marBottom w:val="0"/>
      <w:divBdr>
        <w:top w:val="none" w:sz="0" w:space="0" w:color="auto"/>
        <w:left w:val="none" w:sz="0" w:space="0" w:color="auto"/>
        <w:bottom w:val="none" w:sz="0" w:space="0" w:color="auto"/>
        <w:right w:val="none" w:sz="0" w:space="0" w:color="auto"/>
      </w:divBdr>
    </w:div>
    <w:div w:id="1746996545">
      <w:bodyDiv w:val="1"/>
      <w:marLeft w:val="0"/>
      <w:marRight w:val="0"/>
      <w:marTop w:val="0"/>
      <w:marBottom w:val="0"/>
      <w:divBdr>
        <w:top w:val="none" w:sz="0" w:space="0" w:color="auto"/>
        <w:left w:val="none" w:sz="0" w:space="0" w:color="auto"/>
        <w:bottom w:val="none" w:sz="0" w:space="0" w:color="auto"/>
        <w:right w:val="none" w:sz="0" w:space="0" w:color="auto"/>
      </w:divBdr>
    </w:div>
    <w:div w:id="1747876317">
      <w:bodyDiv w:val="1"/>
      <w:marLeft w:val="0"/>
      <w:marRight w:val="0"/>
      <w:marTop w:val="0"/>
      <w:marBottom w:val="0"/>
      <w:divBdr>
        <w:top w:val="none" w:sz="0" w:space="0" w:color="auto"/>
        <w:left w:val="none" w:sz="0" w:space="0" w:color="auto"/>
        <w:bottom w:val="none" w:sz="0" w:space="0" w:color="auto"/>
        <w:right w:val="none" w:sz="0" w:space="0" w:color="auto"/>
      </w:divBdr>
    </w:div>
    <w:div w:id="1753889750">
      <w:bodyDiv w:val="1"/>
      <w:marLeft w:val="0"/>
      <w:marRight w:val="0"/>
      <w:marTop w:val="0"/>
      <w:marBottom w:val="0"/>
      <w:divBdr>
        <w:top w:val="none" w:sz="0" w:space="0" w:color="auto"/>
        <w:left w:val="none" w:sz="0" w:space="0" w:color="auto"/>
        <w:bottom w:val="none" w:sz="0" w:space="0" w:color="auto"/>
        <w:right w:val="none" w:sz="0" w:space="0" w:color="auto"/>
      </w:divBdr>
    </w:div>
    <w:div w:id="1757707478">
      <w:bodyDiv w:val="1"/>
      <w:marLeft w:val="0"/>
      <w:marRight w:val="0"/>
      <w:marTop w:val="0"/>
      <w:marBottom w:val="0"/>
      <w:divBdr>
        <w:top w:val="none" w:sz="0" w:space="0" w:color="auto"/>
        <w:left w:val="none" w:sz="0" w:space="0" w:color="auto"/>
        <w:bottom w:val="none" w:sz="0" w:space="0" w:color="auto"/>
        <w:right w:val="none" w:sz="0" w:space="0" w:color="auto"/>
      </w:divBdr>
    </w:div>
    <w:div w:id="1761172716">
      <w:bodyDiv w:val="1"/>
      <w:marLeft w:val="0"/>
      <w:marRight w:val="0"/>
      <w:marTop w:val="0"/>
      <w:marBottom w:val="0"/>
      <w:divBdr>
        <w:top w:val="none" w:sz="0" w:space="0" w:color="auto"/>
        <w:left w:val="none" w:sz="0" w:space="0" w:color="auto"/>
        <w:bottom w:val="none" w:sz="0" w:space="0" w:color="auto"/>
        <w:right w:val="none" w:sz="0" w:space="0" w:color="auto"/>
      </w:divBdr>
    </w:div>
    <w:div w:id="1762680474">
      <w:bodyDiv w:val="1"/>
      <w:marLeft w:val="0"/>
      <w:marRight w:val="0"/>
      <w:marTop w:val="0"/>
      <w:marBottom w:val="0"/>
      <w:divBdr>
        <w:top w:val="none" w:sz="0" w:space="0" w:color="auto"/>
        <w:left w:val="none" w:sz="0" w:space="0" w:color="auto"/>
        <w:bottom w:val="none" w:sz="0" w:space="0" w:color="auto"/>
        <w:right w:val="none" w:sz="0" w:space="0" w:color="auto"/>
      </w:divBdr>
    </w:div>
    <w:div w:id="1768498261">
      <w:bodyDiv w:val="1"/>
      <w:marLeft w:val="0"/>
      <w:marRight w:val="0"/>
      <w:marTop w:val="0"/>
      <w:marBottom w:val="0"/>
      <w:divBdr>
        <w:top w:val="none" w:sz="0" w:space="0" w:color="auto"/>
        <w:left w:val="none" w:sz="0" w:space="0" w:color="auto"/>
        <w:bottom w:val="none" w:sz="0" w:space="0" w:color="auto"/>
        <w:right w:val="none" w:sz="0" w:space="0" w:color="auto"/>
      </w:divBdr>
    </w:div>
    <w:div w:id="1777140249">
      <w:bodyDiv w:val="1"/>
      <w:marLeft w:val="0"/>
      <w:marRight w:val="0"/>
      <w:marTop w:val="0"/>
      <w:marBottom w:val="0"/>
      <w:divBdr>
        <w:top w:val="none" w:sz="0" w:space="0" w:color="auto"/>
        <w:left w:val="none" w:sz="0" w:space="0" w:color="auto"/>
        <w:bottom w:val="none" w:sz="0" w:space="0" w:color="auto"/>
        <w:right w:val="none" w:sz="0" w:space="0" w:color="auto"/>
      </w:divBdr>
    </w:div>
    <w:div w:id="1779911000">
      <w:bodyDiv w:val="1"/>
      <w:marLeft w:val="0"/>
      <w:marRight w:val="0"/>
      <w:marTop w:val="0"/>
      <w:marBottom w:val="0"/>
      <w:divBdr>
        <w:top w:val="none" w:sz="0" w:space="0" w:color="auto"/>
        <w:left w:val="none" w:sz="0" w:space="0" w:color="auto"/>
        <w:bottom w:val="none" w:sz="0" w:space="0" w:color="auto"/>
        <w:right w:val="none" w:sz="0" w:space="0" w:color="auto"/>
      </w:divBdr>
    </w:div>
    <w:div w:id="1782071611">
      <w:bodyDiv w:val="1"/>
      <w:marLeft w:val="0"/>
      <w:marRight w:val="0"/>
      <w:marTop w:val="0"/>
      <w:marBottom w:val="0"/>
      <w:divBdr>
        <w:top w:val="none" w:sz="0" w:space="0" w:color="auto"/>
        <w:left w:val="none" w:sz="0" w:space="0" w:color="auto"/>
        <w:bottom w:val="none" w:sz="0" w:space="0" w:color="auto"/>
        <w:right w:val="none" w:sz="0" w:space="0" w:color="auto"/>
      </w:divBdr>
    </w:div>
    <w:div w:id="1786343980">
      <w:bodyDiv w:val="1"/>
      <w:marLeft w:val="0"/>
      <w:marRight w:val="0"/>
      <w:marTop w:val="0"/>
      <w:marBottom w:val="0"/>
      <w:divBdr>
        <w:top w:val="none" w:sz="0" w:space="0" w:color="auto"/>
        <w:left w:val="none" w:sz="0" w:space="0" w:color="auto"/>
        <w:bottom w:val="none" w:sz="0" w:space="0" w:color="auto"/>
        <w:right w:val="none" w:sz="0" w:space="0" w:color="auto"/>
      </w:divBdr>
    </w:div>
    <w:div w:id="1787037762">
      <w:bodyDiv w:val="1"/>
      <w:marLeft w:val="0"/>
      <w:marRight w:val="0"/>
      <w:marTop w:val="0"/>
      <w:marBottom w:val="0"/>
      <w:divBdr>
        <w:top w:val="none" w:sz="0" w:space="0" w:color="auto"/>
        <w:left w:val="none" w:sz="0" w:space="0" w:color="auto"/>
        <w:bottom w:val="none" w:sz="0" w:space="0" w:color="auto"/>
        <w:right w:val="none" w:sz="0" w:space="0" w:color="auto"/>
      </w:divBdr>
    </w:div>
    <w:div w:id="1787696583">
      <w:bodyDiv w:val="1"/>
      <w:marLeft w:val="0"/>
      <w:marRight w:val="0"/>
      <w:marTop w:val="0"/>
      <w:marBottom w:val="0"/>
      <w:divBdr>
        <w:top w:val="none" w:sz="0" w:space="0" w:color="auto"/>
        <w:left w:val="none" w:sz="0" w:space="0" w:color="auto"/>
        <w:bottom w:val="none" w:sz="0" w:space="0" w:color="auto"/>
        <w:right w:val="none" w:sz="0" w:space="0" w:color="auto"/>
      </w:divBdr>
    </w:div>
    <w:div w:id="1787700432">
      <w:bodyDiv w:val="1"/>
      <w:marLeft w:val="0"/>
      <w:marRight w:val="0"/>
      <w:marTop w:val="0"/>
      <w:marBottom w:val="0"/>
      <w:divBdr>
        <w:top w:val="none" w:sz="0" w:space="0" w:color="auto"/>
        <w:left w:val="none" w:sz="0" w:space="0" w:color="auto"/>
        <w:bottom w:val="none" w:sz="0" w:space="0" w:color="auto"/>
        <w:right w:val="none" w:sz="0" w:space="0" w:color="auto"/>
      </w:divBdr>
    </w:div>
    <w:div w:id="1794251485">
      <w:bodyDiv w:val="1"/>
      <w:marLeft w:val="0"/>
      <w:marRight w:val="0"/>
      <w:marTop w:val="0"/>
      <w:marBottom w:val="0"/>
      <w:divBdr>
        <w:top w:val="none" w:sz="0" w:space="0" w:color="auto"/>
        <w:left w:val="none" w:sz="0" w:space="0" w:color="auto"/>
        <w:bottom w:val="none" w:sz="0" w:space="0" w:color="auto"/>
        <w:right w:val="none" w:sz="0" w:space="0" w:color="auto"/>
      </w:divBdr>
    </w:div>
    <w:div w:id="1797259807">
      <w:bodyDiv w:val="1"/>
      <w:marLeft w:val="0"/>
      <w:marRight w:val="0"/>
      <w:marTop w:val="0"/>
      <w:marBottom w:val="0"/>
      <w:divBdr>
        <w:top w:val="none" w:sz="0" w:space="0" w:color="auto"/>
        <w:left w:val="none" w:sz="0" w:space="0" w:color="auto"/>
        <w:bottom w:val="none" w:sz="0" w:space="0" w:color="auto"/>
        <w:right w:val="none" w:sz="0" w:space="0" w:color="auto"/>
      </w:divBdr>
    </w:div>
    <w:div w:id="1813130446">
      <w:bodyDiv w:val="1"/>
      <w:marLeft w:val="0"/>
      <w:marRight w:val="0"/>
      <w:marTop w:val="0"/>
      <w:marBottom w:val="0"/>
      <w:divBdr>
        <w:top w:val="none" w:sz="0" w:space="0" w:color="auto"/>
        <w:left w:val="none" w:sz="0" w:space="0" w:color="auto"/>
        <w:bottom w:val="none" w:sz="0" w:space="0" w:color="auto"/>
        <w:right w:val="none" w:sz="0" w:space="0" w:color="auto"/>
      </w:divBdr>
    </w:div>
    <w:div w:id="1817139655">
      <w:bodyDiv w:val="1"/>
      <w:marLeft w:val="0"/>
      <w:marRight w:val="0"/>
      <w:marTop w:val="0"/>
      <w:marBottom w:val="0"/>
      <w:divBdr>
        <w:top w:val="none" w:sz="0" w:space="0" w:color="auto"/>
        <w:left w:val="none" w:sz="0" w:space="0" w:color="auto"/>
        <w:bottom w:val="none" w:sz="0" w:space="0" w:color="auto"/>
        <w:right w:val="none" w:sz="0" w:space="0" w:color="auto"/>
      </w:divBdr>
    </w:div>
    <w:div w:id="1821144323">
      <w:bodyDiv w:val="1"/>
      <w:marLeft w:val="0"/>
      <w:marRight w:val="0"/>
      <w:marTop w:val="0"/>
      <w:marBottom w:val="0"/>
      <w:divBdr>
        <w:top w:val="none" w:sz="0" w:space="0" w:color="auto"/>
        <w:left w:val="none" w:sz="0" w:space="0" w:color="auto"/>
        <w:bottom w:val="none" w:sz="0" w:space="0" w:color="auto"/>
        <w:right w:val="none" w:sz="0" w:space="0" w:color="auto"/>
      </w:divBdr>
    </w:div>
    <w:div w:id="1825509501">
      <w:bodyDiv w:val="1"/>
      <w:marLeft w:val="0"/>
      <w:marRight w:val="0"/>
      <w:marTop w:val="0"/>
      <w:marBottom w:val="0"/>
      <w:divBdr>
        <w:top w:val="none" w:sz="0" w:space="0" w:color="auto"/>
        <w:left w:val="none" w:sz="0" w:space="0" w:color="auto"/>
        <w:bottom w:val="none" w:sz="0" w:space="0" w:color="auto"/>
        <w:right w:val="none" w:sz="0" w:space="0" w:color="auto"/>
      </w:divBdr>
    </w:div>
    <w:div w:id="1828790405">
      <w:bodyDiv w:val="1"/>
      <w:marLeft w:val="0"/>
      <w:marRight w:val="0"/>
      <w:marTop w:val="0"/>
      <w:marBottom w:val="0"/>
      <w:divBdr>
        <w:top w:val="none" w:sz="0" w:space="0" w:color="auto"/>
        <w:left w:val="none" w:sz="0" w:space="0" w:color="auto"/>
        <w:bottom w:val="none" w:sz="0" w:space="0" w:color="auto"/>
        <w:right w:val="none" w:sz="0" w:space="0" w:color="auto"/>
      </w:divBdr>
    </w:div>
    <w:div w:id="1830366820">
      <w:bodyDiv w:val="1"/>
      <w:marLeft w:val="0"/>
      <w:marRight w:val="0"/>
      <w:marTop w:val="0"/>
      <w:marBottom w:val="0"/>
      <w:divBdr>
        <w:top w:val="none" w:sz="0" w:space="0" w:color="auto"/>
        <w:left w:val="none" w:sz="0" w:space="0" w:color="auto"/>
        <w:bottom w:val="none" w:sz="0" w:space="0" w:color="auto"/>
        <w:right w:val="none" w:sz="0" w:space="0" w:color="auto"/>
      </w:divBdr>
    </w:div>
    <w:div w:id="1834761837">
      <w:bodyDiv w:val="1"/>
      <w:marLeft w:val="0"/>
      <w:marRight w:val="0"/>
      <w:marTop w:val="0"/>
      <w:marBottom w:val="0"/>
      <w:divBdr>
        <w:top w:val="none" w:sz="0" w:space="0" w:color="auto"/>
        <w:left w:val="none" w:sz="0" w:space="0" w:color="auto"/>
        <w:bottom w:val="none" w:sz="0" w:space="0" w:color="auto"/>
        <w:right w:val="none" w:sz="0" w:space="0" w:color="auto"/>
      </w:divBdr>
    </w:div>
    <w:div w:id="1839493936">
      <w:bodyDiv w:val="1"/>
      <w:marLeft w:val="0"/>
      <w:marRight w:val="0"/>
      <w:marTop w:val="0"/>
      <w:marBottom w:val="0"/>
      <w:divBdr>
        <w:top w:val="none" w:sz="0" w:space="0" w:color="auto"/>
        <w:left w:val="none" w:sz="0" w:space="0" w:color="auto"/>
        <w:bottom w:val="none" w:sz="0" w:space="0" w:color="auto"/>
        <w:right w:val="none" w:sz="0" w:space="0" w:color="auto"/>
      </w:divBdr>
    </w:div>
    <w:div w:id="1840463370">
      <w:bodyDiv w:val="1"/>
      <w:marLeft w:val="0"/>
      <w:marRight w:val="0"/>
      <w:marTop w:val="0"/>
      <w:marBottom w:val="0"/>
      <w:divBdr>
        <w:top w:val="none" w:sz="0" w:space="0" w:color="auto"/>
        <w:left w:val="none" w:sz="0" w:space="0" w:color="auto"/>
        <w:bottom w:val="none" w:sz="0" w:space="0" w:color="auto"/>
        <w:right w:val="none" w:sz="0" w:space="0" w:color="auto"/>
      </w:divBdr>
    </w:div>
    <w:div w:id="1841650455">
      <w:bodyDiv w:val="1"/>
      <w:marLeft w:val="0"/>
      <w:marRight w:val="0"/>
      <w:marTop w:val="0"/>
      <w:marBottom w:val="0"/>
      <w:divBdr>
        <w:top w:val="none" w:sz="0" w:space="0" w:color="auto"/>
        <w:left w:val="none" w:sz="0" w:space="0" w:color="auto"/>
        <w:bottom w:val="none" w:sz="0" w:space="0" w:color="auto"/>
        <w:right w:val="none" w:sz="0" w:space="0" w:color="auto"/>
      </w:divBdr>
    </w:div>
    <w:div w:id="1846823157">
      <w:bodyDiv w:val="1"/>
      <w:marLeft w:val="0"/>
      <w:marRight w:val="0"/>
      <w:marTop w:val="0"/>
      <w:marBottom w:val="0"/>
      <w:divBdr>
        <w:top w:val="none" w:sz="0" w:space="0" w:color="auto"/>
        <w:left w:val="none" w:sz="0" w:space="0" w:color="auto"/>
        <w:bottom w:val="none" w:sz="0" w:space="0" w:color="auto"/>
        <w:right w:val="none" w:sz="0" w:space="0" w:color="auto"/>
      </w:divBdr>
    </w:div>
    <w:div w:id="1848327580">
      <w:bodyDiv w:val="1"/>
      <w:marLeft w:val="0"/>
      <w:marRight w:val="0"/>
      <w:marTop w:val="0"/>
      <w:marBottom w:val="0"/>
      <w:divBdr>
        <w:top w:val="none" w:sz="0" w:space="0" w:color="auto"/>
        <w:left w:val="none" w:sz="0" w:space="0" w:color="auto"/>
        <w:bottom w:val="none" w:sz="0" w:space="0" w:color="auto"/>
        <w:right w:val="none" w:sz="0" w:space="0" w:color="auto"/>
      </w:divBdr>
    </w:div>
    <w:div w:id="1848978304">
      <w:bodyDiv w:val="1"/>
      <w:marLeft w:val="0"/>
      <w:marRight w:val="0"/>
      <w:marTop w:val="0"/>
      <w:marBottom w:val="0"/>
      <w:divBdr>
        <w:top w:val="none" w:sz="0" w:space="0" w:color="auto"/>
        <w:left w:val="none" w:sz="0" w:space="0" w:color="auto"/>
        <w:bottom w:val="none" w:sz="0" w:space="0" w:color="auto"/>
        <w:right w:val="none" w:sz="0" w:space="0" w:color="auto"/>
      </w:divBdr>
    </w:div>
    <w:div w:id="1852252745">
      <w:bodyDiv w:val="1"/>
      <w:marLeft w:val="0"/>
      <w:marRight w:val="0"/>
      <w:marTop w:val="0"/>
      <w:marBottom w:val="0"/>
      <w:divBdr>
        <w:top w:val="none" w:sz="0" w:space="0" w:color="auto"/>
        <w:left w:val="none" w:sz="0" w:space="0" w:color="auto"/>
        <w:bottom w:val="none" w:sz="0" w:space="0" w:color="auto"/>
        <w:right w:val="none" w:sz="0" w:space="0" w:color="auto"/>
      </w:divBdr>
    </w:div>
    <w:div w:id="1852990521">
      <w:bodyDiv w:val="1"/>
      <w:marLeft w:val="0"/>
      <w:marRight w:val="0"/>
      <w:marTop w:val="0"/>
      <w:marBottom w:val="0"/>
      <w:divBdr>
        <w:top w:val="none" w:sz="0" w:space="0" w:color="auto"/>
        <w:left w:val="none" w:sz="0" w:space="0" w:color="auto"/>
        <w:bottom w:val="none" w:sz="0" w:space="0" w:color="auto"/>
        <w:right w:val="none" w:sz="0" w:space="0" w:color="auto"/>
      </w:divBdr>
    </w:div>
    <w:div w:id="1860661721">
      <w:bodyDiv w:val="1"/>
      <w:marLeft w:val="0"/>
      <w:marRight w:val="0"/>
      <w:marTop w:val="0"/>
      <w:marBottom w:val="0"/>
      <w:divBdr>
        <w:top w:val="none" w:sz="0" w:space="0" w:color="auto"/>
        <w:left w:val="none" w:sz="0" w:space="0" w:color="auto"/>
        <w:bottom w:val="none" w:sz="0" w:space="0" w:color="auto"/>
        <w:right w:val="none" w:sz="0" w:space="0" w:color="auto"/>
      </w:divBdr>
    </w:div>
    <w:div w:id="1864900081">
      <w:bodyDiv w:val="1"/>
      <w:marLeft w:val="0"/>
      <w:marRight w:val="0"/>
      <w:marTop w:val="0"/>
      <w:marBottom w:val="0"/>
      <w:divBdr>
        <w:top w:val="none" w:sz="0" w:space="0" w:color="auto"/>
        <w:left w:val="none" w:sz="0" w:space="0" w:color="auto"/>
        <w:bottom w:val="none" w:sz="0" w:space="0" w:color="auto"/>
        <w:right w:val="none" w:sz="0" w:space="0" w:color="auto"/>
      </w:divBdr>
    </w:div>
    <w:div w:id="1866483308">
      <w:bodyDiv w:val="1"/>
      <w:marLeft w:val="0"/>
      <w:marRight w:val="0"/>
      <w:marTop w:val="0"/>
      <w:marBottom w:val="0"/>
      <w:divBdr>
        <w:top w:val="none" w:sz="0" w:space="0" w:color="auto"/>
        <w:left w:val="none" w:sz="0" w:space="0" w:color="auto"/>
        <w:bottom w:val="none" w:sz="0" w:space="0" w:color="auto"/>
        <w:right w:val="none" w:sz="0" w:space="0" w:color="auto"/>
      </w:divBdr>
    </w:div>
    <w:div w:id="1871870133">
      <w:bodyDiv w:val="1"/>
      <w:marLeft w:val="0"/>
      <w:marRight w:val="0"/>
      <w:marTop w:val="0"/>
      <w:marBottom w:val="0"/>
      <w:divBdr>
        <w:top w:val="none" w:sz="0" w:space="0" w:color="auto"/>
        <w:left w:val="none" w:sz="0" w:space="0" w:color="auto"/>
        <w:bottom w:val="none" w:sz="0" w:space="0" w:color="auto"/>
        <w:right w:val="none" w:sz="0" w:space="0" w:color="auto"/>
      </w:divBdr>
    </w:div>
    <w:div w:id="1872497563">
      <w:bodyDiv w:val="1"/>
      <w:marLeft w:val="0"/>
      <w:marRight w:val="0"/>
      <w:marTop w:val="0"/>
      <w:marBottom w:val="0"/>
      <w:divBdr>
        <w:top w:val="none" w:sz="0" w:space="0" w:color="auto"/>
        <w:left w:val="none" w:sz="0" w:space="0" w:color="auto"/>
        <w:bottom w:val="none" w:sz="0" w:space="0" w:color="auto"/>
        <w:right w:val="none" w:sz="0" w:space="0" w:color="auto"/>
      </w:divBdr>
    </w:div>
    <w:div w:id="1873689978">
      <w:bodyDiv w:val="1"/>
      <w:marLeft w:val="0"/>
      <w:marRight w:val="0"/>
      <w:marTop w:val="0"/>
      <w:marBottom w:val="0"/>
      <w:divBdr>
        <w:top w:val="none" w:sz="0" w:space="0" w:color="auto"/>
        <w:left w:val="none" w:sz="0" w:space="0" w:color="auto"/>
        <w:bottom w:val="none" w:sz="0" w:space="0" w:color="auto"/>
        <w:right w:val="none" w:sz="0" w:space="0" w:color="auto"/>
      </w:divBdr>
    </w:div>
    <w:div w:id="1875801983">
      <w:bodyDiv w:val="1"/>
      <w:marLeft w:val="0"/>
      <w:marRight w:val="0"/>
      <w:marTop w:val="0"/>
      <w:marBottom w:val="0"/>
      <w:divBdr>
        <w:top w:val="none" w:sz="0" w:space="0" w:color="auto"/>
        <w:left w:val="none" w:sz="0" w:space="0" w:color="auto"/>
        <w:bottom w:val="none" w:sz="0" w:space="0" w:color="auto"/>
        <w:right w:val="none" w:sz="0" w:space="0" w:color="auto"/>
      </w:divBdr>
    </w:div>
    <w:div w:id="1877886826">
      <w:bodyDiv w:val="1"/>
      <w:marLeft w:val="0"/>
      <w:marRight w:val="0"/>
      <w:marTop w:val="0"/>
      <w:marBottom w:val="0"/>
      <w:divBdr>
        <w:top w:val="none" w:sz="0" w:space="0" w:color="auto"/>
        <w:left w:val="none" w:sz="0" w:space="0" w:color="auto"/>
        <w:bottom w:val="none" w:sz="0" w:space="0" w:color="auto"/>
        <w:right w:val="none" w:sz="0" w:space="0" w:color="auto"/>
      </w:divBdr>
    </w:div>
    <w:div w:id="1881018107">
      <w:bodyDiv w:val="1"/>
      <w:marLeft w:val="0"/>
      <w:marRight w:val="0"/>
      <w:marTop w:val="0"/>
      <w:marBottom w:val="0"/>
      <w:divBdr>
        <w:top w:val="none" w:sz="0" w:space="0" w:color="auto"/>
        <w:left w:val="none" w:sz="0" w:space="0" w:color="auto"/>
        <w:bottom w:val="none" w:sz="0" w:space="0" w:color="auto"/>
        <w:right w:val="none" w:sz="0" w:space="0" w:color="auto"/>
      </w:divBdr>
    </w:div>
    <w:div w:id="1885171357">
      <w:bodyDiv w:val="1"/>
      <w:marLeft w:val="0"/>
      <w:marRight w:val="0"/>
      <w:marTop w:val="0"/>
      <w:marBottom w:val="0"/>
      <w:divBdr>
        <w:top w:val="none" w:sz="0" w:space="0" w:color="auto"/>
        <w:left w:val="none" w:sz="0" w:space="0" w:color="auto"/>
        <w:bottom w:val="none" w:sz="0" w:space="0" w:color="auto"/>
        <w:right w:val="none" w:sz="0" w:space="0" w:color="auto"/>
      </w:divBdr>
    </w:div>
    <w:div w:id="1889563355">
      <w:bodyDiv w:val="1"/>
      <w:marLeft w:val="0"/>
      <w:marRight w:val="0"/>
      <w:marTop w:val="0"/>
      <w:marBottom w:val="0"/>
      <w:divBdr>
        <w:top w:val="none" w:sz="0" w:space="0" w:color="auto"/>
        <w:left w:val="none" w:sz="0" w:space="0" w:color="auto"/>
        <w:bottom w:val="none" w:sz="0" w:space="0" w:color="auto"/>
        <w:right w:val="none" w:sz="0" w:space="0" w:color="auto"/>
      </w:divBdr>
      <w:divsChild>
        <w:div w:id="1277448024">
          <w:marLeft w:val="0"/>
          <w:marRight w:val="0"/>
          <w:marTop w:val="0"/>
          <w:marBottom w:val="0"/>
          <w:divBdr>
            <w:top w:val="none" w:sz="0" w:space="0" w:color="auto"/>
            <w:left w:val="none" w:sz="0" w:space="0" w:color="auto"/>
            <w:bottom w:val="none" w:sz="0" w:space="0" w:color="auto"/>
            <w:right w:val="none" w:sz="0" w:space="0" w:color="auto"/>
          </w:divBdr>
        </w:div>
      </w:divsChild>
    </w:div>
    <w:div w:id="1897204393">
      <w:bodyDiv w:val="1"/>
      <w:marLeft w:val="0"/>
      <w:marRight w:val="0"/>
      <w:marTop w:val="0"/>
      <w:marBottom w:val="0"/>
      <w:divBdr>
        <w:top w:val="none" w:sz="0" w:space="0" w:color="auto"/>
        <w:left w:val="none" w:sz="0" w:space="0" w:color="auto"/>
        <w:bottom w:val="none" w:sz="0" w:space="0" w:color="auto"/>
        <w:right w:val="none" w:sz="0" w:space="0" w:color="auto"/>
      </w:divBdr>
    </w:div>
    <w:div w:id="1901205239">
      <w:bodyDiv w:val="1"/>
      <w:marLeft w:val="0"/>
      <w:marRight w:val="0"/>
      <w:marTop w:val="0"/>
      <w:marBottom w:val="0"/>
      <w:divBdr>
        <w:top w:val="none" w:sz="0" w:space="0" w:color="auto"/>
        <w:left w:val="none" w:sz="0" w:space="0" w:color="auto"/>
        <w:bottom w:val="none" w:sz="0" w:space="0" w:color="auto"/>
        <w:right w:val="none" w:sz="0" w:space="0" w:color="auto"/>
      </w:divBdr>
    </w:div>
    <w:div w:id="1902398309">
      <w:bodyDiv w:val="1"/>
      <w:marLeft w:val="0"/>
      <w:marRight w:val="0"/>
      <w:marTop w:val="0"/>
      <w:marBottom w:val="0"/>
      <w:divBdr>
        <w:top w:val="none" w:sz="0" w:space="0" w:color="auto"/>
        <w:left w:val="none" w:sz="0" w:space="0" w:color="auto"/>
        <w:bottom w:val="none" w:sz="0" w:space="0" w:color="auto"/>
        <w:right w:val="none" w:sz="0" w:space="0" w:color="auto"/>
      </w:divBdr>
    </w:div>
    <w:div w:id="1902523568">
      <w:bodyDiv w:val="1"/>
      <w:marLeft w:val="0"/>
      <w:marRight w:val="0"/>
      <w:marTop w:val="0"/>
      <w:marBottom w:val="0"/>
      <w:divBdr>
        <w:top w:val="none" w:sz="0" w:space="0" w:color="auto"/>
        <w:left w:val="none" w:sz="0" w:space="0" w:color="auto"/>
        <w:bottom w:val="none" w:sz="0" w:space="0" w:color="auto"/>
        <w:right w:val="none" w:sz="0" w:space="0" w:color="auto"/>
      </w:divBdr>
    </w:div>
    <w:div w:id="1904677961">
      <w:bodyDiv w:val="1"/>
      <w:marLeft w:val="0"/>
      <w:marRight w:val="0"/>
      <w:marTop w:val="0"/>
      <w:marBottom w:val="0"/>
      <w:divBdr>
        <w:top w:val="none" w:sz="0" w:space="0" w:color="auto"/>
        <w:left w:val="none" w:sz="0" w:space="0" w:color="auto"/>
        <w:bottom w:val="none" w:sz="0" w:space="0" w:color="auto"/>
        <w:right w:val="none" w:sz="0" w:space="0" w:color="auto"/>
      </w:divBdr>
    </w:div>
    <w:div w:id="1911193246">
      <w:bodyDiv w:val="1"/>
      <w:marLeft w:val="0"/>
      <w:marRight w:val="0"/>
      <w:marTop w:val="0"/>
      <w:marBottom w:val="0"/>
      <w:divBdr>
        <w:top w:val="none" w:sz="0" w:space="0" w:color="auto"/>
        <w:left w:val="none" w:sz="0" w:space="0" w:color="auto"/>
        <w:bottom w:val="none" w:sz="0" w:space="0" w:color="auto"/>
        <w:right w:val="none" w:sz="0" w:space="0" w:color="auto"/>
      </w:divBdr>
    </w:div>
    <w:div w:id="1924994718">
      <w:bodyDiv w:val="1"/>
      <w:marLeft w:val="0"/>
      <w:marRight w:val="0"/>
      <w:marTop w:val="0"/>
      <w:marBottom w:val="0"/>
      <w:divBdr>
        <w:top w:val="none" w:sz="0" w:space="0" w:color="auto"/>
        <w:left w:val="none" w:sz="0" w:space="0" w:color="auto"/>
        <w:bottom w:val="none" w:sz="0" w:space="0" w:color="auto"/>
        <w:right w:val="none" w:sz="0" w:space="0" w:color="auto"/>
      </w:divBdr>
    </w:div>
    <w:div w:id="1932658692">
      <w:bodyDiv w:val="1"/>
      <w:marLeft w:val="0"/>
      <w:marRight w:val="0"/>
      <w:marTop w:val="0"/>
      <w:marBottom w:val="0"/>
      <w:divBdr>
        <w:top w:val="none" w:sz="0" w:space="0" w:color="auto"/>
        <w:left w:val="none" w:sz="0" w:space="0" w:color="auto"/>
        <w:bottom w:val="none" w:sz="0" w:space="0" w:color="auto"/>
        <w:right w:val="none" w:sz="0" w:space="0" w:color="auto"/>
      </w:divBdr>
    </w:div>
    <w:div w:id="1933271381">
      <w:bodyDiv w:val="1"/>
      <w:marLeft w:val="0"/>
      <w:marRight w:val="0"/>
      <w:marTop w:val="0"/>
      <w:marBottom w:val="0"/>
      <w:divBdr>
        <w:top w:val="none" w:sz="0" w:space="0" w:color="auto"/>
        <w:left w:val="none" w:sz="0" w:space="0" w:color="auto"/>
        <w:bottom w:val="none" w:sz="0" w:space="0" w:color="auto"/>
        <w:right w:val="none" w:sz="0" w:space="0" w:color="auto"/>
      </w:divBdr>
    </w:div>
    <w:div w:id="1933931081">
      <w:bodyDiv w:val="1"/>
      <w:marLeft w:val="0"/>
      <w:marRight w:val="0"/>
      <w:marTop w:val="0"/>
      <w:marBottom w:val="0"/>
      <w:divBdr>
        <w:top w:val="none" w:sz="0" w:space="0" w:color="auto"/>
        <w:left w:val="none" w:sz="0" w:space="0" w:color="auto"/>
        <w:bottom w:val="none" w:sz="0" w:space="0" w:color="auto"/>
        <w:right w:val="none" w:sz="0" w:space="0" w:color="auto"/>
      </w:divBdr>
    </w:div>
    <w:div w:id="1934317333">
      <w:bodyDiv w:val="1"/>
      <w:marLeft w:val="0"/>
      <w:marRight w:val="0"/>
      <w:marTop w:val="0"/>
      <w:marBottom w:val="0"/>
      <w:divBdr>
        <w:top w:val="none" w:sz="0" w:space="0" w:color="auto"/>
        <w:left w:val="none" w:sz="0" w:space="0" w:color="auto"/>
        <w:bottom w:val="none" w:sz="0" w:space="0" w:color="auto"/>
        <w:right w:val="none" w:sz="0" w:space="0" w:color="auto"/>
      </w:divBdr>
    </w:div>
    <w:div w:id="1934851850">
      <w:bodyDiv w:val="1"/>
      <w:marLeft w:val="0"/>
      <w:marRight w:val="0"/>
      <w:marTop w:val="0"/>
      <w:marBottom w:val="0"/>
      <w:divBdr>
        <w:top w:val="none" w:sz="0" w:space="0" w:color="auto"/>
        <w:left w:val="none" w:sz="0" w:space="0" w:color="auto"/>
        <w:bottom w:val="none" w:sz="0" w:space="0" w:color="auto"/>
        <w:right w:val="none" w:sz="0" w:space="0" w:color="auto"/>
      </w:divBdr>
    </w:div>
    <w:div w:id="1937862557">
      <w:bodyDiv w:val="1"/>
      <w:marLeft w:val="0"/>
      <w:marRight w:val="0"/>
      <w:marTop w:val="0"/>
      <w:marBottom w:val="0"/>
      <w:divBdr>
        <w:top w:val="none" w:sz="0" w:space="0" w:color="auto"/>
        <w:left w:val="none" w:sz="0" w:space="0" w:color="auto"/>
        <w:bottom w:val="none" w:sz="0" w:space="0" w:color="auto"/>
        <w:right w:val="none" w:sz="0" w:space="0" w:color="auto"/>
      </w:divBdr>
    </w:div>
    <w:div w:id="1941449908">
      <w:bodyDiv w:val="1"/>
      <w:marLeft w:val="0"/>
      <w:marRight w:val="0"/>
      <w:marTop w:val="0"/>
      <w:marBottom w:val="0"/>
      <w:divBdr>
        <w:top w:val="none" w:sz="0" w:space="0" w:color="auto"/>
        <w:left w:val="none" w:sz="0" w:space="0" w:color="auto"/>
        <w:bottom w:val="none" w:sz="0" w:space="0" w:color="auto"/>
        <w:right w:val="none" w:sz="0" w:space="0" w:color="auto"/>
      </w:divBdr>
    </w:div>
    <w:div w:id="1947536867">
      <w:bodyDiv w:val="1"/>
      <w:marLeft w:val="0"/>
      <w:marRight w:val="0"/>
      <w:marTop w:val="0"/>
      <w:marBottom w:val="0"/>
      <w:divBdr>
        <w:top w:val="none" w:sz="0" w:space="0" w:color="auto"/>
        <w:left w:val="none" w:sz="0" w:space="0" w:color="auto"/>
        <w:bottom w:val="none" w:sz="0" w:space="0" w:color="auto"/>
        <w:right w:val="none" w:sz="0" w:space="0" w:color="auto"/>
      </w:divBdr>
    </w:div>
    <w:div w:id="1951861471">
      <w:bodyDiv w:val="1"/>
      <w:marLeft w:val="0"/>
      <w:marRight w:val="0"/>
      <w:marTop w:val="0"/>
      <w:marBottom w:val="0"/>
      <w:divBdr>
        <w:top w:val="none" w:sz="0" w:space="0" w:color="auto"/>
        <w:left w:val="none" w:sz="0" w:space="0" w:color="auto"/>
        <w:bottom w:val="none" w:sz="0" w:space="0" w:color="auto"/>
        <w:right w:val="none" w:sz="0" w:space="0" w:color="auto"/>
      </w:divBdr>
    </w:div>
    <w:div w:id="1952859028">
      <w:bodyDiv w:val="1"/>
      <w:marLeft w:val="0"/>
      <w:marRight w:val="0"/>
      <w:marTop w:val="0"/>
      <w:marBottom w:val="0"/>
      <w:divBdr>
        <w:top w:val="none" w:sz="0" w:space="0" w:color="auto"/>
        <w:left w:val="none" w:sz="0" w:space="0" w:color="auto"/>
        <w:bottom w:val="none" w:sz="0" w:space="0" w:color="auto"/>
        <w:right w:val="none" w:sz="0" w:space="0" w:color="auto"/>
      </w:divBdr>
    </w:div>
    <w:div w:id="1954053228">
      <w:bodyDiv w:val="1"/>
      <w:marLeft w:val="0"/>
      <w:marRight w:val="0"/>
      <w:marTop w:val="0"/>
      <w:marBottom w:val="0"/>
      <w:divBdr>
        <w:top w:val="none" w:sz="0" w:space="0" w:color="auto"/>
        <w:left w:val="none" w:sz="0" w:space="0" w:color="auto"/>
        <w:bottom w:val="none" w:sz="0" w:space="0" w:color="auto"/>
        <w:right w:val="none" w:sz="0" w:space="0" w:color="auto"/>
      </w:divBdr>
    </w:div>
    <w:div w:id="1954708758">
      <w:bodyDiv w:val="1"/>
      <w:marLeft w:val="0"/>
      <w:marRight w:val="0"/>
      <w:marTop w:val="0"/>
      <w:marBottom w:val="0"/>
      <w:divBdr>
        <w:top w:val="none" w:sz="0" w:space="0" w:color="auto"/>
        <w:left w:val="none" w:sz="0" w:space="0" w:color="auto"/>
        <w:bottom w:val="none" w:sz="0" w:space="0" w:color="auto"/>
        <w:right w:val="none" w:sz="0" w:space="0" w:color="auto"/>
      </w:divBdr>
    </w:div>
    <w:div w:id="1959288259">
      <w:bodyDiv w:val="1"/>
      <w:marLeft w:val="0"/>
      <w:marRight w:val="0"/>
      <w:marTop w:val="0"/>
      <w:marBottom w:val="0"/>
      <w:divBdr>
        <w:top w:val="none" w:sz="0" w:space="0" w:color="auto"/>
        <w:left w:val="none" w:sz="0" w:space="0" w:color="auto"/>
        <w:bottom w:val="none" w:sz="0" w:space="0" w:color="auto"/>
        <w:right w:val="none" w:sz="0" w:space="0" w:color="auto"/>
      </w:divBdr>
    </w:div>
    <w:div w:id="1967807146">
      <w:bodyDiv w:val="1"/>
      <w:marLeft w:val="0"/>
      <w:marRight w:val="0"/>
      <w:marTop w:val="0"/>
      <w:marBottom w:val="0"/>
      <w:divBdr>
        <w:top w:val="none" w:sz="0" w:space="0" w:color="auto"/>
        <w:left w:val="none" w:sz="0" w:space="0" w:color="auto"/>
        <w:bottom w:val="none" w:sz="0" w:space="0" w:color="auto"/>
        <w:right w:val="none" w:sz="0" w:space="0" w:color="auto"/>
      </w:divBdr>
    </w:div>
    <w:div w:id="1969586129">
      <w:bodyDiv w:val="1"/>
      <w:marLeft w:val="0"/>
      <w:marRight w:val="0"/>
      <w:marTop w:val="0"/>
      <w:marBottom w:val="0"/>
      <w:divBdr>
        <w:top w:val="none" w:sz="0" w:space="0" w:color="auto"/>
        <w:left w:val="none" w:sz="0" w:space="0" w:color="auto"/>
        <w:bottom w:val="none" w:sz="0" w:space="0" w:color="auto"/>
        <w:right w:val="none" w:sz="0" w:space="0" w:color="auto"/>
      </w:divBdr>
    </w:div>
    <w:div w:id="1970550230">
      <w:bodyDiv w:val="1"/>
      <w:marLeft w:val="0"/>
      <w:marRight w:val="0"/>
      <w:marTop w:val="0"/>
      <w:marBottom w:val="0"/>
      <w:divBdr>
        <w:top w:val="none" w:sz="0" w:space="0" w:color="auto"/>
        <w:left w:val="none" w:sz="0" w:space="0" w:color="auto"/>
        <w:bottom w:val="none" w:sz="0" w:space="0" w:color="auto"/>
        <w:right w:val="none" w:sz="0" w:space="0" w:color="auto"/>
      </w:divBdr>
    </w:div>
    <w:div w:id="1970671653">
      <w:bodyDiv w:val="1"/>
      <w:marLeft w:val="0"/>
      <w:marRight w:val="0"/>
      <w:marTop w:val="0"/>
      <w:marBottom w:val="0"/>
      <w:divBdr>
        <w:top w:val="none" w:sz="0" w:space="0" w:color="auto"/>
        <w:left w:val="none" w:sz="0" w:space="0" w:color="auto"/>
        <w:bottom w:val="none" w:sz="0" w:space="0" w:color="auto"/>
        <w:right w:val="none" w:sz="0" w:space="0" w:color="auto"/>
      </w:divBdr>
    </w:div>
    <w:div w:id="1975327519">
      <w:bodyDiv w:val="1"/>
      <w:marLeft w:val="0"/>
      <w:marRight w:val="0"/>
      <w:marTop w:val="0"/>
      <w:marBottom w:val="0"/>
      <w:divBdr>
        <w:top w:val="none" w:sz="0" w:space="0" w:color="auto"/>
        <w:left w:val="none" w:sz="0" w:space="0" w:color="auto"/>
        <w:bottom w:val="none" w:sz="0" w:space="0" w:color="auto"/>
        <w:right w:val="none" w:sz="0" w:space="0" w:color="auto"/>
      </w:divBdr>
    </w:div>
    <w:div w:id="1978492360">
      <w:bodyDiv w:val="1"/>
      <w:marLeft w:val="0"/>
      <w:marRight w:val="0"/>
      <w:marTop w:val="0"/>
      <w:marBottom w:val="0"/>
      <w:divBdr>
        <w:top w:val="none" w:sz="0" w:space="0" w:color="auto"/>
        <w:left w:val="none" w:sz="0" w:space="0" w:color="auto"/>
        <w:bottom w:val="none" w:sz="0" w:space="0" w:color="auto"/>
        <w:right w:val="none" w:sz="0" w:space="0" w:color="auto"/>
      </w:divBdr>
    </w:div>
    <w:div w:id="1981373408">
      <w:bodyDiv w:val="1"/>
      <w:marLeft w:val="0"/>
      <w:marRight w:val="0"/>
      <w:marTop w:val="0"/>
      <w:marBottom w:val="0"/>
      <w:divBdr>
        <w:top w:val="none" w:sz="0" w:space="0" w:color="auto"/>
        <w:left w:val="none" w:sz="0" w:space="0" w:color="auto"/>
        <w:bottom w:val="none" w:sz="0" w:space="0" w:color="auto"/>
        <w:right w:val="none" w:sz="0" w:space="0" w:color="auto"/>
      </w:divBdr>
    </w:div>
    <w:div w:id="1982877980">
      <w:bodyDiv w:val="1"/>
      <w:marLeft w:val="0"/>
      <w:marRight w:val="0"/>
      <w:marTop w:val="0"/>
      <w:marBottom w:val="0"/>
      <w:divBdr>
        <w:top w:val="none" w:sz="0" w:space="0" w:color="auto"/>
        <w:left w:val="none" w:sz="0" w:space="0" w:color="auto"/>
        <w:bottom w:val="none" w:sz="0" w:space="0" w:color="auto"/>
        <w:right w:val="none" w:sz="0" w:space="0" w:color="auto"/>
      </w:divBdr>
    </w:div>
    <w:div w:id="1983382323">
      <w:bodyDiv w:val="1"/>
      <w:marLeft w:val="0"/>
      <w:marRight w:val="0"/>
      <w:marTop w:val="0"/>
      <w:marBottom w:val="0"/>
      <w:divBdr>
        <w:top w:val="none" w:sz="0" w:space="0" w:color="auto"/>
        <w:left w:val="none" w:sz="0" w:space="0" w:color="auto"/>
        <w:bottom w:val="none" w:sz="0" w:space="0" w:color="auto"/>
        <w:right w:val="none" w:sz="0" w:space="0" w:color="auto"/>
      </w:divBdr>
    </w:div>
    <w:div w:id="1991518341">
      <w:bodyDiv w:val="1"/>
      <w:marLeft w:val="0"/>
      <w:marRight w:val="0"/>
      <w:marTop w:val="0"/>
      <w:marBottom w:val="0"/>
      <w:divBdr>
        <w:top w:val="none" w:sz="0" w:space="0" w:color="auto"/>
        <w:left w:val="none" w:sz="0" w:space="0" w:color="auto"/>
        <w:bottom w:val="none" w:sz="0" w:space="0" w:color="auto"/>
        <w:right w:val="none" w:sz="0" w:space="0" w:color="auto"/>
      </w:divBdr>
    </w:div>
    <w:div w:id="1994286001">
      <w:bodyDiv w:val="1"/>
      <w:marLeft w:val="0"/>
      <w:marRight w:val="0"/>
      <w:marTop w:val="0"/>
      <w:marBottom w:val="0"/>
      <w:divBdr>
        <w:top w:val="none" w:sz="0" w:space="0" w:color="auto"/>
        <w:left w:val="none" w:sz="0" w:space="0" w:color="auto"/>
        <w:bottom w:val="none" w:sz="0" w:space="0" w:color="auto"/>
        <w:right w:val="none" w:sz="0" w:space="0" w:color="auto"/>
      </w:divBdr>
    </w:div>
    <w:div w:id="1996180915">
      <w:bodyDiv w:val="1"/>
      <w:marLeft w:val="0"/>
      <w:marRight w:val="0"/>
      <w:marTop w:val="0"/>
      <w:marBottom w:val="0"/>
      <w:divBdr>
        <w:top w:val="none" w:sz="0" w:space="0" w:color="auto"/>
        <w:left w:val="none" w:sz="0" w:space="0" w:color="auto"/>
        <w:bottom w:val="none" w:sz="0" w:space="0" w:color="auto"/>
        <w:right w:val="none" w:sz="0" w:space="0" w:color="auto"/>
      </w:divBdr>
    </w:div>
    <w:div w:id="1997496178">
      <w:bodyDiv w:val="1"/>
      <w:marLeft w:val="0"/>
      <w:marRight w:val="0"/>
      <w:marTop w:val="0"/>
      <w:marBottom w:val="0"/>
      <w:divBdr>
        <w:top w:val="none" w:sz="0" w:space="0" w:color="auto"/>
        <w:left w:val="none" w:sz="0" w:space="0" w:color="auto"/>
        <w:bottom w:val="none" w:sz="0" w:space="0" w:color="auto"/>
        <w:right w:val="none" w:sz="0" w:space="0" w:color="auto"/>
      </w:divBdr>
    </w:div>
    <w:div w:id="2005549507">
      <w:bodyDiv w:val="1"/>
      <w:marLeft w:val="0"/>
      <w:marRight w:val="0"/>
      <w:marTop w:val="0"/>
      <w:marBottom w:val="0"/>
      <w:divBdr>
        <w:top w:val="none" w:sz="0" w:space="0" w:color="auto"/>
        <w:left w:val="none" w:sz="0" w:space="0" w:color="auto"/>
        <w:bottom w:val="none" w:sz="0" w:space="0" w:color="auto"/>
        <w:right w:val="none" w:sz="0" w:space="0" w:color="auto"/>
      </w:divBdr>
    </w:div>
    <w:div w:id="2009942596">
      <w:bodyDiv w:val="1"/>
      <w:marLeft w:val="0"/>
      <w:marRight w:val="0"/>
      <w:marTop w:val="0"/>
      <w:marBottom w:val="0"/>
      <w:divBdr>
        <w:top w:val="none" w:sz="0" w:space="0" w:color="auto"/>
        <w:left w:val="none" w:sz="0" w:space="0" w:color="auto"/>
        <w:bottom w:val="none" w:sz="0" w:space="0" w:color="auto"/>
        <w:right w:val="none" w:sz="0" w:space="0" w:color="auto"/>
      </w:divBdr>
    </w:div>
    <w:div w:id="2020307310">
      <w:bodyDiv w:val="1"/>
      <w:marLeft w:val="0"/>
      <w:marRight w:val="0"/>
      <w:marTop w:val="0"/>
      <w:marBottom w:val="0"/>
      <w:divBdr>
        <w:top w:val="none" w:sz="0" w:space="0" w:color="auto"/>
        <w:left w:val="none" w:sz="0" w:space="0" w:color="auto"/>
        <w:bottom w:val="none" w:sz="0" w:space="0" w:color="auto"/>
        <w:right w:val="none" w:sz="0" w:space="0" w:color="auto"/>
      </w:divBdr>
    </w:div>
    <w:div w:id="2023315510">
      <w:bodyDiv w:val="1"/>
      <w:marLeft w:val="0"/>
      <w:marRight w:val="0"/>
      <w:marTop w:val="0"/>
      <w:marBottom w:val="0"/>
      <w:divBdr>
        <w:top w:val="none" w:sz="0" w:space="0" w:color="auto"/>
        <w:left w:val="none" w:sz="0" w:space="0" w:color="auto"/>
        <w:bottom w:val="none" w:sz="0" w:space="0" w:color="auto"/>
        <w:right w:val="none" w:sz="0" w:space="0" w:color="auto"/>
      </w:divBdr>
    </w:div>
    <w:div w:id="2025471148">
      <w:bodyDiv w:val="1"/>
      <w:marLeft w:val="0"/>
      <w:marRight w:val="0"/>
      <w:marTop w:val="0"/>
      <w:marBottom w:val="0"/>
      <w:divBdr>
        <w:top w:val="none" w:sz="0" w:space="0" w:color="auto"/>
        <w:left w:val="none" w:sz="0" w:space="0" w:color="auto"/>
        <w:bottom w:val="none" w:sz="0" w:space="0" w:color="auto"/>
        <w:right w:val="none" w:sz="0" w:space="0" w:color="auto"/>
      </w:divBdr>
    </w:div>
    <w:div w:id="2035769326">
      <w:bodyDiv w:val="1"/>
      <w:marLeft w:val="0"/>
      <w:marRight w:val="0"/>
      <w:marTop w:val="0"/>
      <w:marBottom w:val="0"/>
      <w:divBdr>
        <w:top w:val="none" w:sz="0" w:space="0" w:color="auto"/>
        <w:left w:val="none" w:sz="0" w:space="0" w:color="auto"/>
        <w:bottom w:val="none" w:sz="0" w:space="0" w:color="auto"/>
        <w:right w:val="none" w:sz="0" w:space="0" w:color="auto"/>
      </w:divBdr>
    </w:div>
    <w:div w:id="2035838950">
      <w:bodyDiv w:val="1"/>
      <w:marLeft w:val="0"/>
      <w:marRight w:val="0"/>
      <w:marTop w:val="0"/>
      <w:marBottom w:val="0"/>
      <w:divBdr>
        <w:top w:val="none" w:sz="0" w:space="0" w:color="auto"/>
        <w:left w:val="none" w:sz="0" w:space="0" w:color="auto"/>
        <w:bottom w:val="none" w:sz="0" w:space="0" w:color="auto"/>
        <w:right w:val="none" w:sz="0" w:space="0" w:color="auto"/>
      </w:divBdr>
    </w:div>
    <w:div w:id="2037728580">
      <w:bodyDiv w:val="1"/>
      <w:marLeft w:val="0"/>
      <w:marRight w:val="0"/>
      <w:marTop w:val="0"/>
      <w:marBottom w:val="0"/>
      <w:divBdr>
        <w:top w:val="none" w:sz="0" w:space="0" w:color="auto"/>
        <w:left w:val="none" w:sz="0" w:space="0" w:color="auto"/>
        <w:bottom w:val="none" w:sz="0" w:space="0" w:color="auto"/>
        <w:right w:val="none" w:sz="0" w:space="0" w:color="auto"/>
      </w:divBdr>
    </w:div>
    <w:div w:id="2039700375">
      <w:bodyDiv w:val="1"/>
      <w:marLeft w:val="0"/>
      <w:marRight w:val="0"/>
      <w:marTop w:val="0"/>
      <w:marBottom w:val="0"/>
      <w:divBdr>
        <w:top w:val="none" w:sz="0" w:space="0" w:color="auto"/>
        <w:left w:val="none" w:sz="0" w:space="0" w:color="auto"/>
        <w:bottom w:val="none" w:sz="0" w:space="0" w:color="auto"/>
        <w:right w:val="none" w:sz="0" w:space="0" w:color="auto"/>
      </w:divBdr>
    </w:div>
    <w:div w:id="2042853762">
      <w:bodyDiv w:val="1"/>
      <w:marLeft w:val="0"/>
      <w:marRight w:val="0"/>
      <w:marTop w:val="0"/>
      <w:marBottom w:val="0"/>
      <w:divBdr>
        <w:top w:val="none" w:sz="0" w:space="0" w:color="auto"/>
        <w:left w:val="none" w:sz="0" w:space="0" w:color="auto"/>
        <w:bottom w:val="none" w:sz="0" w:space="0" w:color="auto"/>
        <w:right w:val="none" w:sz="0" w:space="0" w:color="auto"/>
      </w:divBdr>
    </w:div>
    <w:div w:id="2043440040">
      <w:bodyDiv w:val="1"/>
      <w:marLeft w:val="0"/>
      <w:marRight w:val="0"/>
      <w:marTop w:val="0"/>
      <w:marBottom w:val="0"/>
      <w:divBdr>
        <w:top w:val="none" w:sz="0" w:space="0" w:color="auto"/>
        <w:left w:val="none" w:sz="0" w:space="0" w:color="auto"/>
        <w:bottom w:val="none" w:sz="0" w:space="0" w:color="auto"/>
        <w:right w:val="none" w:sz="0" w:space="0" w:color="auto"/>
      </w:divBdr>
    </w:div>
    <w:div w:id="2045056523">
      <w:bodyDiv w:val="1"/>
      <w:marLeft w:val="0"/>
      <w:marRight w:val="0"/>
      <w:marTop w:val="0"/>
      <w:marBottom w:val="0"/>
      <w:divBdr>
        <w:top w:val="none" w:sz="0" w:space="0" w:color="auto"/>
        <w:left w:val="none" w:sz="0" w:space="0" w:color="auto"/>
        <w:bottom w:val="none" w:sz="0" w:space="0" w:color="auto"/>
        <w:right w:val="none" w:sz="0" w:space="0" w:color="auto"/>
      </w:divBdr>
    </w:div>
    <w:div w:id="2046325737">
      <w:bodyDiv w:val="1"/>
      <w:marLeft w:val="0"/>
      <w:marRight w:val="0"/>
      <w:marTop w:val="0"/>
      <w:marBottom w:val="0"/>
      <w:divBdr>
        <w:top w:val="none" w:sz="0" w:space="0" w:color="auto"/>
        <w:left w:val="none" w:sz="0" w:space="0" w:color="auto"/>
        <w:bottom w:val="none" w:sz="0" w:space="0" w:color="auto"/>
        <w:right w:val="none" w:sz="0" w:space="0" w:color="auto"/>
      </w:divBdr>
    </w:div>
    <w:div w:id="2047365089">
      <w:bodyDiv w:val="1"/>
      <w:marLeft w:val="0"/>
      <w:marRight w:val="0"/>
      <w:marTop w:val="0"/>
      <w:marBottom w:val="0"/>
      <w:divBdr>
        <w:top w:val="none" w:sz="0" w:space="0" w:color="auto"/>
        <w:left w:val="none" w:sz="0" w:space="0" w:color="auto"/>
        <w:bottom w:val="none" w:sz="0" w:space="0" w:color="auto"/>
        <w:right w:val="none" w:sz="0" w:space="0" w:color="auto"/>
      </w:divBdr>
    </w:div>
    <w:div w:id="2050912087">
      <w:bodyDiv w:val="1"/>
      <w:marLeft w:val="0"/>
      <w:marRight w:val="0"/>
      <w:marTop w:val="0"/>
      <w:marBottom w:val="0"/>
      <w:divBdr>
        <w:top w:val="none" w:sz="0" w:space="0" w:color="auto"/>
        <w:left w:val="none" w:sz="0" w:space="0" w:color="auto"/>
        <w:bottom w:val="none" w:sz="0" w:space="0" w:color="auto"/>
        <w:right w:val="none" w:sz="0" w:space="0" w:color="auto"/>
      </w:divBdr>
    </w:div>
    <w:div w:id="2051221966">
      <w:bodyDiv w:val="1"/>
      <w:marLeft w:val="0"/>
      <w:marRight w:val="0"/>
      <w:marTop w:val="0"/>
      <w:marBottom w:val="0"/>
      <w:divBdr>
        <w:top w:val="none" w:sz="0" w:space="0" w:color="auto"/>
        <w:left w:val="none" w:sz="0" w:space="0" w:color="auto"/>
        <w:bottom w:val="none" w:sz="0" w:space="0" w:color="auto"/>
        <w:right w:val="none" w:sz="0" w:space="0" w:color="auto"/>
      </w:divBdr>
    </w:div>
    <w:div w:id="2051877922">
      <w:bodyDiv w:val="1"/>
      <w:marLeft w:val="0"/>
      <w:marRight w:val="0"/>
      <w:marTop w:val="0"/>
      <w:marBottom w:val="0"/>
      <w:divBdr>
        <w:top w:val="none" w:sz="0" w:space="0" w:color="auto"/>
        <w:left w:val="none" w:sz="0" w:space="0" w:color="auto"/>
        <w:bottom w:val="none" w:sz="0" w:space="0" w:color="auto"/>
        <w:right w:val="none" w:sz="0" w:space="0" w:color="auto"/>
      </w:divBdr>
    </w:div>
    <w:div w:id="2053648622">
      <w:bodyDiv w:val="1"/>
      <w:marLeft w:val="0"/>
      <w:marRight w:val="0"/>
      <w:marTop w:val="0"/>
      <w:marBottom w:val="0"/>
      <w:divBdr>
        <w:top w:val="none" w:sz="0" w:space="0" w:color="auto"/>
        <w:left w:val="none" w:sz="0" w:space="0" w:color="auto"/>
        <w:bottom w:val="none" w:sz="0" w:space="0" w:color="auto"/>
        <w:right w:val="none" w:sz="0" w:space="0" w:color="auto"/>
      </w:divBdr>
    </w:div>
    <w:div w:id="2054452396">
      <w:bodyDiv w:val="1"/>
      <w:marLeft w:val="0"/>
      <w:marRight w:val="0"/>
      <w:marTop w:val="0"/>
      <w:marBottom w:val="0"/>
      <w:divBdr>
        <w:top w:val="none" w:sz="0" w:space="0" w:color="auto"/>
        <w:left w:val="none" w:sz="0" w:space="0" w:color="auto"/>
        <w:bottom w:val="none" w:sz="0" w:space="0" w:color="auto"/>
        <w:right w:val="none" w:sz="0" w:space="0" w:color="auto"/>
      </w:divBdr>
    </w:div>
    <w:div w:id="2076539139">
      <w:bodyDiv w:val="1"/>
      <w:marLeft w:val="0"/>
      <w:marRight w:val="0"/>
      <w:marTop w:val="0"/>
      <w:marBottom w:val="0"/>
      <w:divBdr>
        <w:top w:val="none" w:sz="0" w:space="0" w:color="auto"/>
        <w:left w:val="none" w:sz="0" w:space="0" w:color="auto"/>
        <w:bottom w:val="none" w:sz="0" w:space="0" w:color="auto"/>
        <w:right w:val="none" w:sz="0" w:space="0" w:color="auto"/>
      </w:divBdr>
    </w:div>
    <w:div w:id="2076928200">
      <w:bodyDiv w:val="1"/>
      <w:marLeft w:val="0"/>
      <w:marRight w:val="0"/>
      <w:marTop w:val="0"/>
      <w:marBottom w:val="0"/>
      <w:divBdr>
        <w:top w:val="none" w:sz="0" w:space="0" w:color="auto"/>
        <w:left w:val="none" w:sz="0" w:space="0" w:color="auto"/>
        <w:bottom w:val="none" w:sz="0" w:space="0" w:color="auto"/>
        <w:right w:val="none" w:sz="0" w:space="0" w:color="auto"/>
      </w:divBdr>
    </w:div>
    <w:div w:id="2091005581">
      <w:bodyDiv w:val="1"/>
      <w:marLeft w:val="0"/>
      <w:marRight w:val="0"/>
      <w:marTop w:val="0"/>
      <w:marBottom w:val="0"/>
      <w:divBdr>
        <w:top w:val="none" w:sz="0" w:space="0" w:color="auto"/>
        <w:left w:val="none" w:sz="0" w:space="0" w:color="auto"/>
        <w:bottom w:val="none" w:sz="0" w:space="0" w:color="auto"/>
        <w:right w:val="none" w:sz="0" w:space="0" w:color="auto"/>
      </w:divBdr>
    </w:div>
    <w:div w:id="2094087709">
      <w:bodyDiv w:val="1"/>
      <w:marLeft w:val="0"/>
      <w:marRight w:val="0"/>
      <w:marTop w:val="0"/>
      <w:marBottom w:val="0"/>
      <w:divBdr>
        <w:top w:val="none" w:sz="0" w:space="0" w:color="auto"/>
        <w:left w:val="none" w:sz="0" w:space="0" w:color="auto"/>
        <w:bottom w:val="none" w:sz="0" w:space="0" w:color="auto"/>
        <w:right w:val="none" w:sz="0" w:space="0" w:color="auto"/>
      </w:divBdr>
    </w:div>
    <w:div w:id="2095317393">
      <w:bodyDiv w:val="1"/>
      <w:marLeft w:val="0"/>
      <w:marRight w:val="0"/>
      <w:marTop w:val="0"/>
      <w:marBottom w:val="0"/>
      <w:divBdr>
        <w:top w:val="none" w:sz="0" w:space="0" w:color="auto"/>
        <w:left w:val="none" w:sz="0" w:space="0" w:color="auto"/>
        <w:bottom w:val="none" w:sz="0" w:space="0" w:color="auto"/>
        <w:right w:val="none" w:sz="0" w:space="0" w:color="auto"/>
      </w:divBdr>
    </w:div>
    <w:div w:id="2096894137">
      <w:bodyDiv w:val="1"/>
      <w:marLeft w:val="0"/>
      <w:marRight w:val="0"/>
      <w:marTop w:val="0"/>
      <w:marBottom w:val="0"/>
      <w:divBdr>
        <w:top w:val="none" w:sz="0" w:space="0" w:color="auto"/>
        <w:left w:val="none" w:sz="0" w:space="0" w:color="auto"/>
        <w:bottom w:val="none" w:sz="0" w:space="0" w:color="auto"/>
        <w:right w:val="none" w:sz="0" w:space="0" w:color="auto"/>
      </w:divBdr>
    </w:div>
    <w:div w:id="2098860816">
      <w:bodyDiv w:val="1"/>
      <w:marLeft w:val="0"/>
      <w:marRight w:val="0"/>
      <w:marTop w:val="0"/>
      <w:marBottom w:val="0"/>
      <w:divBdr>
        <w:top w:val="none" w:sz="0" w:space="0" w:color="auto"/>
        <w:left w:val="none" w:sz="0" w:space="0" w:color="auto"/>
        <w:bottom w:val="none" w:sz="0" w:space="0" w:color="auto"/>
        <w:right w:val="none" w:sz="0" w:space="0" w:color="auto"/>
      </w:divBdr>
    </w:div>
    <w:div w:id="2102406856">
      <w:bodyDiv w:val="1"/>
      <w:marLeft w:val="0"/>
      <w:marRight w:val="0"/>
      <w:marTop w:val="0"/>
      <w:marBottom w:val="0"/>
      <w:divBdr>
        <w:top w:val="none" w:sz="0" w:space="0" w:color="auto"/>
        <w:left w:val="none" w:sz="0" w:space="0" w:color="auto"/>
        <w:bottom w:val="none" w:sz="0" w:space="0" w:color="auto"/>
        <w:right w:val="none" w:sz="0" w:space="0" w:color="auto"/>
      </w:divBdr>
    </w:div>
    <w:div w:id="2105177536">
      <w:bodyDiv w:val="1"/>
      <w:marLeft w:val="0"/>
      <w:marRight w:val="0"/>
      <w:marTop w:val="0"/>
      <w:marBottom w:val="0"/>
      <w:divBdr>
        <w:top w:val="none" w:sz="0" w:space="0" w:color="auto"/>
        <w:left w:val="none" w:sz="0" w:space="0" w:color="auto"/>
        <w:bottom w:val="none" w:sz="0" w:space="0" w:color="auto"/>
        <w:right w:val="none" w:sz="0" w:space="0" w:color="auto"/>
      </w:divBdr>
    </w:div>
    <w:div w:id="2107652679">
      <w:bodyDiv w:val="1"/>
      <w:marLeft w:val="0"/>
      <w:marRight w:val="0"/>
      <w:marTop w:val="0"/>
      <w:marBottom w:val="0"/>
      <w:divBdr>
        <w:top w:val="none" w:sz="0" w:space="0" w:color="auto"/>
        <w:left w:val="none" w:sz="0" w:space="0" w:color="auto"/>
        <w:bottom w:val="none" w:sz="0" w:space="0" w:color="auto"/>
        <w:right w:val="none" w:sz="0" w:space="0" w:color="auto"/>
      </w:divBdr>
    </w:div>
    <w:div w:id="2110194737">
      <w:bodyDiv w:val="1"/>
      <w:marLeft w:val="0"/>
      <w:marRight w:val="0"/>
      <w:marTop w:val="0"/>
      <w:marBottom w:val="0"/>
      <w:divBdr>
        <w:top w:val="none" w:sz="0" w:space="0" w:color="auto"/>
        <w:left w:val="none" w:sz="0" w:space="0" w:color="auto"/>
        <w:bottom w:val="none" w:sz="0" w:space="0" w:color="auto"/>
        <w:right w:val="none" w:sz="0" w:space="0" w:color="auto"/>
      </w:divBdr>
    </w:div>
    <w:div w:id="2110928478">
      <w:bodyDiv w:val="1"/>
      <w:marLeft w:val="0"/>
      <w:marRight w:val="0"/>
      <w:marTop w:val="0"/>
      <w:marBottom w:val="0"/>
      <w:divBdr>
        <w:top w:val="none" w:sz="0" w:space="0" w:color="auto"/>
        <w:left w:val="none" w:sz="0" w:space="0" w:color="auto"/>
        <w:bottom w:val="none" w:sz="0" w:space="0" w:color="auto"/>
        <w:right w:val="none" w:sz="0" w:space="0" w:color="auto"/>
      </w:divBdr>
    </w:div>
    <w:div w:id="2118795307">
      <w:bodyDiv w:val="1"/>
      <w:marLeft w:val="0"/>
      <w:marRight w:val="0"/>
      <w:marTop w:val="0"/>
      <w:marBottom w:val="0"/>
      <w:divBdr>
        <w:top w:val="none" w:sz="0" w:space="0" w:color="auto"/>
        <w:left w:val="none" w:sz="0" w:space="0" w:color="auto"/>
        <w:bottom w:val="none" w:sz="0" w:space="0" w:color="auto"/>
        <w:right w:val="none" w:sz="0" w:space="0" w:color="auto"/>
      </w:divBdr>
    </w:div>
    <w:div w:id="2119062214">
      <w:bodyDiv w:val="1"/>
      <w:marLeft w:val="0"/>
      <w:marRight w:val="0"/>
      <w:marTop w:val="0"/>
      <w:marBottom w:val="0"/>
      <w:divBdr>
        <w:top w:val="none" w:sz="0" w:space="0" w:color="auto"/>
        <w:left w:val="none" w:sz="0" w:space="0" w:color="auto"/>
        <w:bottom w:val="none" w:sz="0" w:space="0" w:color="auto"/>
        <w:right w:val="none" w:sz="0" w:space="0" w:color="auto"/>
      </w:divBdr>
    </w:div>
    <w:div w:id="2123257205">
      <w:bodyDiv w:val="1"/>
      <w:marLeft w:val="0"/>
      <w:marRight w:val="0"/>
      <w:marTop w:val="0"/>
      <w:marBottom w:val="0"/>
      <w:divBdr>
        <w:top w:val="none" w:sz="0" w:space="0" w:color="auto"/>
        <w:left w:val="none" w:sz="0" w:space="0" w:color="auto"/>
        <w:bottom w:val="none" w:sz="0" w:space="0" w:color="auto"/>
        <w:right w:val="none" w:sz="0" w:space="0" w:color="auto"/>
      </w:divBdr>
    </w:div>
    <w:div w:id="2126538021">
      <w:bodyDiv w:val="1"/>
      <w:marLeft w:val="0"/>
      <w:marRight w:val="0"/>
      <w:marTop w:val="0"/>
      <w:marBottom w:val="0"/>
      <w:divBdr>
        <w:top w:val="none" w:sz="0" w:space="0" w:color="auto"/>
        <w:left w:val="none" w:sz="0" w:space="0" w:color="auto"/>
        <w:bottom w:val="none" w:sz="0" w:space="0" w:color="auto"/>
        <w:right w:val="none" w:sz="0" w:space="0" w:color="auto"/>
      </w:divBdr>
    </w:div>
    <w:div w:id="2127309335">
      <w:bodyDiv w:val="1"/>
      <w:marLeft w:val="0"/>
      <w:marRight w:val="0"/>
      <w:marTop w:val="0"/>
      <w:marBottom w:val="0"/>
      <w:divBdr>
        <w:top w:val="none" w:sz="0" w:space="0" w:color="auto"/>
        <w:left w:val="none" w:sz="0" w:space="0" w:color="auto"/>
        <w:bottom w:val="none" w:sz="0" w:space="0" w:color="auto"/>
        <w:right w:val="none" w:sz="0" w:space="0" w:color="auto"/>
      </w:divBdr>
    </w:div>
    <w:div w:id="2128042838">
      <w:bodyDiv w:val="1"/>
      <w:marLeft w:val="0"/>
      <w:marRight w:val="0"/>
      <w:marTop w:val="0"/>
      <w:marBottom w:val="0"/>
      <w:divBdr>
        <w:top w:val="none" w:sz="0" w:space="0" w:color="auto"/>
        <w:left w:val="none" w:sz="0" w:space="0" w:color="auto"/>
        <w:bottom w:val="none" w:sz="0" w:space="0" w:color="auto"/>
        <w:right w:val="none" w:sz="0" w:space="0" w:color="auto"/>
      </w:divBdr>
    </w:div>
    <w:div w:id="2129465579">
      <w:bodyDiv w:val="1"/>
      <w:marLeft w:val="0"/>
      <w:marRight w:val="0"/>
      <w:marTop w:val="0"/>
      <w:marBottom w:val="0"/>
      <w:divBdr>
        <w:top w:val="none" w:sz="0" w:space="0" w:color="auto"/>
        <w:left w:val="none" w:sz="0" w:space="0" w:color="auto"/>
        <w:bottom w:val="none" w:sz="0" w:space="0" w:color="auto"/>
        <w:right w:val="none" w:sz="0" w:space="0" w:color="auto"/>
      </w:divBdr>
    </w:div>
    <w:div w:id="2130006760">
      <w:bodyDiv w:val="1"/>
      <w:marLeft w:val="0"/>
      <w:marRight w:val="0"/>
      <w:marTop w:val="0"/>
      <w:marBottom w:val="0"/>
      <w:divBdr>
        <w:top w:val="none" w:sz="0" w:space="0" w:color="auto"/>
        <w:left w:val="none" w:sz="0" w:space="0" w:color="auto"/>
        <w:bottom w:val="none" w:sz="0" w:space="0" w:color="auto"/>
        <w:right w:val="none" w:sz="0" w:space="0" w:color="auto"/>
      </w:divBdr>
    </w:div>
    <w:div w:id="2133403799">
      <w:bodyDiv w:val="1"/>
      <w:marLeft w:val="0"/>
      <w:marRight w:val="0"/>
      <w:marTop w:val="0"/>
      <w:marBottom w:val="0"/>
      <w:divBdr>
        <w:top w:val="none" w:sz="0" w:space="0" w:color="auto"/>
        <w:left w:val="none" w:sz="0" w:space="0" w:color="auto"/>
        <w:bottom w:val="none" w:sz="0" w:space="0" w:color="auto"/>
        <w:right w:val="none" w:sz="0" w:space="0" w:color="auto"/>
      </w:divBdr>
    </w:div>
    <w:div w:id="2140608963">
      <w:bodyDiv w:val="1"/>
      <w:marLeft w:val="0"/>
      <w:marRight w:val="0"/>
      <w:marTop w:val="0"/>
      <w:marBottom w:val="0"/>
      <w:divBdr>
        <w:top w:val="none" w:sz="0" w:space="0" w:color="auto"/>
        <w:left w:val="none" w:sz="0" w:space="0" w:color="auto"/>
        <w:bottom w:val="none" w:sz="0" w:space="0" w:color="auto"/>
        <w:right w:val="none" w:sz="0" w:space="0" w:color="auto"/>
      </w:divBdr>
    </w:div>
    <w:div w:id="214272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header" Target="header3.xml"/><Relationship Id="rId21" Type="http://schemas.openxmlformats.org/officeDocument/2006/relationships/chart" Target="charts/chart5.xml"/><Relationship Id="rId34" Type="http://schemas.openxmlformats.org/officeDocument/2006/relationships/chart" Target="charts/chart12.xm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8.xml"/><Relationship Id="rId32" Type="http://schemas.openxmlformats.org/officeDocument/2006/relationships/chart" Target="charts/chart10.xml"/><Relationship Id="rId37" Type="http://schemas.openxmlformats.org/officeDocument/2006/relationships/image" Target="media/image11.pn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6.emf"/><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chart" Target="charts/chart1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chart" Target="charts/chart11.xml"/><Relationship Id="rId38"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www.wb-reep.org/" TargetMode="External"/><Relationship Id="rId13" Type="http://schemas.openxmlformats.org/officeDocument/2006/relationships/hyperlink" Target="http://www.strukturnifondovi.hr/natjecaji/1276" TargetMode="External"/><Relationship Id="rId18" Type="http://schemas.openxmlformats.org/officeDocument/2006/relationships/hyperlink" Target="https://mgipu.gov.hr/UserDocsImages/dokumenti/EnergetskaUcinkovitost/1_Otvoreni_dijalog_5_IKS.pdf" TargetMode="External"/><Relationship Id="rId3" Type="http://schemas.openxmlformats.org/officeDocument/2006/relationships/hyperlink" Target="http://www.concertoplus.eu/" TargetMode="External"/><Relationship Id="rId21" Type="http://schemas.openxmlformats.org/officeDocument/2006/relationships/hyperlink" Target="https://www.statista.com/statistics/246355/home-ownership-rate-in-europe/" TargetMode="External"/><Relationship Id="rId7" Type="http://schemas.openxmlformats.org/officeDocument/2006/relationships/hyperlink" Target="https://www.hbor.hr/wp-content/uploads/2017/05/Za%C5%A1tita-okoli%C5%A1a-Pk-projekata-za%C5%A1tite-okoli%C5%A1a-energetske-u%C4%8Dinkovitosti%20-1612-1704.pdf" TargetMode="External"/><Relationship Id="rId12" Type="http://schemas.openxmlformats.org/officeDocument/2006/relationships/hyperlink" Target="http://novebojeznanja.hr/UserDocsImages/Dokumenti%20i%20publikacije/Dokumenti%20i%20publikacije%20referirani%20u%20SOZTu%20(popis%201)/146%20Akcijski%20plan%20za%20poticanje%20ulaganja%20u%20znanost%20i%20istra%C5%BEivanje.pdf" TargetMode="External"/><Relationship Id="rId17" Type="http://schemas.openxmlformats.org/officeDocument/2006/relationships/hyperlink" Target="http://ec.europa.eu/programmes/horizon2020/" TargetMode="External"/><Relationship Id="rId25" Type="http://schemas.openxmlformats.org/officeDocument/2006/relationships/hyperlink" Target="http://eur-lex.europa.eu/resource.html?uri=cellar:c382f65d-618a-4c72-9135-1e68087499fa.0006.02/DOC_3&amp;format=PDF" TargetMode="External"/><Relationship Id="rId2" Type="http://schemas.openxmlformats.org/officeDocument/2006/relationships/hyperlink" Target="http://www.strukturnifondovi.hr/UserDocsImages/Publikacije/Instrument_pretpristupne_pomoci_IPA.pdf" TargetMode="External"/><Relationship Id="rId16" Type="http://schemas.openxmlformats.org/officeDocument/2006/relationships/hyperlink" Target="http://buildupon.eu/hr/" TargetMode="External"/><Relationship Id="rId20" Type="http://schemas.openxmlformats.org/officeDocument/2006/relationships/hyperlink" Target="http://www.ijf.hr/upload/files/file/projekti/Analiza_sustava_poticanja_stambene_stednje_u_Republici_Hrvatskoj.pdf" TargetMode="External"/><Relationship Id="rId1" Type="http://schemas.openxmlformats.org/officeDocument/2006/relationships/hyperlink" Target="https://www.mingo.hr/public/investicije/OPKK_2014_2020_31316.pdf%20%5b2017" TargetMode="External"/><Relationship Id="rId6" Type="http://schemas.openxmlformats.org/officeDocument/2006/relationships/hyperlink" Target="http://www.fzoeu.hr/hr/energetska_ucinkovitost/enu_u_zgradarstvu/" TargetMode="External"/><Relationship Id="rId11" Type="http://schemas.openxmlformats.org/officeDocument/2006/relationships/hyperlink" Target="http://www.mingo.hr/userdocsimages/STRATE%C5%A0KI%20PLAN%20MINGO%202013-2015%20kona%C4%8Dno.doc" TargetMode="External"/><Relationship Id="rId24" Type="http://schemas.openxmlformats.org/officeDocument/2006/relationships/hyperlink" Target="https://www.velux.com/health/healthy-homes-barometer-frontpage" TargetMode="External"/><Relationship Id="rId5" Type="http://schemas.openxmlformats.org/officeDocument/2006/relationships/hyperlink" Target="http://www.obzor2020.hr/" TargetMode="External"/><Relationship Id="rId15" Type="http://schemas.openxmlformats.org/officeDocument/2006/relationships/hyperlink" Target="https://ec.europa.eu/info/funding-tenders_en" TargetMode="External"/><Relationship Id="rId23" Type="http://schemas.openxmlformats.org/officeDocument/2006/relationships/hyperlink" Target="http://econpapers.repec.org/article/eeeecosys/v_3a38_3ay_3a2014_3ai_3a3_3ap_3a433-450.htm" TargetMode="External"/><Relationship Id="rId10" Type="http://schemas.openxmlformats.org/officeDocument/2006/relationships/hyperlink" Target="http://www.hamagbicro.hr/inovacije/javni-sektor/test/" TargetMode="External"/><Relationship Id="rId19" Type="http://schemas.openxmlformats.org/officeDocument/2006/relationships/hyperlink" Target="http://apn.hr/energetska-obnova-zgrada-javnog-sektora/program-2016-2020/opcenito" TargetMode="External"/><Relationship Id="rId4" Type="http://schemas.openxmlformats.org/officeDocument/2006/relationships/hyperlink" Target="http://ec.europa.eu/cip/" TargetMode="External"/><Relationship Id="rId9" Type="http://schemas.openxmlformats.org/officeDocument/2006/relationships/hyperlink" Target="http://www.enu.fzoeu.hr/" TargetMode="External"/><Relationship Id="rId14" Type="http://schemas.openxmlformats.org/officeDocument/2006/relationships/hyperlink" Target="http://www.eco-sandwich.hr/hr/" TargetMode="External"/><Relationship Id="rId22" Type="http://schemas.openxmlformats.org/officeDocument/2006/relationships/hyperlink" Target="https://mgipu.gov.hr/vijesti/drugi-otvoreni-dijalog-partnera-energetsko-siromastvo/89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https://energetskiinstituth.sharepoint.com/sites/RevLTRS/Shared%20Documents/fond%20zgrada%20revLTRS%202019.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H:\KOMP\Komp\Projekti%20na%20kojima%20sam\Gelo\OIE_DZS_2015.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H:\KOMP\Komp\Projekti%20na%20kojima%20sam\Gelo\OIE_DZS_2015.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H:\KOMP\Komp\Projekti%20na%20kojima%20sam\Gelo\OIE_DZS_2015.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Users\velimirsonje\Downloads\h-j3.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https://energetskiinstituth.sharepoint.com/sites/RevLTRS/Shared%20Documents/kretanje%20stambenog%20fonda%20revLTR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https://energetskiinstituth.sharepoint.com/sites/RevLTRS/Shared%20Documents/kretanje%20stambenog%20fonda%20revLTRS.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https://energetskiinstituth.sharepoint.com/sites/EV_US12017-MV/Zajednicki%20dokumenti/radno/Book2.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https://energetskiinstituth.sharepoint.com/sites/RevLTRS/Shared%20Documents/izvori/IEC%20izdani%20certifikati%20do%2029.10.2019..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https://energetskiinstituth.sharepoint.com/sites/RevLTRS/Shared%20Documents/izvori/IEC%20izdani%20certifikati%20do%2029.10.2019..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https://energetskiinstituth.sharepoint.com/sites/RevLTRS/Shared%20Documents/izvori/IEC%20izdani%20certifikati%20do%2029.10.2019..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oleObject" Target="https://energetskiinstituth.sharepoint.com/sites/RevLTRS/Shared%20Documents/izvori/ES_RH/maksimalni%20scenarij%20povr&#353;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kretanje ukupne</a:t>
            </a:r>
            <a:r>
              <a:rPr lang="en-US" baseline="0"/>
              <a:t> površine zgrada 2011. - 2018.</a:t>
            </a:r>
            <a:endParaRPr lang="hr-HR"/>
          </a:p>
        </c:rich>
      </c:tx>
      <c:layout/>
      <c:overlay val="0"/>
      <c:spPr>
        <a:noFill/>
        <a:ln>
          <a:noFill/>
        </a:ln>
        <a:effectLst/>
      </c:spPr>
    </c:title>
    <c:autoTitleDeleted val="0"/>
    <c:plotArea>
      <c:layout/>
      <c:lineChart>
        <c:grouping val="standard"/>
        <c:varyColors val="0"/>
        <c:ser>
          <c:idx val="0"/>
          <c:order val="0"/>
          <c:tx>
            <c:strRef>
              <c:f>ukupno!$B$18</c:f>
              <c:strCache>
                <c:ptCount val="1"/>
                <c:pt idx="0">
                  <c:v>ukupno</c:v>
                </c:pt>
              </c:strCache>
            </c:strRef>
          </c:tx>
          <c:spPr>
            <a:ln w="28575" cap="rnd">
              <a:solidFill>
                <a:schemeClr val="accent1"/>
              </a:solidFill>
              <a:round/>
            </a:ln>
            <a:effectLst/>
          </c:spPr>
          <c:marker>
            <c:symbol val="none"/>
          </c:marker>
          <c:dLbls>
            <c:dLbl>
              <c:idx val="0"/>
              <c:layout/>
              <c:tx>
                <c:rich>
                  <a:bodyPr/>
                  <a:lstStyle/>
                  <a:p>
                    <a:fld id="{204BE199-B37E-4B32-80BF-58D2EB5A81BE}"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0386-4FA6-AD4C-058A036C0B63}"/>
                </c:ext>
              </c:extLst>
            </c:dLbl>
            <c:dLbl>
              <c:idx val="1"/>
              <c:layout/>
              <c:tx>
                <c:rich>
                  <a:bodyPr/>
                  <a:lstStyle/>
                  <a:p>
                    <a:fld id="{F36DE696-2D9C-4DA0-A093-432F6A004969}"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0386-4FA6-AD4C-058A036C0B63}"/>
                </c:ext>
              </c:extLst>
            </c:dLbl>
            <c:dLbl>
              <c:idx val="2"/>
              <c:layout/>
              <c:tx>
                <c:rich>
                  <a:bodyPr/>
                  <a:lstStyle/>
                  <a:p>
                    <a:fld id="{57B20079-548B-4161-B95B-5F0816F1A49B}"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0386-4FA6-AD4C-058A036C0B63}"/>
                </c:ext>
              </c:extLst>
            </c:dLbl>
            <c:dLbl>
              <c:idx val="3"/>
              <c:layout/>
              <c:tx>
                <c:rich>
                  <a:bodyPr/>
                  <a:lstStyle/>
                  <a:p>
                    <a:fld id="{BFAF6CC4-68AC-49FC-918B-C23267E04180}"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0386-4FA6-AD4C-058A036C0B63}"/>
                </c:ext>
              </c:extLst>
            </c:dLbl>
            <c:dLbl>
              <c:idx val="4"/>
              <c:layout/>
              <c:tx>
                <c:rich>
                  <a:bodyPr/>
                  <a:lstStyle/>
                  <a:p>
                    <a:fld id="{0E2AC3EB-511B-49C5-BC59-BC3090B561D4}"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0386-4FA6-AD4C-058A036C0B63}"/>
                </c:ext>
              </c:extLst>
            </c:dLbl>
            <c:dLbl>
              <c:idx val="5"/>
              <c:layout/>
              <c:tx>
                <c:rich>
                  <a:bodyPr/>
                  <a:lstStyle/>
                  <a:p>
                    <a:fld id="{8A157920-E4F2-46D2-BF77-702C3F61D48E}"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0386-4FA6-AD4C-058A036C0B63}"/>
                </c:ext>
              </c:extLst>
            </c:dLbl>
            <c:dLbl>
              <c:idx val="6"/>
              <c:layout/>
              <c:tx>
                <c:rich>
                  <a:bodyPr/>
                  <a:lstStyle/>
                  <a:p>
                    <a:fld id="{2A2B15BF-1CB8-4CD1-BDF4-CC30A4EF399B}"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0386-4FA6-AD4C-058A036C0B63}"/>
                </c:ext>
              </c:extLst>
            </c:dLbl>
            <c:dLbl>
              <c:idx val="7"/>
              <c:layout/>
              <c:tx>
                <c:rich>
                  <a:bodyPr/>
                  <a:lstStyle/>
                  <a:p>
                    <a:fld id="{C13ED2D7-4FC7-49BC-9422-9D5D4D9AE5B7}"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0386-4FA6-AD4C-058A036C0B6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DataLabelsRange val="1"/>
                <c15:showLeaderLines val="0"/>
              </c:ext>
            </c:extLst>
          </c:dLbls>
          <c:cat>
            <c:numRef>
              <c:f>ukupno!$C$4:$J$4</c:f>
              <c:numCache>
                <c:formatCode>General</c:formatCode>
                <c:ptCount val="8"/>
                <c:pt idx="0">
                  <c:v>2011</c:v>
                </c:pt>
                <c:pt idx="1">
                  <c:v>2012</c:v>
                </c:pt>
                <c:pt idx="2">
                  <c:v>2013</c:v>
                </c:pt>
                <c:pt idx="3">
                  <c:v>2014</c:v>
                </c:pt>
                <c:pt idx="4">
                  <c:v>2015</c:v>
                </c:pt>
                <c:pt idx="5">
                  <c:v>2016</c:v>
                </c:pt>
                <c:pt idx="6">
                  <c:v>2017</c:v>
                </c:pt>
                <c:pt idx="7">
                  <c:v>2018</c:v>
                </c:pt>
              </c:numCache>
            </c:numRef>
          </c:cat>
          <c:val>
            <c:numRef>
              <c:f>ukupno!$C$19:$J$19</c:f>
              <c:numCache>
                <c:formatCode>#,##0</c:formatCode>
                <c:ptCount val="8"/>
                <c:pt idx="0">
                  <c:v>198133193</c:v>
                </c:pt>
                <c:pt idx="1">
                  <c:v>199148396.81711856</c:v>
                </c:pt>
                <c:pt idx="2">
                  <c:v>199950265.62997067</c:v>
                </c:pt>
                <c:pt idx="3">
                  <c:v>200604889.89938945</c:v>
                </c:pt>
                <c:pt idx="4">
                  <c:v>201344177.80756876</c:v>
                </c:pt>
                <c:pt idx="5">
                  <c:v>202371545.69225514</c:v>
                </c:pt>
                <c:pt idx="6">
                  <c:v>203399520.43420127</c:v>
                </c:pt>
                <c:pt idx="7">
                  <c:v>204418232.55084464</c:v>
                </c:pt>
              </c:numCache>
            </c:numRef>
          </c:val>
          <c:smooth val="0"/>
          <c:extLst>
            <c:ext xmlns:c15="http://schemas.microsoft.com/office/drawing/2012/chart" uri="{02D57815-91ED-43cb-92C2-25804820EDAC}">
              <c15:datalabelsRange>
                <c15:f>ukupno!$C$19:$J$19</c15:f>
                <c15:dlblRangeCache>
                  <c:ptCount val="8"/>
                  <c:pt idx="0">
                    <c:v>198.133.193</c:v>
                  </c:pt>
                  <c:pt idx="1">
                    <c:v>199.148.397</c:v>
                  </c:pt>
                  <c:pt idx="2">
                    <c:v>199.950.266</c:v>
                  </c:pt>
                  <c:pt idx="3">
                    <c:v>200.604.890</c:v>
                  </c:pt>
                  <c:pt idx="4">
                    <c:v>201.344.178</c:v>
                  </c:pt>
                  <c:pt idx="5">
                    <c:v>202.371.546</c:v>
                  </c:pt>
                  <c:pt idx="6">
                    <c:v>203.399.520</c:v>
                  </c:pt>
                  <c:pt idx="7">
                    <c:v>204.418.233</c:v>
                  </c:pt>
                </c15:dlblRangeCache>
              </c15:datalabelsRange>
            </c:ext>
            <c:ext xmlns:c16="http://schemas.microsoft.com/office/drawing/2014/chart" uri="{C3380CC4-5D6E-409C-BE32-E72D297353CC}">
              <c16:uniqueId val="{00000008-0386-4FA6-AD4C-058A036C0B63}"/>
            </c:ext>
          </c:extLst>
        </c:ser>
        <c:dLbls>
          <c:showLegendKey val="0"/>
          <c:showVal val="0"/>
          <c:showCatName val="0"/>
          <c:showSerName val="0"/>
          <c:showPercent val="0"/>
          <c:showBubbleSize val="0"/>
        </c:dLbls>
        <c:smooth val="0"/>
        <c:axId val="184980992"/>
        <c:axId val="184982912"/>
      </c:lineChart>
      <c:catAx>
        <c:axId val="1849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4982912"/>
        <c:crosses val="autoZero"/>
        <c:auto val="1"/>
        <c:lblAlgn val="ctr"/>
        <c:lblOffset val="100"/>
        <c:noMultiLvlLbl val="0"/>
      </c:catAx>
      <c:valAx>
        <c:axId val="18498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4980992"/>
        <c:crosses val="autoZero"/>
        <c:crossBetween val="between"/>
        <c:dispUnits>
          <c:builtInUnit val="millions"/>
          <c:dispUnitsLbl>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milijuna m2</a:t>
                  </a:r>
                </a:p>
              </c:rich>
            </c:tx>
            <c:spPr>
              <a:noFill/>
              <a:ln>
                <a:noFill/>
              </a:ln>
              <a:effectLst/>
            </c:sp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hr-HR"/>
              <a:t>(mil HRK)</a:t>
            </a:r>
          </a:p>
        </c:rich>
      </c:tx>
      <c:layout>
        <c:manualLayout>
          <c:xMode val="edge"/>
          <c:yMode val="edge"/>
          <c:x val="0.76220506322251891"/>
          <c:y val="2.7777777777777776E-2"/>
        </c:manualLayout>
      </c:layout>
      <c:overlay val="0"/>
      <c:spPr>
        <a:noFill/>
        <a:ln>
          <a:noFill/>
        </a:ln>
        <a:effectLst/>
      </c:spPr>
    </c:title>
    <c:autoTitleDeleted val="0"/>
    <c:plotArea>
      <c:layout>
        <c:manualLayout>
          <c:layoutTarget val="inner"/>
          <c:xMode val="edge"/>
          <c:yMode val="edge"/>
          <c:x val="0.14714312819331318"/>
          <c:y val="2.2604257801108196E-2"/>
          <c:w val="0.80552468592028403"/>
          <c:h val="0.73747484689413823"/>
        </c:manualLayout>
      </c:layout>
      <c:barChart>
        <c:barDir val="col"/>
        <c:grouping val="clustered"/>
        <c:varyColors val="0"/>
        <c:ser>
          <c:idx val="0"/>
          <c:order val="0"/>
          <c:tx>
            <c:strRef>
              <c:f>'Dodana vrijednost'!$AS$3</c:f>
              <c:strCache>
                <c:ptCount val="1"/>
                <c:pt idx="0">
                  <c:v>2021.- 2030.</c:v>
                </c:pt>
              </c:strCache>
            </c:strRef>
          </c:tx>
          <c:spPr>
            <a:solidFill>
              <a:schemeClr val="accent1"/>
            </a:solidFill>
            <a:ln>
              <a:noFill/>
            </a:ln>
            <a:effectLst/>
          </c:spPr>
          <c:invertIfNegative val="0"/>
          <c:cat>
            <c:strRef>
              <c:f>'Dodana vrijednost'!$AR$4:$AR$7</c:f>
              <c:strCache>
                <c:ptCount val="4"/>
                <c:pt idx="0">
                  <c:v>Ukupno</c:v>
                </c:pt>
                <c:pt idx="1">
                  <c:v>Građevinarstvo</c:v>
                </c:pt>
                <c:pt idx="2">
                  <c:v>Industrija</c:v>
                </c:pt>
                <c:pt idx="3">
                  <c:v>Usluge</c:v>
                </c:pt>
              </c:strCache>
            </c:strRef>
          </c:cat>
          <c:val>
            <c:numRef>
              <c:f>'Dodana vrijednost'!$AS$4:$AS$7</c:f>
              <c:numCache>
                <c:formatCode>General</c:formatCode>
                <c:ptCount val="4"/>
                <c:pt idx="0">
                  <c:v>9346.4331210478576</c:v>
                </c:pt>
                <c:pt idx="1">
                  <c:v>3223.671890439728</c:v>
                </c:pt>
                <c:pt idx="2">
                  <c:v>2850.4168994750867</c:v>
                </c:pt>
                <c:pt idx="3">
                  <c:v>3272.3443311330407</c:v>
                </c:pt>
              </c:numCache>
            </c:numRef>
          </c:val>
          <c:extLst>
            <c:ext xmlns:c16="http://schemas.microsoft.com/office/drawing/2014/chart" uri="{C3380CC4-5D6E-409C-BE32-E72D297353CC}">
              <c16:uniqueId val="{00000000-C348-49BC-8F63-8C254DADEF52}"/>
            </c:ext>
          </c:extLst>
        </c:ser>
        <c:ser>
          <c:idx val="1"/>
          <c:order val="1"/>
          <c:tx>
            <c:strRef>
              <c:f>'Dodana vrijednost'!$AT$3</c:f>
              <c:strCache>
                <c:ptCount val="1"/>
                <c:pt idx="0">
                  <c:v>2031.-2050.</c:v>
                </c:pt>
              </c:strCache>
            </c:strRef>
          </c:tx>
          <c:spPr>
            <a:solidFill>
              <a:schemeClr val="accent2"/>
            </a:solidFill>
            <a:ln>
              <a:noFill/>
            </a:ln>
            <a:effectLst/>
          </c:spPr>
          <c:invertIfNegative val="0"/>
          <c:cat>
            <c:strRef>
              <c:f>'Dodana vrijednost'!$AR$4:$AR$7</c:f>
              <c:strCache>
                <c:ptCount val="4"/>
                <c:pt idx="0">
                  <c:v>Ukupno</c:v>
                </c:pt>
                <c:pt idx="1">
                  <c:v>Građevinarstvo</c:v>
                </c:pt>
                <c:pt idx="2">
                  <c:v>Industrija</c:v>
                </c:pt>
                <c:pt idx="3">
                  <c:v>Usluge</c:v>
                </c:pt>
              </c:strCache>
            </c:strRef>
          </c:cat>
          <c:val>
            <c:numRef>
              <c:f>'Dodana vrijednost'!$AT$4:$AT$7</c:f>
              <c:numCache>
                <c:formatCode>General</c:formatCode>
                <c:ptCount val="4"/>
                <c:pt idx="0">
                  <c:v>8216.0506793509685</c:v>
                </c:pt>
                <c:pt idx="1">
                  <c:v>3436.9612529724723</c:v>
                </c:pt>
                <c:pt idx="2">
                  <c:v>1807.3943427199349</c:v>
                </c:pt>
                <c:pt idx="3">
                  <c:v>2971.6950836585625</c:v>
                </c:pt>
              </c:numCache>
            </c:numRef>
          </c:val>
          <c:extLst>
            <c:ext xmlns:c16="http://schemas.microsoft.com/office/drawing/2014/chart" uri="{C3380CC4-5D6E-409C-BE32-E72D297353CC}">
              <c16:uniqueId val="{00000001-C348-49BC-8F63-8C254DADEF52}"/>
            </c:ext>
          </c:extLst>
        </c:ser>
        <c:ser>
          <c:idx val="2"/>
          <c:order val="2"/>
          <c:tx>
            <c:strRef>
              <c:f>'Dodana vrijednost'!$AU$3</c:f>
              <c:strCache>
                <c:ptCount val="1"/>
                <c:pt idx="0">
                  <c:v>Ukupno</c:v>
                </c:pt>
              </c:strCache>
            </c:strRef>
          </c:tx>
          <c:spPr>
            <a:solidFill>
              <a:schemeClr val="accent3"/>
            </a:solidFill>
            <a:ln>
              <a:noFill/>
            </a:ln>
            <a:effectLst/>
          </c:spPr>
          <c:invertIfNegative val="0"/>
          <c:cat>
            <c:strRef>
              <c:f>'Dodana vrijednost'!$AR$4:$AR$7</c:f>
              <c:strCache>
                <c:ptCount val="4"/>
                <c:pt idx="0">
                  <c:v>Ukupno</c:v>
                </c:pt>
                <c:pt idx="1">
                  <c:v>Građevinarstvo</c:v>
                </c:pt>
                <c:pt idx="2">
                  <c:v>Industrija</c:v>
                </c:pt>
                <c:pt idx="3">
                  <c:v>Usluge</c:v>
                </c:pt>
              </c:strCache>
            </c:strRef>
          </c:cat>
          <c:val>
            <c:numRef>
              <c:f>'Dodana vrijednost'!$AU$4:$AU$7</c:f>
              <c:numCache>
                <c:formatCode>General</c:formatCode>
                <c:ptCount val="4"/>
                <c:pt idx="0" formatCode="0.00">
                  <c:v>8592.8448265832612</c:v>
                </c:pt>
                <c:pt idx="1">
                  <c:v>3365.8647987948907</c:v>
                </c:pt>
                <c:pt idx="2">
                  <c:v>2155.0685283049852</c:v>
                </c:pt>
                <c:pt idx="3">
                  <c:v>3071.9114994833876</c:v>
                </c:pt>
              </c:numCache>
            </c:numRef>
          </c:val>
          <c:extLst>
            <c:ext xmlns:c16="http://schemas.microsoft.com/office/drawing/2014/chart" uri="{C3380CC4-5D6E-409C-BE32-E72D297353CC}">
              <c16:uniqueId val="{00000002-C348-49BC-8F63-8C254DADEF52}"/>
            </c:ext>
          </c:extLst>
        </c:ser>
        <c:dLbls>
          <c:showLegendKey val="0"/>
          <c:showVal val="0"/>
          <c:showCatName val="0"/>
          <c:showSerName val="0"/>
          <c:showPercent val="0"/>
          <c:showBubbleSize val="0"/>
        </c:dLbls>
        <c:gapWidth val="219"/>
        <c:overlap val="-27"/>
        <c:axId val="151725184"/>
        <c:axId val="151726720"/>
      </c:barChart>
      <c:catAx>
        <c:axId val="1517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51726720"/>
        <c:crosses val="autoZero"/>
        <c:auto val="1"/>
        <c:lblAlgn val="ctr"/>
        <c:lblOffset val="100"/>
        <c:noMultiLvlLbl val="0"/>
      </c:catAx>
      <c:valAx>
        <c:axId val="1517267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51725184"/>
        <c:crosses val="autoZero"/>
        <c:crossBetween val="between"/>
      </c:valAx>
      <c:spPr>
        <a:noFill/>
        <a:ln>
          <a:noFill/>
        </a:ln>
        <a:effectLst/>
      </c:spPr>
    </c:plotArea>
    <c:legend>
      <c:legendPos val="b"/>
      <c:layout>
        <c:manualLayout>
          <c:xMode val="edge"/>
          <c:yMode val="edge"/>
          <c:x val="0.33783661078509769"/>
          <c:y val="0.33024387576552927"/>
          <c:w val="0.65995500562429699"/>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hr-HR"/>
              <a:t>(broj zaposlenih)</a:t>
            </a:r>
          </a:p>
        </c:rich>
      </c:tx>
      <c:layout>
        <c:manualLayout>
          <c:xMode val="edge"/>
          <c:yMode val="edge"/>
          <c:x val="0.6675406914497134"/>
          <c:y val="2.7777777777777776E-2"/>
        </c:manualLayout>
      </c:layout>
      <c:overlay val="0"/>
      <c:spPr>
        <a:noFill/>
        <a:ln>
          <a:noFill/>
        </a:ln>
        <a:effectLst/>
      </c:spPr>
    </c:title>
    <c:autoTitleDeleted val="0"/>
    <c:plotArea>
      <c:layout>
        <c:manualLayout>
          <c:layoutTarget val="inner"/>
          <c:xMode val="edge"/>
          <c:yMode val="edge"/>
          <c:x val="0.1557276349492458"/>
          <c:y val="2.2604257801108196E-2"/>
          <c:w val="0.79694017916435145"/>
          <c:h val="0.74673410615339753"/>
        </c:manualLayout>
      </c:layout>
      <c:barChart>
        <c:barDir val="col"/>
        <c:grouping val="clustered"/>
        <c:varyColors val="0"/>
        <c:ser>
          <c:idx val="0"/>
          <c:order val="0"/>
          <c:tx>
            <c:strRef>
              <c:f>Zaposlenost!$AS$3</c:f>
              <c:strCache>
                <c:ptCount val="1"/>
                <c:pt idx="0">
                  <c:v>2021.- 2030.</c:v>
                </c:pt>
              </c:strCache>
            </c:strRef>
          </c:tx>
          <c:spPr>
            <a:solidFill>
              <a:schemeClr val="accent1"/>
            </a:solidFill>
            <a:ln>
              <a:noFill/>
            </a:ln>
            <a:effectLst/>
          </c:spPr>
          <c:invertIfNegative val="0"/>
          <c:cat>
            <c:strRef>
              <c:f>Zaposlenost!$AR$4:$AR$7</c:f>
              <c:strCache>
                <c:ptCount val="4"/>
                <c:pt idx="0">
                  <c:v>Ukupno</c:v>
                </c:pt>
                <c:pt idx="1">
                  <c:v>Građevinarstvo</c:v>
                </c:pt>
                <c:pt idx="2">
                  <c:v>Industrija</c:v>
                </c:pt>
                <c:pt idx="3">
                  <c:v>Usluge</c:v>
                </c:pt>
              </c:strCache>
            </c:strRef>
          </c:cat>
          <c:val>
            <c:numRef>
              <c:f>Zaposlenost!$AS$4:$AS$7</c:f>
              <c:numCache>
                <c:formatCode>0.00</c:formatCode>
                <c:ptCount val="4"/>
                <c:pt idx="0">
                  <c:v>49066.022011959511</c:v>
                </c:pt>
                <c:pt idx="1">
                  <c:v>23290.002483227297</c:v>
                </c:pt>
                <c:pt idx="2">
                  <c:v>14256.528365293258</c:v>
                </c:pt>
                <c:pt idx="3">
                  <c:v>11519.491163438954</c:v>
                </c:pt>
              </c:numCache>
            </c:numRef>
          </c:val>
          <c:extLst>
            <c:ext xmlns:c16="http://schemas.microsoft.com/office/drawing/2014/chart" uri="{C3380CC4-5D6E-409C-BE32-E72D297353CC}">
              <c16:uniqueId val="{00000000-AA23-4241-91A4-60E8A6E562C3}"/>
            </c:ext>
          </c:extLst>
        </c:ser>
        <c:ser>
          <c:idx val="1"/>
          <c:order val="1"/>
          <c:tx>
            <c:strRef>
              <c:f>Zaposlenost!$AT$3</c:f>
              <c:strCache>
                <c:ptCount val="1"/>
                <c:pt idx="0">
                  <c:v>2031.-2050.</c:v>
                </c:pt>
              </c:strCache>
            </c:strRef>
          </c:tx>
          <c:spPr>
            <a:solidFill>
              <a:schemeClr val="accent2"/>
            </a:solidFill>
            <a:ln>
              <a:noFill/>
            </a:ln>
            <a:effectLst/>
          </c:spPr>
          <c:invertIfNegative val="0"/>
          <c:cat>
            <c:strRef>
              <c:f>Zaposlenost!$AR$4:$AR$7</c:f>
              <c:strCache>
                <c:ptCount val="4"/>
                <c:pt idx="0">
                  <c:v>Ukupno</c:v>
                </c:pt>
                <c:pt idx="1">
                  <c:v>Građevinarstvo</c:v>
                </c:pt>
                <c:pt idx="2">
                  <c:v>Industrija</c:v>
                </c:pt>
                <c:pt idx="3">
                  <c:v>Usluge</c:v>
                </c:pt>
              </c:strCache>
            </c:strRef>
          </c:cat>
          <c:val>
            <c:numRef>
              <c:f>Zaposlenost!$AT$4:$AT$7</c:f>
              <c:numCache>
                <c:formatCode>0.00</c:formatCode>
                <c:ptCount val="4"/>
                <c:pt idx="0">
                  <c:v>44083.737772828717</c:v>
                </c:pt>
                <c:pt idx="1">
                  <c:v>24830.950182577668</c:v>
                </c:pt>
                <c:pt idx="2">
                  <c:v>9592.0097580779366</c:v>
                </c:pt>
                <c:pt idx="3">
                  <c:v>9660.7778321731057</c:v>
                </c:pt>
              </c:numCache>
            </c:numRef>
          </c:val>
          <c:extLst>
            <c:ext xmlns:c16="http://schemas.microsoft.com/office/drawing/2014/chart" uri="{C3380CC4-5D6E-409C-BE32-E72D297353CC}">
              <c16:uniqueId val="{00000001-AA23-4241-91A4-60E8A6E562C3}"/>
            </c:ext>
          </c:extLst>
        </c:ser>
        <c:ser>
          <c:idx val="2"/>
          <c:order val="2"/>
          <c:tx>
            <c:strRef>
              <c:f>Zaposlenost!$AU$3</c:f>
              <c:strCache>
                <c:ptCount val="1"/>
                <c:pt idx="0">
                  <c:v>Ukupno</c:v>
                </c:pt>
              </c:strCache>
            </c:strRef>
          </c:tx>
          <c:spPr>
            <a:solidFill>
              <a:schemeClr val="accent3"/>
            </a:solidFill>
            <a:ln>
              <a:noFill/>
            </a:ln>
            <a:effectLst/>
          </c:spPr>
          <c:invertIfNegative val="0"/>
          <c:cat>
            <c:strRef>
              <c:f>Zaposlenost!$AR$4:$AR$7</c:f>
              <c:strCache>
                <c:ptCount val="4"/>
                <c:pt idx="0">
                  <c:v>Ukupno</c:v>
                </c:pt>
                <c:pt idx="1">
                  <c:v>Građevinarstvo</c:v>
                </c:pt>
                <c:pt idx="2">
                  <c:v>Industrija</c:v>
                </c:pt>
                <c:pt idx="3">
                  <c:v>Usluge</c:v>
                </c:pt>
              </c:strCache>
            </c:strRef>
          </c:cat>
          <c:val>
            <c:numRef>
              <c:f>Zaposlenost!$AU$4:$AU$7</c:f>
              <c:numCache>
                <c:formatCode>0.00</c:formatCode>
                <c:ptCount val="4"/>
                <c:pt idx="0">
                  <c:v>45744.499185872308</c:v>
                </c:pt>
                <c:pt idx="1">
                  <c:v>24317.300949460878</c:v>
                </c:pt>
                <c:pt idx="2">
                  <c:v>11146.849293816373</c:v>
                </c:pt>
                <c:pt idx="3">
                  <c:v>10280.348942595047</c:v>
                </c:pt>
              </c:numCache>
            </c:numRef>
          </c:val>
          <c:extLst>
            <c:ext xmlns:c16="http://schemas.microsoft.com/office/drawing/2014/chart" uri="{C3380CC4-5D6E-409C-BE32-E72D297353CC}">
              <c16:uniqueId val="{00000002-AA23-4241-91A4-60E8A6E562C3}"/>
            </c:ext>
          </c:extLst>
        </c:ser>
        <c:dLbls>
          <c:showLegendKey val="0"/>
          <c:showVal val="0"/>
          <c:showCatName val="0"/>
          <c:showSerName val="0"/>
          <c:showPercent val="0"/>
          <c:showBubbleSize val="0"/>
        </c:dLbls>
        <c:gapWidth val="219"/>
        <c:overlap val="-27"/>
        <c:axId val="151742720"/>
        <c:axId val="151756800"/>
      </c:barChart>
      <c:catAx>
        <c:axId val="1517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51756800"/>
        <c:crosses val="autoZero"/>
        <c:auto val="1"/>
        <c:lblAlgn val="ctr"/>
        <c:lblOffset val="100"/>
        <c:noMultiLvlLbl val="0"/>
      </c:catAx>
      <c:valAx>
        <c:axId val="151756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51742720"/>
        <c:crosses val="autoZero"/>
        <c:crossBetween val="between"/>
      </c:valAx>
      <c:spPr>
        <a:noFill/>
        <a:ln>
          <a:noFill/>
        </a:ln>
        <a:effectLst/>
      </c:spPr>
    </c:plotArea>
    <c:legend>
      <c:legendPos val="b"/>
      <c:layout>
        <c:manualLayout>
          <c:xMode val="edge"/>
          <c:yMode val="edge"/>
          <c:x val="0.33783661078509769"/>
          <c:y val="0.31635498687664049"/>
          <c:w val="0.65995500562429699"/>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hr-HR"/>
              <a:t>(inicijalni + direktni + indirektni)</a:t>
            </a:r>
          </a:p>
        </c:rich>
      </c:tx>
      <c:layout>
        <c:manualLayout>
          <c:xMode val="edge"/>
          <c:yMode val="edge"/>
          <c:x val="0.66303583450398706"/>
          <c:y val="3.2187795709659774E-2"/>
        </c:manualLayout>
      </c:layout>
      <c:overlay val="0"/>
      <c:spPr>
        <a:noFill/>
        <a:ln>
          <a:noFill/>
        </a:ln>
        <a:effectLst/>
      </c:spPr>
    </c:title>
    <c:autoTitleDeleted val="0"/>
    <c:plotArea>
      <c:layout>
        <c:manualLayout>
          <c:layoutTarget val="inner"/>
          <c:xMode val="edge"/>
          <c:yMode val="edge"/>
          <c:x val="7.7829316378378727E-2"/>
          <c:y val="2.4222799051992813E-2"/>
          <c:w val="0.89629746240557984"/>
          <c:h val="0.88512271137000931"/>
        </c:manualLayout>
      </c:layout>
      <c:barChart>
        <c:barDir val="col"/>
        <c:grouping val="clustered"/>
        <c:varyColors val="0"/>
        <c:ser>
          <c:idx val="0"/>
          <c:order val="0"/>
          <c:tx>
            <c:strRef>
              <c:f>Porezi_direktni_indirektni!$AS$4</c:f>
              <c:strCache>
                <c:ptCount val="1"/>
                <c:pt idx="0">
                  <c:v>2021.- 2030.</c:v>
                </c:pt>
              </c:strCache>
            </c:strRef>
          </c:tx>
          <c:spPr>
            <a:solidFill>
              <a:schemeClr val="accent1"/>
            </a:solidFill>
            <a:ln>
              <a:noFill/>
            </a:ln>
            <a:effectLst/>
          </c:spPr>
          <c:invertIfNegative val="0"/>
          <c:cat>
            <c:strRef>
              <c:f>Porezi_direktni_indirektni!$AR$15:$AR$18</c:f>
              <c:strCache>
                <c:ptCount val="4"/>
                <c:pt idx="0">
                  <c:v>Ukupno</c:v>
                </c:pt>
                <c:pt idx="1">
                  <c:v>Građevinarstvo</c:v>
                </c:pt>
                <c:pt idx="2">
                  <c:v>Industrija</c:v>
                </c:pt>
                <c:pt idx="3">
                  <c:v>Usluge</c:v>
                </c:pt>
              </c:strCache>
            </c:strRef>
          </c:cat>
          <c:val>
            <c:numRef>
              <c:f>Porezi_direktni_indirektni!$AS$15:$AS$18</c:f>
              <c:numCache>
                <c:formatCode>General</c:formatCode>
                <c:ptCount val="4"/>
                <c:pt idx="0">
                  <c:v>1628.1504222707861</c:v>
                </c:pt>
                <c:pt idx="1">
                  <c:v>1100.6875745915818</c:v>
                </c:pt>
                <c:pt idx="2">
                  <c:v>420.13084115081176</c:v>
                </c:pt>
                <c:pt idx="3">
                  <c:v>107.33200652839245</c:v>
                </c:pt>
              </c:numCache>
            </c:numRef>
          </c:val>
          <c:extLst>
            <c:ext xmlns:c16="http://schemas.microsoft.com/office/drawing/2014/chart" uri="{C3380CC4-5D6E-409C-BE32-E72D297353CC}">
              <c16:uniqueId val="{00000000-4AB5-4AD0-8505-53AEE3615771}"/>
            </c:ext>
          </c:extLst>
        </c:ser>
        <c:ser>
          <c:idx val="1"/>
          <c:order val="1"/>
          <c:tx>
            <c:strRef>
              <c:f>Porezi_direktni_indirektni!$AT$4</c:f>
              <c:strCache>
                <c:ptCount val="1"/>
                <c:pt idx="0">
                  <c:v>2031.-2050.</c:v>
                </c:pt>
              </c:strCache>
            </c:strRef>
          </c:tx>
          <c:spPr>
            <a:solidFill>
              <a:schemeClr val="accent2"/>
            </a:solidFill>
            <a:ln>
              <a:noFill/>
            </a:ln>
            <a:effectLst/>
          </c:spPr>
          <c:invertIfNegative val="0"/>
          <c:cat>
            <c:strRef>
              <c:f>Porezi_direktni_indirektni!$AR$15:$AR$18</c:f>
              <c:strCache>
                <c:ptCount val="4"/>
                <c:pt idx="0">
                  <c:v>Ukupno</c:v>
                </c:pt>
                <c:pt idx="1">
                  <c:v>Građevinarstvo</c:v>
                </c:pt>
                <c:pt idx="2">
                  <c:v>Industrija</c:v>
                </c:pt>
                <c:pt idx="3">
                  <c:v>Usluge</c:v>
                </c:pt>
              </c:strCache>
            </c:strRef>
          </c:cat>
          <c:val>
            <c:numRef>
              <c:f>Porezi_direktni_indirektni!$AT$15:$AT$18</c:f>
              <c:numCache>
                <c:formatCode>General</c:formatCode>
                <c:ptCount val="4"/>
                <c:pt idx="0">
                  <c:v>1626.2245320851039</c:v>
                </c:pt>
                <c:pt idx="1">
                  <c:v>1187.148113874513</c:v>
                </c:pt>
                <c:pt idx="2">
                  <c:v>347.34738806430977</c:v>
                </c:pt>
                <c:pt idx="3">
                  <c:v>91.729030146280692</c:v>
                </c:pt>
              </c:numCache>
            </c:numRef>
          </c:val>
          <c:extLst>
            <c:ext xmlns:c16="http://schemas.microsoft.com/office/drawing/2014/chart" uri="{C3380CC4-5D6E-409C-BE32-E72D297353CC}">
              <c16:uniqueId val="{00000001-4AB5-4AD0-8505-53AEE3615771}"/>
            </c:ext>
          </c:extLst>
        </c:ser>
        <c:ser>
          <c:idx val="2"/>
          <c:order val="2"/>
          <c:tx>
            <c:strRef>
              <c:f>Porezi_direktni_indirektni!$AU$4</c:f>
              <c:strCache>
                <c:ptCount val="1"/>
                <c:pt idx="0">
                  <c:v>Ukupno</c:v>
                </c:pt>
              </c:strCache>
            </c:strRef>
          </c:tx>
          <c:spPr>
            <a:solidFill>
              <a:schemeClr val="accent3"/>
            </a:solidFill>
            <a:ln>
              <a:noFill/>
            </a:ln>
            <a:effectLst/>
          </c:spPr>
          <c:invertIfNegative val="0"/>
          <c:cat>
            <c:strRef>
              <c:f>Porezi_direktni_indirektni!$AR$15:$AR$18</c:f>
              <c:strCache>
                <c:ptCount val="4"/>
                <c:pt idx="0">
                  <c:v>Ukupno</c:v>
                </c:pt>
                <c:pt idx="1">
                  <c:v>Građevinarstvo</c:v>
                </c:pt>
                <c:pt idx="2">
                  <c:v>Industrija</c:v>
                </c:pt>
                <c:pt idx="3">
                  <c:v>Usluge</c:v>
                </c:pt>
              </c:strCache>
            </c:strRef>
          </c:cat>
          <c:val>
            <c:numRef>
              <c:f>Porezi_direktni_indirektni!$AU$15:$AU$18</c:f>
              <c:numCache>
                <c:formatCode>General</c:formatCode>
                <c:ptCount val="4"/>
                <c:pt idx="0">
                  <c:v>1626.8664954803305</c:v>
                </c:pt>
                <c:pt idx="1">
                  <c:v>1158.3279341135353</c:v>
                </c:pt>
                <c:pt idx="2">
                  <c:v>371.6085390931438</c:v>
                </c:pt>
                <c:pt idx="3">
                  <c:v>96.930022273651332</c:v>
                </c:pt>
              </c:numCache>
            </c:numRef>
          </c:val>
          <c:extLst>
            <c:ext xmlns:c16="http://schemas.microsoft.com/office/drawing/2014/chart" uri="{C3380CC4-5D6E-409C-BE32-E72D297353CC}">
              <c16:uniqueId val="{00000002-4AB5-4AD0-8505-53AEE3615771}"/>
            </c:ext>
          </c:extLst>
        </c:ser>
        <c:dLbls>
          <c:showLegendKey val="0"/>
          <c:showVal val="0"/>
          <c:showCatName val="0"/>
          <c:showSerName val="0"/>
          <c:showPercent val="0"/>
          <c:showBubbleSize val="0"/>
        </c:dLbls>
        <c:gapWidth val="219"/>
        <c:overlap val="-27"/>
        <c:axId val="151776256"/>
        <c:axId val="151786240"/>
      </c:barChart>
      <c:catAx>
        <c:axId val="15177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51786240"/>
        <c:crosses val="autoZero"/>
        <c:auto val="1"/>
        <c:lblAlgn val="ctr"/>
        <c:lblOffset val="100"/>
        <c:noMultiLvlLbl val="0"/>
      </c:catAx>
      <c:valAx>
        <c:axId val="1517862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51776256"/>
        <c:crosses val="autoZero"/>
        <c:crossBetween val="between"/>
      </c:valAx>
      <c:spPr>
        <a:noFill/>
        <a:ln>
          <a:noFill/>
        </a:ln>
        <a:effectLst/>
      </c:spPr>
    </c:plotArea>
    <c:legend>
      <c:legendPos val="b"/>
      <c:layout>
        <c:manualLayout>
          <c:xMode val="edge"/>
          <c:yMode val="edge"/>
          <c:x val="0.56119053858712209"/>
          <c:y val="0.40168766114819993"/>
          <c:w val="0.37156205174459039"/>
          <c:h val="6.909513929281441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v>Ukupno</c:v>
          </c:tx>
          <c:spPr>
            <a:ln w="28575" cap="rnd">
              <a:solidFill>
                <a:schemeClr val="accent2"/>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HRV!$D$8:$D$16</c:f>
              <c:numCache>
                <c:formatCode>#,##0.00</c:formatCode>
                <c:ptCount val="9"/>
                <c:pt idx="0">
                  <c:v>112.37</c:v>
                </c:pt>
                <c:pt idx="1">
                  <c:v>106.76</c:v>
                </c:pt>
                <c:pt idx="2">
                  <c:v>100</c:v>
                </c:pt>
                <c:pt idx="3">
                  <c:v>100.18</c:v>
                </c:pt>
                <c:pt idx="4">
                  <c:v>98.61</c:v>
                </c:pt>
                <c:pt idx="5">
                  <c:v>94.71</c:v>
                </c:pt>
                <c:pt idx="6">
                  <c:v>93.22</c:v>
                </c:pt>
                <c:pt idx="7">
                  <c:v>90.52</c:v>
                </c:pt>
                <c:pt idx="8">
                  <c:v>91.33</c:v>
                </c:pt>
              </c:numCache>
            </c:numRef>
          </c:val>
          <c:smooth val="0"/>
          <c:extLst>
            <c:ext xmlns:c16="http://schemas.microsoft.com/office/drawing/2014/chart" uri="{C3380CC4-5D6E-409C-BE32-E72D297353CC}">
              <c16:uniqueId val="{00000000-4E9F-4F82-86E7-C638ECF5BB7F}"/>
            </c:ext>
          </c:extLst>
        </c:ser>
        <c:ser>
          <c:idx val="2"/>
          <c:order val="1"/>
          <c:tx>
            <c:v>Novi</c:v>
          </c:tx>
          <c:spPr>
            <a:ln w="28575" cap="rnd">
              <a:solidFill>
                <a:schemeClr val="accent3"/>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HRV!$E$8:$E$16</c:f>
              <c:numCache>
                <c:formatCode>#,##0.00</c:formatCode>
                <c:ptCount val="9"/>
                <c:pt idx="0">
                  <c:v>110.84</c:v>
                </c:pt>
                <c:pt idx="1">
                  <c:v>108.51</c:v>
                </c:pt>
                <c:pt idx="2">
                  <c:v>100</c:v>
                </c:pt>
                <c:pt idx="3">
                  <c:v>101.77</c:v>
                </c:pt>
                <c:pt idx="4">
                  <c:v>101.5</c:v>
                </c:pt>
                <c:pt idx="5">
                  <c:v>98</c:v>
                </c:pt>
                <c:pt idx="6">
                  <c:v>95.92</c:v>
                </c:pt>
                <c:pt idx="7">
                  <c:v>90.02</c:v>
                </c:pt>
                <c:pt idx="8">
                  <c:v>86.96</c:v>
                </c:pt>
              </c:numCache>
            </c:numRef>
          </c:val>
          <c:smooth val="0"/>
          <c:extLst>
            <c:ext xmlns:c16="http://schemas.microsoft.com/office/drawing/2014/chart" uri="{C3380CC4-5D6E-409C-BE32-E72D297353CC}">
              <c16:uniqueId val="{00000001-4E9F-4F82-86E7-C638ECF5BB7F}"/>
            </c:ext>
          </c:extLst>
        </c:ser>
        <c:ser>
          <c:idx val="3"/>
          <c:order val="2"/>
          <c:tx>
            <c:v>Postojeći</c:v>
          </c:tx>
          <c:spPr>
            <a:ln w="28575" cap="rnd">
              <a:solidFill>
                <a:schemeClr val="accent4"/>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HRV!$F$8:$F$16</c:f>
              <c:numCache>
                <c:formatCode>#,##0.00</c:formatCode>
                <c:ptCount val="9"/>
                <c:pt idx="0">
                  <c:v>113.24</c:v>
                </c:pt>
                <c:pt idx="1">
                  <c:v>105.52</c:v>
                </c:pt>
                <c:pt idx="2">
                  <c:v>100</c:v>
                </c:pt>
                <c:pt idx="3">
                  <c:v>99.01</c:v>
                </c:pt>
                <c:pt idx="4">
                  <c:v>96.51</c:v>
                </c:pt>
                <c:pt idx="5">
                  <c:v>92.41</c:v>
                </c:pt>
                <c:pt idx="6">
                  <c:v>91.24</c:v>
                </c:pt>
                <c:pt idx="7">
                  <c:v>89.95</c:v>
                </c:pt>
                <c:pt idx="8">
                  <c:v>91.57</c:v>
                </c:pt>
              </c:numCache>
            </c:numRef>
          </c:val>
          <c:smooth val="0"/>
          <c:extLst>
            <c:ext xmlns:c16="http://schemas.microsoft.com/office/drawing/2014/chart" uri="{C3380CC4-5D6E-409C-BE32-E72D297353CC}">
              <c16:uniqueId val="{00000002-4E9F-4F82-86E7-C638ECF5BB7F}"/>
            </c:ext>
          </c:extLst>
        </c:ser>
        <c:ser>
          <c:idx val="4"/>
          <c:order val="3"/>
          <c:tx>
            <c:v>Zagreb</c:v>
          </c:tx>
          <c:spPr>
            <a:ln w="28575" cap="rnd">
              <a:solidFill>
                <a:schemeClr val="accent5"/>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HRV!$G$8:$G$16</c:f>
              <c:numCache>
                <c:formatCode>#,##0.00</c:formatCode>
                <c:ptCount val="9"/>
                <c:pt idx="0">
                  <c:v>117.94</c:v>
                </c:pt>
                <c:pt idx="1">
                  <c:v>109.72</c:v>
                </c:pt>
                <c:pt idx="2">
                  <c:v>100</c:v>
                </c:pt>
                <c:pt idx="3">
                  <c:v>99.63</c:v>
                </c:pt>
                <c:pt idx="4">
                  <c:v>97.68</c:v>
                </c:pt>
                <c:pt idx="5">
                  <c:v>91.98</c:v>
                </c:pt>
                <c:pt idx="6">
                  <c:v>90.8</c:v>
                </c:pt>
                <c:pt idx="7">
                  <c:v>88.87</c:v>
                </c:pt>
                <c:pt idx="8">
                  <c:v>89.5</c:v>
                </c:pt>
              </c:numCache>
            </c:numRef>
          </c:val>
          <c:smooth val="0"/>
          <c:extLst>
            <c:ext xmlns:c16="http://schemas.microsoft.com/office/drawing/2014/chart" uri="{C3380CC4-5D6E-409C-BE32-E72D297353CC}">
              <c16:uniqueId val="{00000003-4E9F-4F82-86E7-C638ECF5BB7F}"/>
            </c:ext>
          </c:extLst>
        </c:ser>
        <c:ser>
          <c:idx val="5"/>
          <c:order val="4"/>
          <c:tx>
            <c:v>Jadran</c:v>
          </c:tx>
          <c:spPr>
            <a:ln w="28575" cap="rnd">
              <a:solidFill>
                <a:schemeClr val="accent6"/>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HRV!$H$8:$H$16</c:f>
              <c:numCache>
                <c:formatCode>#,##0.00</c:formatCode>
                <c:ptCount val="9"/>
                <c:pt idx="0">
                  <c:v>108.18</c:v>
                </c:pt>
                <c:pt idx="1">
                  <c:v>104.55</c:v>
                </c:pt>
                <c:pt idx="2">
                  <c:v>100</c:v>
                </c:pt>
                <c:pt idx="3">
                  <c:v>101.19</c:v>
                </c:pt>
                <c:pt idx="4">
                  <c:v>99.4</c:v>
                </c:pt>
                <c:pt idx="5">
                  <c:v>96.46</c:v>
                </c:pt>
                <c:pt idx="6">
                  <c:v>94.49</c:v>
                </c:pt>
                <c:pt idx="7">
                  <c:v>91.41</c:v>
                </c:pt>
                <c:pt idx="8">
                  <c:v>92.62</c:v>
                </c:pt>
              </c:numCache>
            </c:numRef>
          </c:val>
          <c:smooth val="0"/>
          <c:extLst>
            <c:ext xmlns:c16="http://schemas.microsoft.com/office/drawing/2014/chart" uri="{C3380CC4-5D6E-409C-BE32-E72D297353CC}">
              <c16:uniqueId val="{00000004-4E9F-4F82-86E7-C638ECF5BB7F}"/>
            </c:ext>
          </c:extLst>
        </c:ser>
        <c:ser>
          <c:idx val="6"/>
          <c:order val="5"/>
          <c:tx>
            <c:v>Ostalo</c:v>
          </c:tx>
          <c:spPr>
            <a:ln w="28575" cap="rnd">
              <a:solidFill>
                <a:schemeClr val="accent1">
                  <a:lumMod val="60000"/>
                </a:schemeClr>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HRV!$I$8:$I$16</c:f>
              <c:numCache>
                <c:formatCode>#,##0.00</c:formatCode>
                <c:ptCount val="9"/>
                <c:pt idx="0">
                  <c:v>107.66</c:v>
                </c:pt>
                <c:pt idx="1">
                  <c:v>104.15</c:v>
                </c:pt>
                <c:pt idx="2">
                  <c:v>100</c:v>
                </c:pt>
                <c:pt idx="3">
                  <c:v>99.51</c:v>
                </c:pt>
                <c:pt idx="4">
                  <c:v>99.04</c:v>
                </c:pt>
                <c:pt idx="5">
                  <c:v>94.98</c:v>
                </c:pt>
                <c:pt idx="6">
                  <c:v>94.23</c:v>
                </c:pt>
                <c:pt idx="7">
                  <c:v>91.669999999999973</c:v>
                </c:pt>
                <c:pt idx="8">
                  <c:v>90.92</c:v>
                </c:pt>
              </c:numCache>
            </c:numRef>
          </c:val>
          <c:smooth val="0"/>
          <c:extLst>
            <c:ext xmlns:c16="http://schemas.microsoft.com/office/drawing/2014/chart" uri="{C3380CC4-5D6E-409C-BE32-E72D297353CC}">
              <c16:uniqueId val="{00000005-4E9F-4F82-86E7-C638ECF5BB7F}"/>
            </c:ext>
          </c:extLst>
        </c:ser>
        <c:dLbls>
          <c:showLegendKey val="0"/>
          <c:showVal val="0"/>
          <c:showCatName val="0"/>
          <c:showSerName val="0"/>
          <c:showPercent val="0"/>
          <c:showBubbleSize val="0"/>
        </c:dLbls>
        <c:smooth val="0"/>
        <c:axId val="151817216"/>
        <c:axId val="151823104"/>
      </c:lineChart>
      <c:catAx>
        <c:axId val="1518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crossAx val="151823104"/>
        <c:crosses val="autoZero"/>
        <c:auto val="1"/>
        <c:lblAlgn val="ctr"/>
        <c:lblOffset val="100"/>
        <c:noMultiLvlLbl val="0"/>
      </c:catAx>
      <c:valAx>
        <c:axId val="15182310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crossAx val="1518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forecast!$B$1</c:f>
              <c:strCache>
                <c:ptCount val="1"/>
                <c:pt idx="0">
                  <c:v>povijesne vrijednosti</c:v>
                </c:pt>
              </c:strCache>
            </c:strRef>
          </c:tx>
          <c:spPr>
            <a:ln w="28521" cap="rnd">
              <a:solidFill>
                <a:schemeClr val="accent1"/>
              </a:solidFill>
              <a:round/>
            </a:ln>
            <a:effectLst/>
          </c:spPr>
          <c:marker>
            <c:symbol val="none"/>
          </c:marker>
          <c:val>
            <c:numRef>
              <c:f>forecast!$B$2:$B$41</c:f>
              <c:numCache>
                <c:formatCode>#,##0</c:formatCode>
                <c:ptCount val="40"/>
                <c:pt idx="0">
                  <c:v>121125768</c:v>
                </c:pt>
                <c:pt idx="1">
                  <c:v>122056845.24982113</c:v>
                </c:pt>
                <c:pt idx="2">
                  <c:v>122727101.0334221</c:v>
                </c:pt>
                <c:pt idx="3">
                  <c:v>123277018.31339706</c:v>
                </c:pt>
                <c:pt idx="4">
                  <c:v>123784831.53935899</c:v>
                </c:pt>
                <c:pt idx="5">
                  <c:v>124256297.33759734</c:v>
                </c:pt>
                <c:pt idx="6">
                  <c:v>124901113.74528849</c:v>
                </c:pt>
              </c:numCache>
            </c:numRef>
          </c:val>
          <c:smooth val="0"/>
          <c:extLst>
            <c:ext xmlns:c16="http://schemas.microsoft.com/office/drawing/2014/chart" uri="{C3380CC4-5D6E-409C-BE32-E72D297353CC}">
              <c16:uniqueId val="{00000000-125B-4F32-ADDB-21F8480D9A90}"/>
            </c:ext>
          </c:extLst>
        </c:ser>
        <c:ser>
          <c:idx val="1"/>
          <c:order val="1"/>
          <c:tx>
            <c:strRef>
              <c:f>forecast!$C$1</c:f>
              <c:strCache>
                <c:ptCount val="1"/>
                <c:pt idx="0">
                  <c:v>prognoza</c:v>
                </c:pt>
              </c:strCache>
            </c:strRef>
          </c:tx>
          <c:spPr>
            <a:ln w="28521" cap="rnd">
              <a:solidFill>
                <a:schemeClr val="accent2"/>
              </a:solidFill>
              <a:round/>
            </a:ln>
            <a:effectLst/>
          </c:spPr>
          <c:marker>
            <c:symbol val="none"/>
          </c:marker>
          <c:cat>
            <c:numRef>
              <c:f>zag!$A$2:$A$41</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forecast!$C$2:$C$41</c:f>
              <c:numCache>
                <c:formatCode>General</c:formatCode>
                <c:ptCount val="40"/>
                <c:pt idx="6" formatCode="#,##0">
                  <c:v>124901113.74528849</c:v>
                </c:pt>
                <c:pt idx="7" formatCode="#,##0">
                  <c:v>125497539.29328677</c:v>
                </c:pt>
                <c:pt idx="8" formatCode="#,##0">
                  <c:v>126097114.08270101</c:v>
                </c:pt>
                <c:pt idx="9" formatCode="#,##0">
                  <c:v>126696688.87211525</c:v>
                </c:pt>
                <c:pt idx="10" formatCode="#,##0">
                  <c:v>127296263.66152951</c:v>
                </c:pt>
                <c:pt idx="11" formatCode="#,##0">
                  <c:v>127895838.45094375</c:v>
                </c:pt>
                <c:pt idx="12" formatCode="#,##0">
                  <c:v>128495413.240358</c:v>
                </c:pt>
                <c:pt idx="13" formatCode="#,##0">
                  <c:v>129094988.02977224</c:v>
                </c:pt>
                <c:pt idx="14" formatCode="#,##0">
                  <c:v>129694562.81918648</c:v>
                </c:pt>
                <c:pt idx="15" formatCode="#,##0">
                  <c:v>130294137.60860072</c:v>
                </c:pt>
                <c:pt idx="16" formatCode="#,##0">
                  <c:v>130893712.39801496</c:v>
                </c:pt>
                <c:pt idx="17" formatCode="#,##0">
                  <c:v>131493287.1874292</c:v>
                </c:pt>
                <c:pt idx="18" formatCode="#,##0">
                  <c:v>132092861.97684345</c:v>
                </c:pt>
                <c:pt idx="19" formatCode="#,##0">
                  <c:v>132692436.7662577</c:v>
                </c:pt>
                <c:pt idx="20" formatCode="#,##0">
                  <c:v>133292011.55567195</c:v>
                </c:pt>
                <c:pt idx="21" formatCode="#,##0">
                  <c:v>133891586.34508619</c:v>
                </c:pt>
                <c:pt idx="22" formatCode="#,##0">
                  <c:v>134491161.13450044</c:v>
                </c:pt>
                <c:pt idx="23" formatCode="#,##0">
                  <c:v>135090735.92391467</c:v>
                </c:pt>
                <c:pt idx="24" formatCode="#,##0">
                  <c:v>135690310.71332893</c:v>
                </c:pt>
                <c:pt idx="25" formatCode="#,##0">
                  <c:v>136289885.50274315</c:v>
                </c:pt>
                <c:pt idx="26" formatCode="#,##0">
                  <c:v>136889460.29215741</c:v>
                </c:pt>
                <c:pt idx="27" formatCode="#,##0">
                  <c:v>137489035.08157164</c:v>
                </c:pt>
                <c:pt idx="28" formatCode="#,##0">
                  <c:v>138088609.8709859</c:v>
                </c:pt>
                <c:pt idx="29" formatCode="#,##0">
                  <c:v>138688184.66040012</c:v>
                </c:pt>
                <c:pt idx="30" formatCode="#,##0">
                  <c:v>139287759.44981438</c:v>
                </c:pt>
                <c:pt idx="31" formatCode="#,##0">
                  <c:v>139887334.23922864</c:v>
                </c:pt>
                <c:pt idx="32" formatCode="#,##0">
                  <c:v>140486909.02864286</c:v>
                </c:pt>
                <c:pt idx="33" formatCode="#,##0">
                  <c:v>141086483.81805712</c:v>
                </c:pt>
                <c:pt idx="34" formatCode="#,##0">
                  <c:v>141686058.60747135</c:v>
                </c:pt>
                <c:pt idx="35" formatCode="#,##0">
                  <c:v>142285633.3968856</c:v>
                </c:pt>
                <c:pt idx="36" formatCode="#,##0">
                  <c:v>142885208.18629983</c:v>
                </c:pt>
                <c:pt idx="37" formatCode="#,##0">
                  <c:v>143484782.97571409</c:v>
                </c:pt>
                <c:pt idx="38" formatCode="#,##0">
                  <c:v>144084357.76512831</c:v>
                </c:pt>
                <c:pt idx="39" formatCode="#,##0">
                  <c:v>144683932.55454257</c:v>
                </c:pt>
              </c:numCache>
            </c:numRef>
          </c:val>
          <c:smooth val="0"/>
          <c:extLst>
            <c:ext xmlns:c16="http://schemas.microsoft.com/office/drawing/2014/chart" uri="{C3380CC4-5D6E-409C-BE32-E72D297353CC}">
              <c16:uniqueId val="{00000001-125B-4F32-ADDB-21F8480D9A90}"/>
            </c:ext>
          </c:extLst>
        </c:ser>
        <c:ser>
          <c:idx val="2"/>
          <c:order val="2"/>
          <c:tx>
            <c:strRef>
              <c:f>forecast!$D$1</c:f>
              <c:strCache>
                <c:ptCount val="1"/>
                <c:pt idx="0">
                  <c:v>donja granica</c:v>
                </c:pt>
              </c:strCache>
            </c:strRef>
          </c:tx>
          <c:spPr>
            <a:ln w="28521" cap="rnd">
              <a:solidFill>
                <a:schemeClr val="accent3"/>
              </a:solidFill>
              <a:round/>
            </a:ln>
            <a:effectLst/>
          </c:spPr>
          <c:marker>
            <c:symbol val="none"/>
          </c:marker>
          <c:dLbls>
            <c:dLbl>
              <c:idx val="39"/>
              <c:layout>
                <c:manualLayout>
                  <c:x val="-1.4141414141414142E-2"/>
                  <c:y val="4.1728031418753066E-2"/>
                </c:manualLayout>
              </c:layout>
              <c:spPr>
                <a:noFill/>
                <a:ln w="25340">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sr-Latn-R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25B-4F32-ADDB-21F8480D9A9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zag!$A$2:$A$41</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forecast!$D$2:$D$41</c:f>
              <c:numCache>
                <c:formatCode>General</c:formatCode>
                <c:ptCount val="40"/>
                <c:pt idx="6" formatCode="#,##0">
                  <c:v>124901113.74528849</c:v>
                </c:pt>
                <c:pt idx="7" formatCode="#,##0">
                  <c:v>125398303.92986187</c:v>
                </c:pt>
                <c:pt idx="8" formatCode="#,##0">
                  <c:v>125963540.15020756</c:v>
                </c:pt>
                <c:pt idx="9" formatCode="#,##0">
                  <c:v>126535896.80497368</c:v>
                </c:pt>
                <c:pt idx="10" formatCode="#,##0">
                  <c:v>127112187.70630698</c:v>
                </c:pt>
                <c:pt idx="11" formatCode="#,##0">
                  <c:v>127691066.33261864</c:v>
                </c:pt>
                <c:pt idx="12" formatCode="#,##0">
                  <c:v>128271812.93175407</c:v>
                </c:pt>
                <c:pt idx="13" formatCode="#,##0">
                  <c:v>128853989.25450635</c:v>
                </c:pt>
                <c:pt idx="14" formatCode="#,##0">
                  <c:v>129437305.02017093</c:v>
                </c:pt>
                <c:pt idx="15" formatCode="#,##0">
                  <c:v>130021556.21868737</c:v>
                </c:pt>
                <c:pt idx="16" formatCode="#,##0">
                  <c:v>130606593.00421986</c:v>
                </c:pt>
                <c:pt idx="17" formatCode="#,##0">
                  <c:v>131192301.48785499</c:v>
                </c:pt>
                <c:pt idx="18" formatCode="#,##0">
                  <c:v>131778592.71492442</c:v>
                </c:pt>
                <c:pt idx="19" formatCode="#,##0">
                  <c:v>132365395.63901921</c:v>
                </c:pt>
                <c:pt idx="20" formatCode="#,##0">
                  <c:v>132952652.45265804</c:v>
                </c:pt>
                <c:pt idx="21" formatCode="#,##0">
                  <c:v>133540315.37509099</c:v>
                </c:pt>
                <c:pt idx="22" formatCode="#,##0">
                  <c:v>134128344.37732179</c:v>
                </c:pt>
                <c:pt idx="23" formatCode="#,##0">
                  <c:v>134716705.53039229</c:v>
                </c:pt>
                <c:pt idx="24" formatCode="#,##0">
                  <c:v>135305369.78016734</c:v>
                </c:pt>
                <c:pt idx="25" formatCode="#,##0">
                  <c:v>135894312.02130213</c:v>
                </c:pt>
                <c:pt idx="26" formatCode="#,##0">
                  <c:v>136483510.38568866</c:v>
                </c:pt>
                <c:pt idx="27" formatCode="#,##0">
                  <c:v>137072945.68763512</c:v>
                </c:pt>
                <c:pt idx="28" formatCode="#,##0">
                  <c:v>137662600.98555258</c:v>
                </c:pt>
                <c:pt idx="29" formatCode="#,##0">
                  <c:v>138252461.23158053</c:v>
                </c:pt>
                <c:pt idx="30" formatCode="#,##0">
                  <c:v>138842512.98850974</c:v>
                </c:pt>
                <c:pt idx="31" formatCode="#,##0">
                  <c:v>139432744.19885221</c:v>
                </c:pt>
                <c:pt idx="32" formatCode="#,##0">
                  <c:v>140023143.99478087</c:v>
                </c:pt>
                <c:pt idx="33" formatCode="#,##0">
                  <c:v>140613702.54043463</c:v>
                </c:pt>
                <c:pt idx="34" formatCode="#,##0">
                  <c:v>141204410.90009928</c:v>
                </c:pt>
                <c:pt idx="35" formatCode="#,##0">
                  <c:v>141795260.92725912</c:v>
                </c:pt>
                <c:pt idx="36" formatCode="#,##0">
                  <c:v>142386245.17061821</c:v>
                </c:pt>
                <c:pt idx="37" formatCode="#,##0">
                  <c:v>142977356.79402494</c:v>
                </c:pt>
                <c:pt idx="38" formatCode="#,##0">
                  <c:v>143568589.50786591</c:v>
                </c:pt>
                <c:pt idx="39" formatCode="#,##0">
                  <c:v>144159937.50998488</c:v>
                </c:pt>
              </c:numCache>
            </c:numRef>
          </c:val>
          <c:smooth val="0"/>
          <c:extLst>
            <c:ext xmlns:c16="http://schemas.microsoft.com/office/drawing/2014/chart" uri="{C3380CC4-5D6E-409C-BE32-E72D297353CC}">
              <c16:uniqueId val="{00000003-125B-4F32-ADDB-21F8480D9A90}"/>
            </c:ext>
          </c:extLst>
        </c:ser>
        <c:ser>
          <c:idx val="3"/>
          <c:order val="3"/>
          <c:tx>
            <c:strRef>
              <c:f>forecast!$E$1</c:f>
              <c:strCache>
                <c:ptCount val="1"/>
                <c:pt idx="0">
                  <c:v>gornja granica</c:v>
                </c:pt>
              </c:strCache>
            </c:strRef>
          </c:tx>
          <c:spPr>
            <a:ln w="28521" cap="rnd">
              <a:solidFill>
                <a:schemeClr val="accent4"/>
              </a:solidFill>
              <a:round/>
            </a:ln>
            <a:effectLst/>
          </c:spPr>
          <c:marker>
            <c:symbol val="none"/>
          </c:marker>
          <c:dLbls>
            <c:dLbl>
              <c:idx val="39"/>
              <c:layout>
                <c:manualLayout>
                  <c:x val="-8.0808080808080808E-3"/>
                  <c:y val="-4.909180166912127E-2"/>
                </c:manualLayout>
              </c:layout>
              <c:spPr>
                <a:noFill/>
                <a:ln w="25340">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sr-Latn-R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25B-4F32-ADDB-21F8480D9A9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zag!$A$2:$A$41</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forecast!$E$2:$E$41</c:f>
              <c:numCache>
                <c:formatCode>General</c:formatCode>
                <c:ptCount val="40"/>
                <c:pt idx="6" formatCode="#,##0">
                  <c:v>124901113.74528849</c:v>
                </c:pt>
                <c:pt idx="7" formatCode="#,##0">
                  <c:v>125596774.65671167</c:v>
                </c:pt>
                <c:pt idx="8" formatCode="#,##0">
                  <c:v>126230688.01519446</c:v>
                </c:pt>
                <c:pt idx="9" formatCode="#,##0">
                  <c:v>126857480.93925683</c:v>
                </c:pt>
                <c:pt idx="10" formatCode="#,##0">
                  <c:v>127480339.61675204</c:v>
                </c:pt>
                <c:pt idx="11" formatCode="#,##0">
                  <c:v>128100610.56926887</c:v>
                </c:pt>
                <c:pt idx="12" formatCode="#,##0">
                  <c:v>128719013.54896192</c:v>
                </c:pt>
                <c:pt idx="13" formatCode="#,##0">
                  <c:v>129335986.80503812</c:v>
                </c:pt>
                <c:pt idx="14" formatCode="#,##0">
                  <c:v>129951820.61820203</c:v>
                </c:pt>
                <c:pt idx="15" formatCode="#,##0">
                  <c:v>130566718.99851407</c:v>
                </c:pt>
                <c:pt idx="16" formatCode="#,##0">
                  <c:v>131180831.79181007</c:v>
                </c:pt>
                <c:pt idx="17" formatCode="#,##0">
                  <c:v>131794272.88700342</c:v>
                </c:pt>
                <c:pt idx="18" formatCode="#,##0">
                  <c:v>132407131.23876247</c:v>
                </c:pt>
                <c:pt idx="19" formatCode="#,##0">
                  <c:v>133019477.8934962</c:v>
                </c:pt>
                <c:pt idx="20" formatCode="#,##0">
                  <c:v>133631370.65868585</c:v>
                </c:pt>
                <c:pt idx="21" formatCode="#,##0">
                  <c:v>134242857.31508139</c:v>
                </c:pt>
                <c:pt idx="22" formatCode="#,##0">
                  <c:v>134853977.89167908</c:v>
                </c:pt>
                <c:pt idx="23" formatCode="#,##0">
                  <c:v>135464766.31743705</c:v>
                </c:pt>
                <c:pt idx="24" formatCode="#,##0">
                  <c:v>136075251.64649051</c:v>
                </c:pt>
                <c:pt idx="25" formatCode="#,##0">
                  <c:v>136685458.98418418</c:v>
                </c:pt>
                <c:pt idx="26" formatCode="#,##0">
                  <c:v>137295410.19862616</c:v>
                </c:pt>
                <c:pt idx="27" formatCode="#,##0">
                  <c:v>137905124.47550815</c:v>
                </c:pt>
                <c:pt idx="28" formatCode="#,##0">
                  <c:v>138514618.75641921</c:v>
                </c:pt>
                <c:pt idx="29" formatCode="#,##0">
                  <c:v>139123908.08921972</c:v>
                </c:pt>
                <c:pt idx="30" formatCode="#,##0">
                  <c:v>139733005.91111901</c:v>
                </c:pt>
                <c:pt idx="31" formatCode="#,##0">
                  <c:v>140341924.27960506</c:v>
                </c:pt>
                <c:pt idx="32" formatCode="#,##0">
                  <c:v>140950674.06250486</c:v>
                </c:pt>
                <c:pt idx="33" formatCode="#,##0">
                  <c:v>141559265.09567961</c:v>
                </c:pt>
                <c:pt idx="34" formatCode="#,##0">
                  <c:v>142167706.31484342</c:v>
                </c:pt>
                <c:pt idx="35" formatCode="#,##0">
                  <c:v>142776005.86651209</c:v>
                </c:pt>
                <c:pt idx="36" formatCode="#,##0">
                  <c:v>143384171.20198146</c:v>
                </c:pt>
                <c:pt idx="37" formatCode="#,##0">
                  <c:v>143992209.15740323</c:v>
                </c:pt>
                <c:pt idx="38" formatCode="#,##0">
                  <c:v>144600126.02239072</c:v>
                </c:pt>
                <c:pt idx="39" formatCode="#,##0">
                  <c:v>145207927.59910026</c:v>
                </c:pt>
              </c:numCache>
            </c:numRef>
          </c:val>
          <c:smooth val="0"/>
          <c:extLst>
            <c:ext xmlns:c16="http://schemas.microsoft.com/office/drawing/2014/chart" uri="{C3380CC4-5D6E-409C-BE32-E72D297353CC}">
              <c16:uniqueId val="{00000005-125B-4F32-ADDB-21F8480D9A90}"/>
            </c:ext>
          </c:extLst>
        </c:ser>
        <c:dLbls>
          <c:showLegendKey val="0"/>
          <c:showVal val="0"/>
          <c:showCatName val="0"/>
          <c:showSerName val="0"/>
          <c:showPercent val="0"/>
          <c:showBubbleSize val="0"/>
        </c:dLbls>
        <c:smooth val="0"/>
        <c:axId val="255593088"/>
        <c:axId val="256238336"/>
      </c:lineChart>
      <c:catAx>
        <c:axId val="255593088"/>
        <c:scaling>
          <c:orientation val="minMax"/>
        </c:scaling>
        <c:delete val="0"/>
        <c:axPos val="b"/>
        <c:numFmt formatCode="General" sourceLinked="1"/>
        <c:majorTickMark val="none"/>
        <c:minorTickMark val="none"/>
        <c:tickLblPos val="low"/>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sr-Latn-RS"/>
          </a:p>
        </c:txPr>
        <c:crossAx val="256238336"/>
        <c:crosses val="autoZero"/>
        <c:auto val="1"/>
        <c:lblAlgn val="ctr"/>
        <c:lblOffset val="100"/>
        <c:noMultiLvlLbl val="0"/>
      </c:catAx>
      <c:valAx>
        <c:axId val="256238336"/>
        <c:scaling>
          <c:orientation val="minMax"/>
        </c:scaling>
        <c:delete val="0"/>
        <c:axPos val="l"/>
        <c:majorGridlines>
          <c:spPr>
            <a:ln w="9507" cap="flat" cmpd="sng" algn="ctr">
              <a:solidFill>
                <a:schemeClr val="tx1">
                  <a:lumMod val="15000"/>
                  <a:lumOff val="85000"/>
                </a:schemeClr>
              </a:solidFill>
              <a:round/>
            </a:ln>
            <a:effectLst/>
          </c:spPr>
        </c:majorGridlines>
        <c:numFmt formatCode="#,##0"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sr-Latn-RS"/>
          </a:p>
        </c:txPr>
        <c:crossAx val="255593088"/>
        <c:crosses val="autoZero"/>
        <c:crossBetween val="between"/>
        <c:dispUnits>
          <c:builtInUnit val="millions"/>
          <c:dispUnitsLbl>
            <c:layout/>
            <c:tx>
              <c:rich>
                <a:bodyPr rot="-5400000" vert="horz"/>
                <a:lstStyle/>
                <a:p>
                  <a:pPr algn="ctr">
                    <a:defRPr sz="989" b="0" i="0" u="none" strike="noStrike" baseline="0">
                      <a:solidFill>
                        <a:srgbClr val="333333"/>
                      </a:solidFill>
                      <a:latin typeface="Calibri"/>
                      <a:ea typeface="Calibri"/>
                      <a:cs typeface="Calibri"/>
                    </a:defRPr>
                  </a:pPr>
                  <a:r>
                    <a:rPr lang="hr-HR"/>
                    <a:t>milijuna m2</a:t>
                  </a:r>
                </a:p>
              </c:rich>
            </c:tx>
            <c:spPr>
              <a:noFill/>
              <a:ln w="25340">
                <a:noFill/>
              </a:ln>
            </c:spPr>
          </c:dispUnitsLbl>
        </c:dispUnits>
      </c:valAx>
      <c:spPr>
        <a:noFill/>
        <a:ln w="25374">
          <a:noFill/>
        </a:ln>
      </c:spPr>
    </c:plotArea>
    <c:legend>
      <c:legendPos val="b"/>
      <c:layout/>
      <c:overlay val="0"/>
      <c:spPr>
        <a:noFill/>
        <a:ln w="25340">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forecast!$B$1</c:f>
              <c:strCache>
                <c:ptCount val="1"/>
                <c:pt idx="0">
                  <c:v>povijesne vrijednosti</c:v>
                </c:pt>
              </c:strCache>
            </c:strRef>
          </c:tx>
          <c:spPr>
            <a:ln w="28575" cap="rnd">
              <a:solidFill>
                <a:schemeClr val="accent1"/>
              </a:solidFill>
              <a:round/>
            </a:ln>
            <a:effectLst/>
          </c:spPr>
          <c:marker>
            <c:symbol val="none"/>
          </c:marker>
          <c:val>
            <c:numRef>
              <c:f>forecast!$B$2:$B$41</c:f>
              <c:numCache>
                <c:formatCode>#,##0</c:formatCode>
                <c:ptCount val="40"/>
                <c:pt idx="0">
                  <c:v>121125768</c:v>
                </c:pt>
                <c:pt idx="1">
                  <c:v>122056845.24982113</c:v>
                </c:pt>
                <c:pt idx="2">
                  <c:v>122727101.0334221</c:v>
                </c:pt>
                <c:pt idx="3">
                  <c:v>123277018.31339706</c:v>
                </c:pt>
                <c:pt idx="4">
                  <c:v>123784831.53935899</c:v>
                </c:pt>
                <c:pt idx="5">
                  <c:v>124256297.33759734</c:v>
                </c:pt>
                <c:pt idx="6">
                  <c:v>124901113.74528849</c:v>
                </c:pt>
              </c:numCache>
            </c:numRef>
          </c:val>
          <c:smooth val="0"/>
          <c:extLst>
            <c:ext xmlns:c16="http://schemas.microsoft.com/office/drawing/2014/chart" uri="{C3380CC4-5D6E-409C-BE32-E72D297353CC}">
              <c16:uniqueId val="{00000000-19DC-4B09-9BF9-1FEBDD5979A0}"/>
            </c:ext>
          </c:extLst>
        </c:ser>
        <c:ser>
          <c:idx val="1"/>
          <c:order val="1"/>
          <c:tx>
            <c:strRef>
              <c:f>forecast!$C$1</c:f>
              <c:strCache>
                <c:ptCount val="1"/>
                <c:pt idx="0">
                  <c:v>prognoza</c:v>
                </c:pt>
              </c:strCache>
            </c:strRef>
          </c:tx>
          <c:spPr>
            <a:ln w="28575" cap="rnd">
              <a:solidFill>
                <a:schemeClr val="accent2"/>
              </a:solidFill>
              <a:round/>
            </a:ln>
            <a:effectLst/>
          </c:spPr>
          <c:marker>
            <c:symbol val="none"/>
          </c:marker>
          <c:cat>
            <c:numRef>
              <c:f>zag!$A$2:$A$41</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forecast!$G$2:$G$41</c:f>
              <c:numCache>
                <c:formatCode>General</c:formatCode>
                <c:ptCount val="40"/>
                <c:pt idx="6" formatCode="#,##0">
                  <c:v>124901113.74528849</c:v>
                </c:pt>
                <c:pt idx="7" formatCode="#,##0">
                  <c:v>125474585.24635673</c:v>
                </c:pt>
                <c:pt idx="8" formatCode="#,##0">
                  <c:v>126083669.5603929</c:v>
                </c:pt>
                <c:pt idx="9" formatCode="#,##0">
                  <c:v>126667878.39079647</c:v>
                </c:pt>
                <c:pt idx="10" formatCode="#,##0">
                  <c:v>127276962.70483263</c:v>
                </c:pt>
                <c:pt idx="11" formatCode="#,##0">
                  <c:v>127861171.53523619</c:v>
                </c:pt>
                <c:pt idx="12" formatCode="#,##0">
                  <c:v>128470255.84927236</c:v>
                </c:pt>
                <c:pt idx="13" formatCode="#,##0">
                  <c:v>129054464.67967591</c:v>
                </c:pt>
                <c:pt idx="14" formatCode="#,##0">
                  <c:v>129663548.99371208</c:v>
                </c:pt>
                <c:pt idx="15" formatCode="#,##0">
                  <c:v>130247757.82411565</c:v>
                </c:pt>
                <c:pt idx="16" formatCode="#,##0">
                  <c:v>130856842.13815181</c:v>
                </c:pt>
                <c:pt idx="17" formatCode="#,##0">
                  <c:v>131441050.96855539</c:v>
                </c:pt>
                <c:pt idx="18" formatCode="#,##0">
                  <c:v>132050135.28259154</c:v>
                </c:pt>
                <c:pt idx="19" formatCode="#,##0">
                  <c:v>132634344.11299513</c:v>
                </c:pt>
                <c:pt idx="20" formatCode="#,##0">
                  <c:v>133243428.42703128</c:v>
                </c:pt>
                <c:pt idx="21" formatCode="#,##0">
                  <c:v>133827637.25743483</c:v>
                </c:pt>
                <c:pt idx="22" formatCode="#,##0">
                  <c:v>134436721.57147101</c:v>
                </c:pt>
                <c:pt idx="23" formatCode="#,##0">
                  <c:v>135020930.40187457</c:v>
                </c:pt>
                <c:pt idx="24" formatCode="#,##0">
                  <c:v>135630014.71591073</c:v>
                </c:pt>
                <c:pt idx="25" formatCode="#,##0">
                  <c:v>136214223.5463143</c:v>
                </c:pt>
                <c:pt idx="26" formatCode="#,##0">
                  <c:v>136823307.86035046</c:v>
                </c:pt>
                <c:pt idx="27" formatCode="#,##0">
                  <c:v>137407516.690754</c:v>
                </c:pt>
                <c:pt idx="28" formatCode="#,##0">
                  <c:v>138016601.00479019</c:v>
                </c:pt>
                <c:pt idx="29" formatCode="#,##0">
                  <c:v>138600809.83519378</c:v>
                </c:pt>
                <c:pt idx="30" formatCode="#,##0">
                  <c:v>139209894.14922994</c:v>
                </c:pt>
                <c:pt idx="31" formatCode="#,##0">
                  <c:v>139794102.97963348</c:v>
                </c:pt>
                <c:pt idx="32" formatCode="#,##0">
                  <c:v>140403187.29366964</c:v>
                </c:pt>
                <c:pt idx="33" formatCode="#,##0">
                  <c:v>140987396.12407321</c:v>
                </c:pt>
                <c:pt idx="34" formatCode="#,##0">
                  <c:v>141596480.4381094</c:v>
                </c:pt>
                <c:pt idx="35" formatCode="#,##0">
                  <c:v>142180689.26851296</c:v>
                </c:pt>
                <c:pt idx="36" formatCode="#,##0">
                  <c:v>142789773.5825491</c:v>
                </c:pt>
                <c:pt idx="37" formatCode="#,##0">
                  <c:v>143373982.41295269</c:v>
                </c:pt>
                <c:pt idx="38" formatCode="#,##0">
                  <c:v>143983066.72698885</c:v>
                </c:pt>
                <c:pt idx="39" formatCode="#,##0">
                  <c:v>144567275.55739242</c:v>
                </c:pt>
              </c:numCache>
            </c:numRef>
          </c:val>
          <c:smooth val="0"/>
          <c:extLst>
            <c:ext xmlns:c16="http://schemas.microsoft.com/office/drawing/2014/chart" uri="{C3380CC4-5D6E-409C-BE32-E72D297353CC}">
              <c16:uniqueId val="{00000001-19DC-4B09-9BF9-1FEBDD5979A0}"/>
            </c:ext>
          </c:extLst>
        </c:ser>
        <c:ser>
          <c:idx val="2"/>
          <c:order val="2"/>
          <c:tx>
            <c:strRef>
              <c:f>forecast!$D$1</c:f>
              <c:strCache>
                <c:ptCount val="1"/>
                <c:pt idx="0">
                  <c:v>donja granica</c:v>
                </c:pt>
              </c:strCache>
            </c:strRef>
          </c:tx>
          <c:spPr>
            <a:ln w="28575" cap="rnd">
              <a:solidFill>
                <a:schemeClr val="accent3"/>
              </a:solidFill>
              <a:round/>
            </a:ln>
            <a:effectLst/>
          </c:spPr>
          <c:marker>
            <c:symbol val="none"/>
          </c:marker>
          <c:dLbls>
            <c:dLbl>
              <c:idx val="39"/>
              <c:layout>
                <c:manualLayout>
                  <c:x val="-4.0404040404040404E-3"/>
                  <c:y val="3.92734413352970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9DC-4B09-9BF9-1FEBDD5979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zag!$A$2:$A$41</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forecast!$H$2:$H$41</c:f>
              <c:numCache>
                <c:formatCode>General</c:formatCode>
                <c:ptCount val="40"/>
                <c:pt idx="6" formatCode="#,##0">
                  <c:v>124901113.74528849</c:v>
                </c:pt>
                <c:pt idx="7" formatCode="#,##0">
                  <c:v>125163242.57819696</c:v>
                </c:pt>
                <c:pt idx="8" formatCode="#,##0">
                  <c:v>125675179.59493166</c:v>
                </c:pt>
                <c:pt idx="9" formatCode="#,##0">
                  <c:v>126169991.72692916</c:v>
                </c:pt>
                <c:pt idx="10" formatCode="#,##0">
                  <c:v>126707290.3628533</c:v>
                </c:pt>
                <c:pt idx="11" formatCode="#,##0">
                  <c:v>127217623.58836204</c:v>
                </c:pt>
                <c:pt idx="12" formatCode="#,##0">
                  <c:v>127763703.16607681</c:v>
                </c:pt>
                <c:pt idx="13" formatCode="#,##0">
                  <c:v>128280960.5090645</c:v>
                </c:pt>
                <c:pt idx="14" formatCode="#,##0">
                  <c:v>128831337.00931247</c:v>
                </c:pt>
                <c:pt idx="15" formatCode="#,##0">
                  <c:v>129352373.19309683</c:v>
                </c:pt>
                <c:pt idx="16" formatCode="#,##0">
                  <c:v>129905119.72754799</c:v>
                </c:pt>
                <c:pt idx="17" formatCode="#,##0">
                  <c:v>130428399.40754203</c:v>
                </c:pt>
                <c:pt idx="18" formatCode="#,##0">
                  <c:v>130982502.9080714</c:v>
                </c:pt>
                <c:pt idx="19" formatCode="#,##0">
                  <c:v>131507155.53653164</c:v>
                </c:pt>
                <c:pt idx="20" formatCode="#,##0">
                  <c:v>132062017.67178831</c:v>
                </c:pt>
                <c:pt idx="21" formatCode="#,##0">
                  <c:v>132587501.54047859</c:v>
                </c:pt>
                <c:pt idx="22" formatCode="#,##0">
                  <c:v>133142741.01721413</c:v>
                </c:pt>
                <c:pt idx="23" formatCode="#,##0">
                  <c:v>133668696.94594975</c:v>
                </c:pt>
                <c:pt idx="24" formatCode="#,##0">
                  <c:v>134224057.45367491</c:v>
                </c:pt>
                <c:pt idx="25" formatCode="#,##0">
                  <c:v>134750236.0773041</c:v>
                </c:pt>
                <c:pt idx="26" formatCode="#,##0">
                  <c:v>135305538.42108801</c:v>
                </c:pt>
                <c:pt idx="27" formatCode="#,##0">
                  <c:v>135831760.50656286</c:v>
                </c:pt>
                <c:pt idx="28" formatCode="#,##0">
                  <c:v>136386875.62479582</c:v>
                </c:pt>
                <c:pt idx="29" formatCode="#,##0">
                  <c:v>136913008.8399173</c:v>
                </c:pt>
                <c:pt idx="30" formatCode="#,##0">
                  <c:v>137467841.62523785</c:v>
                </c:pt>
                <c:pt idx="31" formatCode="#,##0">
                  <c:v>137993786.17379448</c:v>
                </c:pt>
                <c:pt idx="32" formatCode="#,##0">
                  <c:v>138548265.28536245</c:v>
                </c:pt>
                <c:pt idx="33" formatCode="#,##0">
                  <c:v>139073944.62592483</c:v>
                </c:pt>
                <c:pt idx="34" formatCode="#,##0">
                  <c:v>139628015.81426185</c:v>
                </c:pt>
                <c:pt idx="35" formatCode="#,##0">
                  <c:v>140153370.44328713</c:v>
                </c:pt>
                <c:pt idx="36" formatCode="#,##0">
                  <c:v>140706992.03011489</c:v>
                </c:pt>
                <c:pt idx="37" formatCode="#,##0">
                  <c:v>141231975.19007051</c:v>
                </c:pt>
                <c:pt idx="38" formatCode="#,##0">
                  <c:v>141785114.92127165</c:v>
                </c:pt>
                <c:pt idx="39" formatCode="#,##0">
                  <c:v>142309689.56081706</c:v>
                </c:pt>
              </c:numCache>
            </c:numRef>
          </c:val>
          <c:smooth val="0"/>
          <c:extLst>
            <c:ext xmlns:c16="http://schemas.microsoft.com/office/drawing/2014/chart" uri="{C3380CC4-5D6E-409C-BE32-E72D297353CC}">
              <c16:uniqueId val="{00000003-19DC-4B09-9BF9-1FEBDD5979A0}"/>
            </c:ext>
          </c:extLst>
        </c:ser>
        <c:ser>
          <c:idx val="3"/>
          <c:order val="3"/>
          <c:tx>
            <c:strRef>
              <c:f>forecast!$E$1</c:f>
              <c:strCache>
                <c:ptCount val="1"/>
                <c:pt idx="0">
                  <c:v>gornja granica</c:v>
                </c:pt>
              </c:strCache>
            </c:strRef>
          </c:tx>
          <c:spPr>
            <a:ln w="28575" cap="rnd">
              <a:solidFill>
                <a:schemeClr val="accent4"/>
              </a:solidFill>
              <a:round/>
            </a:ln>
            <a:effectLst/>
          </c:spPr>
          <c:marker>
            <c:symbol val="none"/>
          </c:marker>
          <c:dLbls>
            <c:dLbl>
              <c:idx val="39"/>
              <c:layout>
                <c:manualLayout>
                  <c:x val="-6.0606060606060606E-3"/>
                  <c:y val="-4.17280314187530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9DC-4B09-9BF9-1FEBDD5979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zag!$A$2:$A$41</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forecast!$I$2:$I$41</c:f>
              <c:numCache>
                <c:formatCode>General</c:formatCode>
                <c:ptCount val="40"/>
                <c:pt idx="6" formatCode="#,##0">
                  <c:v>124901113.74528849</c:v>
                </c:pt>
                <c:pt idx="7" formatCode="#,##0">
                  <c:v>125785927.91451649</c:v>
                </c:pt>
                <c:pt idx="8" formatCode="#,##0">
                  <c:v>126492159.52585414</c:v>
                </c:pt>
                <c:pt idx="9" formatCode="#,##0">
                  <c:v>127165765.05466378</c:v>
                </c:pt>
                <c:pt idx="10" formatCode="#,##0">
                  <c:v>127846635.04681197</c:v>
                </c:pt>
                <c:pt idx="11" formatCode="#,##0">
                  <c:v>128504719.48211035</c:v>
                </c:pt>
                <c:pt idx="12" formatCode="#,##0">
                  <c:v>129176808.5324679</c:v>
                </c:pt>
                <c:pt idx="13" formatCode="#,##0">
                  <c:v>129827968.85028733</c:v>
                </c:pt>
                <c:pt idx="14" formatCode="#,##0">
                  <c:v>130495760.97811171</c:v>
                </c:pt>
                <c:pt idx="15" formatCode="#,##0">
                  <c:v>131143142.45513447</c:v>
                </c:pt>
                <c:pt idx="16" formatCode="#,##0">
                  <c:v>131808564.54875563</c:v>
                </c:pt>
                <c:pt idx="17" formatCode="#,##0">
                  <c:v>132453702.52956872</c:v>
                </c:pt>
                <c:pt idx="18" formatCode="#,##0">
                  <c:v>133117767.6571117</c:v>
                </c:pt>
                <c:pt idx="19" formatCode="#,##0">
                  <c:v>133761532.68945858</c:v>
                </c:pt>
                <c:pt idx="20" formatCode="#,##0">
                  <c:v>134424839.18227425</c:v>
                </c:pt>
                <c:pt idx="21" formatCode="#,##0">
                  <c:v>135067772.97439107</c:v>
                </c:pt>
                <c:pt idx="22" formatCode="#,##0">
                  <c:v>135730702.12572789</c:v>
                </c:pt>
                <c:pt idx="23" formatCode="#,##0">
                  <c:v>136373163.85779935</c:v>
                </c:pt>
                <c:pt idx="24" formatCode="#,##0">
                  <c:v>137035971.97814655</c:v>
                </c:pt>
                <c:pt idx="25" formatCode="#,##0">
                  <c:v>137678211.01532453</c:v>
                </c:pt>
                <c:pt idx="26" formatCode="#,##0">
                  <c:v>138341077.29961294</c:v>
                </c:pt>
                <c:pt idx="27" formatCode="#,##0">
                  <c:v>138983272.87494522</c:v>
                </c:pt>
                <c:pt idx="28" formatCode="#,##0">
                  <c:v>139646326.38478458</c:v>
                </c:pt>
                <c:pt idx="29" formatCode="#,##0">
                  <c:v>140288610.8304702</c:v>
                </c:pt>
                <c:pt idx="30" formatCode="#,##0">
                  <c:v>140951946.67322201</c:v>
                </c:pt>
                <c:pt idx="31" formatCode="#,##0">
                  <c:v>141594419.78547248</c:v>
                </c:pt>
                <c:pt idx="32" formatCode="#,##0">
                  <c:v>142258109.30197686</c:v>
                </c:pt>
                <c:pt idx="33" formatCode="#,##0">
                  <c:v>142900847.62222159</c:v>
                </c:pt>
                <c:pt idx="34" formatCode="#,##0">
                  <c:v>143564945.06195688</c:v>
                </c:pt>
                <c:pt idx="35" formatCode="#,##0">
                  <c:v>144208008.09373876</c:v>
                </c:pt>
                <c:pt idx="36" formatCode="#,##0">
                  <c:v>144872555.13498336</c:v>
                </c:pt>
                <c:pt idx="37" formatCode="#,##0">
                  <c:v>145515989.63583484</c:v>
                </c:pt>
                <c:pt idx="38" formatCode="#,##0">
                  <c:v>146181018.53270602</c:v>
                </c:pt>
                <c:pt idx="39" formatCode="#,##0">
                  <c:v>146824861.55396774</c:v>
                </c:pt>
              </c:numCache>
            </c:numRef>
          </c:val>
          <c:smooth val="0"/>
          <c:extLst>
            <c:ext xmlns:c16="http://schemas.microsoft.com/office/drawing/2014/chart" uri="{C3380CC4-5D6E-409C-BE32-E72D297353CC}">
              <c16:uniqueId val="{00000005-19DC-4B09-9BF9-1FEBDD5979A0}"/>
            </c:ext>
          </c:extLst>
        </c:ser>
        <c:dLbls>
          <c:showLegendKey val="0"/>
          <c:showVal val="0"/>
          <c:showCatName val="0"/>
          <c:showSerName val="0"/>
          <c:showPercent val="0"/>
          <c:showBubbleSize val="0"/>
        </c:dLbls>
        <c:smooth val="0"/>
        <c:axId val="74843264"/>
        <c:axId val="74844800"/>
      </c:lineChart>
      <c:catAx>
        <c:axId val="74843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844800"/>
        <c:crosses val="autoZero"/>
        <c:auto val="1"/>
        <c:lblAlgn val="ctr"/>
        <c:lblOffset val="100"/>
        <c:noMultiLvlLbl val="0"/>
      </c:catAx>
      <c:valAx>
        <c:axId val="74844800"/>
        <c:scaling>
          <c:orientation val="minMax"/>
          <c:min val="105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843264"/>
        <c:crosses val="autoZero"/>
        <c:crossBetween val="between"/>
        <c:dispUnits>
          <c:builtInUnit val="millions"/>
          <c:dispUnitsLbl>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milijuna m2</a:t>
                  </a:r>
                  <a:endParaRPr lang="hr-HR"/>
                </a:p>
              </c:rich>
            </c:tx>
            <c:spPr>
              <a:noFill/>
              <a:ln>
                <a:noFill/>
              </a:ln>
              <a:effectLst/>
            </c:sp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'forecast 1996-2011'!$B$1</c:f>
              <c:strCache>
                <c:ptCount val="1"/>
                <c:pt idx="0">
                  <c:v>povijesne vrijednosti</c:v>
                </c:pt>
              </c:strCache>
            </c:strRef>
          </c:tx>
          <c:spPr>
            <a:ln w="28575" cap="rnd">
              <a:solidFill>
                <a:schemeClr val="accent1"/>
              </a:solidFill>
              <a:round/>
            </a:ln>
            <a:effectLst/>
          </c:spPr>
          <c:marker>
            <c:symbol val="none"/>
          </c:marker>
          <c:val>
            <c:numRef>
              <c:f>'forecast 1996-2011'!$B$2:$B$56</c:f>
              <c:numCache>
                <c:formatCode>General</c:formatCode>
                <c:ptCount val="55"/>
                <c:pt idx="0">
                  <c:v>103994090.65549015</c:v>
                </c:pt>
                <c:pt idx="1">
                  <c:v>104439843.58597502</c:v>
                </c:pt>
                <c:pt idx="2">
                  <c:v>105015551.50104232</c:v>
                </c:pt>
                <c:pt idx="3">
                  <c:v>105599649.36703733</c:v>
                </c:pt>
                <c:pt idx="4">
                  <c:v>106377558.79830994</c:v>
                </c:pt>
                <c:pt idx="5">
                  <c:v>107191600.34046398</c:v>
                </c:pt>
                <c:pt idx="6">
                  <c:v>108405179.32244059</c:v>
                </c:pt>
                <c:pt idx="7">
                  <c:v>109715959.99485181</c:v>
                </c:pt>
                <c:pt idx="8">
                  <c:v>111087202.34927918</c:v>
                </c:pt>
                <c:pt idx="9">
                  <c:v>112427142.00103596</c:v>
                </c:pt>
                <c:pt idx="10">
                  <c:v>113986969.28847812</c:v>
                </c:pt>
                <c:pt idx="11">
                  <c:v>115651427.32104352</c:v>
                </c:pt>
                <c:pt idx="12">
                  <c:v>117288123.09122342</c:v>
                </c:pt>
                <c:pt idx="13">
                  <c:v>118860887.49966194</c:v>
                </c:pt>
                <c:pt idx="14">
                  <c:v>120111289.02114569</c:v>
                </c:pt>
                <c:pt idx="15" formatCode="#,##0">
                  <c:v>121125768</c:v>
                </c:pt>
                <c:pt idx="16" formatCode="#,##0">
                  <c:v>122056845.24982113</c:v>
                </c:pt>
                <c:pt idx="17" formatCode="#,##0">
                  <c:v>122727101.0334221</c:v>
                </c:pt>
                <c:pt idx="18" formatCode="#,##0">
                  <c:v>123277018.31339706</c:v>
                </c:pt>
                <c:pt idx="19" formatCode="#,##0">
                  <c:v>123784831.53935899</c:v>
                </c:pt>
                <c:pt idx="20" formatCode="#,##0">
                  <c:v>124256297.33759734</c:v>
                </c:pt>
                <c:pt idx="21" formatCode="#,##0">
                  <c:v>124901113.74528849</c:v>
                </c:pt>
              </c:numCache>
            </c:numRef>
          </c:val>
          <c:smooth val="0"/>
          <c:extLst>
            <c:ext xmlns:c16="http://schemas.microsoft.com/office/drawing/2014/chart" uri="{C3380CC4-5D6E-409C-BE32-E72D297353CC}">
              <c16:uniqueId val="{00000000-28AD-47F8-A7B9-272A106ED8FC}"/>
            </c:ext>
          </c:extLst>
        </c:ser>
        <c:ser>
          <c:idx val="1"/>
          <c:order val="1"/>
          <c:tx>
            <c:strRef>
              <c:f>'forecast 1996-2011'!$C$1</c:f>
              <c:strCache>
                <c:ptCount val="1"/>
                <c:pt idx="0">
                  <c:v>prognoza</c:v>
                </c:pt>
              </c:strCache>
            </c:strRef>
          </c:tx>
          <c:spPr>
            <a:ln w="28575" cap="rnd">
              <a:solidFill>
                <a:schemeClr val="accent2"/>
              </a:solidFill>
              <a:round/>
            </a:ln>
            <a:effectLst/>
          </c:spPr>
          <c:marker>
            <c:symbol val="none"/>
          </c:marker>
          <c:cat>
            <c:numRef>
              <c:f>'forecast 1996-2011'!$A$2:$A$56</c:f>
              <c:numCache>
                <c:formatCode>General</c:formatCode>
                <c:ptCount val="5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pt idx="35">
                  <c:v>2031</c:v>
                </c:pt>
                <c:pt idx="36">
                  <c:v>2032</c:v>
                </c:pt>
                <c:pt idx="37">
                  <c:v>2033</c:v>
                </c:pt>
                <c:pt idx="38">
                  <c:v>2034</c:v>
                </c:pt>
                <c:pt idx="39">
                  <c:v>2035</c:v>
                </c:pt>
                <c:pt idx="40">
                  <c:v>2036</c:v>
                </c:pt>
                <c:pt idx="41">
                  <c:v>2037</c:v>
                </c:pt>
                <c:pt idx="42">
                  <c:v>2038</c:v>
                </c:pt>
                <c:pt idx="43">
                  <c:v>2039</c:v>
                </c:pt>
                <c:pt idx="44">
                  <c:v>2040</c:v>
                </c:pt>
                <c:pt idx="45">
                  <c:v>2041</c:v>
                </c:pt>
                <c:pt idx="46">
                  <c:v>2042</c:v>
                </c:pt>
                <c:pt idx="47">
                  <c:v>2043</c:v>
                </c:pt>
                <c:pt idx="48">
                  <c:v>2044</c:v>
                </c:pt>
                <c:pt idx="49">
                  <c:v>2045</c:v>
                </c:pt>
                <c:pt idx="50">
                  <c:v>2046</c:v>
                </c:pt>
                <c:pt idx="51">
                  <c:v>2047</c:v>
                </c:pt>
                <c:pt idx="52">
                  <c:v>2048</c:v>
                </c:pt>
                <c:pt idx="53">
                  <c:v>2049</c:v>
                </c:pt>
                <c:pt idx="54">
                  <c:v>2050</c:v>
                </c:pt>
              </c:numCache>
            </c:numRef>
          </c:cat>
          <c:val>
            <c:numRef>
              <c:f>'forecast 1996-2011'!$C$2:$C$56</c:f>
              <c:numCache>
                <c:formatCode>General</c:formatCode>
                <c:ptCount val="55"/>
                <c:pt idx="21" formatCode="#,##0">
                  <c:v>124901113.74528849</c:v>
                </c:pt>
                <c:pt idx="22" formatCode="#,##0">
                  <c:v>126580052.4920827</c:v>
                </c:pt>
                <c:pt idx="23" formatCode="#,##0">
                  <c:v>127714783.78479752</c:v>
                </c:pt>
                <c:pt idx="24" formatCode="#,##0">
                  <c:v>128849515.07751232</c:v>
                </c:pt>
                <c:pt idx="25" formatCode="#,##0">
                  <c:v>129984246.37022714</c:v>
                </c:pt>
                <c:pt idx="26" formatCode="#,##0">
                  <c:v>131118977.66294195</c:v>
                </c:pt>
                <c:pt idx="27" formatCode="#,##0">
                  <c:v>132253708.95565677</c:v>
                </c:pt>
                <c:pt idx="28" formatCode="#,##0">
                  <c:v>133388440.24837157</c:v>
                </c:pt>
                <c:pt idx="29" formatCode="#,##0">
                  <c:v>134523171.54108638</c:v>
                </c:pt>
                <c:pt idx="30" formatCode="#,##0">
                  <c:v>135657902.83380118</c:v>
                </c:pt>
                <c:pt idx="31" formatCode="#,##0">
                  <c:v>136792634.12651601</c:v>
                </c:pt>
                <c:pt idx="32" formatCode="#,##0">
                  <c:v>137927365.41923082</c:v>
                </c:pt>
                <c:pt idx="33" formatCode="#,##0">
                  <c:v>139062096.71194562</c:v>
                </c:pt>
                <c:pt idx="34" formatCode="#,##0">
                  <c:v>140196828.00466043</c:v>
                </c:pt>
                <c:pt idx="35" formatCode="#,##0">
                  <c:v>141331559.29737523</c:v>
                </c:pt>
                <c:pt idx="36" formatCode="#,##0">
                  <c:v>142466290.59009007</c:v>
                </c:pt>
                <c:pt idx="37" formatCode="#,##0">
                  <c:v>143601021.88280487</c:v>
                </c:pt>
                <c:pt idx="38" formatCode="#,##0">
                  <c:v>144735753.17551968</c:v>
                </c:pt>
                <c:pt idx="39" formatCode="#,##0">
                  <c:v>145870484.46823448</c:v>
                </c:pt>
                <c:pt idx="40" formatCode="#,##0">
                  <c:v>147005215.76094931</c:v>
                </c:pt>
                <c:pt idx="41" formatCode="#,##0">
                  <c:v>148139947.05366412</c:v>
                </c:pt>
                <c:pt idx="42" formatCode="#,##0">
                  <c:v>149274678.34637892</c:v>
                </c:pt>
                <c:pt idx="43" formatCode="#,##0">
                  <c:v>150409409.63909373</c:v>
                </c:pt>
                <c:pt idx="44" formatCode="#,##0">
                  <c:v>151544140.93180853</c:v>
                </c:pt>
                <c:pt idx="45" formatCode="#,##0">
                  <c:v>152678872.22452337</c:v>
                </c:pt>
                <c:pt idx="46" formatCode="#,##0">
                  <c:v>153813603.51723817</c:v>
                </c:pt>
                <c:pt idx="47" formatCode="#,##0">
                  <c:v>154948334.80995297</c:v>
                </c:pt>
                <c:pt idx="48" formatCode="#,##0">
                  <c:v>156083066.10266778</c:v>
                </c:pt>
                <c:pt idx="49" formatCode="#,##0">
                  <c:v>157217797.39538258</c:v>
                </c:pt>
                <c:pt idx="50" formatCode="#,##0">
                  <c:v>158352528.68809742</c:v>
                </c:pt>
                <c:pt idx="51" formatCode="#,##0">
                  <c:v>159487259.98081222</c:v>
                </c:pt>
                <c:pt idx="52" formatCode="#,##0">
                  <c:v>160621991.27352703</c:v>
                </c:pt>
                <c:pt idx="53" formatCode="#,##0">
                  <c:v>161756722.56624183</c:v>
                </c:pt>
                <c:pt idx="54" formatCode="#,##0">
                  <c:v>162891453.85895663</c:v>
                </c:pt>
              </c:numCache>
            </c:numRef>
          </c:val>
          <c:smooth val="0"/>
          <c:extLst>
            <c:ext xmlns:c16="http://schemas.microsoft.com/office/drawing/2014/chart" uri="{C3380CC4-5D6E-409C-BE32-E72D297353CC}">
              <c16:uniqueId val="{00000001-28AD-47F8-A7B9-272A106ED8FC}"/>
            </c:ext>
          </c:extLst>
        </c:ser>
        <c:ser>
          <c:idx val="2"/>
          <c:order val="2"/>
          <c:tx>
            <c:strRef>
              <c:f>'forecast 1996-2011'!$D$1</c:f>
              <c:strCache>
                <c:ptCount val="1"/>
                <c:pt idx="0">
                  <c:v>donja granica</c:v>
                </c:pt>
              </c:strCache>
            </c:strRef>
          </c:tx>
          <c:spPr>
            <a:ln w="28575" cap="rnd">
              <a:solidFill>
                <a:schemeClr val="accent3"/>
              </a:solidFill>
              <a:round/>
            </a:ln>
            <a:effectLst/>
          </c:spPr>
          <c:marker>
            <c:symbol val="none"/>
          </c:marker>
          <c:dLbls>
            <c:dLbl>
              <c:idx val="5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8AD-47F8-A7B9-272A106ED8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'forecast 1996-2011'!$A$2:$A$56</c:f>
              <c:numCache>
                <c:formatCode>General</c:formatCode>
                <c:ptCount val="5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pt idx="35">
                  <c:v>2031</c:v>
                </c:pt>
                <c:pt idx="36">
                  <c:v>2032</c:v>
                </c:pt>
                <c:pt idx="37">
                  <c:v>2033</c:v>
                </c:pt>
                <c:pt idx="38">
                  <c:v>2034</c:v>
                </c:pt>
                <c:pt idx="39">
                  <c:v>2035</c:v>
                </c:pt>
                <c:pt idx="40">
                  <c:v>2036</c:v>
                </c:pt>
                <c:pt idx="41">
                  <c:v>2037</c:v>
                </c:pt>
                <c:pt idx="42">
                  <c:v>2038</c:v>
                </c:pt>
                <c:pt idx="43">
                  <c:v>2039</c:v>
                </c:pt>
                <c:pt idx="44">
                  <c:v>2040</c:v>
                </c:pt>
                <c:pt idx="45">
                  <c:v>2041</c:v>
                </c:pt>
                <c:pt idx="46">
                  <c:v>2042</c:v>
                </c:pt>
                <c:pt idx="47">
                  <c:v>2043</c:v>
                </c:pt>
                <c:pt idx="48">
                  <c:v>2044</c:v>
                </c:pt>
                <c:pt idx="49">
                  <c:v>2045</c:v>
                </c:pt>
                <c:pt idx="50">
                  <c:v>2046</c:v>
                </c:pt>
                <c:pt idx="51">
                  <c:v>2047</c:v>
                </c:pt>
                <c:pt idx="52">
                  <c:v>2048</c:v>
                </c:pt>
                <c:pt idx="53">
                  <c:v>2049</c:v>
                </c:pt>
                <c:pt idx="54">
                  <c:v>2050</c:v>
                </c:pt>
              </c:numCache>
            </c:numRef>
          </c:cat>
          <c:val>
            <c:numRef>
              <c:f>'forecast 1996-2011'!$D$2:$D$56</c:f>
              <c:numCache>
                <c:formatCode>General</c:formatCode>
                <c:ptCount val="55"/>
                <c:pt idx="21" formatCode="#,##0">
                  <c:v>124901113.74528849</c:v>
                </c:pt>
                <c:pt idx="22" formatCode="#,##0">
                  <c:v>124705512.25384597</c:v>
                </c:pt>
                <c:pt idx="23" formatCode="#,##0">
                  <c:v>125618145.09490204</c:v>
                </c:pt>
                <c:pt idx="24" formatCode="#,##0">
                  <c:v>126551383.02517661</c:v>
                </c:pt>
                <c:pt idx="25" formatCode="#,##0">
                  <c:v>127500205.40144479</c:v>
                </c:pt>
                <c:pt idx="26" formatCode="#,##0">
                  <c:v>128461338.36506534</c:v>
                </c:pt>
                <c:pt idx="27" formatCode="#,##0">
                  <c:v>129432507.21404706</c:v>
                </c:pt>
                <c:pt idx="28" formatCode="#,##0">
                  <c:v>130412055.78897755</c:v>
                </c:pt>
                <c:pt idx="29" formatCode="#,##0">
                  <c:v>131398734.11729279</c:v>
                </c:pt>
                <c:pt idx="30" formatCode="#,##0">
                  <c:v>132391571.4682011</c:v>
                </c:pt>
                <c:pt idx="31" formatCode="#,##0">
                  <c:v>133389796.25173746</c:v>
                </c:pt>
                <c:pt idx="32" formatCode="#,##0">
                  <c:v>134392783.22618768</c:v>
                </c:pt>
                <c:pt idx="33" formatCode="#,##0">
                  <c:v>135400017.43238926</c:v>
                </c:pt>
                <c:pt idx="34" formatCode="#,##0">
                  <c:v>136411068.80194238</c:v>
                </c:pt>
                <c:pt idx="35" formatCode="#,##0">
                  <c:v>137425573.81598833</c:v>
                </c:pt>
                <c:pt idx="36" formatCode="#,##0">
                  <c:v>138443221.96066293</c:v>
                </c:pt>
                <c:pt idx="37" formatCode="#,##0">
                  <c:v>139463745.53022784</c:v>
                </c:pt>
                <c:pt idx="38" formatCode="#,##0">
                  <c:v>140486911.81932098</c:v>
                </c:pt>
                <c:pt idx="39" formatCode="#,##0">
                  <c:v>141512517.05411389</c:v>
                </c:pt>
                <c:pt idx="40" formatCode="#,##0">
                  <c:v>142540381.61144578</c:v>
                </c:pt>
                <c:pt idx="41" formatCode="#,##0">
                  <c:v>143570346.20697582</c:v>
                </c:pt>
                <c:pt idx="42" formatCode="#,##0">
                  <c:v>144602268.82271945</c:v>
                </c:pt>
                <c:pt idx="43" formatCode="#,##0">
                  <c:v>145636022.20598468</c:v>
                </c:pt>
                <c:pt idx="44" formatCode="#,##0">
                  <c:v>146671491.81503487</c:v>
                </c:pt>
                <c:pt idx="45" formatCode="#,##0">
                  <c:v>147708574.1177212</c:v>
                </c:pt>
                <c:pt idx="46" formatCode="#,##0">
                  <c:v>148747175.1717245</c:v>
                </c:pt>
                <c:pt idx="47" formatCode="#,##0">
                  <c:v>149787209.43148887</c:v>
                </c:pt>
                <c:pt idx="48" formatCode="#,##0">
                  <c:v>150828598.73914853</c:v>
                </c:pt>
                <c:pt idx="49" formatCode="#,##0">
                  <c:v>151871271.46593875</c:v>
                </c:pt>
                <c:pt idx="50" formatCode="#,##0">
                  <c:v>152915161.77756</c:v>
                </c:pt>
                <c:pt idx="51" formatCode="#,##0">
                  <c:v>153960209.00231865</c:v>
                </c:pt>
                <c:pt idx="52" formatCode="#,##0">
                  <c:v>155006357.08501402</c:v>
                </c:pt>
                <c:pt idx="53" formatCode="#,##0">
                  <c:v>156053554.11277688</c:v>
                </c:pt>
                <c:pt idx="54" formatCode="#,##0">
                  <c:v>157101751.90161255</c:v>
                </c:pt>
              </c:numCache>
            </c:numRef>
          </c:val>
          <c:smooth val="0"/>
          <c:extLst>
            <c:ext xmlns:c16="http://schemas.microsoft.com/office/drawing/2014/chart" uri="{C3380CC4-5D6E-409C-BE32-E72D297353CC}">
              <c16:uniqueId val="{00000003-28AD-47F8-A7B9-272A106ED8FC}"/>
            </c:ext>
          </c:extLst>
        </c:ser>
        <c:ser>
          <c:idx val="3"/>
          <c:order val="3"/>
          <c:tx>
            <c:strRef>
              <c:f>'forecast 1996-2011'!$E$1</c:f>
              <c:strCache>
                <c:ptCount val="1"/>
                <c:pt idx="0">
                  <c:v>gornja granica</c:v>
                </c:pt>
              </c:strCache>
            </c:strRef>
          </c:tx>
          <c:spPr>
            <a:ln w="28575" cap="rnd">
              <a:solidFill>
                <a:schemeClr val="accent4"/>
              </a:solidFill>
              <a:round/>
            </a:ln>
            <a:effectLst/>
          </c:spPr>
          <c:marker>
            <c:symbol val="none"/>
          </c:marker>
          <c:dLbls>
            <c:dLbl>
              <c:idx val="5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8AD-47F8-A7B9-272A106ED8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'forecast 1996-2011'!$A$2:$A$56</c:f>
              <c:numCache>
                <c:formatCode>General</c:formatCode>
                <c:ptCount val="5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pt idx="35">
                  <c:v>2031</c:v>
                </c:pt>
                <c:pt idx="36">
                  <c:v>2032</c:v>
                </c:pt>
                <c:pt idx="37">
                  <c:v>2033</c:v>
                </c:pt>
                <c:pt idx="38">
                  <c:v>2034</c:v>
                </c:pt>
                <c:pt idx="39">
                  <c:v>2035</c:v>
                </c:pt>
                <c:pt idx="40">
                  <c:v>2036</c:v>
                </c:pt>
                <c:pt idx="41">
                  <c:v>2037</c:v>
                </c:pt>
                <c:pt idx="42">
                  <c:v>2038</c:v>
                </c:pt>
                <c:pt idx="43">
                  <c:v>2039</c:v>
                </c:pt>
                <c:pt idx="44">
                  <c:v>2040</c:v>
                </c:pt>
                <c:pt idx="45">
                  <c:v>2041</c:v>
                </c:pt>
                <c:pt idx="46">
                  <c:v>2042</c:v>
                </c:pt>
                <c:pt idx="47">
                  <c:v>2043</c:v>
                </c:pt>
                <c:pt idx="48">
                  <c:v>2044</c:v>
                </c:pt>
                <c:pt idx="49">
                  <c:v>2045</c:v>
                </c:pt>
                <c:pt idx="50">
                  <c:v>2046</c:v>
                </c:pt>
                <c:pt idx="51">
                  <c:v>2047</c:v>
                </c:pt>
                <c:pt idx="52">
                  <c:v>2048</c:v>
                </c:pt>
                <c:pt idx="53">
                  <c:v>2049</c:v>
                </c:pt>
                <c:pt idx="54">
                  <c:v>2050</c:v>
                </c:pt>
              </c:numCache>
            </c:numRef>
          </c:cat>
          <c:val>
            <c:numRef>
              <c:f>'forecast 1996-2011'!$E$2:$E$56</c:f>
              <c:numCache>
                <c:formatCode>General</c:formatCode>
                <c:ptCount val="55"/>
                <c:pt idx="21" formatCode="#,##0">
                  <c:v>124901113.74528849</c:v>
                </c:pt>
                <c:pt idx="22" formatCode="#,##0">
                  <c:v>128454592.73031943</c:v>
                </c:pt>
                <c:pt idx="23" formatCode="#,##0">
                  <c:v>129811422.474693</c:v>
                </c:pt>
                <c:pt idx="24" formatCode="#,##0">
                  <c:v>131147647.12984803</c:v>
                </c:pt>
                <c:pt idx="25" formatCode="#,##0">
                  <c:v>132468287.33900949</c:v>
                </c:pt>
                <c:pt idx="26" formatCode="#,##0">
                  <c:v>133776616.96081856</c:v>
                </c:pt>
                <c:pt idx="27" formatCode="#,##0">
                  <c:v>135074910.69726649</c:v>
                </c:pt>
                <c:pt idx="28" formatCode="#,##0">
                  <c:v>136364824.70776558</c:v>
                </c:pt>
                <c:pt idx="29" formatCode="#,##0">
                  <c:v>137647608.96487996</c:v>
                </c:pt>
                <c:pt idx="30" formatCode="#,##0">
                  <c:v>138924234.19940126</c:v>
                </c:pt>
                <c:pt idx="31" formatCode="#,##0">
                  <c:v>140195472.00129458</c:v>
                </c:pt>
                <c:pt idx="32" formatCode="#,##0">
                  <c:v>141461947.61227396</c:v>
                </c:pt>
                <c:pt idx="33" formatCode="#,##0">
                  <c:v>142724175.99150199</c:v>
                </c:pt>
                <c:pt idx="34" formatCode="#,##0">
                  <c:v>143982587.20737848</c:v>
                </c:pt>
                <c:pt idx="35" formatCode="#,##0">
                  <c:v>145237544.77876213</c:v>
                </c:pt>
                <c:pt idx="36" formatCode="#,##0">
                  <c:v>146489359.2195172</c:v>
                </c:pt>
                <c:pt idx="37" formatCode="#,##0">
                  <c:v>147738298.2353819</c:v>
                </c:pt>
                <c:pt idx="38" formatCode="#,##0">
                  <c:v>148984594.53171837</c:v>
                </c:pt>
                <c:pt idx="39" formatCode="#,##0">
                  <c:v>150228451.88235506</c:v>
                </c:pt>
                <c:pt idx="40" formatCode="#,##0">
                  <c:v>151470049.91045284</c:v>
                </c:pt>
                <c:pt idx="41" formatCode="#,##0">
                  <c:v>152709547.90035242</c:v>
                </c:pt>
                <c:pt idx="42" formatCode="#,##0">
                  <c:v>153947087.87003839</c:v>
                </c:pt>
                <c:pt idx="43" formatCode="#,##0">
                  <c:v>155182797.07220277</c:v>
                </c:pt>
                <c:pt idx="44" formatCode="#,##0">
                  <c:v>156416790.0485822</c:v>
                </c:pt>
                <c:pt idx="45" formatCode="#,##0">
                  <c:v>157649170.33132553</c:v>
                </c:pt>
                <c:pt idx="46" formatCode="#,##0">
                  <c:v>158880031.86275184</c:v>
                </c:pt>
                <c:pt idx="47" formatCode="#,##0">
                  <c:v>160109460.18841708</c:v>
                </c:pt>
                <c:pt idx="48" formatCode="#,##0">
                  <c:v>161337533.46618703</c:v>
                </c:pt>
                <c:pt idx="49" formatCode="#,##0">
                  <c:v>162564323.32482642</c:v>
                </c:pt>
                <c:pt idx="50" formatCode="#,##0">
                  <c:v>163789895.59863484</c:v>
                </c:pt>
                <c:pt idx="51" formatCode="#,##0">
                  <c:v>165014310.95930579</c:v>
                </c:pt>
                <c:pt idx="52" formatCode="#,##0">
                  <c:v>166237625.46204004</c:v>
                </c:pt>
                <c:pt idx="53" formatCode="#,##0">
                  <c:v>167459891.01970679</c:v>
                </c:pt>
                <c:pt idx="54" formatCode="#,##0">
                  <c:v>168681155.81630072</c:v>
                </c:pt>
              </c:numCache>
            </c:numRef>
          </c:val>
          <c:smooth val="0"/>
          <c:extLst>
            <c:ext xmlns:c16="http://schemas.microsoft.com/office/drawing/2014/chart" uri="{C3380CC4-5D6E-409C-BE32-E72D297353CC}">
              <c16:uniqueId val="{00000005-28AD-47F8-A7B9-272A106ED8FC}"/>
            </c:ext>
          </c:extLst>
        </c:ser>
        <c:dLbls>
          <c:showLegendKey val="0"/>
          <c:showVal val="0"/>
          <c:showCatName val="0"/>
          <c:showSerName val="0"/>
          <c:showPercent val="0"/>
          <c:showBubbleSize val="0"/>
        </c:dLbls>
        <c:smooth val="0"/>
        <c:axId val="74892416"/>
        <c:axId val="74893952"/>
      </c:lineChart>
      <c:catAx>
        <c:axId val="74892416"/>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893952"/>
        <c:crosses val="autoZero"/>
        <c:auto val="1"/>
        <c:lblAlgn val="ctr"/>
        <c:lblOffset val="100"/>
        <c:noMultiLvlLbl val="0"/>
      </c:catAx>
      <c:valAx>
        <c:axId val="74893952"/>
        <c:scaling>
          <c:orientation val="minMax"/>
          <c:min val="10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892416"/>
        <c:crosses val="autoZero"/>
        <c:crossBetween val="between"/>
        <c:dispUnits>
          <c:builtInUnit val="millions"/>
          <c:dispUnitsLbl>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milijuna m2</a:t>
                  </a:r>
                  <a:endParaRPr lang="hr-HR"/>
                </a:p>
              </c:rich>
            </c:tx>
            <c:spPr>
              <a:noFill/>
              <a:ln>
                <a:noFill/>
              </a:ln>
              <a:effectLst/>
            </c:sp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Sheet2!$B$1</c:f>
              <c:strCache>
                <c:ptCount val="1"/>
                <c:pt idx="0">
                  <c:v>povijesne vrijednosti</c:v>
                </c:pt>
              </c:strCache>
            </c:strRef>
          </c:tx>
          <c:spPr>
            <a:ln w="28575" cap="rnd">
              <a:solidFill>
                <a:schemeClr val="accent1"/>
              </a:solidFill>
              <a:round/>
            </a:ln>
            <a:effectLst/>
          </c:spPr>
          <c:marker>
            <c:symbol val="none"/>
          </c:marker>
          <c:val>
            <c:numRef>
              <c:f>Sheet2!$B$2:$B$50</c:f>
              <c:numCache>
                <c:formatCode>General</c:formatCode>
                <c:ptCount val="49"/>
                <c:pt idx="0">
                  <c:v>1203027</c:v>
                </c:pt>
                <c:pt idx="1">
                  <c:v>1648101</c:v>
                </c:pt>
                <c:pt idx="2">
                  <c:v>1768454</c:v>
                </c:pt>
                <c:pt idx="3">
                  <c:v>1933000</c:v>
                </c:pt>
                <c:pt idx="4">
                  <c:v>1987453</c:v>
                </c:pt>
                <c:pt idx="5">
                  <c:v>2515233</c:v>
                </c:pt>
                <c:pt idx="6">
                  <c:v>2101940</c:v>
                </c:pt>
                <c:pt idx="7">
                  <c:v>1715423</c:v>
                </c:pt>
                <c:pt idx="8">
                  <c:v>1650221</c:v>
                </c:pt>
                <c:pt idx="9">
                  <c:v>1091883</c:v>
                </c:pt>
                <c:pt idx="10">
                  <c:v>935244</c:v>
                </c:pt>
                <c:pt idx="11">
                  <c:v>730438</c:v>
                </c:pt>
                <c:pt idx="12">
                  <c:v>969958</c:v>
                </c:pt>
                <c:pt idx="13">
                  <c:v>1602146</c:v>
                </c:pt>
                <c:pt idx="14">
                  <c:v>1455252</c:v>
                </c:pt>
                <c:pt idx="15">
                  <c:v>1367539</c:v>
                </c:pt>
                <c:pt idx="16">
                  <c:v>1097049</c:v>
                </c:pt>
              </c:numCache>
            </c:numRef>
          </c:val>
          <c:smooth val="0"/>
          <c:extLst>
            <c:ext xmlns:c16="http://schemas.microsoft.com/office/drawing/2014/chart" uri="{C3380CC4-5D6E-409C-BE32-E72D297353CC}">
              <c16:uniqueId val="{00000000-52B2-4CA5-95F4-F2829C28F729}"/>
            </c:ext>
          </c:extLst>
        </c:ser>
        <c:ser>
          <c:idx val="1"/>
          <c:order val="1"/>
          <c:tx>
            <c:strRef>
              <c:f>Sheet2!$C$1</c:f>
              <c:strCache>
                <c:ptCount val="1"/>
                <c:pt idx="0">
                  <c:v>prognoza</c:v>
                </c:pt>
              </c:strCache>
            </c:strRef>
          </c:tx>
          <c:spPr>
            <a:ln w="25400" cap="rnd">
              <a:solidFill>
                <a:schemeClr val="accent2"/>
              </a:solidFill>
              <a:round/>
            </a:ln>
            <a:effectLst/>
          </c:spPr>
          <c:marker>
            <c:symbol val="none"/>
          </c:marker>
          <c:cat>
            <c:numRef>
              <c:f>Sheet2!$A$2:$A$50</c:f>
              <c:numCache>
                <c:formatCode>General</c:formatCode>
                <c:ptCount val="4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pt idx="29">
                  <c:v>2031</c:v>
                </c:pt>
                <c:pt idx="30">
                  <c:v>2032</c:v>
                </c:pt>
                <c:pt idx="31">
                  <c:v>2033</c:v>
                </c:pt>
                <c:pt idx="32">
                  <c:v>2034</c:v>
                </c:pt>
                <c:pt idx="33">
                  <c:v>2035</c:v>
                </c:pt>
                <c:pt idx="34">
                  <c:v>2036</c:v>
                </c:pt>
                <c:pt idx="35">
                  <c:v>2037</c:v>
                </c:pt>
                <c:pt idx="36">
                  <c:v>2038</c:v>
                </c:pt>
                <c:pt idx="37">
                  <c:v>2039</c:v>
                </c:pt>
                <c:pt idx="38">
                  <c:v>2040</c:v>
                </c:pt>
                <c:pt idx="39">
                  <c:v>2041</c:v>
                </c:pt>
                <c:pt idx="40">
                  <c:v>2042</c:v>
                </c:pt>
                <c:pt idx="41">
                  <c:v>2043</c:v>
                </c:pt>
                <c:pt idx="42">
                  <c:v>2044</c:v>
                </c:pt>
                <c:pt idx="43">
                  <c:v>2045</c:v>
                </c:pt>
                <c:pt idx="44">
                  <c:v>2046</c:v>
                </c:pt>
                <c:pt idx="45">
                  <c:v>2047</c:v>
                </c:pt>
                <c:pt idx="46">
                  <c:v>2048</c:v>
                </c:pt>
                <c:pt idx="47">
                  <c:v>2049</c:v>
                </c:pt>
                <c:pt idx="48">
                  <c:v>2050</c:v>
                </c:pt>
              </c:numCache>
            </c:numRef>
          </c:cat>
          <c:val>
            <c:numRef>
              <c:f>Sheet2!$C$2:$C$50</c:f>
              <c:numCache>
                <c:formatCode>General</c:formatCode>
                <c:ptCount val="49"/>
                <c:pt idx="16">
                  <c:v>1097049</c:v>
                </c:pt>
                <c:pt idx="17">
                  <c:v>1109884.5538106626</c:v>
                </c:pt>
                <c:pt idx="18">
                  <c:v>1064882.4033875186</c:v>
                </c:pt>
                <c:pt idx="19">
                  <c:v>1019880.2529643748</c:v>
                </c:pt>
                <c:pt idx="20">
                  <c:v>974878.10254123074</c:v>
                </c:pt>
                <c:pt idx="21">
                  <c:v>929875.95211808698</c:v>
                </c:pt>
                <c:pt idx="22">
                  <c:v>884873.80169494275</c:v>
                </c:pt>
                <c:pt idx="23">
                  <c:v>839871.65127179911</c:v>
                </c:pt>
                <c:pt idx="24">
                  <c:v>794869.50084865501</c:v>
                </c:pt>
                <c:pt idx="25">
                  <c:v>749867.35042551125</c:v>
                </c:pt>
                <c:pt idx="26">
                  <c:v>704865.20000236703</c:v>
                </c:pt>
                <c:pt idx="27">
                  <c:v>659863.04957922339</c:v>
                </c:pt>
                <c:pt idx="28">
                  <c:v>614860.89915607916</c:v>
                </c:pt>
                <c:pt idx="29">
                  <c:v>569858.74873293552</c:v>
                </c:pt>
                <c:pt idx="30">
                  <c:v>524856.5983097913</c:v>
                </c:pt>
                <c:pt idx="31">
                  <c:v>479854.44788664766</c:v>
                </c:pt>
                <c:pt idx="32">
                  <c:v>434852.29746350343</c:v>
                </c:pt>
                <c:pt idx="33">
                  <c:v>389850.14704035968</c:v>
                </c:pt>
                <c:pt idx="34">
                  <c:v>344847.99661721557</c:v>
                </c:pt>
                <c:pt idx="35">
                  <c:v>299845.84619407181</c:v>
                </c:pt>
                <c:pt idx="36">
                  <c:v>254843.6957709277</c:v>
                </c:pt>
                <c:pt idx="37">
                  <c:v>209841.54534778395</c:v>
                </c:pt>
                <c:pt idx="38">
                  <c:v>164839.39492463984</c:v>
                </c:pt>
                <c:pt idx="39">
                  <c:v>119837.24450149608</c:v>
                </c:pt>
                <c:pt idx="40">
                  <c:v>74835.09407835186</c:v>
                </c:pt>
                <c:pt idx="41">
                  <c:v>29832.943655208095</c:v>
                </c:pt>
                <c:pt idx="42">
                  <c:v>-15169.206767935881</c:v>
                </c:pt>
                <c:pt idx="43">
                  <c:v>-60171.357191079653</c:v>
                </c:pt>
                <c:pt idx="44">
                  <c:v>-105173.50761422387</c:v>
                </c:pt>
                <c:pt idx="45">
                  <c:v>-150175.65803736763</c:v>
                </c:pt>
                <c:pt idx="46">
                  <c:v>-195177.80846051162</c:v>
                </c:pt>
                <c:pt idx="47">
                  <c:v>-240179.95888365537</c:v>
                </c:pt>
                <c:pt idx="48">
                  <c:v>-285182.1093067996</c:v>
                </c:pt>
              </c:numCache>
            </c:numRef>
          </c:val>
          <c:smooth val="0"/>
          <c:extLst>
            <c:ext xmlns:c16="http://schemas.microsoft.com/office/drawing/2014/chart" uri="{C3380CC4-5D6E-409C-BE32-E72D297353CC}">
              <c16:uniqueId val="{00000001-52B2-4CA5-95F4-F2829C28F729}"/>
            </c:ext>
          </c:extLst>
        </c:ser>
        <c:ser>
          <c:idx val="2"/>
          <c:order val="2"/>
          <c:tx>
            <c:strRef>
              <c:f>Sheet2!$D$1</c:f>
              <c:strCache>
                <c:ptCount val="1"/>
                <c:pt idx="0">
                  <c:v>donja granica</c:v>
                </c:pt>
              </c:strCache>
            </c:strRef>
          </c:tx>
          <c:spPr>
            <a:ln w="12700" cap="rnd">
              <a:solidFill>
                <a:srgbClr val="ED7D31"/>
              </a:solidFill>
              <a:prstDash val="solid"/>
              <a:round/>
            </a:ln>
            <a:effectLst/>
          </c:spPr>
          <c:marker>
            <c:symbol val="none"/>
          </c:marker>
          <c:cat>
            <c:numRef>
              <c:f>Sheet2!$A$2:$A$50</c:f>
              <c:numCache>
                <c:formatCode>General</c:formatCode>
                <c:ptCount val="4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pt idx="29">
                  <c:v>2031</c:v>
                </c:pt>
                <c:pt idx="30">
                  <c:v>2032</c:v>
                </c:pt>
                <c:pt idx="31">
                  <c:v>2033</c:v>
                </c:pt>
                <c:pt idx="32">
                  <c:v>2034</c:v>
                </c:pt>
                <c:pt idx="33">
                  <c:v>2035</c:v>
                </c:pt>
                <c:pt idx="34">
                  <c:v>2036</c:v>
                </c:pt>
                <c:pt idx="35">
                  <c:v>2037</c:v>
                </c:pt>
                <c:pt idx="36">
                  <c:v>2038</c:v>
                </c:pt>
                <c:pt idx="37">
                  <c:v>2039</c:v>
                </c:pt>
                <c:pt idx="38">
                  <c:v>2040</c:v>
                </c:pt>
                <c:pt idx="39">
                  <c:v>2041</c:v>
                </c:pt>
                <c:pt idx="40">
                  <c:v>2042</c:v>
                </c:pt>
                <c:pt idx="41">
                  <c:v>2043</c:v>
                </c:pt>
                <c:pt idx="42">
                  <c:v>2044</c:v>
                </c:pt>
                <c:pt idx="43">
                  <c:v>2045</c:v>
                </c:pt>
                <c:pt idx="44">
                  <c:v>2046</c:v>
                </c:pt>
                <c:pt idx="45">
                  <c:v>2047</c:v>
                </c:pt>
                <c:pt idx="46">
                  <c:v>2048</c:v>
                </c:pt>
                <c:pt idx="47">
                  <c:v>2049</c:v>
                </c:pt>
                <c:pt idx="48">
                  <c:v>2050</c:v>
                </c:pt>
              </c:numCache>
            </c:numRef>
          </c:cat>
          <c:val>
            <c:numRef>
              <c:f>Sheet2!$D$2:$D$50</c:f>
              <c:numCache>
                <c:formatCode>General</c:formatCode>
                <c:ptCount val="49"/>
                <c:pt idx="16" formatCode="0.00">
                  <c:v>1097049</c:v>
                </c:pt>
                <c:pt idx="17" formatCode="0.00">
                  <c:v>423026.3261257027</c:v>
                </c:pt>
                <c:pt idx="18" formatCode="0.00">
                  <c:v>205897.32809337997</c:v>
                </c:pt>
                <c:pt idx="19" formatCode="0.00">
                  <c:v>17560.15894365136</c:v>
                </c:pt>
                <c:pt idx="20" formatCode="0.00">
                  <c:v>-153016.308468009</c:v>
                </c:pt>
                <c:pt idx="21" formatCode="0.00">
                  <c:v>-311235.24259857892</c:v>
                </c:pt>
                <c:pt idx="22" formatCode="0.00">
                  <c:v>-460221.02775821241</c:v>
                </c:pt>
                <c:pt idx="23" formatCode="0.00">
                  <c:v>-601973.01915774355</c:v>
                </c:pt>
                <c:pt idx="24" formatCode="0.00">
                  <c:v>-737861.98296476004</c:v>
                </c:pt>
                <c:pt idx="25" formatCode="0.00">
                  <c:v>-868876.07805549784</c:v>
                </c:pt>
                <c:pt idx="26" formatCode="0.00">
                  <c:v>-995755.40863650932</c:v>
                </c:pt>
                <c:pt idx="27" formatCode="0.00">
                  <c:v>-1119071.2513019962</c:v>
                </c:pt>
                <c:pt idx="28" formatCode="0.00">
                  <c:v>-1239275.4517556806</c:v>
                </c:pt>
                <c:pt idx="29" formatCode="0.00">
                  <c:v>-1356732.6663931622</c:v>
                </c:pt>
                <c:pt idx="30" formatCode="0.00">
                  <c:v>-1471742.2120664488</c:v>
                </c:pt>
                <c:pt idx="31" formatCode="0.00">
                  <c:v>-1584553.3455484414</c:v>
                </c:pt>
                <c:pt idx="32" formatCode="0.00">
                  <c:v>-1695376.2368457105</c:v>
                </c:pt>
                <c:pt idx="33" formatCode="0.00">
                  <c:v>-1804390.0325008892</c:v>
                </c:pt>
                <c:pt idx="34" formatCode="0.00">
                  <c:v>-1911748.8997132014</c:v>
                </c:pt>
                <c:pt idx="35" formatCode="0.00">
                  <c:v>-2017586.6367443656</c:v>
                </c:pt>
                <c:pt idx="36" formatCode="0.00">
                  <c:v>-2122020.2444688329</c:v>
                </c:pt>
                <c:pt idx="37" formatCode="0.00">
                  <c:v>-2225152.73151985</c:v>
                </c:pt>
                <c:pt idx="38" formatCode="0.00">
                  <c:v>-2327075.3448738176</c:v>
                </c:pt>
                <c:pt idx="39" formatCode="0.00">
                  <c:v>-2427869.3634305424</c:v>
                </c:pt>
                <c:pt idx="40" formatCode="0.00">
                  <c:v>-2527607.5548485881</c:v>
                </c:pt>
                <c:pt idx="41" formatCode="0.00">
                  <c:v>-2626355.369799457</c:v>
                </c:pt>
                <c:pt idx="42" formatCode="0.00">
                  <c:v>-2724171.929244759</c:v>
                </c:pt>
                <c:pt idx="43" formatCode="0.00">
                  <c:v>-2821110.84694152</c:v>
                </c:pt>
                <c:pt idx="44" formatCode="0.00">
                  <c:v>-2917220.9195742938</c:v>
                </c:pt>
                <c:pt idx="45" formatCode="0.00">
                  <c:v>-3012546.7096445872</c:v>
                </c:pt>
                <c:pt idx="46" formatCode="0.00">
                  <c:v>-3107129.040798536</c:v>
                </c:pt>
                <c:pt idx="47" formatCode="0.00">
                  <c:v>-3201005.4211437213</c:v>
                </c:pt>
                <c:pt idx="48" formatCode="0.00">
                  <c:v>-3294210.4069446372</c:v>
                </c:pt>
              </c:numCache>
            </c:numRef>
          </c:val>
          <c:smooth val="0"/>
          <c:extLst>
            <c:ext xmlns:c16="http://schemas.microsoft.com/office/drawing/2014/chart" uri="{C3380CC4-5D6E-409C-BE32-E72D297353CC}">
              <c16:uniqueId val="{00000002-52B2-4CA5-95F4-F2829C28F729}"/>
            </c:ext>
          </c:extLst>
        </c:ser>
        <c:ser>
          <c:idx val="3"/>
          <c:order val="3"/>
          <c:tx>
            <c:strRef>
              <c:f>Sheet2!$E$1</c:f>
              <c:strCache>
                <c:ptCount val="1"/>
                <c:pt idx="0">
                  <c:v>gornja granica</c:v>
                </c:pt>
              </c:strCache>
            </c:strRef>
          </c:tx>
          <c:spPr>
            <a:ln w="12700" cap="rnd">
              <a:solidFill>
                <a:srgbClr val="ED7D31"/>
              </a:solidFill>
              <a:prstDash val="solid"/>
              <a:round/>
            </a:ln>
            <a:effectLst/>
          </c:spPr>
          <c:marker>
            <c:symbol val="none"/>
          </c:marker>
          <c:cat>
            <c:numRef>
              <c:f>Sheet2!$A$2:$A$50</c:f>
              <c:numCache>
                <c:formatCode>General</c:formatCode>
                <c:ptCount val="4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pt idx="23">
                  <c:v>2025</c:v>
                </c:pt>
                <c:pt idx="24">
                  <c:v>2026</c:v>
                </c:pt>
                <c:pt idx="25">
                  <c:v>2027</c:v>
                </c:pt>
                <c:pt idx="26">
                  <c:v>2028</c:v>
                </c:pt>
                <c:pt idx="27">
                  <c:v>2029</c:v>
                </c:pt>
                <c:pt idx="28">
                  <c:v>2030</c:v>
                </c:pt>
                <c:pt idx="29">
                  <c:v>2031</c:v>
                </c:pt>
                <c:pt idx="30">
                  <c:v>2032</c:v>
                </c:pt>
                <c:pt idx="31">
                  <c:v>2033</c:v>
                </c:pt>
                <c:pt idx="32">
                  <c:v>2034</c:v>
                </c:pt>
                <c:pt idx="33">
                  <c:v>2035</c:v>
                </c:pt>
                <c:pt idx="34">
                  <c:v>2036</c:v>
                </c:pt>
                <c:pt idx="35">
                  <c:v>2037</c:v>
                </c:pt>
                <c:pt idx="36">
                  <c:v>2038</c:v>
                </c:pt>
                <c:pt idx="37">
                  <c:v>2039</c:v>
                </c:pt>
                <c:pt idx="38">
                  <c:v>2040</c:v>
                </c:pt>
                <c:pt idx="39">
                  <c:v>2041</c:v>
                </c:pt>
                <c:pt idx="40">
                  <c:v>2042</c:v>
                </c:pt>
                <c:pt idx="41">
                  <c:v>2043</c:v>
                </c:pt>
                <c:pt idx="42">
                  <c:v>2044</c:v>
                </c:pt>
                <c:pt idx="43">
                  <c:v>2045</c:v>
                </c:pt>
                <c:pt idx="44">
                  <c:v>2046</c:v>
                </c:pt>
                <c:pt idx="45">
                  <c:v>2047</c:v>
                </c:pt>
                <c:pt idx="46">
                  <c:v>2048</c:v>
                </c:pt>
                <c:pt idx="47">
                  <c:v>2049</c:v>
                </c:pt>
                <c:pt idx="48">
                  <c:v>2050</c:v>
                </c:pt>
              </c:numCache>
            </c:numRef>
          </c:cat>
          <c:val>
            <c:numRef>
              <c:f>Sheet2!$E$2:$E$50</c:f>
              <c:numCache>
                <c:formatCode>General</c:formatCode>
                <c:ptCount val="49"/>
                <c:pt idx="16" formatCode="0.00">
                  <c:v>1097049</c:v>
                </c:pt>
                <c:pt idx="17" formatCode="0.00">
                  <c:v>1796742.7814956224</c:v>
                </c:pt>
                <c:pt idx="18" formatCode="0.00">
                  <c:v>1923867.4786816572</c:v>
                </c:pt>
                <c:pt idx="19" formatCode="0.00">
                  <c:v>2022200.3469850984</c:v>
                </c:pt>
                <c:pt idx="20" formatCode="0.00">
                  <c:v>2102772.5135504706</c:v>
                </c:pt>
                <c:pt idx="21" formatCode="0.00">
                  <c:v>2170987.146834753</c:v>
                </c:pt>
                <c:pt idx="22" formatCode="0.00">
                  <c:v>2229968.631148098</c:v>
                </c:pt>
                <c:pt idx="23" formatCode="0.00">
                  <c:v>2281716.3217013418</c:v>
                </c:pt>
                <c:pt idx="24" formatCode="0.00">
                  <c:v>2327600.9846620699</c:v>
                </c:pt>
                <c:pt idx="25" formatCode="0.00">
                  <c:v>2368610.7789065205</c:v>
                </c:pt>
                <c:pt idx="26" formatCode="0.00">
                  <c:v>2405485.8086412433</c:v>
                </c:pt>
                <c:pt idx="27" formatCode="0.00">
                  <c:v>2438797.3504604427</c:v>
                </c:pt>
                <c:pt idx="28" formatCode="0.00">
                  <c:v>2468997.2500678389</c:v>
                </c:pt>
                <c:pt idx="29" formatCode="0.00">
                  <c:v>2496450.1638590335</c:v>
                </c:pt>
                <c:pt idx="30" formatCode="0.00">
                  <c:v>2521455.4086860311</c:v>
                </c:pt>
                <c:pt idx="31" formatCode="0.00">
                  <c:v>2544262.2413217369</c:v>
                </c:pt>
                <c:pt idx="32" formatCode="0.00">
                  <c:v>2565080.8317727176</c:v>
                </c:pt>
                <c:pt idx="33" formatCode="0.00">
                  <c:v>2584090.3265816085</c:v>
                </c:pt>
                <c:pt idx="34" formatCode="0.00">
                  <c:v>2601444.8929476328</c:v>
                </c:pt>
                <c:pt idx="35" formatCode="0.00">
                  <c:v>2617278.329132509</c:v>
                </c:pt>
                <c:pt idx="36" formatCode="0.00">
                  <c:v>2631707.6360106883</c:v>
                </c:pt>
                <c:pt idx="37" formatCode="0.00">
                  <c:v>2644835.8222154174</c:v>
                </c:pt>
                <c:pt idx="38" formatCode="0.00">
                  <c:v>2656754.1347230971</c:v>
                </c:pt>
                <c:pt idx="39" formatCode="0.00">
                  <c:v>2667543.8524335348</c:v>
                </c:pt>
                <c:pt idx="40" formatCode="0.00">
                  <c:v>2677277.7430052916</c:v>
                </c:pt>
                <c:pt idx="41" formatCode="0.00">
                  <c:v>2686021.2571098735</c:v>
                </c:pt>
                <c:pt idx="42" formatCode="0.00">
                  <c:v>2693833.5157088875</c:v>
                </c:pt>
                <c:pt idx="43" formatCode="0.00">
                  <c:v>2700768.1325593605</c:v>
                </c:pt>
                <c:pt idx="44" formatCode="0.00">
                  <c:v>2706873.9043458463</c:v>
                </c:pt>
                <c:pt idx="45" formatCode="0.00">
                  <c:v>2712195.3935698518</c:v>
                </c:pt>
                <c:pt idx="46" formatCode="0.00">
                  <c:v>2716773.4238775126</c:v>
                </c:pt>
                <c:pt idx="47" formatCode="0.00">
                  <c:v>2720645.5033764108</c:v>
                </c:pt>
                <c:pt idx="48" formatCode="0.00">
                  <c:v>2723846.1883310378</c:v>
                </c:pt>
              </c:numCache>
            </c:numRef>
          </c:val>
          <c:smooth val="0"/>
          <c:extLst>
            <c:ext xmlns:c16="http://schemas.microsoft.com/office/drawing/2014/chart" uri="{C3380CC4-5D6E-409C-BE32-E72D297353CC}">
              <c16:uniqueId val="{00000003-52B2-4CA5-95F4-F2829C28F729}"/>
            </c:ext>
          </c:extLst>
        </c:ser>
        <c:dLbls>
          <c:showLegendKey val="0"/>
          <c:showVal val="0"/>
          <c:showCatName val="0"/>
          <c:showSerName val="0"/>
          <c:showPercent val="0"/>
          <c:showBubbleSize val="0"/>
        </c:dLbls>
        <c:smooth val="0"/>
        <c:axId val="74906624"/>
        <c:axId val="85787776"/>
      </c:lineChart>
      <c:catAx>
        <c:axId val="749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godina</a:t>
                </a:r>
                <a:endParaRPr lang="hr-HR"/>
              </a:p>
            </c:rich>
          </c:tx>
          <c:layout/>
          <c:overlay val="0"/>
          <c:spPr>
            <a:noFill/>
            <a:ln>
              <a:noFill/>
            </a:ln>
            <a:effectLst/>
          </c:spPr>
        </c:title>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787776"/>
        <c:crosses val="autoZero"/>
        <c:auto val="1"/>
        <c:lblAlgn val="ctr"/>
        <c:lblOffset val="100"/>
        <c:noMultiLvlLbl val="0"/>
      </c:catAx>
      <c:valAx>
        <c:axId val="8578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godišnja</a:t>
                </a:r>
                <a:r>
                  <a:rPr lang="en-US" baseline="0"/>
                  <a:t> promjena površine nestambenih zgrada</a:t>
                </a:r>
                <a:endParaRPr lang="hr-H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906624"/>
        <c:crosses val="autoZero"/>
        <c:crossBetween val="between"/>
        <c:dispUnits>
          <c:builtInUnit val="millions"/>
          <c:dispUnitsLbl>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milijuna</a:t>
                  </a:r>
                  <a:r>
                    <a:rPr lang="en-US" baseline="0"/>
                    <a:t> m2</a:t>
                  </a:r>
                  <a:endParaRPr lang="hr-HR"/>
                </a:p>
              </c:rich>
            </c:tx>
            <c:spPr>
              <a:noFill/>
              <a:ln>
                <a:noFill/>
              </a:ln>
              <a:effectLst/>
            </c:sp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[IEC izdani certifikati do 29.10.2019..xlsx]Sheet3!PivotTable2</c:name>
    <c:fmtId val="-1"/>
  </c:pivotSource>
  <c:chart>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
        <c:spPr>
          <a:solidFill>
            <a:srgbClr val="00B050"/>
          </a:solidFill>
          <a:ln>
            <a:solidFill>
              <a:srgbClr val="00B050"/>
            </a:solidFill>
          </a:ln>
          <a:effectLst/>
        </c:spPr>
        <c:marker>
          <c:symbol val="none"/>
        </c:marker>
        <c:dLbl>
          <c:idx val="0"/>
          <c:delete val="1"/>
          <c:extLst>
            <c:ext xmlns:c15="http://schemas.microsoft.com/office/drawing/2012/chart" uri="{CE6537A1-D6FC-4f65-9D91-7224C49458BB}"/>
          </c:extLst>
        </c:dLbl>
      </c:pivotFmt>
      <c:pivotFmt>
        <c:idx val="9"/>
        <c:spPr>
          <a:solidFill>
            <a:srgbClr val="99FF66"/>
          </a:solidFill>
          <a:ln>
            <a:solidFill>
              <a:srgbClr val="99FF66"/>
            </a:solidFill>
          </a:ln>
          <a:effectLst/>
        </c:spPr>
        <c:marker>
          <c:symbol val="none"/>
        </c:marker>
        <c:dLbl>
          <c:idx val="0"/>
          <c:delete val="1"/>
          <c:extLst>
            <c:ext xmlns:c15="http://schemas.microsoft.com/office/drawing/2012/chart" uri="{CE6537A1-D6FC-4f65-9D91-7224C49458BB}"/>
          </c:extLst>
        </c:dLbl>
      </c:pivotFmt>
      <c:pivotFmt>
        <c:idx val="10"/>
        <c:spPr>
          <a:solidFill>
            <a:srgbClr val="FFFF00"/>
          </a:solidFill>
          <a:ln>
            <a:solidFill>
              <a:srgbClr val="FFFF00"/>
            </a:solidFill>
          </a:ln>
          <a:effectLst/>
        </c:spPr>
        <c:marker>
          <c:symbol val="none"/>
        </c:marker>
        <c:dLbl>
          <c:idx val="0"/>
          <c:delete val="1"/>
          <c:extLst>
            <c:ext xmlns:c15="http://schemas.microsoft.com/office/drawing/2012/chart" uri="{CE6537A1-D6FC-4f65-9D91-7224C49458BB}"/>
          </c:extLst>
        </c:dLbl>
      </c:pivotFmt>
      <c:pivotFmt>
        <c:idx val="11"/>
        <c:spPr>
          <a:solidFill>
            <a:srgbClr val="FFCC00"/>
          </a:solidFill>
          <a:ln>
            <a:solidFill>
              <a:srgbClr val="FFCC00"/>
            </a:solidFill>
          </a:ln>
          <a:effectLst/>
        </c:spPr>
        <c:marker>
          <c:symbol val="none"/>
        </c:marker>
        <c:dLbl>
          <c:idx val="0"/>
          <c:delete val="1"/>
          <c:extLst>
            <c:ext xmlns:c15="http://schemas.microsoft.com/office/drawing/2012/chart" uri="{CE6537A1-D6FC-4f65-9D91-7224C49458BB}"/>
          </c:extLst>
        </c:dLbl>
      </c:pivotFmt>
      <c:pivotFmt>
        <c:idx val="12"/>
        <c:spPr>
          <a:solidFill>
            <a:srgbClr val="FFAF00"/>
          </a:solidFill>
          <a:ln>
            <a:solidFill>
              <a:srgbClr val="FFAF00"/>
            </a:solidFill>
          </a:ln>
          <a:effectLst/>
        </c:spPr>
        <c:marker>
          <c:symbol val="none"/>
        </c:marker>
        <c:dLbl>
          <c:idx val="0"/>
          <c:delete val="1"/>
          <c:extLst>
            <c:ext xmlns:c15="http://schemas.microsoft.com/office/drawing/2012/chart" uri="{CE6537A1-D6FC-4f65-9D91-7224C49458BB}"/>
          </c:extLst>
        </c:dLbl>
      </c:pivotFmt>
      <c:pivotFmt>
        <c:idx val="13"/>
        <c:spPr>
          <a:solidFill>
            <a:srgbClr val="FF6600"/>
          </a:solidFill>
          <a:ln>
            <a:solidFill>
              <a:srgbClr val="FF6600"/>
            </a:solidFill>
          </a:ln>
          <a:effectLst/>
        </c:spPr>
        <c:marker>
          <c:symbol val="none"/>
        </c:marker>
        <c:dLbl>
          <c:idx val="0"/>
          <c:delete val="1"/>
          <c:extLst>
            <c:ext xmlns:c15="http://schemas.microsoft.com/office/drawing/2012/chart" uri="{CE6537A1-D6FC-4f65-9D91-7224C49458BB}"/>
          </c:extLst>
        </c:dLbl>
      </c:pivotFmt>
      <c:pivotFmt>
        <c:idx val="14"/>
        <c:spPr>
          <a:solidFill>
            <a:srgbClr val="FF0000"/>
          </a:solidFill>
          <a:ln>
            <a:solidFill>
              <a:srgbClr val="FF0000"/>
            </a:solidFill>
          </a:ln>
          <a:effectLst/>
        </c:spPr>
        <c:marker>
          <c:symbol val="none"/>
        </c:marker>
        <c:dLbl>
          <c:idx val="0"/>
          <c:delete val="1"/>
          <c:extLst>
            <c:ext xmlns:c15="http://schemas.microsoft.com/office/drawing/2012/chart" uri="{CE6537A1-D6FC-4f65-9D91-7224C49458BB}"/>
          </c:extLst>
        </c:dLbl>
      </c:pivotFmt>
      <c:pivotFmt>
        <c:idx val="15"/>
        <c:spPr>
          <a:solidFill>
            <a:srgbClr val="92D050"/>
          </a:solidFill>
          <a:ln>
            <a:solidFill>
              <a:srgbClr val="92D050"/>
            </a:solidFill>
          </a:ln>
          <a:effectLst/>
        </c:spPr>
        <c:marker>
          <c:symbol val="none"/>
        </c:marker>
        <c:dLbl>
          <c:idx val="0"/>
          <c:delete val="1"/>
          <c:extLst>
            <c:ext xmlns:c15="http://schemas.microsoft.com/office/drawing/2012/chart" uri="{CE6537A1-D6FC-4f65-9D91-7224C49458BB}"/>
          </c:extLst>
        </c:dLbl>
      </c:pivotFmt>
      <c:pivotFmt>
        <c:idx val="16"/>
        <c:spPr>
          <a:solidFill>
            <a:srgbClr val="00B050"/>
          </a:solidFill>
          <a:ln>
            <a:solidFill>
              <a:srgbClr val="00B050"/>
            </a:solidFill>
          </a:ln>
          <a:effectLst/>
        </c:spPr>
        <c:marker>
          <c:symbol val="none"/>
        </c:marker>
        <c:dLbl>
          <c:idx val="0"/>
          <c:delete val="1"/>
          <c:extLst>
            <c:ext xmlns:c15="http://schemas.microsoft.com/office/drawing/2012/chart" uri="{CE6537A1-D6FC-4f65-9D91-7224C49458BB}"/>
          </c:extLst>
        </c:dLbl>
      </c:pivotFmt>
      <c:pivotFmt>
        <c:idx val="17"/>
        <c:spPr>
          <a:solidFill>
            <a:srgbClr val="92D050"/>
          </a:solidFill>
          <a:ln>
            <a:solidFill>
              <a:srgbClr val="92D050"/>
            </a:solidFill>
          </a:ln>
          <a:effectLst/>
        </c:spPr>
        <c:marker>
          <c:symbol val="none"/>
        </c:marker>
        <c:dLbl>
          <c:idx val="0"/>
          <c:delete val="1"/>
          <c:extLst>
            <c:ext xmlns:c15="http://schemas.microsoft.com/office/drawing/2012/chart" uri="{CE6537A1-D6FC-4f65-9D91-7224C49458BB}"/>
          </c:extLst>
        </c:dLbl>
      </c:pivotFmt>
      <c:pivotFmt>
        <c:idx val="18"/>
        <c:spPr>
          <a:solidFill>
            <a:srgbClr val="99FF66"/>
          </a:solidFill>
          <a:ln>
            <a:solidFill>
              <a:srgbClr val="99FF66"/>
            </a:solidFill>
          </a:ln>
          <a:effectLst/>
        </c:spPr>
        <c:marker>
          <c:symbol val="none"/>
        </c:marker>
        <c:dLbl>
          <c:idx val="0"/>
          <c:delete val="1"/>
          <c:extLst>
            <c:ext xmlns:c15="http://schemas.microsoft.com/office/drawing/2012/chart" uri="{CE6537A1-D6FC-4f65-9D91-7224C49458BB}"/>
          </c:extLst>
        </c:dLbl>
      </c:pivotFmt>
      <c:pivotFmt>
        <c:idx val="19"/>
        <c:spPr>
          <a:solidFill>
            <a:srgbClr val="FFFF00"/>
          </a:solidFill>
          <a:ln>
            <a:solidFill>
              <a:srgbClr val="FFFF00"/>
            </a:solidFill>
          </a:ln>
          <a:effectLst/>
        </c:spPr>
        <c:marker>
          <c:symbol val="none"/>
        </c:marker>
        <c:dLbl>
          <c:idx val="0"/>
          <c:delete val="1"/>
          <c:extLst>
            <c:ext xmlns:c15="http://schemas.microsoft.com/office/drawing/2012/chart" uri="{CE6537A1-D6FC-4f65-9D91-7224C49458BB}"/>
          </c:extLst>
        </c:dLbl>
      </c:pivotFmt>
      <c:pivotFmt>
        <c:idx val="20"/>
        <c:spPr>
          <a:solidFill>
            <a:srgbClr val="FFCC00"/>
          </a:solidFill>
          <a:ln>
            <a:solidFill>
              <a:srgbClr val="FFCC00"/>
            </a:solidFill>
          </a:ln>
          <a:effectLst/>
        </c:spPr>
        <c:marker>
          <c:symbol val="none"/>
        </c:marker>
        <c:dLbl>
          <c:idx val="0"/>
          <c:delete val="1"/>
          <c:extLst>
            <c:ext xmlns:c15="http://schemas.microsoft.com/office/drawing/2012/chart" uri="{CE6537A1-D6FC-4f65-9D91-7224C49458BB}"/>
          </c:extLst>
        </c:dLbl>
      </c:pivotFmt>
      <c:pivotFmt>
        <c:idx val="21"/>
        <c:spPr>
          <a:solidFill>
            <a:srgbClr val="FFAF00"/>
          </a:solidFill>
          <a:ln>
            <a:solidFill>
              <a:srgbClr val="FFAF00"/>
            </a:solidFill>
          </a:ln>
          <a:effectLst/>
        </c:spPr>
        <c:marker>
          <c:symbol val="none"/>
        </c:marker>
        <c:dLbl>
          <c:idx val="0"/>
          <c:delete val="1"/>
          <c:extLst>
            <c:ext xmlns:c15="http://schemas.microsoft.com/office/drawing/2012/chart" uri="{CE6537A1-D6FC-4f65-9D91-7224C49458BB}"/>
          </c:extLst>
        </c:dLbl>
      </c:pivotFmt>
      <c:pivotFmt>
        <c:idx val="22"/>
        <c:spPr>
          <a:solidFill>
            <a:srgbClr val="FF6600"/>
          </a:solidFill>
          <a:ln>
            <a:solidFill>
              <a:srgbClr val="FF6600"/>
            </a:solidFill>
          </a:ln>
          <a:effectLst/>
        </c:spPr>
        <c:marker>
          <c:symbol val="none"/>
        </c:marker>
        <c:dLbl>
          <c:idx val="0"/>
          <c:delete val="1"/>
          <c:extLst>
            <c:ext xmlns:c15="http://schemas.microsoft.com/office/drawing/2012/chart" uri="{CE6537A1-D6FC-4f65-9D91-7224C49458BB}"/>
          </c:extLst>
        </c:dLbl>
      </c:pivotFmt>
      <c:pivotFmt>
        <c:idx val="23"/>
        <c:spPr>
          <a:solidFill>
            <a:srgbClr val="FF0000"/>
          </a:solidFill>
          <a:ln>
            <a:solidFill>
              <a:srgbClr val="FF0000"/>
            </a:solidFill>
          </a:ln>
          <a:effectLst/>
        </c:spPr>
        <c:marker>
          <c:symbol val="none"/>
        </c:marker>
        <c:dLbl>
          <c:idx val="0"/>
          <c:delete val="1"/>
          <c:extLst>
            <c:ext xmlns:c15="http://schemas.microsoft.com/office/drawing/2012/chart" uri="{CE6537A1-D6FC-4f65-9D91-7224C49458BB}"/>
          </c:extLst>
        </c:dLbl>
      </c:pivotFmt>
      <c:pivotFmt>
        <c:idx val="24"/>
        <c:spPr>
          <a:solidFill>
            <a:srgbClr val="00B050"/>
          </a:solidFill>
          <a:ln>
            <a:solidFill>
              <a:srgbClr val="00B050"/>
            </a:solidFill>
          </a:ln>
          <a:effectLst/>
        </c:spPr>
        <c:marker>
          <c:symbol val="none"/>
        </c:marker>
        <c:dLbl>
          <c:idx val="0"/>
          <c:delete val="1"/>
          <c:extLst>
            <c:ext xmlns:c15="http://schemas.microsoft.com/office/drawing/2012/chart" uri="{CE6537A1-D6FC-4f65-9D91-7224C49458BB}"/>
          </c:extLst>
        </c:dLbl>
      </c:pivotFmt>
      <c:pivotFmt>
        <c:idx val="25"/>
        <c:spPr>
          <a:solidFill>
            <a:srgbClr val="92D050"/>
          </a:solidFill>
          <a:ln>
            <a:solidFill>
              <a:srgbClr val="92D050"/>
            </a:solidFill>
          </a:ln>
          <a:effectLst/>
        </c:spPr>
        <c:marker>
          <c:symbol val="none"/>
        </c:marker>
        <c:dLbl>
          <c:idx val="0"/>
          <c:delete val="1"/>
          <c:extLst>
            <c:ext xmlns:c15="http://schemas.microsoft.com/office/drawing/2012/chart" uri="{CE6537A1-D6FC-4f65-9D91-7224C49458BB}"/>
          </c:extLst>
        </c:dLbl>
      </c:pivotFmt>
      <c:pivotFmt>
        <c:idx val="26"/>
        <c:spPr>
          <a:solidFill>
            <a:srgbClr val="99FF66"/>
          </a:solidFill>
          <a:ln>
            <a:solidFill>
              <a:srgbClr val="99FF66"/>
            </a:solidFill>
          </a:ln>
          <a:effectLst/>
        </c:spPr>
        <c:marker>
          <c:symbol val="none"/>
        </c:marker>
        <c:dLbl>
          <c:idx val="0"/>
          <c:delete val="1"/>
          <c:extLst>
            <c:ext xmlns:c15="http://schemas.microsoft.com/office/drawing/2012/chart" uri="{CE6537A1-D6FC-4f65-9D91-7224C49458BB}"/>
          </c:extLst>
        </c:dLbl>
      </c:pivotFmt>
      <c:pivotFmt>
        <c:idx val="27"/>
        <c:spPr>
          <a:solidFill>
            <a:srgbClr val="FFFF00"/>
          </a:solidFill>
          <a:ln>
            <a:solidFill>
              <a:srgbClr val="FFFF00"/>
            </a:solidFill>
          </a:ln>
          <a:effectLst/>
        </c:spPr>
        <c:marker>
          <c:symbol val="none"/>
        </c:marker>
        <c:dLbl>
          <c:idx val="0"/>
          <c:delete val="1"/>
          <c:extLst>
            <c:ext xmlns:c15="http://schemas.microsoft.com/office/drawing/2012/chart" uri="{CE6537A1-D6FC-4f65-9D91-7224C49458BB}"/>
          </c:extLst>
        </c:dLbl>
      </c:pivotFmt>
      <c:pivotFmt>
        <c:idx val="28"/>
        <c:spPr>
          <a:solidFill>
            <a:srgbClr val="FFCC00"/>
          </a:solidFill>
          <a:ln>
            <a:solidFill>
              <a:srgbClr val="FFCC00"/>
            </a:solidFill>
          </a:ln>
          <a:effectLst/>
        </c:spPr>
        <c:marker>
          <c:symbol val="none"/>
        </c:marker>
        <c:dLbl>
          <c:idx val="0"/>
          <c:delete val="1"/>
          <c:extLst>
            <c:ext xmlns:c15="http://schemas.microsoft.com/office/drawing/2012/chart" uri="{CE6537A1-D6FC-4f65-9D91-7224C49458BB}"/>
          </c:extLst>
        </c:dLbl>
      </c:pivotFmt>
      <c:pivotFmt>
        <c:idx val="29"/>
        <c:spPr>
          <a:solidFill>
            <a:srgbClr val="FFAF00"/>
          </a:solidFill>
          <a:ln>
            <a:solidFill>
              <a:srgbClr val="FFAF00"/>
            </a:solidFill>
          </a:ln>
          <a:effectLst/>
        </c:spPr>
        <c:marker>
          <c:symbol val="none"/>
        </c:marker>
        <c:dLbl>
          <c:idx val="0"/>
          <c:delete val="1"/>
          <c:extLst>
            <c:ext xmlns:c15="http://schemas.microsoft.com/office/drawing/2012/chart" uri="{CE6537A1-D6FC-4f65-9D91-7224C49458BB}"/>
          </c:extLst>
        </c:dLbl>
      </c:pivotFmt>
      <c:pivotFmt>
        <c:idx val="30"/>
        <c:spPr>
          <a:solidFill>
            <a:srgbClr val="FF6600"/>
          </a:solidFill>
          <a:ln>
            <a:solidFill>
              <a:srgbClr val="FF6600"/>
            </a:solidFill>
          </a:ln>
          <a:effectLst/>
        </c:spPr>
        <c:marker>
          <c:symbol val="none"/>
        </c:marker>
        <c:dLbl>
          <c:idx val="0"/>
          <c:delete val="1"/>
          <c:extLst>
            <c:ext xmlns:c15="http://schemas.microsoft.com/office/drawing/2012/chart" uri="{CE6537A1-D6FC-4f65-9D91-7224C49458BB}"/>
          </c:extLst>
        </c:dLbl>
      </c:pivotFmt>
      <c:pivotFmt>
        <c:idx val="31"/>
        <c:spPr>
          <a:solidFill>
            <a:srgbClr val="FF0000"/>
          </a:solidFill>
          <a:ln>
            <a:solidFill>
              <a:srgbClr val="FF0000"/>
            </a:solid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percentStacked"/>
        <c:varyColors val="0"/>
        <c:ser>
          <c:idx val="0"/>
          <c:order val="0"/>
          <c:tx>
            <c:strRef>
              <c:f>Sheet3!$B$3:$B$4</c:f>
              <c:strCache>
                <c:ptCount val="1"/>
                <c:pt idx="0">
                  <c:v>A+</c:v>
                </c:pt>
              </c:strCache>
            </c:strRef>
          </c:tx>
          <c:spPr>
            <a:solidFill>
              <a:srgbClr val="00B050"/>
            </a:solidFill>
            <a:ln>
              <a:solidFill>
                <a:srgbClr val="00B050"/>
              </a:solidFill>
            </a:ln>
            <a:effectLst/>
          </c:spPr>
          <c:invertIfNegative val="0"/>
          <c:cat>
            <c:strRef>
              <c:f>Sheet3!$A$5:$A$14</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Sheet3!$B$5:$B$14</c:f>
              <c:numCache>
                <c:formatCode>0.00%</c:formatCode>
                <c:ptCount val="9"/>
                <c:pt idx="0">
                  <c:v>2.5458191711991965E-4</c:v>
                </c:pt>
                <c:pt idx="1">
                  <c:v>0.13399571975378136</c:v>
                </c:pt>
                <c:pt idx="2">
                  <c:v>0.10779690358034</c:v>
                </c:pt>
                <c:pt idx="3">
                  <c:v>3.4704610244828855E-2</c:v>
                </c:pt>
                <c:pt idx="4">
                  <c:v>7.9010732489896186E-3</c:v>
                </c:pt>
                <c:pt idx="5">
                  <c:v>0.13871771473134173</c:v>
                </c:pt>
                <c:pt idx="6">
                  <c:v>0.32348526030154634</c:v>
                </c:pt>
                <c:pt idx="7">
                  <c:v>0.15801926845725087</c:v>
                </c:pt>
                <c:pt idx="8">
                  <c:v>9.5124867764801307E-2</c:v>
                </c:pt>
              </c:numCache>
            </c:numRef>
          </c:val>
          <c:extLst>
            <c:ext xmlns:c16="http://schemas.microsoft.com/office/drawing/2014/chart" uri="{C3380CC4-5D6E-409C-BE32-E72D297353CC}">
              <c16:uniqueId val="{00000000-FC6C-4FFA-A25E-CA789970B884}"/>
            </c:ext>
          </c:extLst>
        </c:ser>
        <c:ser>
          <c:idx val="1"/>
          <c:order val="1"/>
          <c:tx>
            <c:strRef>
              <c:f>Sheet3!$C$3:$C$4</c:f>
              <c:strCache>
                <c:ptCount val="1"/>
                <c:pt idx="0">
                  <c:v>A</c:v>
                </c:pt>
              </c:strCache>
            </c:strRef>
          </c:tx>
          <c:spPr>
            <a:solidFill>
              <a:srgbClr val="92D050"/>
            </a:solidFill>
            <a:ln>
              <a:solidFill>
                <a:srgbClr val="92D050"/>
              </a:solidFill>
            </a:ln>
            <a:effectLst/>
          </c:spPr>
          <c:invertIfNegative val="0"/>
          <c:cat>
            <c:strRef>
              <c:f>Sheet3!$A$5:$A$14</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Sheet3!$C$5:$C$14</c:f>
              <c:numCache>
                <c:formatCode>0.00%</c:formatCode>
                <c:ptCount val="9"/>
                <c:pt idx="0">
                  <c:v>5.9656415948636308E-4</c:v>
                </c:pt>
                <c:pt idx="1">
                  <c:v>6.8146627254179692E-2</c:v>
                </c:pt>
                <c:pt idx="2">
                  <c:v>0.12848112096571471</c:v>
                </c:pt>
                <c:pt idx="3">
                  <c:v>0.11367259003700939</c:v>
                </c:pt>
                <c:pt idx="4">
                  <c:v>6.2944965799990819E-3</c:v>
                </c:pt>
                <c:pt idx="5">
                  <c:v>6.4736246481327406E-2</c:v>
                </c:pt>
                <c:pt idx="6">
                  <c:v>0.50244297124146475</c:v>
                </c:pt>
                <c:pt idx="7">
                  <c:v>6.1690982638699661E-2</c:v>
                </c:pt>
                <c:pt idx="8">
                  <c:v>5.3938400642118918E-2</c:v>
                </c:pt>
              </c:numCache>
            </c:numRef>
          </c:val>
          <c:extLst>
            <c:ext xmlns:c16="http://schemas.microsoft.com/office/drawing/2014/chart" uri="{C3380CC4-5D6E-409C-BE32-E72D297353CC}">
              <c16:uniqueId val="{00000001-FC6C-4FFA-A25E-CA789970B884}"/>
            </c:ext>
          </c:extLst>
        </c:ser>
        <c:ser>
          <c:idx val="2"/>
          <c:order val="2"/>
          <c:tx>
            <c:strRef>
              <c:f>Sheet3!$D$3:$D$4</c:f>
              <c:strCache>
                <c:ptCount val="1"/>
                <c:pt idx="0">
                  <c:v>B</c:v>
                </c:pt>
              </c:strCache>
            </c:strRef>
          </c:tx>
          <c:spPr>
            <a:solidFill>
              <a:srgbClr val="99FF66"/>
            </a:solidFill>
            <a:ln>
              <a:solidFill>
                <a:srgbClr val="99FF66"/>
              </a:solidFill>
            </a:ln>
            <a:effectLst/>
          </c:spPr>
          <c:invertIfNegative val="0"/>
          <c:cat>
            <c:strRef>
              <c:f>Sheet3!$A$5:$A$14</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Sheet3!$D$5:$D$14</c:f>
              <c:numCache>
                <c:formatCode>0.00%</c:formatCode>
                <c:ptCount val="9"/>
                <c:pt idx="0">
                  <c:v>8.6884951257737899E-3</c:v>
                </c:pt>
                <c:pt idx="1">
                  <c:v>5.7729050224125299E-2</c:v>
                </c:pt>
                <c:pt idx="2">
                  <c:v>0.12746325825698712</c:v>
                </c:pt>
                <c:pt idx="3">
                  <c:v>0.11357192797712247</c:v>
                </c:pt>
                <c:pt idx="4">
                  <c:v>2.2569142119034546E-2</c:v>
                </c:pt>
                <c:pt idx="5">
                  <c:v>7.2158445259249568E-2</c:v>
                </c:pt>
                <c:pt idx="6">
                  <c:v>0.43745766491321575</c:v>
                </c:pt>
                <c:pt idx="7">
                  <c:v>6.889455018142937E-2</c:v>
                </c:pt>
                <c:pt idx="8">
                  <c:v>9.1467465943061946E-2</c:v>
                </c:pt>
              </c:numCache>
            </c:numRef>
          </c:val>
          <c:extLst>
            <c:ext xmlns:c16="http://schemas.microsoft.com/office/drawing/2014/chart" uri="{C3380CC4-5D6E-409C-BE32-E72D297353CC}">
              <c16:uniqueId val="{00000002-FC6C-4FFA-A25E-CA789970B884}"/>
            </c:ext>
          </c:extLst>
        </c:ser>
        <c:ser>
          <c:idx val="3"/>
          <c:order val="3"/>
          <c:tx>
            <c:strRef>
              <c:f>Sheet3!$E$3:$E$4</c:f>
              <c:strCache>
                <c:ptCount val="1"/>
                <c:pt idx="0">
                  <c:v>C</c:v>
                </c:pt>
              </c:strCache>
            </c:strRef>
          </c:tx>
          <c:spPr>
            <a:solidFill>
              <a:srgbClr val="FFFF00"/>
            </a:solidFill>
            <a:ln>
              <a:solidFill>
                <a:srgbClr val="FFFF00"/>
              </a:solidFill>
            </a:ln>
            <a:effectLst/>
          </c:spPr>
          <c:invertIfNegative val="0"/>
          <c:cat>
            <c:strRef>
              <c:f>Sheet3!$A$5:$A$14</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Sheet3!$E$5:$E$14</c:f>
              <c:numCache>
                <c:formatCode>0.00%</c:formatCode>
                <c:ptCount val="9"/>
                <c:pt idx="0">
                  <c:v>3.1412748669332025E-2</c:v>
                </c:pt>
                <c:pt idx="1">
                  <c:v>4.3750286329796308E-2</c:v>
                </c:pt>
                <c:pt idx="2">
                  <c:v>0.14469674940434699</c:v>
                </c:pt>
                <c:pt idx="3">
                  <c:v>0.11255420158866206</c:v>
                </c:pt>
                <c:pt idx="4">
                  <c:v>2.8872427923848865E-2</c:v>
                </c:pt>
                <c:pt idx="5">
                  <c:v>0.1000358618201523</c:v>
                </c:pt>
                <c:pt idx="6">
                  <c:v>0.36803485410253317</c:v>
                </c:pt>
                <c:pt idx="7">
                  <c:v>6.5434311673008519E-2</c:v>
                </c:pt>
                <c:pt idx="8">
                  <c:v>0.10520855848831978</c:v>
                </c:pt>
              </c:numCache>
            </c:numRef>
          </c:val>
          <c:extLst>
            <c:ext xmlns:c16="http://schemas.microsoft.com/office/drawing/2014/chart" uri="{C3380CC4-5D6E-409C-BE32-E72D297353CC}">
              <c16:uniqueId val="{00000003-FC6C-4FFA-A25E-CA789970B884}"/>
            </c:ext>
          </c:extLst>
        </c:ser>
        <c:ser>
          <c:idx val="4"/>
          <c:order val="4"/>
          <c:tx>
            <c:strRef>
              <c:f>Sheet3!$F$3:$F$4</c:f>
              <c:strCache>
                <c:ptCount val="1"/>
                <c:pt idx="0">
                  <c:v>D</c:v>
                </c:pt>
              </c:strCache>
            </c:strRef>
          </c:tx>
          <c:spPr>
            <a:solidFill>
              <a:srgbClr val="FFCC00"/>
            </a:solidFill>
            <a:ln>
              <a:solidFill>
                <a:srgbClr val="FFCC00"/>
              </a:solidFill>
            </a:ln>
            <a:effectLst/>
          </c:spPr>
          <c:invertIfNegative val="0"/>
          <c:cat>
            <c:strRef>
              <c:f>Sheet3!$A$5:$A$14</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Sheet3!$F$5:$F$14</c:f>
              <c:numCache>
                <c:formatCode>0.00%</c:formatCode>
                <c:ptCount val="9"/>
                <c:pt idx="0">
                  <c:v>3.6541143922904043E-2</c:v>
                </c:pt>
                <c:pt idx="1">
                  <c:v>4.4002709257368967E-2</c:v>
                </c:pt>
                <c:pt idx="2">
                  <c:v>0.14633051210610515</c:v>
                </c:pt>
                <c:pt idx="3">
                  <c:v>0.15909012778471207</c:v>
                </c:pt>
                <c:pt idx="4">
                  <c:v>1.9712928310103982E-2</c:v>
                </c:pt>
                <c:pt idx="5">
                  <c:v>7.9792594717359666E-2</c:v>
                </c:pt>
                <c:pt idx="6">
                  <c:v>0.39829894144990319</c:v>
                </c:pt>
                <c:pt idx="7">
                  <c:v>3.7140034655617708E-2</c:v>
                </c:pt>
                <c:pt idx="8">
                  <c:v>7.9091007795925372E-2</c:v>
                </c:pt>
              </c:numCache>
            </c:numRef>
          </c:val>
          <c:extLst>
            <c:ext xmlns:c16="http://schemas.microsoft.com/office/drawing/2014/chart" uri="{C3380CC4-5D6E-409C-BE32-E72D297353CC}">
              <c16:uniqueId val="{00000004-FC6C-4FFA-A25E-CA789970B884}"/>
            </c:ext>
          </c:extLst>
        </c:ser>
        <c:ser>
          <c:idx val="5"/>
          <c:order val="5"/>
          <c:tx>
            <c:strRef>
              <c:f>Sheet3!$G$3:$G$4</c:f>
              <c:strCache>
                <c:ptCount val="1"/>
                <c:pt idx="0">
                  <c:v>E</c:v>
                </c:pt>
              </c:strCache>
            </c:strRef>
          </c:tx>
          <c:spPr>
            <a:solidFill>
              <a:srgbClr val="FFAF00"/>
            </a:solidFill>
            <a:ln>
              <a:solidFill>
                <a:srgbClr val="FFAF00"/>
              </a:solidFill>
            </a:ln>
            <a:effectLst/>
          </c:spPr>
          <c:invertIfNegative val="0"/>
          <c:cat>
            <c:strRef>
              <c:f>Sheet3!$A$5:$A$14</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Sheet3!$G$5:$G$14</c:f>
              <c:numCache>
                <c:formatCode>0.00%</c:formatCode>
                <c:ptCount val="9"/>
                <c:pt idx="0">
                  <c:v>2.0582280028905223E-2</c:v>
                </c:pt>
                <c:pt idx="1">
                  <c:v>5.3349576023907386E-2</c:v>
                </c:pt>
                <c:pt idx="2">
                  <c:v>0.22446808975931637</c:v>
                </c:pt>
                <c:pt idx="3">
                  <c:v>0.19604863322477808</c:v>
                </c:pt>
                <c:pt idx="4">
                  <c:v>1.6667027252909208E-2</c:v>
                </c:pt>
                <c:pt idx="5">
                  <c:v>7.0069010496278325E-2</c:v>
                </c:pt>
                <c:pt idx="6">
                  <c:v>0.30139676141813204</c:v>
                </c:pt>
                <c:pt idx="7">
                  <c:v>4.7213765245481432E-2</c:v>
                </c:pt>
                <c:pt idx="8">
                  <c:v>7.0204856550291794E-2</c:v>
                </c:pt>
              </c:numCache>
            </c:numRef>
          </c:val>
          <c:extLst>
            <c:ext xmlns:c16="http://schemas.microsoft.com/office/drawing/2014/chart" uri="{C3380CC4-5D6E-409C-BE32-E72D297353CC}">
              <c16:uniqueId val="{00000005-FC6C-4FFA-A25E-CA789970B884}"/>
            </c:ext>
          </c:extLst>
        </c:ser>
        <c:ser>
          <c:idx val="6"/>
          <c:order val="6"/>
          <c:tx>
            <c:strRef>
              <c:f>Sheet3!$H$3:$H$4</c:f>
              <c:strCache>
                <c:ptCount val="1"/>
                <c:pt idx="0">
                  <c:v>F</c:v>
                </c:pt>
              </c:strCache>
            </c:strRef>
          </c:tx>
          <c:spPr>
            <a:solidFill>
              <a:srgbClr val="FF6600"/>
            </a:solidFill>
            <a:ln>
              <a:solidFill>
                <a:srgbClr val="FF6600"/>
              </a:solidFill>
            </a:ln>
            <a:effectLst/>
          </c:spPr>
          <c:invertIfNegative val="0"/>
          <c:cat>
            <c:strRef>
              <c:f>Sheet3!$A$5:$A$14</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Sheet3!$H$5:$H$14</c:f>
              <c:numCache>
                <c:formatCode>0.00%</c:formatCode>
                <c:ptCount val="9"/>
                <c:pt idx="0">
                  <c:v>6.3901851932211012E-2</c:v>
                </c:pt>
                <c:pt idx="1">
                  <c:v>3.8872510217404684E-2</c:v>
                </c:pt>
                <c:pt idx="2">
                  <c:v>0.3708278066316128</c:v>
                </c:pt>
                <c:pt idx="3">
                  <c:v>0.17722325160830668</c:v>
                </c:pt>
                <c:pt idx="4">
                  <c:v>2.5735473998388873E-2</c:v>
                </c:pt>
                <c:pt idx="5">
                  <c:v>2.9479830000861962E-2</c:v>
                </c:pt>
                <c:pt idx="6">
                  <c:v>0.22906839804923296</c:v>
                </c:pt>
                <c:pt idx="7">
                  <c:v>2.1560340882529568E-2</c:v>
                </c:pt>
                <c:pt idx="8">
                  <c:v>4.3330536679451567E-2</c:v>
                </c:pt>
              </c:numCache>
            </c:numRef>
          </c:val>
          <c:extLst>
            <c:ext xmlns:c16="http://schemas.microsoft.com/office/drawing/2014/chart" uri="{C3380CC4-5D6E-409C-BE32-E72D297353CC}">
              <c16:uniqueId val="{00000006-FC6C-4FFA-A25E-CA789970B884}"/>
            </c:ext>
          </c:extLst>
        </c:ser>
        <c:ser>
          <c:idx val="7"/>
          <c:order val="7"/>
          <c:tx>
            <c:strRef>
              <c:f>Sheet3!$I$3:$I$4</c:f>
              <c:strCache>
                <c:ptCount val="1"/>
                <c:pt idx="0">
                  <c:v>G</c:v>
                </c:pt>
              </c:strCache>
            </c:strRef>
          </c:tx>
          <c:spPr>
            <a:solidFill>
              <a:srgbClr val="FF0000"/>
            </a:solidFill>
            <a:ln>
              <a:solidFill>
                <a:srgbClr val="FF0000"/>
              </a:solidFill>
            </a:ln>
            <a:effectLst/>
          </c:spPr>
          <c:invertIfNegative val="0"/>
          <c:cat>
            <c:strRef>
              <c:f>Sheet3!$A$5:$A$14</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Sheet3!$I$5:$I$14</c:f>
              <c:numCache>
                <c:formatCode>0.00%</c:formatCode>
                <c:ptCount val="9"/>
                <c:pt idx="0">
                  <c:v>0.15201557046180139</c:v>
                </c:pt>
                <c:pt idx="1">
                  <c:v>2.2897016503821019E-2</c:v>
                </c:pt>
                <c:pt idx="2">
                  <c:v>0.54054498987681343</c:v>
                </c:pt>
                <c:pt idx="3">
                  <c:v>0.12980236276600096</c:v>
                </c:pt>
                <c:pt idx="4">
                  <c:v>1.0249091669952639E-2</c:v>
                </c:pt>
                <c:pt idx="5">
                  <c:v>2.7633323450125407E-2</c:v>
                </c:pt>
                <c:pt idx="6">
                  <c:v>8.8948575132154317E-2</c:v>
                </c:pt>
                <c:pt idx="7">
                  <c:v>1.6877386985541795E-2</c:v>
                </c:pt>
                <c:pt idx="8">
                  <c:v>1.1031683153789221E-2</c:v>
                </c:pt>
              </c:numCache>
            </c:numRef>
          </c:val>
          <c:extLst>
            <c:ext xmlns:c16="http://schemas.microsoft.com/office/drawing/2014/chart" uri="{C3380CC4-5D6E-409C-BE32-E72D297353CC}">
              <c16:uniqueId val="{00000007-FC6C-4FFA-A25E-CA789970B884}"/>
            </c:ext>
          </c:extLst>
        </c:ser>
        <c:dLbls>
          <c:showLegendKey val="0"/>
          <c:showVal val="0"/>
          <c:showCatName val="0"/>
          <c:showSerName val="0"/>
          <c:showPercent val="0"/>
          <c:showBubbleSize val="0"/>
        </c:dLbls>
        <c:gapWidth val="219"/>
        <c:overlap val="100"/>
        <c:axId val="85827584"/>
        <c:axId val="85829120"/>
      </c:barChart>
      <c:catAx>
        <c:axId val="8582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829120"/>
        <c:crosses val="autoZero"/>
        <c:auto val="0"/>
        <c:lblAlgn val="ctr"/>
        <c:lblOffset val="100"/>
        <c:noMultiLvlLbl val="0"/>
      </c:catAx>
      <c:valAx>
        <c:axId val="85829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827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[IEC izdani certifikati do 29.10.2019..xlsx]Sheet3!PivotTable21</c:name>
    <c:fmtId val="-1"/>
  </c:pivotSource>
  <c:chart>
    <c:autoTitleDeleted val="0"/>
    <c:pivotFmts>
      <c:pivotFmt>
        <c:idx val="0"/>
        <c:spPr>
          <a:solidFill>
            <a:srgbClr val="00B050"/>
          </a:solidFill>
          <a:ln>
            <a:noFill/>
          </a:ln>
          <a:effectLst/>
        </c:spPr>
        <c:marker>
          <c:symbol val="none"/>
        </c:marker>
        <c:dLbl>
          <c:idx val="0"/>
          <c:delete val="1"/>
          <c:extLst>
            <c:ext xmlns:c15="http://schemas.microsoft.com/office/drawing/2012/chart" uri="{CE6537A1-D6FC-4f65-9D91-7224C49458BB}"/>
          </c:extLst>
        </c:dLbl>
      </c:pivotFmt>
      <c:pivotFmt>
        <c:idx val="1"/>
        <c:spPr>
          <a:solidFill>
            <a:srgbClr val="92D050"/>
          </a:solidFill>
          <a:ln>
            <a:noFill/>
          </a:ln>
          <a:effectLst/>
        </c:spPr>
        <c:marker>
          <c:symbol val="none"/>
        </c:marker>
        <c:dLbl>
          <c:idx val="0"/>
          <c:delete val="1"/>
          <c:extLst>
            <c:ext xmlns:c15="http://schemas.microsoft.com/office/drawing/2012/chart" uri="{CE6537A1-D6FC-4f65-9D91-7224C49458BB}"/>
          </c:extLst>
        </c:dLbl>
      </c:pivotFmt>
      <c:pivotFmt>
        <c:idx val="2"/>
        <c:spPr>
          <a:solidFill>
            <a:srgbClr val="FFFF00"/>
          </a:solidFill>
          <a:ln>
            <a:noFill/>
          </a:ln>
          <a:effectLst/>
        </c:spPr>
        <c:marker>
          <c:symbol val="none"/>
        </c:marker>
        <c:dLbl>
          <c:idx val="0"/>
          <c:delete val="1"/>
          <c:extLst>
            <c:ext xmlns:c15="http://schemas.microsoft.com/office/drawing/2012/chart" uri="{CE6537A1-D6FC-4f65-9D91-7224C49458BB}"/>
          </c:extLst>
        </c:dLbl>
      </c:pivotFmt>
      <c:pivotFmt>
        <c:idx val="3"/>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4"/>
        <c:spPr>
          <a:solidFill>
            <a:srgbClr val="FFAF00"/>
          </a:solidFill>
          <a:ln>
            <a:noFill/>
          </a:ln>
          <a:effectLst/>
        </c:spPr>
        <c:marker>
          <c:symbol val="none"/>
        </c:marker>
        <c:dLbl>
          <c:idx val="0"/>
          <c:delete val="1"/>
          <c:extLst>
            <c:ext xmlns:c15="http://schemas.microsoft.com/office/drawing/2012/chart" uri="{CE6537A1-D6FC-4f65-9D91-7224C49458BB}"/>
          </c:extLst>
        </c:dLbl>
      </c:pivotFmt>
      <c:pivotFmt>
        <c:idx val="5"/>
        <c:spPr>
          <a:solidFill>
            <a:srgbClr val="FF6600"/>
          </a:solidFill>
          <a:ln>
            <a:noFill/>
          </a:ln>
          <a:effectLst/>
        </c:spPr>
        <c:marker>
          <c:symbol val="none"/>
        </c:marker>
        <c:dLbl>
          <c:idx val="0"/>
          <c:delete val="1"/>
          <c:extLst>
            <c:ext xmlns:c15="http://schemas.microsoft.com/office/drawing/2012/chart" uri="{CE6537A1-D6FC-4f65-9D91-7224C49458BB}"/>
          </c:extLst>
        </c:dLbl>
      </c:pivotFmt>
      <c:pivotFmt>
        <c:idx val="6"/>
        <c:spPr>
          <a:solidFill>
            <a:srgbClr val="FF0000"/>
          </a:solidFill>
          <a:ln>
            <a:noFill/>
          </a:ln>
          <a:effectLst/>
        </c:spPr>
        <c:marker>
          <c:symbol val="none"/>
        </c:marker>
        <c:dLbl>
          <c:idx val="0"/>
          <c:delete val="1"/>
          <c:extLst>
            <c:ext xmlns:c15="http://schemas.microsoft.com/office/drawing/2012/chart" uri="{CE6537A1-D6FC-4f65-9D91-7224C49458BB}"/>
          </c:extLst>
        </c:dLbl>
      </c:pivotFmt>
      <c:pivotFmt>
        <c:idx val="7"/>
        <c:spPr>
          <a:solidFill>
            <a:srgbClr val="C00000"/>
          </a:solidFill>
          <a:ln>
            <a:noFill/>
          </a:ln>
          <a:effectLst/>
        </c:spPr>
        <c:marker>
          <c:symbol val="none"/>
        </c:marker>
        <c:dLbl>
          <c:idx val="0"/>
          <c:delete val="1"/>
          <c:extLst>
            <c:ext xmlns:c15="http://schemas.microsoft.com/office/drawing/2012/chart" uri="{CE6537A1-D6FC-4f65-9D91-7224C49458BB}"/>
          </c:extLst>
        </c:dLbl>
      </c:pivotFmt>
      <c:pivotFmt>
        <c:idx val="8"/>
        <c:spPr>
          <a:solidFill>
            <a:srgbClr val="00B050"/>
          </a:solidFill>
          <a:ln>
            <a:noFill/>
          </a:ln>
          <a:effectLst/>
        </c:spPr>
        <c:marker>
          <c:symbol val="none"/>
        </c:marker>
        <c:dLbl>
          <c:idx val="0"/>
          <c:delete val="1"/>
          <c:extLst>
            <c:ext xmlns:c15="http://schemas.microsoft.com/office/drawing/2012/chart" uri="{CE6537A1-D6FC-4f65-9D91-7224C49458BB}"/>
          </c:extLst>
        </c:dLbl>
      </c:pivotFmt>
      <c:pivotFmt>
        <c:idx val="9"/>
        <c:spPr>
          <a:solidFill>
            <a:srgbClr val="92D050"/>
          </a:solidFill>
          <a:ln>
            <a:noFill/>
          </a:ln>
          <a:effectLst/>
        </c:spPr>
        <c:marker>
          <c:symbol val="none"/>
        </c:marker>
        <c:dLbl>
          <c:idx val="0"/>
          <c:delete val="1"/>
          <c:extLst>
            <c:ext xmlns:c15="http://schemas.microsoft.com/office/drawing/2012/chart" uri="{CE6537A1-D6FC-4f65-9D91-7224C49458BB}"/>
          </c:extLst>
        </c:dLbl>
      </c:pivotFmt>
      <c:pivotFmt>
        <c:idx val="10"/>
        <c:spPr>
          <a:solidFill>
            <a:srgbClr val="FFFF00"/>
          </a:solidFill>
          <a:ln>
            <a:noFill/>
          </a:ln>
          <a:effectLst/>
        </c:spPr>
        <c:marker>
          <c:symbol val="none"/>
        </c:marker>
        <c:dLbl>
          <c:idx val="0"/>
          <c:delete val="1"/>
          <c:extLst>
            <c:ext xmlns:c15="http://schemas.microsoft.com/office/drawing/2012/chart" uri="{CE6537A1-D6FC-4f65-9D91-7224C49458BB}"/>
          </c:extLst>
        </c:dLbl>
      </c:pivotFmt>
      <c:pivotFmt>
        <c:idx val="11"/>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12"/>
        <c:spPr>
          <a:solidFill>
            <a:srgbClr val="FFAF00"/>
          </a:solidFill>
          <a:ln>
            <a:noFill/>
          </a:ln>
          <a:effectLst/>
        </c:spPr>
        <c:marker>
          <c:symbol val="none"/>
        </c:marker>
        <c:dLbl>
          <c:idx val="0"/>
          <c:delete val="1"/>
          <c:extLst>
            <c:ext xmlns:c15="http://schemas.microsoft.com/office/drawing/2012/chart" uri="{CE6537A1-D6FC-4f65-9D91-7224C49458BB}"/>
          </c:extLst>
        </c:dLbl>
      </c:pivotFmt>
      <c:pivotFmt>
        <c:idx val="13"/>
        <c:spPr>
          <a:solidFill>
            <a:srgbClr val="FF6600"/>
          </a:solidFill>
          <a:ln>
            <a:noFill/>
          </a:ln>
          <a:effectLst/>
        </c:spPr>
        <c:marker>
          <c:symbol val="none"/>
        </c:marker>
        <c:dLbl>
          <c:idx val="0"/>
          <c:delete val="1"/>
          <c:extLst>
            <c:ext xmlns:c15="http://schemas.microsoft.com/office/drawing/2012/chart" uri="{CE6537A1-D6FC-4f65-9D91-7224C49458BB}"/>
          </c:extLst>
        </c:dLbl>
      </c:pivotFmt>
      <c:pivotFmt>
        <c:idx val="14"/>
        <c:spPr>
          <a:solidFill>
            <a:srgbClr val="FF0000"/>
          </a:solidFill>
          <a:ln>
            <a:noFill/>
          </a:ln>
          <a:effectLst/>
        </c:spPr>
        <c:marker>
          <c:symbol val="none"/>
        </c:marker>
        <c:dLbl>
          <c:idx val="0"/>
          <c:delete val="1"/>
          <c:extLst>
            <c:ext xmlns:c15="http://schemas.microsoft.com/office/drawing/2012/chart" uri="{CE6537A1-D6FC-4f65-9D91-7224C49458BB}"/>
          </c:extLst>
        </c:dLbl>
      </c:pivotFmt>
      <c:pivotFmt>
        <c:idx val="15"/>
        <c:spPr>
          <a:solidFill>
            <a:srgbClr val="C00000"/>
          </a:solidFill>
          <a:ln>
            <a:noFill/>
          </a:ln>
          <a:effectLst/>
        </c:spPr>
        <c:marker>
          <c:symbol val="none"/>
        </c:marker>
        <c:dLbl>
          <c:idx val="0"/>
          <c:delete val="1"/>
          <c:extLst>
            <c:ext xmlns:c15="http://schemas.microsoft.com/office/drawing/2012/chart" uri="{CE6537A1-D6FC-4f65-9D91-7224C49458BB}"/>
          </c:extLst>
        </c:dLbl>
      </c:pivotFmt>
      <c:pivotFmt>
        <c:idx val="16"/>
        <c:spPr>
          <a:solidFill>
            <a:srgbClr val="00B050"/>
          </a:solidFill>
          <a:ln>
            <a:noFill/>
          </a:ln>
          <a:effectLst/>
        </c:spPr>
        <c:marker>
          <c:symbol val="none"/>
        </c:marker>
        <c:dLbl>
          <c:idx val="0"/>
          <c:delete val="1"/>
          <c:extLst>
            <c:ext xmlns:c15="http://schemas.microsoft.com/office/drawing/2012/chart" uri="{CE6537A1-D6FC-4f65-9D91-7224C49458BB}"/>
          </c:extLst>
        </c:dLbl>
      </c:pivotFmt>
      <c:pivotFmt>
        <c:idx val="17"/>
        <c:spPr>
          <a:solidFill>
            <a:srgbClr val="92D050"/>
          </a:solidFill>
          <a:ln>
            <a:noFill/>
          </a:ln>
          <a:effectLst/>
        </c:spPr>
        <c:marker>
          <c:symbol val="none"/>
        </c:marker>
        <c:dLbl>
          <c:idx val="0"/>
          <c:delete val="1"/>
          <c:extLst>
            <c:ext xmlns:c15="http://schemas.microsoft.com/office/drawing/2012/chart" uri="{CE6537A1-D6FC-4f65-9D91-7224C49458BB}"/>
          </c:extLst>
        </c:dLbl>
      </c:pivotFmt>
      <c:pivotFmt>
        <c:idx val="18"/>
        <c:spPr>
          <a:solidFill>
            <a:srgbClr val="FFFF00"/>
          </a:solidFill>
          <a:ln>
            <a:noFill/>
          </a:ln>
          <a:effectLst/>
        </c:spPr>
        <c:marker>
          <c:symbol val="none"/>
        </c:marker>
        <c:dLbl>
          <c:idx val="0"/>
          <c:delete val="1"/>
          <c:extLst>
            <c:ext xmlns:c15="http://schemas.microsoft.com/office/drawing/2012/chart" uri="{CE6537A1-D6FC-4f65-9D91-7224C49458BB}"/>
          </c:extLst>
        </c:dLbl>
      </c:pivotFmt>
      <c:pivotFmt>
        <c:idx val="19"/>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20"/>
        <c:spPr>
          <a:solidFill>
            <a:srgbClr val="FFAF00"/>
          </a:solidFill>
          <a:ln>
            <a:noFill/>
          </a:ln>
          <a:effectLst/>
        </c:spPr>
        <c:marker>
          <c:symbol val="none"/>
        </c:marker>
        <c:dLbl>
          <c:idx val="0"/>
          <c:delete val="1"/>
          <c:extLst>
            <c:ext xmlns:c15="http://schemas.microsoft.com/office/drawing/2012/chart" uri="{CE6537A1-D6FC-4f65-9D91-7224C49458BB}"/>
          </c:extLst>
        </c:dLbl>
      </c:pivotFmt>
      <c:pivotFmt>
        <c:idx val="21"/>
        <c:spPr>
          <a:solidFill>
            <a:srgbClr val="FF6600"/>
          </a:solidFill>
          <a:ln>
            <a:noFill/>
          </a:ln>
          <a:effectLst/>
        </c:spPr>
        <c:marker>
          <c:symbol val="none"/>
        </c:marker>
        <c:dLbl>
          <c:idx val="0"/>
          <c:delete val="1"/>
          <c:extLst>
            <c:ext xmlns:c15="http://schemas.microsoft.com/office/drawing/2012/chart" uri="{CE6537A1-D6FC-4f65-9D91-7224C49458BB}"/>
          </c:extLst>
        </c:dLbl>
      </c:pivotFmt>
      <c:pivotFmt>
        <c:idx val="22"/>
        <c:spPr>
          <a:solidFill>
            <a:srgbClr val="FF0000"/>
          </a:solidFill>
          <a:ln>
            <a:noFill/>
          </a:ln>
          <a:effectLst/>
        </c:spPr>
        <c:marker>
          <c:symbol val="none"/>
        </c:marker>
        <c:dLbl>
          <c:idx val="0"/>
          <c:delete val="1"/>
          <c:extLst>
            <c:ext xmlns:c15="http://schemas.microsoft.com/office/drawing/2012/chart" uri="{CE6537A1-D6FC-4f65-9D91-7224C49458BB}"/>
          </c:extLst>
        </c:dLbl>
      </c:pivotFmt>
      <c:pivotFmt>
        <c:idx val="23"/>
        <c:spPr>
          <a:solidFill>
            <a:srgbClr val="C00000"/>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percentStacked"/>
        <c:varyColors val="0"/>
        <c:ser>
          <c:idx val="0"/>
          <c:order val="0"/>
          <c:tx>
            <c:strRef>
              <c:f>Sheet3!$B$210:$B$211</c:f>
              <c:strCache>
                <c:ptCount val="1"/>
                <c:pt idx="0">
                  <c:v>A</c:v>
                </c:pt>
              </c:strCache>
            </c:strRef>
          </c:tx>
          <c:spPr>
            <a:solidFill>
              <a:srgbClr val="00B050"/>
            </a:solidFill>
            <a:ln>
              <a:noFill/>
            </a:ln>
            <a:effectLst/>
          </c:spPr>
          <c:invertIfNegative val="0"/>
          <c:cat>
            <c:strRef>
              <c:f>Sheet3!$A$212:$A$221</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Sheet3!$B$212:$B$221</c:f>
              <c:numCache>
                <c:formatCode>0.00%</c:formatCode>
                <c:ptCount val="9"/>
                <c:pt idx="0">
                  <c:v>1.3402814850453438E-2</c:v>
                </c:pt>
                <c:pt idx="1">
                  <c:v>5.4290520360530004E-2</c:v>
                </c:pt>
                <c:pt idx="2">
                  <c:v>0.13282922449254628</c:v>
                </c:pt>
                <c:pt idx="3">
                  <c:v>0.14768664799291242</c:v>
                </c:pt>
                <c:pt idx="4">
                  <c:v>2.1908944716101421E-2</c:v>
                </c:pt>
                <c:pt idx="5">
                  <c:v>6.2915037873996021E-2</c:v>
                </c:pt>
                <c:pt idx="6">
                  <c:v>0.44379831940913311</c:v>
                </c:pt>
                <c:pt idx="7">
                  <c:v>0.10490603914312624</c:v>
                </c:pt>
                <c:pt idx="8">
                  <c:v>1.8262451161201145E-2</c:v>
                </c:pt>
              </c:numCache>
            </c:numRef>
          </c:val>
          <c:extLst>
            <c:ext xmlns:c16="http://schemas.microsoft.com/office/drawing/2014/chart" uri="{C3380CC4-5D6E-409C-BE32-E72D297353CC}">
              <c16:uniqueId val="{00000000-18D7-45A8-9E56-26E9E473780B}"/>
            </c:ext>
          </c:extLst>
        </c:ser>
        <c:ser>
          <c:idx val="1"/>
          <c:order val="1"/>
          <c:tx>
            <c:strRef>
              <c:f>Sheet3!$C$210:$C$211</c:f>
              <c:strCache>
                <c:ptCount val="1"/>
                <c:pt idx="0">
                  <c:v>A+</c:v>
                </c:pt>
              </c:strCache>
            </c:strRef>
          </c:tx>
          <c:spPr>
            <a:solidFill>
              <a:srgbClr val="92D050"/>
            </a:solidFill>
            <a:ln>
              <a:noFill/>
            </a:ln>
            <a:effectLst/>
          </c:spPr>
          <c:invertIfNegative val="0"/>
          <c:cat>
            <c:strRef>
              <c:f>Sheet3!$A$212:$A$221</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Sheet3!$C$212:$C$221</c:f>
              <c:numCache>
                <c:formatCode>0.00%</c:formatCode>
                <c:ptCount val="9"/>
                <c:pt idx="0">
                  <c:v>1.9814620015352266E-2</c:v>
                </c:pt>
                <c:pt idx="1">
                  <c:v>5.3985078104391127E-2</c:v>
                </c:pt>
                <c:pt idx="2">
                  <c:v>6.2922729768532165E-2</c:v>
                </c:pt>
                <c:pt idx="3">
                  <c:v>0.16376851695588013</c:v>
                </c:pt>
                <c:pt idx="4">
                  <c:v>5.0274128009531988E-2</c:v>
                </c:pt>
                <c:pt idx="5">
                  <c:v>3.0881007762847648E-2</c:v>
                </c:pt>
                <c:pt idx="6">
                  <c:v>0.38483136356261483</c:v>
                </c:pt>
                <c:pt idx="7">
                  <c:v>0.15893060374452125</c:v>
                </c:pt>
                <c:pt idx="8">
                  <c:v>7.4591952076328627E-2</c:v>
                </c:pt>
              </c:numCache>
            </c:numRef>
          </c:val>
          <c:extLst>
            <c:ext xmlns:c16="http://schemas.microsoft.com/office/drawing/2014/chart" uri="{C3380CC4-5D6E-409C-BE32-E72D297353CC}">
              <c16:uniqueId val="{00000001-18D7-45A8-9E56-26E9E473780B}"/>
            </c:ext>
          </c:extLst>
        </c:ser>
        <c:ser>
          <c:idx val="2"/>
          <c:order val="2"/>
          <c:tx>
            <c:strRef>
              <c:f>Sheet3!$D$210:$D$211</c:f>
              <c:strCache>
                <c:ptCount val="1"/>
                <c:pt idx="0">
                  <c:v>B</c:v>
                </c:pt>
              </c:strCache>
            </c:strRef>
          </c:tx>
          <c:spPr>
            <a:solidFill>
              <a:srgbClr val="FFFF00"/>
            </a:solidFill>
            <a:ln>
              <a:noFill/>
            </a:ln>
            <a:effectLst/>
          </c:spPr>
          <c:invertIfNegative val="0"/>
          <c:cat>
            <c:strRef>
              <c:f>Sheet3!$A$212:$A$221</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Sheet3!$D$212:$D$221</c:f>
              <c:numCache>
                <c:formatCode>0.00%</c:formatCode>
                <c:ptCount val="9"/>
                <c:pt idx="0">
                  <c:v>2.7556366577619645E-2</c:v>
                </c:pt>
                <c:pt idx="1">
                  <c:v>4.8656969509715896E-2</c:v>
                </c:pt>
                <c:pt idx="2">
                  <c:v>0.21239618349208247</c:v>
                </c:pt>
                <c:pt idx="3">
                  <c:v>9.5370911188304333E-2</c:v>
                </c:pt>
                <c:pt idx="4">
                  <c:v>1.4550530473803959E-2</c:v>
                </c:pt>
                <c:pt idx="5">
                  <c:v>6.300918984400318E-2</c:v>
                </c:pt>
                <c:pt idx="6">
                  <c:v>0.42687092241709645</c:v>
                </c:pt>
                <c:pt idx="7">
                  <c:v>7.6428293887749757E-2</c:v>
                </c:pt>
                <c:pt idx="8">
                  <c:v>3.5160632609624334E-2</c:v>
                </c:pt>
              </c:numCache>
            </c:numRef>
          </c:val>
          <c:extLst>
            <c:ext xmlns:c16="http://schemas.microsoft.com/office/drawing/2014/chart" uri="{C3380CC4-5D6E-409C-BE32-E72D297353CC}">
              <c16:uniqueId val="{00000002-18D7-45A8-9E56-26E9E473780B}"/>
            </c:ext>
          </c:extLst>
        </c:ser>
        <c:ser>
          <c:idx val="3"/>
          <c:order val="3"/>
          <c:tx>
            <c:strRef>
              <c:f>Sheet3!$E$210:$E$211</c:f>
              <c:strCache>
                <c:ptCount val="1"/>
                <c:pt idx="0">
                  <c:v>C</c:v>
                </c:pt>
              </c:strCache>
            </c:strRef>
          </c:tx>
          <c:spPr>
            <a:solidFill>
              <a:srgbClr val="FFC000"/>
            </a:solidFill>
            <a:ln>
              <a:noFill/>
            </a:ln>
            <a:effectLst/>
          </c:spPr>
          <c:invertIfNegative val="0"/>
          <c:cat>
            <c:strRef>
              <c:f>Sheet3!$A$212:$A$221</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Sheet3!$E$212:$E$221</c:f>
              <c:numCache>
                <c:formatCode>0.00%</c:formatCode>
                <c:ptCount val="9"/>
                <c:pt idx="0">
                  <c:v>1.0682798247610129E-2</c:v>
                </c:pt>
                <c:pt idx="1">
                  <c:v>2.716674084017252E-2</c:v>
                </c:pt>
                <c:pt idx="2">
                  <c:v>0.22111064424849003</c:v>
                </c:pt>
                <c:pt idx="3">
                  <c:v>0.11787903398687152</c:v>
                </c:pt>
                <c:pt idx="4">
                  <c:v>3.614387389195681E-3</c:v>
                </c:pt>
                <c:pt idx="5">
                  <c:v>3.3557431353125805E-2</c:v>
                </c:pt>
                <c:pt idx="6">
                  <c:v>0.49611446300708578</c:v>
                </c:pt>
                <c:pt idx="7">
                  <c:v>3.4497208817802151E-3</c:v>
                </c:pt>
                <c:pt idx="8">
                  <c:v>8.642478004566842E-2</c:v>
                </c:pt>
              </c:numCache>
            </c:numRef>
          </c:val>
          <c:extLst>
            <c:ext xmlns:c16="http://schemas.microsoft.com/office/drawing/2014/chart" uri="{C3380CC4-5D6E-409C-BE32-E72D297353CC}">
              <c16:uniqueId val="{00000003-18D7-45A8-9E56-26E9E473780B}"/>
            </c:ext>
          </c:extLst>
        </c:ser>
        <c:ser>
          <c:idx val="4"/>
          <c:order val="4"/>
          <c:tx>
            <c:strRef>
              <c:f>Sheet3!$F$210:$F$211</c:f>
              <c:strCache>
                <c:ptCount val="1"/>
                <c:pt idx="0">
                  <c:v>D</c:v>
                </c:pt>
              </c:strCache>
            </c:strRef>
          </c:tx>
          <c:spPr>
            <a:solidFill>
              <a:srgbClr val="FFAF00"/>
            </a:solidFill>
            <a:ln>
              <a:noFill/>
            </a:ln>
            <a:effectLst/>
          </c:spPr>
          <c:invertIfNegative val="0"/>
          <c:cat>
            <c:strRef>
              <c:f>Sheet3!$A$212:$A$221</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Sheet3!$F$212:$F$221</c:f>
              <c:numCache>
                <c:formatCode>0.00%</c:formatCode>
                <c:ptCount val="9"/>
                <c:pt idx="0">
                  <c:v>1.3277590931082002E-2</c:v>
                </c:pt>
                <c:pt idx="1">
                  <c:v>1.9537966788448539E-2</c:v>
                </c:pt>
                <c:pt idx="2">
                  <c:v>0.26480980106738877</c:v>
                </c:pt>
                <c:pt idx="3">
                  <c:v>0.13638666789088774</c:v>
                </c:pt>
                <c:pt idx="4">
                  <c:v>6.6755211757141865E-3</c:v>
                </c:pt>
                <c:pt idx="5">
                  <c:v>7.072728767173371E-2</c:v>
                </c:pt>
                <c:pt idx="6">
                  <c:v>0.35292292613583115</c:v>
                </c:pt>
                <c:pt idx="7">
                  <c:v>8.8756220518354002E-3</c:v>
                </c:pt>
                <c:pt idx="8">
                  <c:v>0.12678661628707849</c:v>
                </c:pt>
              </c:numCache>
            </c:numRef>
          </c:val>
          <c:extLst>
            <c:ext xmlns:c16="http://schemas.microsoft.com/office/drawing/2014/chart" uri="{C3380CC4-5D6E-409C-BE32-E72D297353CC}">
              <c16:uniqueId val="{00000004-18D7-45A8-9E56-26E9E473780B}"/>
            </c:ext>
          </c:extLst>
        </c:ser>
        <c:ser>
          <c:idx val="5"/>
          <c:order val="5"/>
          <c:tx>
            <c:strRef>
              <c:f>Sheet3!$G$210:$G$211</c:f>
              <c:strCache>
                <c:ptCount val="1"/>
                <c:pt idx="0">
                  <c:v>E</c:v>
                </c:pt>
              </c:strCache>
            </c:strRef>
          </c:tx>
          <c:spPr>
            <a:solidFill>
              <a:srgbClr val="FF6600"/>
            </a:solidFill>
            <a:ln>
              <a:noFill/>
            </a:ln>
            <a:effectLst/>
          </c:spPr>
          <c:invertIfNegative val="0"/>
          <c:cat>
            <c:strRef>
              <c:f>Sheet3!$A$212:$A$221</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Sheet3!$G$212:$G$221</c:f>
              <c:numCache>
                <c:formatCode>0.00%</c:formatCode>
                <c:ptCount val="9"/>
                <c:pt idx="0">
                  <c:v>8.267408995359439E-2</c:v>
                </c:pt>
                <c:pt idx="1">
                  <c:v>7.123117240372337E-2</c:v>
                </c:pt>
                <c:pt idx="2">
                  <c:v>0.14051449645743969</c:v>
                </c:pt>
                <c:pt idx="3">
                  <c:v>9.2142587883169771E-2</c:v>
                </c:pt>
                <c:pt idx="4">
                  <c:v>2.269121143474144E-2</c:v>
                </c:pt>
                <c:pt idx="5">
                  <c:v>0.20019139155310642</c:v>
                </c:pt>
                <c:pt idx="6">
                  <c:v>0.16283972131354774</c:v>
                </c:pt>
                <c:pt idx="7">
                  <c:v>2.2442791837270923E-2</c:v>
                </c:pt>
                <c:pt idx="8">
                  <c:v>0.20527253716340632</c:v>
                </c:pt>
              </c:numCache>
            </c:numRef>
          </c:val>
          <c:extLst>
            <c:ext xmlns:c16="http://schemas.microsoft.com/office/drawing/2014/chart" uri="{C3380CC4-5D6E-409C-BE32-E72D297353CC}">
              <c16:uniqueId val="{00000005-18D7-45A8-9E56-26E9E473780B}"/>
            </c:ext>
          </c:extLst>
        </c:ser>
        <c:ser>
          <c:idx val="6"/>
          <c:order val="6"/>
          <c:tx>
            <c:strRef>
              <c:f>Sheet3!$H$210:$H$211</c:f>
              <c:strCache>
                <c:ptCount val="1"/>
                <c:pt idx="0">
                  <c:v>F</c:v>
                </c:pt>
              </c:strCache>
            </c:strRef>
          </c:tx>
          <c:spPr>
            <a:solidFill>
              <a:srgbClr val="FF0000"/>
            </a:solidFill>
            <a:ln>
              <a:noFill/>
            </a:ln>
            <a:effectLst/>
          </c:spPr>
          <c:invertIfNegative val="0"/>
          <c:cat>
            <c:strRef>
              <c:f>Sheet3!$A$212:$A$221</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Sheet3!$H$212:$H$221</c:f>
              <c:numCache>
                <c:formatCode>0.00%</c:formatCode>
                <c:ptCount val="9"/>
                <c:pt idx="0">
                  <c:v>6.4728296806398078E-2</c:v>
                </c:pt>
                <c:pt idx="1">
                  <c:v>0.1580326010395979</c:v>
                </c:pt>
                <c:pt idx="2">
                  <c:v>9.5361811868524993E-2</c:v>
                </c:pt>
                <c:pt idx="3">
                  <c:v>6.8704611771907578E-2</c:v>
                </c:pt>
                <c:pt idx="4">
                  <c:v>3.0213366987542095E-2</c:v>
                </c:pt>
                <c:pt idx="5">
                  <c:v>0.29922202253715419</c:v>
                </c:pt>
                <c:pt idx="6">
                  <c:v>0.13753411811910132</c:v>
                </c:pt>
                <c:pt idx="7">
                  <c:v>2.3339323885372656E-2</c:v>
                </c:pt>
                <c:pt idx="8">
                  <c:v>0.12286384698440124</c:v>
                </c:pt>
              </c:numCache>
            </c:numRef>
          </c:val>
          <c:extLst>
            <c:ext xmlns:c16="http://schemas.microsoft.com/office/drawing/2014/chart" uri="{C3380CC4-5D6E-409C-BE32-E72D297353CC}">
              <c16:uniqueId val="{00000006-18D7-45A8-9E56-26E9E473780B}"/>
            </c:ext>
          </c:extLst>
        </c:ser>
        <c:ser>
          <c:idx val="7"/>
          <c:order val="7"/>
          <c:tx>
            <c:strRef>
              <c:f>Sheet3!$I$210:$I$211</c:f>
              <c:strCache>
                <c:ptCount val="1"/>
                <c:pt idx="0">
                  <c:v>G</c:v>
                </c:pt>
              </c:strCache>
            </c:strRef>
          </c:tx>
          <c:spPr>
            <a:solidFill>
              <a:srgbClr val="C00000"/>
            </a:solidFill>
            <a:ln>
              <a:noFill/>
            </a:ln>
            <a:effectLst/>
          </c:spPr>
          <c:invertIfNegative val="0"/>
          <c:cat>
            <c:strRef>
              <c:f>Sheet3!$A$212:$A$221</c:f>
              <c:strCache>
                <c:ptCount val="9"/>
                <c:pt idx="0">
                  <c:v>Bolnice</c:v>
                </c:pt>
                <c:pt idx="1">
                  <c:v>Hoteli i restorani</c:v>
                </c:pt>
                <c:pt idx="2">
                  <c:v>Obiteljske kuće</c:v>
                </c:pt>
                <c:pt idx="3">
                  <c:v>Ostale nestambene zgrade 
koje se griju na temperaturu + 18 ili višu</c:v>
                </c:pt>
                <c:pt idx="4">
                  <c:v>Sportske dvorane</c:v>
                </c:pt>
                <c:pt idx="5">
                  <c:v>Uredske zgrade</c:v>
                </c:pt>
                <c:pt idx="6">
                  <c:v>Višestambene zgrade</c:v>
                </c:pt>
                <c:pt idx="7">
                  <c:v>Zgrade trgovine
 - veleprodaja i maloprodaja</c:v>
                </c:pt>
                <c:pt idx="8">
                  <c:v>Zgrade za obrazovanje</c:v>
                </c:pt>
              </c:strCache>
            </c:strRef>
          </c:cat>
          <c:val>
            <c:numRef>
              <c:f>Sheet3!$I$212:$I$221</c:f>
              <c:numCache>
                <c:formatCode>0.00%</c:formatCode>
                <c:ptCount val="9"/>
                <c:pt idx="0">
                  <c:v>7.1177049418081423E-2</c:v>
                </c:pt>
                <c:pt idx="1">
                  <c:v>0.271689401560615</c:v>
                </c:pt>
                <c:pt idx="2">
                  <c:v>2.7863380320378706E-2</c:v>
                </c:pt>
                <c:pt idx="3">
                  <c:v>1.5859354794233151E-2</c:v>
                </c:pt>
                <c:pt idx="4">
                  <c:v>1.7115372367636189E-3</c:v>
                </c:pt>
                <c:pt idx="5">
                  <c:v>0.42676065217115033</c:v>
                </c:pt>
                <c:pt idx="6">
                  <c:v>2.1322794404835175E-2</c:v>
                </c:pt>
                <c:pt idx="7">
                  <c:v>4.6752113983323657E-3</c:v>
                </c:pt>
                <c:pt idx="8">
                  <c:v>0.15894061869561033</c:v>
                </c:pt>
              </c:numCache>
            </c:numRef>
          </c:val>
          <c:extLst>
            <c:ext xmlns:c16="http://schemas.microsoft.com/office/drawing/2014/chart" uri="{C3380CC4-5D6E-409C-BE32-E72D297353CC}">
              <c16:uniqueId val="{00000007-18D7-45A8-9E56-26E9E473780B}"/>
            </c:ext>
          </c:extLst>
        </c:ser>
        <c:dLbls>
          <c:showLegendKey val="0"/>
          <c:showVal val="0"/>
          <c:showCatName val="0"/>
          <c:showSerName val="0"/>
          <c:showPercent val="0"/>
          <c:showBubbleSize val="0"/>
        </c:dLbls>
        <c:gapWidth val="150"/>
        <c:overlap val="100"/>
        <c:axId val="116461952"/>
        <c:axId val="116463488"/>
      </c:barChart>
      <c:catAx>
        <c:axId val="1164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463488"/>
        <c:crosses val="autoZero"/>
        <c:auto val="1"/>
        <c:lblAlgn val="ctr"/>
        <c:lblOffset val="100"/>
        <c:noMultiLvlLbl val="0"/>
      </c:catAx>
      <c:valAx>
        <c:axId val="116463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461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Vanjski zidovi, zidovi prema garaži, provjetravanom tavanu</c:v>
          </c:tx>
          <c:spPr>
            <a:ln w="28575" cap="rnd">
              <a:solidFill>
                <a:schemeClr val="accent1"/>
              </a:solidFill>
              <a:round/>
            </a:ln>
            <a:effectLst/>
          </c:spPr>
          <c:marker>
            <c:symbol val="none"/>
          </c:marker>
          <c:cat>
            <c:strRef>
              <c:f>Sheet3!$B$17:$I$17</c:f>
              <c:strCache>
                <c:ptCount val="8"/>
                <c:pt idx="0">
                  <c:v>&lt; 1941</c:v>
                </c:pt>
                <c:pt idx="1">
                  <c:v>1941 - 1970</c:v>
                </c:pt>
                <c:pt idx="2">
                  <c:v>1971 - 1980</c:v>
                </c:pt>
                <c:pt idx="3">
                  <c:v>1981 - 1987</c:v>
                </c:pt>
                <c:pt idx="4">
                  <c:v>1988 - 2005</c:v>
                </c:pt>
                <c:pt idx="5">
                  <c:v>2006 - 2009</c:v>
                </c:pt>
                <c:pt idx="6">
                  <c:v>2010 - 2011</c:v>
                </c:pt>
                <c:pt idx="7">
                  <c:v>2012- 2018</c:v>
                </c:pt>
              </c:strCache>
            </c:strRef>
          </c:cat>
          <c:val>
            <c:numRef>
              <c:f>Sheet3!$B$19:$I$19</c:f>
              <c:numCache>
                <c:formatCode>General</c:formatCode>
                <c:ptCount val="8"/>
                <c:pt idx="0">
                  <c:v>1.3031026212095298</c:v>
                </c:pt>
                <c:pt idx="1">
                  <c:v>1.4209500301023514</c:v>
                </c:pt>
                <c:pt idx="2">
                  <c:v>1.3712887580114312</c:v>
                </c:pt>
                <c:pt idx="3">
                  <c:v>1.2282160077145576</c:v>
                </c:pt>
                <c:pt idx="4">
                  <c:v>0.93013080895008171</c:v>
                </c:pt>
                <c:pt idx="5">
                  <c:v>0.51720223541738963</c:v>
                </c:pt>
                <c:pt idx="6">
                  <c:v>0.49163855421686758</c:v>
                </c:pt>
                <c:pt idx="7">
                  <c:v>0.33071995764954987</c:v>
                </c:pt>
              </c:numCache>
            </c:numRef>
          </c:val>
          <c:smooth val="0"/>
          <c:extLst>
            <c:ext xmlns:c16="http://schemas.microsoft.com/office/drawing/2014/chart" uri="{C3380CC4-5D6E-409C-BE32-E72D297353CC}">
              <c16:uniqueId val="{00000000-7F57-4F65-B94A-509536651136}"/>
            </c:ext>
          </c:extLst>
        </c:ser>
        <c:ser>
          <c:idx val="1"/>
          <c:order val="1"/>
          <c:tx>
            <c:v>Ravni i kosi krovovi, stropovi prema provjetravanom tavanu</c:v>
          </c:tx>
          <c:spPr>
            <a:ln w="28575" cap="rnd">
              <a:solidFill>
                <a:schemeClr val="accent2"/>
              </a:solidFill>
              <a:round/>
            </a:ln>
            <a:effectLst/>
          </c:spPr>
          <c:marker>
            <c:symbol val="none"/>
          </c:marker>
          <c:cat>
            <c:strRef>
              <c:f>Sheet3!$B$17:$I$17</c:f>
              <c:strCache>
                <c:ptCount val="8"/>
                <c:pt idx="0">
                  <c:v>&lt; 1941</c:v>
                </c:pt>
                <c:pt idx="1">
                  <c:v>1941 - 1970</c:v>
                </c:pt>
                <c:pt idx="2">
                  <c:v>1971 - 1980</c:v>
                </c:pt>
                <c:pt idx="3">
                  <c:v>1981 - 1987</c:v>
                </c:pt>
                <c:pt idx="4">
                  <c:v>1988 - 2005</c:v>
                </c:pt>
                <c:pt idx="5">
                  <c:v>2006 - 2009</c:v>
                </c:pt>
                <c:pt idx="6">
                  <c:v>2010 - 2011</c:v>
                </c:pt>
                <c:pt idx="7">
                  <c:v>2012- 2018</c:v>
                </c:pt>
              </c:strCache>
            </c:strRef>
          </c:cat>
          <c:val>
            <c:numRef>
              <c:f>Sheet3!$B$20:$I$20</c:f>
              <c:numCache>
                <c:formatCode>General</c:formatCode>
                <c:ptCount val="8"/>
                <c:pt idx="0">
                  <c:v>0.79648561614427182</c:v>
                </c:pt>
                <c:pt idx="1">
                  <c:v>0.91226472940548675</c:v>
                </c:pt>
                <c:pt idx="2">
                  <c:v>0.78929105192565907</c:v>
                </c:pt>
                <c:pt idx="3">
                  <c:v>0.7526659604519762</c:v>
                </c:pt>
                <c:pt idx="4">
                  <c:v>0.5603239946636166</c:v>
                </c:pt>
                <c:pt idx="5">
                  <c:v>0.25185483870967779</c:v>
                </c:pt>
                <c:pt idx="6">
                  <c:v>0.33554521276595767</c:v>
                </c:pt>
                <c:pt idx="7">
                  <c:v>0.26666711754362937</c:v>
                </c:pt>
              </c:numCache>
            </c:numRef>
          </c:val>
          <c:smooth val="0"/>
          <c:extLst>
            <c:ext xmlns:c16="http://schemas.microsoft.com/office/drawing/2014/chart" uri="{C3380CC4-5D6E-409C-BE32-E72D297353CC}">
              <c16:uniqueId val="{00000001-7F57-4F65-B94A-509536651136}"/>
            </c:ext>
          </c:extLst>
        </c:ser>
        <c:ser>
          <c:idx val="2"/>
          <c:order val="2"/>
          <c:tx>
            <c:v>Zidovi prema tlu, podovi prema tlu</c:v>
          </c:tx>
          <c:spPr>
            <a:ln w="28575" cap="rnd">
              <a:solidFill>
                <a:schemeClr val="accent3"/>
              </a:solidFill>
              <a:round/>
            </a:ln>
            <a:effectLst/>
          </c:spPr>
          <c:marker>
            <c:symbol val="none"/>
          </c:marker>
          <c:cat>
            <c:strRef>
              <c:f>Sheet3!$B$17:$I$17</c:f>
              <c:strCache>
                <c:ptCount val="8"/>
                <c:pt idx="0">
                  <c:v>&lt; 1941</c:v>
                </c:pt>
                <c:pt idx="1">
                  <c:v>1941 - 1970</c:v>
                </c:pt>
                <c:pt idx="2">
                  <c:v>1971 - 1980</c:v>
                </c:pt>
                <c:pt idx="3">
                  <c:v>1981 - 1987</c:v>
                </c:pt>
                <c:pt idx="4">
                  <c:v>1988 - 2005</c:v>
                </c:pt>
                <c:pt idx="5">
                  <c:v>2006 - 2009</c:v>
                </c:pt>
                <c:pt idx="6">
                  <c:v>2010 - 2011</c:v>
                </c:pt>
                <c:pt idx="7">
                  <c:v>2012- 2018</c:v>
                </c:pt>
              </c:strCache>
            </c:strRef>
          </c:cat>
          <c:val>
            <c:numRef>
              <c:f>Sheet3!$B$21:$I$21</c:f>
              <c:numCache>
                <c:formatCode>General</c:formatCode>
                <c:ptCount val="8"/>
                <c:pt idx="0">
                  <c:v>1.5855016689573911</c:v>
                </c:pt>
                <c:pt idx="1">
                  <c:v>1.3995684423465893</c:v>
                </c:pt>
                <c:pt idx="2">
                  <c:v>1.1009776046738009</c:v>
                </c:pt>
                <c:pt idx="3">
                  <c:v>0.99586878154289837</c:v>
                </c:pt>
                <c:pt idx="4">
                  <c:v>0.7548190439326522</c:v>
                </c:pt>
                <c:pt idx="5">
                  <c:v>0.36894823336072352</c:v>
                </c:pt>
                <c:pt idx="6">
                  <c:v>0.43013850415512506</c:v>
                </c:pt>
                <c:pt idx="7">
                  <c:v>0.42875017224748552</c:v>
                </c:pt>
              </c:numCache>
            </c:numRef>
          </c:val>
          <c:smooth val="0"/>
          <c:extLst>
            <c:ext xmlns:c16="http://schemas.microsoft.com/office/drawing/2014/chart" uri="{C3380CC4-5D6E-409C-BE32-E72D297353CC}">
              <c16:uniqueId val="{00000002-7F57-4F65-B94A-509536651136}"/>
            </c:ext>
          </c:extLst>
        </c:ser>
        <c:ser>
          <c:idx val="3"/>
          <c:order val="3"/>
          <c:tx>
            <c:v>Prozori i ostakljene konstrukcije</c:v>
          </c:tx>
          <c:spPr>
            <a:ln w="28575" cap="rnd">
              <a:solidFill>
                <a:schemeClr val="accent4"/>
              </a:solidFill>
              <a:round/>
            </a:ln>
            <a:effectLst/>
          </c:spPr>
          <c:marker>
            <c:symbol val="none"/>
          </c:marker>
          <c:cat>
            <c:strRef>
              <c:f>Sheet3!$B$17:$I$17</c:f>
              <c:strCache>
                <c:ptCount val="8"/>
                <c:pt idx="0">
                  <c:v>&lt; 1941</c:v>
                </c:pt>
                <c:pt idx="1">
                  <c:v>1941 - 1970</c:v>
                </c:pt>
                <c:pt idx="2">
                  <c:v>1971 - 1980</c:v>
                </c:pt>
                <c:pt idx="3">
                  <c:v>1981 - 1987</c:v>
                </c:pt>
                <c:pt idx="4">
                  <c:v>1988 - 2005</c:v>
                </c:pt>
                <c:pt idx="5">
                  <c:v>2006 - 2009</c:v>
                </c:pt>
                <c:pt idx="6">
                  <c:v>2010 - 2011</c:v>
                </c:pt>
                <c:pt idx="7">
                  <c:v>2012- 2018</c:v>
                </c:pt>
              </c:strCache>
            </c:strRef>
          </c:cat>
          <c:val>
            <c:numRef>
              <c:f>Sheet3!$B$22:$I$22</c:f>
              <c:numCache>
                <c:formatCode>General</c:formatCode>
                <c:ptCount val="8"/>
                <c:pt idx="0">
                  <c:v>3.0127976700360199</c:v>
                </c:pt>
                <c:pt idx="1">
                  <c:v>2.6320416516191556</c:v>
                </c:pt>
                <c:pt idx="2">
                  <c:v>2.4631410256410349</c:v>
                </c:pt>
                <c:pt idx="3">
                  <c:v>2.4149116039858405</c:v>
                </c:pt>
                <c:pt idx="4">
                  <c:v>2.0620482342807795</c:v>
                </c:pt>
                <c:pt idx="5">
                  <c:v>1.5892110799439088</c:v>
                </c:pt>
                <c:pt idx="6">
                  <c:v>1.6877376654633036</c:v>
                </c:pt>
                <c:pt idx="7">
                  <c:v>1.3120304837640533</c:v>
                </c:pt>
              </c:numCache>
            </c:numRef>
          </c:val>
          <c:smooth val="0"/>
          <c:extLst>
            <c:ext xmlns:c16="http://schemas.microsoft.com/office/drawing/2014/chart" uri="{C3380CC4-5D6E-409C-BE32-E72D297353CC}">
              <c16:uniqueId val="{00000003-7F57-4F65-B94A-509536651136}"/>
            </c:ext>
          </c:extLst>
        </c:ser>
        <c:dLbls>
          <c:showLegendKey val="0"/>
          <c:showVal val="0"/>
          <c:showCatName val="0"/>
          <c:showSerName val="0"/>
          <c:showPercent val="0"/>
          <c:showBubbleSize val="0"/>
        </c:dLbls>
        <c:smooth val="0"/>
        <c:axId val="116479872"/>
        <c:axId val="116486144"/>
      </c:lineChart>
      <c:catAx>
        <c:axId val="116479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razdoblje gradnje</a:t>
                </a:r>
                <a:endParaRPr lang="hr-HR"/>
              </a:p>
            </c:rich>
          </c:tx>
          <c:layout>
            <c:manualLayout>
              <c:xMode val="edge"/>
              <c:yMode val="edge"/>
              <c:x val="0.29384675215790457"/>
              <c:y val="0.9210472225555627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486144"/>
        <c:crosses val="autoZero"/>
        <c:auto val="1"/>
        <c:lblAlgn val="ctr"/>
        <c:lblOffset val="100"/>
        <c:noMultiLvlLbl val="0"/>
      </c:catAx>
      <c:valAx>
        <c:axId val="1164861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 avg W/m2K</a:t>
                </a:r>
                <a:endParaRPr lang="hr-H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479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areaChart>
        <c:grouping val="stacked"/>
        <c:varyColors val="0"/>
        <c:ser>
          <c:idx val="1"/>
          <c:order val="0"/>
          <c:tx>
            <c:strRef>
              <c:f>Sheet1!$B$3</c:f>
              <c:strCache>
                <c:ptCount val="1"/>
                <c:pt idx="0">
                  <c:v>    Zagrebačka županija</c:v>
                </c:pt>
              </c:strCache>
            </c:strRef>
          </c:tx>
          <c:spPr>
            <a:solidFill>
              <a:srgbClr val="99CC00"/>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Sheet1!$D$3:$AQ$3</c:f>
              <c:numCache>
                <c:formatCode>_-* #,##0\ _k_n_-;\-* #,##0\ _k_n_-;_-* "-"??\ _k_n_-;_-@_-</c:formatCode>
                <c:ptCount val="40"/>
                <c:pt idx="0">
                  <c:v>9396657</c:v>
                </c:pt>
                <c:pt idx="1">
                  <c:v>9468776.4798030052</c:v>
                </c:pt>
                <c:pt idx="2">
                  <c:v>9520132.8619352002</c:v>
                </c:pt>
                <c:pt idx="3">
                  <c:v>9553196.3187498935</c:v>
                </c:pt>
                <c:pt idx="4">
                  <c:v>9581472.2742406093</c:v>
                </c:pt>
                <c:pt idx="5">
                  <c:v>9607974.9956991784</c:v>
                </c:pt>
                <c:pt idx="6">
                  <c:v>9640422.4291545097</c:v>
                </c:pt>
                <c:pt idx="7">
                  <c:v>9834336.5949948132</c:v>
                </c:pt>
                <c:pt idx="8">
                  <c:v>9907360.8128763735</c:v>
                </c:pt>
                <c:pt idx="9">
                  <c:v>9980385.0307579339</c:v>
                </c:pt>
                <c:pt idx="10">
                  <c:v>10053409.248639494</c:v>
                </c:pt>
                <c:pt idx="11">
                  <c:v>10126433.466521055</c:v>
                </c:pt>
                <c:pt idx="12">
                  <c:v>10199457.684402645</c:v>
                </c:pt>
                <c:pt idx="13">
                  <c:v>10272481.902284205</c:v>
                </c:pt>
                <c:pt idx="14">
                  <c:v>10345506.120165765</c:v>
                </c:pt>
                <c:pt idx="15">
                  <c:v>10418530.338047326</c:v>
                </c:pt>
                <c:pt idx="16">
                  <c:v>10491554.555928886</c:v>
                </c:pt>
                <c:pt idx="17">
                  <c:v>10564578.773810446</c:v>
                </c:pt>
                <c:pt idx="18">
                  <c:v>10637602.991692007</c:v>
                </c:pt>
                <c:pt idx="19">
                  <c:v>10710627.209573597</c:v>
                </c:pt>
                <c:pt idx="20">
                  <c:v>10783651.427455157</c:v>
                </c:pt>
                <c:pt idx="21">
                  <c:v>10856675.645336717</c:v>
                </c:pt>
                <c:pt idx="22">
                  <c:v>10929699.863218278</c:v>
                </c:pt>
                <c:pt idx="23">
                  <c:v>11002724.081099838</c:v>
                </c:pt>
                <c:pt idx="24">
                  <c:v>11075748.298981398</c:v>
                </c:pt>
                <c:pt idx="25">
                  <c:v>11148772.516862959</c:v>
                </c:pt>
                <c:pt idx="26">
                  <c:v>11221796.734744519</c:v>
                </c:pt>
                <c:pt idx="27">
                  <c:v>11294820.952626109</c:v>
                </c:pt>
                <c:pt idx="28">
                  <c:v>11367845.170507669</c:v>
                </c:pt>
                <c:pt idx="29">
                  <c:v>11440869.38838923</c:v>
                </c:pt>
                <c:pt idx="30">
                  <c:v>11513893.60627079</c:v>
                </c:pt>
                <c:pt idx="31">
                  <c:v>11586917.82415235</c:v>
                </c:pt>
                <c:pt idx="32">
                  <c:v>11659942.042033911</c:v>
                </c:pt>
                <c:pt idx="33">
                  <c:v>11732966.259915471</c:v>
                </c:pt>
                <c:pt idx="34">
                  <c:v>11805990.477797061</c:v>
                </c:pt>
                <c:pt idx="35">
                  <c:v>11879014.695678622</c:v>
                </c:pt>
                <c:pt idx="36">
                  <c:v>11952038.913560182</c:v>
                </c:pt>
                <c:pt idx="37">
                  <c:v>12025063.131441742</c:v>
                </c:pt>
                <c:pt idx="38">
                  <c:v>12098087.349323303</c:v>
                </c:pt>
                <c:pt idx="39">
                  <c:v>12198157.271903036</c:v>
                </c:pt>
              </c:numCache>
            </c:numRef>
          </c:val>
          <c:extLst>
            <c:ext xmlns:c16="http://schemas.microsoft.com/office/drawing/2014/chart" uri="{C3380CC4-5D6E-409C-BE32-E72D297353CC}">
              <c16:uniqueId val="{00000000-E338-42F5-9746-39CDEDADA95D}"/>
            </c:ext>
          </c:extLst>
        </c:ser>
        <c:ser>
          <c:idx val="2"/>
          <c:order val="1"/>
          <c:tx>
            <c:strRef>
              <c:f>Sheet1!$B$4</c:f>
              <c:strCache>
                <c:ptCount val="1"/>
                <c:pt idx="0">
                  <c:v>    Krapinsko-zagorska županija</c:v>
                </c:pt>
              </c:strCache>
            </c:strRef>
          </c:tx>
          <c:spPr>
            <a:solidFill>
              <a:srgbClr val="CCFF33"/>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Sheet1!$D$4:$AQ$4</c:f>
              <c:numCache>
                <c:formatCode>_-* #,##0\ _k_n_-;\-* #,##0\ _k_n_-;_-* "-"??\ _k_n_-;_-@_-</c:formatCode>
                <c:ptCount val="40"/>
                <c:pt idx="0">
                  <c:v>3582904</c:v>
                </c:pt>
                <c:pt idx="1">
                  <c:v>3595824.334634366</c:v>
                </c:pt>
                <c:pt idx="2">
                  <c:v>3608692.6042859019</c:v>
                </c:pt>
                <c:pt idx="3">
                  <c:v>3616355.4862734796</c:v>
                </c:pt>
                <c:pt idx="4">
                  <c:v>3623563.6402769699</c:v>
                </c:pt>
                <c:pt idx="5">
                  <c:v>3629600.3236944326</c:v>
                </c:pt>
                <c:pt idx="6">
                  <c:v>3637834.1724681468</c:v>
                </c:pt>
                <c:pt idx="7">
                  <c:v>3723704.183256723</c:v>
                </c:pt>
                <c:pt idx="8">
                  <c:v>3750739.6885592416</c:v>
                </c:pt>
                <c:pt idx="9">
                  <c:v>3777775.1938617676</c:v>
                </c:pt>
                <c:pt idx="10">
                  <c:v>3804810.6991642937</c:v>
                </c:pt>
                <c:pt idx="11">
                  <c:v>3831846.2044668123</c:v>
                </c:pt>
                <c:pt idx="12">
                  <c:v>3858881.7097693384</c:v>
                </c:pt>
                <c:pt idx="13">
                  <c:v>3885917.2150718644</c:v>
                </c:pt>
                <c:pt idx="14">
                  <c:v>3912952.720374383</c:v>
                </c:pt>
                <c:pt idx="15">
                  <c:v>3939988.2256769091</c:v>
                </c:pt>
                <c:pt idx="16">
                  <c:v>3967023.7309794277</c:v>
                </c:pt>
                <c:pt idx="17">
                  <c:v>3994059.2362819538</c:v>
                </c:pt>
                <c:pt idx="18">
                  <c:v>4021094.7415844798</c:v>
                </c:pt>
                <c:pt idx="19">
                  <c:v>4048130.2468869984</c:v>
                </c:pt>
                <c:pt idx="20">
                  <c:v>4075165.7521895245</c:v>
                </c:pt>
                <c:pt idx="21">
                  <c:v>4102201.2574920505</c:v>
                </c:pt>
                <c:pt idx="22">
                  <c:v>4129236.7627945691</c:v>
                </c:pt>
                <c:pt idx="23">
                  <c:v>4156272.2680970952</c:v>
                </c:pt>
                <c:pt idx="24">
                  <c:v>4183307.7733996212</c:v>
                </c:pt>
                <c:pt idx="25">
                  <c:v>4210343.2787021399</c:v>
                </c:pt>
                <c:pt idx="26">
                  <c:v>4237378.7840046659</c:v>
                </c:pt>
                <c:pt idx="27">
                  <c:v>4264414.289307192</c:v>
                </c:pt>
                <c:pt idx="28">
                  <c:v>4291449.7946097106</c:v>
                </c:pt>
                <c:pt idx="29">
                  <c:v>4318485.2999122366</c:v>
                </c:pt>
                <c:pt idx="30">
                  <c:v>4345520.8052147552</c:v>
                </c:pt>
                <c:pt idx="31">
                  <c:v>4372556.3105172813</c:v>
                </c:pt>
                <c:pt idx="32">
                  <c:v>4399591.8158198074</c:v>
                </c:pt>
                <c:pt idx="33">
                  <c:v>4426627.321122326</c:v>
                </c:pt>
                <c:pt idx="34">
                  <c:v>4453662.826424852</c:v>
                </c:pt>
                <c:pt idx="35">
                  <c:v>4480698.3317273781</c:v>
                </c:pt>
                <c:pt idx="36">
                  <c:v>4507733.8370298967</c:v>
                </c:pt>
                <c:pt idx="37">
                  <c:v>4534769.3423324227</c:v>
                </c:pt>
                <c:pt idx="38">
                  <c:v>4561804.8476349488</c:v>
                </c:pt>
                <c:pt idx="39">
                  <c:v>4603000.9256307539</c:v>
                </c:pt>
              </c:numCache>
            </c:numRef>
          </c:val>
          <c:extLst>
            <c:ext xmlns:c16="http://schemas.microsoft.com/office/drawing/2014/chart" uri="{C3380CC4-5D6E-409C-BE32-E72D297353CC}">
              <c16:uniqueId val="{00000001-E338-42F5-9746-39CDEDADA95D}"/>
            </c:ext>
          </c:extLst>
        </c:ser>
        <c:ser>
          <c:idx val="3"/>
          <c:order val="2"/>
          <c:tx>
            <c:strRef>
              <c:f>Sheet1!$B$5</c:f>
              <c:strCache>
                <c:ptCount val="1"/>
                <c:pt idx="0">
                  <c:v>    Sisačko-moslavačka županija</c:v>
                </c:pt>
              </c:strCache>
            </c:strRef>
          </c:tx>
          <c:spPr>
            <a:solidFill>
              <a:srgbClr val="FFFF66"/>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Sheet1!$D$5:$AQ$5</c:f>
              <c:numCache>
                <c:formatCode>_-* #,##0\ _k_n_-;\-* #,##0\ _k_n_-;_-* "-"??\ _k_n_-;_-@_-</c:formatCode>
                <c:ptCount val="40"/>
                <c:pt idx="0">
                  <c:v>5096645</c:v>
                </c:pt>
                <c:pt idx="1">
                  <c:v>5118262.9211322358</c:v>
                </c:pt>
                <c:pt idx="2">
                  <c:v>5136101.3204980204</c:v>
                </c:pt>
                <c:pt idx="3">
                  <c:v>5160595.6499101287</c:v>
                </c:pt>
                <c:pt idx="4">
                  <c:v>5166741.3929797905</c:v>
                </c:pt>
                <c:pt idx="5">
                  <c:v>5171869.6976662632</c:v>
                </c:pt>
                <c:pt idx="6">
                  <c:v>5179387.8154052999</c:v>
                </c:pt>
                <c:pt idx="7">
                  <c:v>5303664.5440924019</c:v>
                </c:pt>
                <c:pt idx="8">
                  <c:v>5342123.8206076026</c:v>
                </c:pt>
                <c:pt idx="9">
                  <c:v>5380583.0971228033</c:v>
                </c:pt>
                <c:pt idx="10">
                  <c:v>5419042.3736380041</c:v>
                </c:pt>
                <c:pt idx="11">
                  <c:v>5457501.6501532048</c:v>
                </c:pt>
                <c:pt idx="12">
                  <c:v>5495960.9266684204</c:v>
                </c:pt>
                <c:pt idx="13">
                  <c:v>5534420.2031836212</c:v>
                </c:pt>
                <c:pt idx="14">
                  <c:v>5572879.4796988219</c:v>
                </c:pt>
                <c:pt idx="15">
                  <c:v>5611338.7562140226</c:v>
                </c:pt>
                <c:pt idx="16">
                  <c:v>5649798.0327292234</c:v>
                </c:pt>
                <c:pt idx="17">
                  <c:v>5688257.309244439</c:v>
                </c:pt>
                <c:pt idx="18">
                  <c:v>5726716.5857596397</c:v>
                </c:pt>
                <c:pt idx="19">
                  <c:v>5765175.8622748405</c:v>
                </c:pt>
                <c:pt idx="20">
                  <c:v>5803635.1387900412</c:v>
                </c:pt>
                <c:pt idx="21">
                  <c:v>5842094.4153052568</c:v>
                </c:pt>
                <c:pt idx="22">
                  <c:v>5880553.6918204576</c:v>
                </c:pt>
                <c:pt idx="23">
                  <c:v>5919012.9683356583</c:v>
                </c:pt>
                <c:pt idx="24">
                  <c:v>5957472.244850859</c:v>
                </c:pt>
                <c:pt idx="25">
                  <c:v>5995931.5213660598</c:v>
                </c:pt>
                <c:pt idx="26">
                  <c:v>6034390.7978812754</c:v>
                </c:pt>
                <c:pt idx="27">
                  <c:v>6072850.0743964761</c:v>
                </c:pt>
                <c:pt idx="28">
                  <c:v>6111309.3509116769</c:v>
                </c:pt>
                <c:pt idx="29">
                  <c:v>6149768.6274268776</c:v>
                </c:pt>
                <c:pt idx="30">
                  <c:v>6188227.9039420784</c:v>
                </c:pt>
                <c:pt idx="31">
                  <c:v>6226687.180457294</c:v>
                </c:pt>
                <c:pt idx="32">
                  <c:v>6265146.4569724947</c:v>
                </c:pt>
                <c:pt idx="33">
                  <c:v>6303605.7334876955</c:v>
                </c:pt>
                <c:pt idx="34">
                  <c:v>6342065.0100028962</c:v>
                </c:pt>
                <c:pt idx="35">
                  <c:v>6380524.2865181118</c:v>
                </c:pt>
                <c:pt idx="36">
                  <c:v>6418983.5630333126</c:v>
                </c:pt>
                <c:pt idx="37">
                  <c:v>6457442.8395485133</c:v>
                </c:pt>
                <c:pt idx="38">
                  <c:v>6495902.116063714</c:v>
                </c:pt>
                <c:pt idx="39">
                  <c:v>6553549.6612084769</c:v>
                </c:pt>
              </c:numCache>
            </c:numRef>
          </c:val>
          <c:extLst>
            <c:ext xmlns:c16="http://schemas.microsoft.com/office/drawing/2014/chart" uri="{C3380CC4-5D6E-409C-BE32-E72D297353CC}">
              <c16:uniqueId val="{00000002-E338-42F5-9746-39CDEDADA95D}"/>
            </c:ext>
          </c:extLst>
        </c:ser>
        <c:ser>
          <c:idx val="4"/>
          <c:order val="3"/>
          <c:tx>
            <c:strRef>
              <c:f>Sheet1!$B$6</c:f>
              <c:strCache>
                <c:ptCount val="1"/>
                <c:pt idx="0">
                  <c:v>    Karlovačka županija</c:v>
                </c:pt>
              </c:strCache>
            </c:strRef>
          </c:tx>
          <c:spPr>
            <a:solidFill>
              <a:srgbClr val="FFCC66"/>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Sheet1!$D$6:$AQ$6</c:f>
              <c:numCache>
                <c:formatCode>_-* #,##0\ _k_n_-;\-* #,##0\ _k_n_-;_-* "-"??\ _k_n_-;_-@_-</c:formatCode>
                <c:ptCount val="40"/>
                <c:pt idx="0">
                  <c:v>3581089</c:v>
                </c:pt>
                <c:pt idx="1">
                  <c:v>3592720.8074676483</c:v>
                </c:pt>
                <c:pt idx="2">
                  <c:v>3605180.3937982456</c:v>
                </c:pt>
                <c:pt idx="3">
                  <c:v>3618769.3108202014</c:v>
                </c:pt>
                <c:pt idx="4">
                  <c:v>3628221.9227504083</c:v>
                </c:pt>
                <c:pt idx="5">
                  <c:v>3635479.4067952591</c:v>
                </c:pt>
                <c:pt idx="6">
                  <c:v>3643548.5682249307</c:v>
                </c:pt>
                <c:pt idx="7">
                  <c:v>3725788.200668104</c:v>
                </c:pt>
                <c:pt idx="8">
                  <c:v>3753022.008820422</c:v>
                </c:pt>
                <c:pt idx="9">
                  <c:v>3780255.8169727474</c:v>
                </c:pt>
                <c:pt idx="10">
                  <c:v>3807489.6251250654</c:v>
                </c:pt>
                <c:pt idx="11">
                  <c:v>3834723.4332773909</c:v>
                </c:pt>
                <c:pt idx="12">
                  <c:v>3861957.2414297163</c:v>
                </c:pt>
                <c:pt idx="13">
                  <c:v>3889191.0495820343</c:v>
                </c:pt>
                <c:pt idx="14">
                  <c:v>3916424.8577343598</c:v>
                </c:pt>
                <c:pt idx="15">
                  <c:v>3943658.6658866778</c:v>
                </c:pt>
                <c:pt idx="16">
                  <c:v>3970892.4740390033</c:v>
                </c:pt>
                <c:pt idx="17">
                  <c:v>3998126.2821913213</c:v>
                </c:pt>
                <c:pt idx="18">
                  <c:v>4025360.0903436467</c:v>
                </c:pt>
                <c:pt idx="19">
                  <c:v>4052593.8984959722</c:v>
                </c:pt>
                <c:pt idx="20">
                  <c:v>4079827.7066482902</c:v>
                </c:pt>
                <c:pt idx="21">
                  <c:v>4107061.5148006156</c:v>
                </c:pt>
                <c:pt idx="22">
                  <c:v>4134295.3229529336</c:v>
                </c:pt>
                <c:pt idx="23">
                  <c:v>4161529.1311052591</c:v>
                </c:pt>
                <c:pt idx="24">
                  <c:v>4188762.9392575771</c:v>
                </c:pt>
                <c:pt idx="25">
                  <c:v>4215996.7474099025</c:v>
                </c:pt>
                <c:pt idx="26">
                  <c:v>4243230.555562228</c:v>
                </c:pt>
                <c:pt idx="27">
                  <c:v>4270464.363714546</c:v>
                </c:pt>
                <c:pt idx="28">
                  <c:v>4297698.1718668714</c:v>
                </c:pt>
                <c:pt idx="29">
                  <c:v>4324931.9800191894</c:v>
                </c:pt>
                <c:pt idx="30">
                  <c:v>4352165.7881715149</c:v>
                </c:pt>
                <c:pt idx="31">
                  <c:v>4379399.5963238403</c:v>
                </c:pt>
                <c:pt idx="32">
                  <c:v>4406633.4044761583</c:v>
                </c:pt>
                <c:pt idx="33">
                  <c:v>4433867.2126284838</c:v>
                </c:pt>
                <c:pt idx="34">
                  <c:v>4461101.0207808018</c:v>
                </c:pt>
                <c:pt idx="35">
                  <c:v>4488334.8289331272</c:v>
                </c:pt>
                <c:pt idx="36">
                  <c:v>4515568.6370854452</c:v>
                </c:pt>
                <c:pt idx="37">
                  <c:v>4542802.4452377707</c:v>
                </c:pt>
                <c:pt idx="38">
                  <c:v>4570036.2533900961</c:v>
                </c:pt>
                <c:pt idx="39">
                  <c:v>4610231.4280975694</c:v>
                </c:pt>
              </c:numCache>
            </c:numRef>
          </c:val>
          <c:extLst>
            <c:ext xmlns:c16="http://schemas.microsoft.com/office/drawing/2014/chart" uri="{C3380CC4-5D6E-409C-BE32-E72D297353CC}">
              <c16:uniqueId val="{00000003-E338-42F5-9746-39CDEDADA95D}"/>
            </c:ext>
          </c:extLst>
        </c:ser>
        <c:ser>
          <c:idx val="5"/>
          <c:order val="4"/>
          <c:tx>
            <c:strRef>
              <c:f>Sheet1!$B$7</c:f>
              <c:strCache>
                <c:ptCount val="1"/>
                <c:pt idx="0">
                  <c:v>    Varaždinska županija</c:v>
                </c:pt>
              </c:strCache>
            </c:strRef>
          </c:tx>
          <c:spPr>
            <a:solidFill>
              <a:srgbClr val="FF9966"/>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Sheet1!$D$7:$AQ$7</c:f>
              <c:numCache>
                <c:formatCode>_-* #,##0\ _k_n_-;\-* #,##0\ _k_n_-;_-* "-"??\ _k_n_-;_-@_-</c:formatCode>
                <c:ptCount val="40"/>
                <c:pt idx="0">
                  <c:v>4769986</c:v>
                </c:pt>
                <c:pt idx="1">
                  <c:v>4803322.2526671598</c:v>
                </c:pt>
                <c:pt idx="2">
                  <c:v>4816997.1058564335</c:v>
                </c:pt>
                <c:pt idx="3">
                  <c:v>4832204.4448233712</c:v>
                </c:pt>
                <c:pt idx="4">
                  <c:v>4852010.6607312616</c:v>
                </c:pt>
                <c:pt idx="5">
                  <c:v>4869969.8441050863</c:v>
                </c:pt>
                <c:pt idx="6">
                  <c:v>4889115.2130106073</c:v>
                </c:pt>
                <c:pt idx="7">
                  <c:v>4983920.0759625137</c:v>
                </c:pt>
                <c:pt idx="8">
                  <c:v>5021047.2542987764</c:v>
                </c:pt>
                <c:pt idx="9">
                  <c:v>5058174.4326350391</c:v>
                </c:pt>
                <c:pt idx="10">
                  <c:v>5095301.6109713018</c:v>
                </c:pt>
                <c:pt idx="11">
                  <c:v>5132428.7893075496</c:v>
                </c:pt>
                <c:pt idx="12">
                  <c:v>5169555.9676438123</c:v>
                </c:pt>
                <c:pt idx="13">
                  <c:v>5206683.145980075</c:v>
                </c:pt>
                <c:pt idx="14">
                  <c:v>5243810.3243163377</c:v>
                </c:pt>
                <c:pt idx="15">
                  <c:v>5280937.5026526004</c:v>
                </c:pt>
                <c:pt idx="16">
                  <c:v>5318064.6809888482</c:v>
                </c:pt>
                <c:pt idx="17">
                  <c:v>5355191.8593251109</c:v>
                </c:pt>
                <c:pt idx="18">
                  <c:v>5392319.0376613736</c:v>
                </c:pt>
                <c:pt idx="19">
                  <c:v>5429446.2159976363</c:v>
                </c:pt>
                <c:pt idx="20">
                  <c:v>5466573.394333899</c:v>
                </c:pt>
                <c:pt idx="21">
                  <c:v>5503700.5726701468</c:v>
                </c:pt>
                <c:pt idx="22">
                  <c:v>5540827.7510064095</c:v>
                </c:pt>
                <c:pt idx="23">
                  <c:v>5577954.9293426722</c:v>
                </c:pt>
                <c:pt idx="24">
                  <c:v>5615082.1076789349</c:v>
                </c:pt>
                <c:pt idx="25">
                  <c:v>5652209.2860151976</c:v>
                </c:pt>
                <c:pt idx="26">
                  <c:v>5689336.4643514454</c:v>
                </c:pt>
                <c:pt idx="27">
                  <c:v>5726463.6426877081</c:v>
                </c:pt>
                <c:pt idx="28">
                  <c:v>5763590.8210239708</c:v>
                </c:pt>
                <c:pt idx="29">
                  <c:v>5800717.9993602335</c:v>
                </c:pt>
                <c:pt idx="30">
                  <c:v>5837845.1776964813</c:v>
                </c:pt>
                <c:pt idx="31">
                  <c:v>5874972.3560327441</c:v>
                </c:pt>
                <c:pt idx="32">
                  <c:v>5912099.5343690068</c:v>
                </c:pt>
                <c:pt idx="33">
                  <c:v>5949226.7127052695</c:v>
                </c:pt>
                <c:pt idx="34">
                  <c:v>5986353.8910415322</c:v>
                </c:pt>
                <c:pt idx="35">
                  <c:v>6023481.06937778</c:v>
                </c:pt>
                <c:pt idx="36">
                  <c:v>6060608.2477140427</c:v>
                </c:pt>
                <c:pt idx="37">
                  <c:v>6097735.4260503054</c:v>
                </c:pt>
                <c:pt idx="38">
                  <c:v>6134862.6043865681</c:v>
                </c:pt>
                <c:pt idx="39">
                  <c:v>6186263.7998517174</c:v>
                </c:pt>
              </c:numCache>
            </c:numRef>
          </c:val>
          <c:extLst>
            <c:ext xmlns:c16="http://schemas.microsoft.com/office/drawing/2014/chart" uri="{C3380CC4-5D6E-409C-BE32-E72D297353CC}">
              <c16:uniqueId val="{00000004-E338-42F5-9746-39CDEDADA95D}"/>
            </c:ext>
          </c:extLst>
        </c:ser>
        <c:ser>
          <c:idx val="6"/>
          <c:order val="5"/>
          <c:tx>
            <c:strRef>
              <c:f>Sheet1!$B$8</c:f>
              <c:strCache>
                <c:ptCount val="1"/>
                <c:pt idx="0">
                  <c:v>    Koprivničko-križevačka županija</c:v>
                </c:pt>
              </c:strCache>
            </c:strRef>
          </c:tx>
          <c:spPr>
            <a:solidFill>
              <a:srgbClr val="FF7C80"/>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Sheet1!$D$8:$AQ$8</c:f>
              <c:numCache>
                <c:formatCode>_-* #,##0\ _k_n_-;\-* #,##0\ _k_n_-;_-* "-"??\ _k_n_-;_-@_-</c:formatCode>
                <c:ptCount val="40"/>
                <c:pt idx="0">
                  <c:v>3453689</c:v>
                </c:pt>
                <c:pt idx="1">
                  <c:v>3468197.6979237348</c:v>
                </c:pt>
                <c:pt idx="2">
                  <c:v>3474364.6733161444</c:v>
                </c:pt>
                <c:pt idx="3">
                  <c:v>3481508.3882933008</c:v>
                </c:pt>
                <c:pt idx="4">
                  <c:v>3487766.8286515581</c:v>
                </c:pt>
                <c:pt idx="5">
                  <c:v>3494532.2380241551</c:v>
                </c:pt>
                <c:pt idx="6">
                  <c:v>3506551.3424707106</c:v>
                </c:pt>
                <c:pt idx="7">
                  <c:v>3587383.4205306917</c:v>
                </c:pt>
                <c:pt idx="8">
                  <c:v>3613490.8666351512</c:v>
                </c:pt>
                <c:pt idx="9">
                  <c:v>3639598.3127396107</c:v>
                </c:pt>
                <c:pt idx="10">
                  <c:v>3665705.7588440701</c:v>
                </c:pt>
                <c:pt idx="11">
                  <c:v>3691813.2049485296</c:v>
                </c:pt>
                <c:pt idx="12">
                  <c:v>3717920.6510529891</c:v>
                </c:pt>
                <c:pt idx="13">
                  <c:v>3744028.0971574485</c:v>
                </c:pt>
                <c:pt idx="14">
                  <c:v>3770135.543261908</c:v>
                </c:pt>
                <c:pt idx="15">
                  <c:v>3796242.98936636</c:v>
                </c:pt>
                <c:pt idx="16">
                  <c:v>3822350.4354708195</c:v>
                </c:pt>
                <c:pt idx="17">
                  <c:v>3848457.8815752789</c:v>
                </c:pt>
                <c:pt idx="18">
                  <c:v>3874565.3276797384</c:v>
                </c:pt>
                <c:pt idx="19">
                  <c:v>3900672.7737841979</c:v>
                </c:pt>
                <c:pt idx="20">
                  <c:v>3926780.2198886573</c:v>
                </c:pt>
                <c:pt idx="21">
                  <c:v>3952887.6659931168</c:v>
                </c:pt>
                <c:pt idx="22">
                  <c:v>3978995.1120975763</c:v>
                </c:pt>
                <c:pt idx="23">
                  <c:v>4005102.5582020357</c:v>
                </c:pt>
                <c:pt idx="24">
                  <c:v>4031210.0043064952</c:v>
                </c:pt>
                <c:pt idx="25">
                  <c:v>4057317.4504109547</c:v>
                </c:pt>
                <c:pt idx="26">
                  <c:v>4083424.8965154141</c:v>
                </c:pt>
                <c:pt idx="27">
                  <c:v>4109532.3426198736</c:v>
                </c:pt>
                <c:pt idx="28">
                  <c:v>4135639.788724333</c:v>
                </c:pt>
                <c:pt idx="29">
                  <c:v>4161747.2348287925</c:v>
                </c:pt>
                <c:pt idx="30">
                  <c:v>4187854.6809332445</c:v>
                </c:pt>
                <c:pt idx="31">
                  <c:v>4213962.127037704</c:v>
                </c:pt>
                <c:pt idx="32">
                  <c:v>4240069.5731421635</c:v>
                </c:pt>
                <c:pt idx="33">
                  <c:v>4266177.0192466229</c:v>
                </c:pt>
                <c:pt idx="34">
                  <c:v>4292284.4653510824</c:v>
                </c:pt>
                <c:pt idx="35">
                  <c:v>4318391.9114555418</c:v>
                </c:pt>
                <c:pt idx="36">
                  <c:v>4344499.3575600013</c:v>
                </c:pt>
                <c:pt idx="37">
                  <c:v>4370606.8036644608</c:v>
                </c:pt>
                <c:pt idx="38">
                  <c:v>4396714.2497689202</c:v>
                </c:pt>
                <c:pt idx="39">
                  <c:v>4436886.9799839053</c:v>
                </c:pt>
              </c:numCache>
            </c:numRef>
          </c:val>
          <c:extLst>
            <c:ext xmlns:c16="http://schemas.microsoft.com/office/drawing/2014/chart" uri="{C3380CC4-5D6E-409C-BE32-E72D297353CC}">
              <c16:uniqueId val="{00000005-E338-42F5-9746-39CDEDADA95D}"/>
            </c:ext>
          </c:extLst>
        </c:ser>
        <c:ser>
          <c:idx val="7"/>
          <c:order val="6"/>
          <c:tx>
            <c:strRef>
              <c:f>Sheet1!$B$9</c:f>
              <c:strCache>
                <c:ptCount val="1"/>
                <c:pt idx="0">
                  <c:v>    Bjelovarsko-bilogorska županija</c:v>
                </c:pt>
              </c:strCache>
            </c:strRef>
          </c:tx>
          <c:spPr>
            <a:solidFill>
              <a:srgbClr val="FF0066"/>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Sheet1!$D$9:$AQ$9</c:f>
              <c:numCache>
                <c:formatCode>_-* #,##0\ _k_n_-;\-* #,##0\ _k_n_-;_-* "-"??\ _k_n_-;_-@_-</c:formatCode>
                <c:ptCount val="40"/>
                <c:pt idx="0">
                  <c:v>3513942</c:v>
                </c:pt>
                <c:pt idx="1">
                  <c:v>3530244.4505455038</c:v>
                </c:pt>
                <c:pt idx="2">
                  <c:v>3541082.7310869666</c:v>
                </c:pt>
                <c:pt idx="3">
                  <c:v>3550009.0121223009</c:v>
                </c:pt>
                <c:pt idx="4">
                  <c:v>3557910.7339604008</c:v>
                </c:pt>
                <c:pt idx="5">
                  <c:v>3564200.9902348137</c:v>
                </c:pt>
                <c:pt idx="6">
                  <c:v>3571005.2365195532</c:v>
                </c:pt>
                <c:pt idx="7">
                  <c:v>3655076.1418609247</c:v>
                </c:pt>
                <c:pt idx="8">
                  <c:v>3681632.988366589</c:v>
                </c:pt>
                <c:pt idx="9">
                  <c:v>3708189.8348722458</c:v>
                </c:pt>
                <c:pt idx="10">
                  <c:v>3734746.6813779101</c:v>
                </c:pt>
                <c:pt idx="11">
                  <c:v>3761303.5278835744</c:v>
                </c:pt>
                <c:pt idx="12">
                  <c:v>3787860.3743892312</c:v>
                </c:pt>
                <c:pt idx="13">
                  <c:v>3814417.2208948955</c:v>
                </c:pt>
                <c:pt idx="14">
                  <c:v>3840974.0674005523</c:v>
                </c:pt>
                <c:pt idx="15">
                  <c:v>3867530.9139062166</c:v>
                </c:pt>
                <c:pt idx="16">
                  <c:v>3894087.7604118809</c:v>
                </c:pt>
                <c:pt idx="17">
                  <c:v>3920644.6069175377</c:v>
                </c:pt>
                <c:pt idx="18">
                  <c:v>3947201.453423202</c:v>
                </c:pt>
                <c:pt idx="19">
                  <c:v>3973758.2999288589</c:v>
                </c:pt>
                <c:pt idx="20">
                  <c:v>4000315.1464345232</c:v>
                </c:pt>
                <c:pt idx="21">
                  <c:v>4026871.9929401875</c:v>
                </c:pt>
                <c:pt idx="22">
                  <c:v>4053428.8394458443</c:v>
                </c:pt>
                <c:pt idx="23">
                  <c:v>4079985.6859515086</c:v>
                </c:pt>
                <c:pt idx="24">
                  <c:v>4106542.5324571654</c:v>
                </c:pt>
                <c:pt idx="25">
                  <c:v>4133099.3789628297</c:v>
                </c:pt>
                <c:pt idx="26">
                  <c:v>4159656.225468494</c:v>
                </c:pt>
                <c:pt idx="27">
                  <c:v>4186213.0719741508</c:v>
                </c:pt>
                <c:pt idx="28">
                  <c:v>4212769.9184798151</c:v>
                </c:pt>
                <c:pt idx="29">
                  <c:v>4239326.764985472</c:v>
                </c:pt>
                <c:pt idx="30">
                  <c:v>4265883.6114911363</c:v>
                </c:pt>
                <c:pt idx="31">
                  <c:v>4292440.4579967931</c:v>
                </c:pt>
                <c:pt idx="32">
                  <c:v>4318997.3045024574</c:v>
                </c:pt>
                <c:pt idx="33">
                  <c:v>4345554.1510081217</c:v>
                </c:pt>
                <c:pt idx="34">
                  <c:v>4372110.9975137785</c:v>
                </c:pt>
                <c:pt idx="35">
                  <c:v>4398667.8440194428</c:v>
                </c:pt>
                <c:pt idx="36">
                  <c:v>4425224.6905250996</c:v>
                </c:pt>
                <c:pt idx="37">
                  <c:v>4451781.5370307639</c:v>
                </c:pt>
                <c:pt idx="38">
                  <c:v>4478338.3835364282</c:v>
                </c:pt>
                <c:pt idx="39">
                  <c:v>4518441.3664407348</c:v>
                </c:pt>
              </c:numCache>
            </c:numRef>
          </c:val>
          <c:extLst>
            <c:ext xmlns:c16="http://schemas.microsoft.com/office/drawing/2014/chart" uri="{C3380CC4-5D6E-409C-BE32-E72D297353CC}">
              <c16:uniqueId val="{00000006-E338-42F5-9746-39CDEDADA95D}"/>
            </c:ext>
          </c:extLst>
        </c:ser>
        <c:ser>
          <c:idx val="8"/>
          <c:order val="7"/>
          <c:tx>
            <c:strRef>
              <c:f>Sheet1!$B$10</c:f>
              <c:strCache>
                <c:ptCount val="1"/>
                <c:pt idx="0">
                  <c:v>    Primorsko-goranska županija</c:v>
                </c:pt>
              </c:strCache>
            </c:strRef>
          </c:tx>
          <c:spPr>
            <a:pattFill prst="lgCheck">
              <a:fgClr>
                <a:srgbClr val="FF3399"/>
              </a:fgClr>
              <a:bgClr>
                <a:schemeClr val="bg1"/>
              </a:bgClr>
            </a:patt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Sheet1!$D$10:$AQ$10</c:f>
              <c:numCache>
                <c:formatCode>_-* #,##0\ _k_n_-;\-* #,##0\ _k_n_-;_-* "-"??\ _k_n_-;_-@_-</c:formatCode>
                <c:ptCount val="40"/>
                <c:pt idx="0">
                  <c:v>8731600</c:v>
                </c:pt>
                <c:pt idx="1">
                  <c:v>8833217.4922808763</c:v>
                </c:pt>
                <c:pt idx="2">
                  <c:v>8911250.0204972792</c:v>
                </c:pt>
                <c:pt idx="3">
                  <c:v>8973656.1825259943</c:v>
                </c:pt>
                <c:pt idx="4">
                  <c:v>9029610.8896122836</c:v>
                </c:pt>
                <c:pt idx="5">
                  <c:v>9095360.0782783516</c:v>
                </c:pt>
                <c:pt idx="6">
                  <c:v>9156676.6144750286</c:v>
                </c:pt>
                <c:pt idx="7">
                  <c:v>9253282.2882305682</c:v>
                </c:pt>
                <c:pt idx="8">
                  <c:v>9326077.3138314784</c:v>
                </c:pt>
                <c:pt idx="9">
                  <c:v>9398872.3394323885</c:v>
                </c:pt>
                <c:pt idx="10">
                  <c:v>9471667.3650332987</c:v>
                </c:pt>
                <c:pt idx="11">
                  <c:v>9544462.3906341791</c:v>
                </c:pt>
                <c:pt idx="12">
                  <c:v>9617257.4162350893</c:v>
                </c:pt>
                <c:pt idx="13">
                  <c:v>9690052.4418359995</c:v>
                </c:pt>
                <c:pt idx="14">
                  <c:v>9762847.4674369097</c:v>
                </c:pt>
                <c:pt idx="15">
                  <c:v>9835642.4930378199</c:v>
                </c:pt>
                <c:pt idx="16">
                  <c:v>9908437.5186387002</c:v>
                </c:pt>
                <c:pt idx="17">
                  <c:v>9981232.5442396104</c:v>
                </c:pt>
                <c:pt idx="18">
                  <c:v>10054027.569840521</c:v>
                </c:pt>
                <c:pt idx="19">
                  <c:v>10126822.595441431</c:v>
                </c:pt>
                <c:pt idx="20">
                  <c:v>10199617.621042311</c:v>
                </c:pt>
                <c:pt idx="21">
                  <c:v>10272412.646643221</c:v>
                </c:pt>
                <c:pt idx="22">
                  <c:v>10345207.672244132</c:v>
                </c:pt>
                <c:pt idx="23">
                  <c:v>10418002.697845042</c:v>
                </c:pt>
                <c:pt idx="24">
                  <c:v>10490797.723445952</c:v>
                </c:pt>
                <c:pt idx="25">
                  <c:v>10563592.749046832</c:v>
                </c:pt>
                <c:pt idx="26">
                  <c:v>10636387.774647743</c:v>
                </c:pt>
                <c:pt idx="27">
                  <c:v>10709182.800248653</c:v>
                </c:pt>
                <c:pt idx="28">
                  <c:v>10781977.825849563</c:v>
                </c:pt>
                <c:pt idx="29">
                  <c:v>10854772.851450473</c:v>
                </c:pt>
                <c:pt idx="30">
                  <c:v>10927567.877051353</c:v>
                </c:pt>
                <c:pt idx="31">
                  <c:v>11000362.902652264</c:v>
                </c:pt>
                <c:pt idx="32">
                  <c:v>11073157.928253174</c:v>
                </c:pt>
                <c:pt idx="33">
                  <c:v>11145952.953854084</c:v>
                </c:pt>
                <c:pt idx="34">
                  <c:v>11218747.979454994</c:v>
                </c:pt>
                <c:pt idx="35">
                  <c:v>11291543.005055875</c:v>
                </c:pt>
                <c:pt idx="36">
                  <c:v>11364338.030656785</c:v>
                </c:pt>
                <c:pt idx="37">
                  <c:v>11437133.056257695</c:v>
                </c:pt>
                <c:pt idx="38">
                  <c:v>11509928.081858605</c:v>
                </c:pt>
                <c:pt idx="39">
                  <c:v>11586067.130578941</c:v>
                </c:pt>
              </c:numCache>
            </c:numRef>
          </c:val>
          <c:extLst>
            <c:ext xmlns:c16="http://schemas.microsoft.com/office/drawing/2014/chart" uri="{C3380CC4-5D6E-409C-BE32-E72D297353CC}">
              <c16:uniqueId val="{00000007-E338-42F5-9746-39CDEDADA95D}"/>
            </c:ext>
          </c:extLst>
        </c:ser>
        <c:ser>
          <c:idx val="9"/>
          <c:order val="8"/>
          <c:tx>
            <c:strRef>
              <c:f>Sheet1!$B$11</c:f>
              <c:strCache>
                <c:ptCount val="1"/>
                <c:pt idx="0">
                  <c:v>    Ličko-senjska županija</c:v>
                </c:pt>
              </c:strCache>
            </c:strRef>
          </c:tx>
          <c:spPr>
            <a:solidFill>
              <a:srgbClr val="FF00FF"/>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Sheet1!$D$11:$AQ$11</c:f>
              <c:numCache>
                <c:formatCode>_-* #,##0\ _k_n_-;\-* #,##0\ _k_n_-;_-* "-"??\ _k_n_-;_-@_-</c:formatCode>
                <c:ptCount val="40"/>
                <c:pt idx="0">
                  <c:v>1468055</c:v>
                </c:pt>
                <c:pt idx="1">
                  <c:v>1480106.6706477327</c:v>
                </c:pt>
                <c:pt idx="2">
                  <c:v>1489929.1346895625</c:v>
                </c:pt>
                <c:pt idx="3">
                  <c:v>1499184.357581645</c:v>
                </c:pt>
                <c:pt idx="4">
                  <c:v>1513682.4035829594</c:v>
                </c:pt>
                <c:pt idx="5">
                  <c:v>1525614.1099745706</c:v>
                </c:pt>
                <c:pt idx="6">
                  <c:v>1536393.7708791678</c:v>
                </c:pt>
                <c:pt idx="7">
                  <c:v>1550992.3284389898</c:v>
                </c:pt>
                <c:pt idx="8">
                  <c:v>1563254.0032671839</c:v>
                </c:pt>
                <c:pt idx="9">
                  <c:v>1575515.678095378</c:v>
                </c:pt>
                <c:pt idx="10">
                  <c:v>1587777.3529235721</c:v>
                </c:pt>
                <c:pt idx="11">
                  <c:v>1600039.0277517624</c:v>
                </c:pt>
                <c:pt idx="12">
                  <c:v>1612300.7025799565</c:v>
                </c:pt>
                <c:pt idx="13">
                  <c:v>1624562.3774081506</c:v>
                </c:pt>
                <c:pt idx="14">
                  <c:v>1636824.0522363447</c:v>
                </c:pt>
                <c:pt idx="15">
                  <c:v>1649085.7270645387</c:v>
                </c:pt>
                <c:pt idx="16">
                  <c:v>1661347.4018927291</c:v>
                </c:pt>
                <c:pt idx="17">
                  <c:v>1673609.0767209232</c:v>
                </c:pt>
                <c:pt idx="18">
                  <c:v>1685870.7515491173</c:v>
                </c:pt>
                <c:pt idx="19">
                  <c:v>1698132.4263773113</c:v>
                </c:pt>
                <c:pt idx="20">
                  <c:v>1710394.1012055054</c:v>
                </c:pt>
                <c:pt idx="21">
                  <c:v>1722655.7760336958</c:v>
                </c:pt>
                <c:pt idx="22">
                  <c:v>1734917.4508618899</c:v>
                </c:pt>
                <c:pt idx="23">
                  <c:v>1747179.125690084</c:v>
                </c:pt>
                <c:pt idx="24">
                  <c:v>1759440.800518278</c:v>
                </c:pt>
                <c:pt idx="25">
                  <c:v>1771702.4753464721</c:v>
                </c:pt>
                <c:pt idx="26">
                  <c:v>1783964.1501746625</c:v>
                </c:pt>
                <c:pt idx="27">
                  <c:v>1796225.8250028566</c:v>
                </c:pt>
                <c:pt idx="28">
                  <c:v>1808487.4998310506</c:v>
                </c:pt>
                <c:pt idx="29">
                  <c:v>1820749.1746592447</c:v>
                </c:pt>
                <c:pt idx="30">
                  <c:v>1833010.8494874351</c:v>
                </c:pt>
                <c:pt idx="31">
                  <c:v>1845272.5243156292</c:v>
                </c:pt>
                <c:pt idx="32">
                  <c:v>1857534.1991438232</c:v>
                </c:pt>
                <c:pt idx="33">
                  <c:v>1869795.8739720173</c:v>
                </c:pt>
                <c:pt idx="34">
                  <c:v>1882057.5488002114</c:v>
                </c:pt>
                <c:pt idx="35">
                  <c:v>1894319.2236284018</c:v>
                </c:pt>
                <c:pt idx="36">
                  <c:v>1906580.8984565958</c:v>
                </c:pt>
                <c:pt idx="37">
                  <c:v>1918842.5732847899</c:v>
                </c:pt>
                <c:pt idx="38">
                  <c:v>1931104.248112984</c:v>
                </c:pt>
                <c:pt idx="39">
                  <c:v>1944019.8794691095</c:v>
                </c:pt>
              </c:numCache>
            </c:numRef>
          </c:val>
          <c:extLst>
            <c:ext xmlns:c16="http://schemas.microsoft.com/office/drawing/2014/chart" uri="{C3380CC4-5D6E-409C-BE32-E72D297353CC}">
              <c16:uniqueId val="{00000008-E338-42F5-9746-39CDEDADA95D}"/>
            </c:ext>
          </c:extLst>
        </c:ser>
        <c:ser>
          <c:idx val="10"/>
          <c:order val="9"/>
          <c:tx>
            <c:strRef>
              <c:f>Sheet1!$B$12</c:f>
              <c:strCache>
                <c:ptCount val="1"/>
                <c:pt idx="0">
                  <c:v>    Virovitičko-podravska županija</c:v>
                </c:pt>
              </c:strCache>
            </c:strRef>
          </c:tx>
          <c:spPr>
            <a:solidFill>
              <a:srgbClr val="CC00FF"/>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Sheet1!$D$12:$AQ$12</c:f>
              <c:numCache>
                <c:formatCode>_-* #,##0\ _k_n_-;\-* #,##0\ _k_n_-;_-* "-"??\ _k_n_-;_-@_-</c:formatCode>
                <c:ptCount val="40"/>
                <c:pt idx="0">
                  <c:v>2479966</c:v>
                </c:pt>
                <c:pt idx="1">
                  <c:v>2496553.3545872476</c:v>
                </c:pt>
                <c:pt idx="2">
                  <c:v>2504488.6569391699</c:v>
                </c:pt>
                <c:pt idx="3">
                  <c:v>2509633.7694383371</c:v>
                </c:pt>
                <c:pt idx="4">
                  <c:v>2514538.3614831101</c:v>
                </c:pt>
                <c:pt idx="5">
                  <c:v>2519880.0877473517</c:v>
                </c:pt>
                <c:pt idx="6">
                  <c:v>2523992.7200346459</c:v>
                </c:pt>
                <c:pt idx="7">
                  <c:v>2583448.8699135929</c:v>
                </c:pt>
                <c:pt idx="8">
                  <c:v>2602224.9242967218</c:v>
                </c:pt>
                <c:pt idx="9">
                  <c:v>2621000.9786798507</c:v>
                </c:pt>
                <c:pt idx="10">
                  <c:v>2639777.0330629796</c:v>
                </c:pt>
                <c:pt idx="11">
                  <c:v>2658553.0874461085</c:v>
                </c:pt>
                <c:pt idx="12">
                  <c:v>2677329.1418292373</c:v>
                </c:pt>
                <c:pt idx="13">
                  <c:v>2696105.1962123662</c:v>
                </c:pt>
                <c:pt idx="14">
                  <c:v>2714881.2505954951</c:v>
                </c:pt>
                <c:pt idx="15">
                  <c:v>2733657.304978624</c:v>
                </c:pt>
                <c:pt idx="16">
                  <c:v>2752433.3593617529</c:v>
                </c:pt>
                <c:pt idx="17">
                  <c:v>2771209.4137448817</c:v>
                </c:pt>
                <c:pt idx="18">
                  <c:v>2789985.4681280106</c:v>
                </c:pt>
                <c:pt idx="19">
                  <c:v>2808761.5225111395</c:v>
                </c:pt>
                <c:pt idx="20">
                  <c:v>2827537.5768942684</c:v>
                </c:pt>
                <c:pt idx="21">
                  <c:v>2846313.6312773973</c:v>
                </c:pt>
                <c:pt idx="22">
                  <c:v>2865089.6856605262</c:v>
                </c:pt>
                <c:pt idx="23">
                  <c:v>2883865.7400436476</c:v>
                </c:pt>
                <c:pt idx="24">
                  <c:v>2902641.7944267765</c:v>
                </c:pt>
                <c:pt idx="25">
                  <c:v>2921417.8488099054</c:v>
                </c:pt>
                <c:pt idx="26">
                  <c:v>2940193.9031930342</c:v>
                </c:pt>
                <c:pt idx="27">
                  <c:v>2958969.9575761631</c:v>
                </c:pt>
                <c:pt idx="28">
                  <c:v>2977746.011959292</c:v>
                </c:pt>
                <c:pt idx="29">
                  <c:v>2996522.0663424209</c:v>
                </c:pt>
                <c:pt idx="30">
                  <c:v>3015298.1207255498</c:v>
                </c:pt>
                <c:pt idx="31">
                  <c:v>3034074.1751086786</c:v>
                </c:pt>
                <c:pt idx="32">
                  <c:v>3052850.2294918075</c:v>
                </c:pt>
                <c:pt idx="33">
                  <c:v>3071626.2838749364</c:v>
                </c:pt>
                <c:pt idx="34">
                  <c:v>3090402.3382580653</c:v>
                </c:pt>
                <c:pt idx="35">
                  <c:v>3109178.3926411942</c:v>
                </c:pt>
                <c:pt idx="36">
                  <c:v>3127954.447024323</c:v>
                </c:pt>
                <c:pt idx="37">
                  <c:v>3146730.5014074519</c:v>
                </c:pt>
                <c:pt idx="38">
                  <c:v>3165506.5557905808</c:v>
                </c:pt>
                <c:pt idx="39">
                  <c:v>3193642.2266115504</c:v>
                </c:pt>
              </c:numCache>
            </c:numRef>
          </c:val>
          <c:extLst>
            <c:ext xmlns:c16="http://schemas.microsoft.com/office/drawing/2014/chart" uri="{C3380CC4-5D6E-409C-BE32-E72D297353CC}">
              <c16:uniqueId val="{00000009-E338-42F5-9746-39CDEDADA95D}"/>
            </c:ext>
          </c:extLst>
        </c:ser>
        <c:ser>
          <c:idx val="11"/>
          <c:order val="10"/>
          <c:tx>
            <c:strRef>
              <c:f>Sheet1!$B$13</c:f>
              <c:strCache>
                <c:ptCount val="1"/>
                <c:pt idx="0">
                  <c:v>    Požeško-slavonska županija</c:v>
                </c:pt>
              </c:strCache>
            </c:strRef>
          </c:tx>
          <c:spPr>
            <a:solidFill>
              <a:srgbClr val="6600FF"/>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Sheet1!$D$13:$AQ$13</c:f>
              <c:numCache>
                <c:formatCode>_-* #,##0\ _k_n_-;\-* #,##0\ _k_n_-;_-* "-"??\ _k_n_-;_-@_-</c:formatCode>
                <c:ptCount val="40"/>
                <c:pt idx="0">
                  <c:v>2245847</c:v>
                </c:pt>
                <c:pt idx="1">
                  <c:v>2259664.6161094909</c:v>
                </c:pt>
                <c:pt idx="2">
                  <c:v>2266223.6035449854</c:v>
                </c:pt>
                <c:pt idx="3">
                  <c:v>2272269.1947498317</c:v>
                </c:pt>
                <c:pt idx="4">
                  <c:v>2278847.3316131928</c:v>
                </c:pt>
                <c:pt idx="5">
                  <c:v>2286128.4911375367</c:v>
                </c:pt>
                <c:pt idx="6">
                  <c:v>2289918.6596365268</c:v>
                </c:pt>
                <c:pt idx="7">
                  <c:v>2340972.8399636112</c:v>
                </c:pt>
                <c:pt idx="8">
                  <c:v>2358118.1699282564</c:v>
                </c:pt>
                <c:pt idx="9">
                  <c:v>2375263.4998929016</c:v>
                </c:pt>
                <c:pt idx="10">
                  <c:v>2392408.8298575468</c:v>
                </c:pt>
                <c:pt idx="11">
                  <c:v>2409554.159822192</c:v>
                </c:pt>
                <c:pt idx="12">
                  <c:v>2426699.4897868298</c:v>
                </c:pt>
                <c:pt idx="13">
                  <c:v>2443844.819751475</c:v>
                </c:pt>
                <c:pt idx="14">
                  <c:v>2460990.1497161202</c:v>
                </c:pt>
                <c:pt idx="15">
                  <c:v>2478135.4796807654</c:v>
                </c:pt>
                <c:pt idx="16">
                  <c:v>2495280.8096454106</c:v>
                </c:pt>
                <c:pt idx="17">
                  <c:v>2512426.1396100558</c:v>
                </c:pt>
                <c:pt idx="18">
                  <c:v>2529571.4695746936</c:v>
                </c:pt>
                <c:pt idx="19">
                  <c:v>2546716.7995393388</c:v>
                </c:pt>
                <c:pt idx="20">
                  <c:v>2563862.129503984</c:v>
                </c:pt>
                <c:pt idx="21">
                  <c:v>2581007.4594686292</c:v>
                </c:pt>
                <c:pt idx="22">
                  <c:v>2598152.7894332744</c:v>
                </c:pt>
                <c:pt idx="23">
                  <c:v>2615298.1193979122</c:v>
                </c:pt>
                <c:pt idx="24">
                  <c:v>2632443.4493625574</c:v>
                </c:pt>
                <c:pt idx="25">
                  <c:v>2649588.7793272026</c:v>
                </c:pt>
                <c:pt idx="26">
                  <c:v>2666734.1092918478</c:v>
                </c:pt>
                <c:pt idx="27">
                  <c:v>2683879.439256493</c:v>
                </c:pt>
                <c:pt idx="28">
                  <c:v>2701024.7692211382</c:v>
                </c:pt>
                <c:pt idx="29">
                  <c:v>2718170.099185776</c:v>
                </c:pt>
                <c:pt idx="30">
                  <c:v>2735315.4291504212</c:v>
                </c:pt>
                <c:pt idx="31">
                  <c:v>2752460.7591150664</c:v>
                </c:pt>
                <c:pt idx="32">
                  <c:v>2769606.0890797116</c:v>
                </c:pt>
                <c:pt idx="33">
                  <c:v>2786751.4190443568</c:v>
                </c:pt>
                <c:pt idx="34">
                  <c:v>2803896.749009002</c:v>
                </c:pt>
                <c:pt idx="35">
                  <c:v>2821042.0789736398</c:v>
                </c:pt>
                <c:pt idx="36">
                  <c:v>2838187.408938285</c:v>
                </c:pt>
                <c:pt idx="37">
                  <c:v>2855332.7389029302</c:v>
                </c:pt>
                <c:pt idx="38">
                  <c:v>2872478.0688675754</c:v>
                </c:pt>
                <c:pt idx="39">
                  <c:v>2897465.1427760655</c:v>
                </c:pt>
              </c:numCache>
            </c:numRef>
          </c:val>
          <c:extLst>
            <c:ext xmlns:c16="http://schemas.microsoft.com/office/drawing/2014/chart" uri="{C3380CC4-5D6E-409C-BE32-E72D297353CC}">
              <c16:uniqueId val="{0000000A-E338-42F5-9746-39CDEDADA95D}"/>
            </c:ext>
          </c:extLst>
        </c:ser>
        <c:ser>
          <c:idx val="12"/>
          <c:order val="11"/>
          <c:tx>
            <c:strRef>
              <c:f>Sheet1!$B$14</c:f>
              <c:strCache>
                <c:ptCount val="1"/>
                <c:pt idx="0">
                  <c:v>    Brodsko-posavska županija</c:v>
                </c:pt>
              </c:strCache>
            </c:strRef>
          </c:tx>
          <c:spPr>
            <a:solidFill>
              <a:srgbClr val="0099FF"/>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Sheet1!$D$14:$AQ$14</c:f>
              <c:numCache>
                <c:formatCode>_-* #,##0\ _k_n_-;\-* #,##0\ _k_n_-;_-* "-"??\ _k_n_-;_-@_-</c:formatCode>
                <c:ptCount val="40"/>
                <c:pt idx="0">
                  <c:v>4420198</c:v>
                </c:pt>
                <c:pt idx="1">
                  <c:v>4450845.4410237884</c:v>
                </c:pt>
                <c:pt idx="2">
                  <c:v>4472457.115062085</c:v>
                </c:pt>
                <c:pt idx="3">
                  <c:v>4484712.0031375382</c:v>
                </c:pt>
                <c:pt idx="4">
                  <c:v>4502232.071307688</c:v>
                </c:pt>
                <c:pt idx="5">
                  <c:v>4514534.0528057199</c:v>
                </c:pt>
                <c:pt idx="6">
                  <c:v>4530771.7447755234</c:v>
                </c:pt>
                <c:pt idx="7">
                  <c:v>4621413.4520471543</c:v>
                </c:pt>
                <c:pt idx="8">
                  <c:v>4655735.8921224177</c:v>
                </c:pt>
                <c:pt idx="9">
                  <c:v>4690058.3321976811</c:v>
                </c:pt>
                <c:pt idx="10">
                  <c:v>4724380.7722729445</c:v>
                </c:pt>
                <c:pt idx="11">
                  <c:v>4758703.2123482078</c:v>
                </c:pt>
                <c:pt idx="12">
                  <c:v>4793025.6524234861</c:v>
                </c:pt>
                <c:pt idx="13">
                  <c:v>4827348.0924987495</c:v>
                </c:pt>
                <c:pt idx="14">
                  <c:v>4861670.5325740129</c:v>
                </c:pt>
                <c:pt idx="15">
                  <c:v>4895992.9726492763</c:v>
                </c:pt>
                <c:pt idx="16">
                  <c:v>4930315.4127245545</c:v>
                </c:pt>
                <c:pt idx="17">
                  <c:v>4964637.8527998179</c:v>
                </c:pt>
                <c:pt idx="18">
                  <c:v>4998960.2928750813</c:v>
                </c:pt>
                <c:pt idx="19">
                  <c:v>5033282.7329503447</c:v>
                </c:pt>
                <c:pt idx="20">
                  <c:v>5067605.1730256081</c:v>
                </c:pt>
                <c:pt idx="21">
                  <c:v>5101927.6131008863</c:v>
                </c:pt>
                <c:pt idx="22">
                  <c:v>5136250.0531761497</c:v>
                </c:pt>
                <c:pt idx="23">
                  <c:v>5170572.4932514131</c:v>
                </c:pt>
                <c:pt idx="24">
                  <c:v>5204894.9333266765</c:v>
                </c:pt>
                <c:pt idx="25">
                  <c:v>5239217.3734019399</c:v>
                </c:pt>
                <c:pt idx="26">
                  <c:v>5273539.8134772182</c:v>
                </c:pt>
                <c:pt idx="27">
                  <c:v>5307862.2535524815</c:v>
                </c:pt>
                <c:pt idx="28">
                  <c:v>5342184.6936277449</c:v>
                </c:pt>
                <c:pt idx="29">
                  <c:v>5376507.1337030083</c:v>
                </c:pt>
                <c:pt idx="30">
                  <c:v>5410829.5737782866</c:v>
                </c:pt>
                <c:pt idx="31">
                  <c:v>5445152.01385355</c:v>
                </c:pt>
                <c:pt idx="32">
                  <c:v>5479474.4539288133</c:v>
                </c:pt>
                <c:pt idx="33">
                  <c:v>5513796.8940040767</c:v>
                </c:pt>
                <c:pt idx="34">
                  <c:v>5548119.3340793401</c:v>
                </c:pt>
                <c:pt idx="35">
                  <c:v>5582441.7741546184</c:v>
                </c:pt>
                <c:pt idx="36">
                  <c:v>5616764.2142298818</c:v>
                </c:pt>
                <c:pt idx="37">
                  <c:v>5651086.6543051451</c:v>
                </c:pt>
                <c:pt idx="38">
                  <c:v>5685409.0943804085</c:v>
                </c:pt>
                <c:pt idx="39">
                  <c:v>5732846.9485660736</c:v>
                </c:pt>
              </c:numCache>
            </c:numRef>
          </c:val>
          <c:extLst>
            <c:ext xmlns:c16="http://schemas.microsoft.com/office/drawing/2014/chart" uri="{C3380CC4-5D6E-409C-BE32-E72D297353CC}">
              <c16:uniqueId val="{0000000B-E338-42F5-9746-39CDEDADA95D}"/>
            </c:ext>
          </c:extLst>
        </c:ser>
        <c:ser>
          <c:idx val="13"/>
          <c:order val="12"/>
          <c:tx>
            <c:strRef>
              <c:f>Sheet1!$B$15</c:f>
              <c:strCache>
                <c:ptCount val="1"/>
                <c:pt idx="0">
                  <c:v>    Zadarska županija</c:v>
                </c:pt>
              </c:strCache>
            </c:strRef>
          </c:tx>
          <c:spPr>
            <a:solidFill>
              <a:srgbClr val="00FFFF"/>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Sheet1!$D$15:$AQ$15</c:f>
              <c:numCache>
                <c:formatCode>_-* #,##0\ _k_n_-;\-* #,##0\ _k_n_-;_-* "-"??\ _k_n_-;_-@_-</c:formatCode>
                <c:ptCount val="40"/>
                <c:pt idx="0">
                  <c:v>5065105</c:v>
                </c:pt>
                <c:pt idx="1">
                  <c:v>5133136.5905715562</c:v>
                </c:pt>
                <c:pt idx="2">
                  <c:v>5182353.7918507922</c:v>
                </c:pt>
                <c:pt idx="3">
                  <c:v>5221918.526409301</c:v>
                </c:pt>
                <c:pt idx="4">
                  <c:v>5270959.240075442</c:v>
                </c:pt>
                <c:pt idx="5">
                  <c:v>5313578.1076234821</c:v>
                </c:pt>
                <c:pt idx="6">
                  <c:v>5377961.7540659485</c:v>
                </c:pt>
                <c:pt idx="7">
                  <c:v>5399197.9521854818</c:v>
                </c:pt>
                <c:pt idx="8">
                  <c:v>5443257.2903262228</c:v>
                </c:pt>
                <c:pt idx="9">
                  <c:v>5487316.6284669489</c:v>
                </c:pt>
                <c:pt idx="10">
                  <c:v>5531375.966607675</c:v>
                </c:pt>
                <c:pt idx="11">
                  <c:v>5575435.3047484159</c:v>
                </c:pt>
                <c:pt idx="12">
                  <c:v>5619494.642889142</c:v>
                </c:pt>
                <c:pt idx="13">
                  <c:v>5663553.981029883</c:v>
                </c:pt>
                <c:pt idx="14">
                  <c:v>5707613.3191706091</c:v>
                </c:pt>
                <c:pt idx="15">
                  <c:v>5751672.6573113352</c:v>
                </c:pt>
                <c:pt idx="16">
                  <c:v>5795731.9954520762</c:v>
                </c:pt>
                <c:pt idx="17">
                  <c:v>5839791.3335928023</c:v>
                </c:pt>
                <c:pt idx="18">
                  <c:v>5883850.6717335433</c:v>
                </c:pt>
                <c:pt idx="19">
                  <c:v>5927910.0098742694</c:v>
                </c:pt>
                <c:pt idx="20">
                  <c:v>5971969.3480149955</c:v>
                </c:pt>
                <c:pt idx="21">
                  <c:v>6016028.6861557364</c:v>
                </c:pt>
                <c:pt idx="22">
                  <c:v>6060088.0242964625</c:v>
                </c:pt>
                <c:pt idx="23">
                  <c:v>6104147.3624371886</c:v>
                </c:pt>
                <c:pt idx="24">
                  <c:v>6148206.7005779296</c:v>
                </c:pt>
                <c:pt idx="25">
                  <c:v>6192266.0387186557</c:v>
                </c:pt>
                <c:pt idx="26">
                  <c:v>6236325.3768593967</c:v>
                </c:pt>
                <c:pt idx="27">
                  <c:v>6280384.7150001228</c:v>
                </c:pt>
                <c:pt idx="28">
                  <c:v>6324444.0531408489</c:v>
                </c:pt>
                <c:pt idx="29">
                  <c:v>6368503.3912815899</c:v>
                </c:pt>
                <c:pt idx="30">
                  <c:v>6412562.729422316</c:v>
                </c:pt>
                <c:pt idx="31">
                  <c:v>6456622.0675630569</c:v>
                </c:pt>
                <c:pt idx="32">
                  <c:v>6500681.405703783</c:v>
                </c:pt>
                <c:pt idx="33">
                  <c:v>6544740.7438445091</c:v>
                </c:pt>
                <c:pt idx="34">
                  <c:v>6588800.0819852501</c:v>
                </c:pt>
                <c:pt idx="35">
                  <c:v>6632859.4201259762</c:v>
                </c:pt>
                <c:pt idx="36">
                  <c:v>6676918.7582667172</c:v>
                </c:pt>
                <c:pt idx="37">
                  <c:v>6720978.0964074433</c:v>
                </c:pt>
                <c:pt idx="38">
                  <c:v>6765037.4345481694</c:v>
                </c:pt>
                <c:pt idx="39">
                  <c:v>6804807.9594505243</c:v>
                </c:pt>
              </c:numCache>
            </c:numRef>
          </c:val>
          <c:extLst>
            <c:ext xmlns:c16="http://schemas.microsoft.com/office/drawing/2014/chart" uri="{C3380CC4-5D6E-409C-BE32-E72D297353CC}">
              <c16:uniqueId val="{0000000C-E338-42F5-9746-39CDEDADA95D}"/>
            </c:ext>
          </c:extLst>
        </c:ser>
        <c:ser>
          <c:idx val="14"/>
          <c:order val="13"/>
          <c:tx>
            <c:strRef>
              <c:f>Sheet1!$B$16</c:f>
              <c:strCache>
                <c:ptCount val="1"/>
                <c:pt idx="0">
                  <c:v>    Osječko-baranjska županija</c:v>
                </c:pt>
              </c:strCache>
            </c:strRef>
          </c:tx>
          <c:spPr>
            <a:solidFill>
              <a:srgbClr val="66FFCC"/>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Sheet1!$D$16:$AQ$16</c:f>
              <c:numCache>
                <c:formatCode>_-* #,##0\ _k_n_-;\-* #,##0\ _k_n_-;_-* "-"??\ _k_n_-;_-@_-</c:formatCode>
                <c:ptCount val="40"/>
                <c:pt idx="0">
                  <c:v>9134344</c:v>
                </c:pt>
                <c:pt idx="1">
                  <c:v>9168374.7437691651</c:v>
                </c:pt>
                <c:pt idx="2">
                  <c:v>9212664.2469009627</c:v>
                </c:pt>
                <c:pt idx="3">
                  <c:v>9232561.0395471342</c:v>
                </c:pt>
                <c:pt idx="4">
                  <c:v>9248873.429200409</c:v>
                </c:pt>
                <c:pt idx="5">
                  <c:v>9260207.8170977812</c:v>
                </c:pt>
                <c:pt idx="6">
                  <c:v>9278610.2893309239</c:v>
                </c:pt>
                <c:pt idx="7">
                  <c:v>9500047.6965357959</c:v>
                </c:pt>
                <c:pt idx="8">
                  <c:v>9568949.0607766211</c:v>
                </c:pt>
                <c:pt idx="9">
                  <c:v>9637850.4250174761</c:v>
                </c:pt>
                <c:pt idx="10">
                  <c:v>9706751.7892583013</c:v>
                </c:pt>
                <c:pt idx="11">
                  <c:v>9775653.1534991562</c:v>
                </c:pt>
                <c:pt idx="12">
                  <c:v>9844554.5177400112</c:v>
                </c:pt>
                <c:pt idx="13">
                  <c:v>9913455.8819808364</c:v>
                </c:pt>
                <c:pt idx="14">
                  <c:v>9982357.2462216914</c:v>
                </c:pt>
                <c:pt idx="15">
                  <c:v>10051258.610462517</c:v>
                </c:pt>
                <c:pt idx="16">
                  <c:v>10120159.974703372</c:v>
                </c:pt>
                <c:pt idx="17">
                  <c:v>10189061.338944197</c:v>
                </c:pt>
                <c:pt idx="18">
                  <c:v>10257962.703185052</c:v>
                </c:pt>
                <c:pt idx="19">
                  <c:v>10326864.067425877</c:v>
                </c:pt>
                <c:pt idx="20">
                  <c:v>10395765.431666732</c:v>
                </c:pt>
                <c:pt idx="21">
                  <c:v>10464666.795907557</c:v>
                </c:pt>
                <c:pt idx="22">
                  <c:v>10533568.160148412</c:v>
                </c:pt>
                <c:pt idx="23">
                  <c:v>10602469.524389237</c:v>
                </c:pt>
                <c:pt idx="24">
                  <c:v>10671370.888630092</c:v>
                </c:pt>
                <c:pt idx="25">
                  <c:v>10740272.252870947</c:v>
                </c:pt>
                <c:pt idx="26">
                  <c:v>10809173.617111772</c:v>
                </c:pt>
                <c:pt idx="27">
                  <c:v>10878074.981352627</c:v>
                </c:pt>
                <c:pt idx="28">
                  <c:v>10946976.345593452</c:v>
                </c:pt>
                <c:pt idx="29">
                  <c:v>11015877.709834307</c:v>
                </c:pt>
                <c:pt idx="30">
                  <c:v>11084779.074075133</c:v>
                </c:pt>
                <c:pt idx="31">
                  <c:v>11153680.438315988</c:v>
                </c:pt>
                <c:pt idx="32">
                  <c:v>11222581.802556813</c:v>
                </c:pt>
                <c:pt idx="33">
                  <c:v>11291483.166797668</c:v>
                </c:pt>
                <c:pt idx="34">
                  <c:v>11360384.531038493</c:v>
                </c:pt>
                <c:pt idx="35">
                  <c:v>11429285.895279348</c:v>
                </c:pt>
                <c:pt idx="36">
                  <c:v>11498187.259520173</c:v>
                </c:pt>
                <c:pt idx="37">
                  <c:v>11567088.623761028</c:v>
                </c:pt>
                <c:pt idx="38">
                  <c:v>11635989.988001883</c:v>
                </c:pt>
                <c:pt idx="39">
                  <c:v>11740351.463403944</c:v>
                </c:pt>
              </c:numCache>
            </c:numRef>
          </c:val>
          <c:extLst>
            <c:ext xmlns:c16="http://schemas.microsoft.com/office/drawing/2014/chart" uri="{C3380CC4-5D6E-409C-BE32-E72D297353CC}">
              <c16:uniqueId val="{0000000D-E338-42F5-9746-39CDEDADA95D}"/>
            </c:ext>
          </c:extLst>
        </c:ser>
        <c:ser>
          <c:idx val="15"/>
          <c:order val="14"/>
          <c:tx>
            <c:strRef>
              <c:f>Sheet1!$B$17</c:f>
              <c:strCache>
                <c:ptCount val="1"/>
                <c:pt idx="0">
                  <c:v>    Šibensko-kninska županija</c:v>
                </c:pt>
              </c:strCache>
            </c:strRef>
          </c:tx>
          <c:spPr>
            <a:solidFill>
              <a:srgbClr val="00CC66"/>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Sheet1!$D$17:$AQ$17</c:f>
              <c:numCache>
                <c:formatCode>_-* #,##0\ _k_n_-;\-* #,##0\ _k_n_-;_-* "-"??\ _k_n_-;_-@_-</c:formatCode>
                <c:ptCount val="40"/>
                <c:pt idx="0">
                  <c:v>3089284</c:v>
                </c:pt>
                <c:pt idx="1">
                  <c:v>3114966.6846249644</c:v>
                </c:pt>
                <c:pt idx="2">
                  <c:v>3138006.9795553018</c:v>
                </c:pt>
                <c:pt idx="3">
                  <c:v>3158216.7232441688</c:v>
                </c:pt>
                <c:pt idx="4">
                  <c:v>3173767.8013128196</c:v>
                </c:pt>
                <c:pt idx="5">
                  <c:v>3188049.8693537088</c:v>
                </c:pt>
                <c:pt idx="6">
                  <c:v>3209654.289027839</c:v>
                </c:pt>
                <c:pt idx="7">
                  <c:v>3254103.6506253034</c:v>
                </c:pt>
                <c:pt idx="8">
                  <c:v>3279187.7138681635</c:v>
                </c:pt>
                <c:pt idx="9">
                  <c:v>3304271.7771110237</c:v>
                </c:pt>
                <c:pt idx="10">
                  <c:v>3329355.8403538838</c:v>
                </c:pt>
                <c:pt idx="11">
                  <c:v>3354439.9035967439</c:v>
                </c:pt>
                <c:pt idx="12">
                  <c:v>3379523.9668395966</c:v>
                </c:pt>
                <c:pt idx="13">
                  <c:v>3404608.0300824568</c:v>
                </c:pt>
                <c:pt idx="14">
                  <c:v>3429692.0933253169</c:v>
                </c:pt>
                <c:pt idx="15">
                  <c:v>3454776.156568177</c:v>
                </c:pt>
                <c:pt idx="16">
                  <c:v>3479860.2198110372</c:v>
                </c:pt>
                <c:pt idx="17">
                  <c:v>3504944.2830538973</c:v>
                </c:pt>
                <c:pt idx="18">
                  <c:v>3530028.34629675</c:v>
                </c:pt>
                <c:pt idx="19">
                  <c:v>3555112.4095396101</c:v>
                </c:pt>
                <c:pt idx="20">
                  <c:v>3580196.4727824703</c:v>
                </c:pt>
                <c:pt idx="21">
                  <c:v>3605280.5360253304</c:v>
                </c:pt>
                <c:pt idx="22">
                  <c:v>3630364.5992681906</c:v>
                </c:pt>
                <c:pt idx="23">
                  <c:v>3655448.6625110433</c:v>
                </c:pt>
                <c:pt idx="24">
                  <c:v>3680532.7257539034</c:v>
                </c:pt>
                <c:pt idx="25">
                  <c:v>3705616.7889967635</c:v>
                </c:pt>
                <c:pt idx="26">
                  <c:v>3730700.8522396237</c:v>
                </c:pt>
                <c:pt idx="27">
                  <c:v>3755784.9154824838</c:v>
                </c:pt>
                <c:pt idx="28">
                  <c:v>3780868.9787253439</c:v>
                </c:pt>
                <c:pt idx="29">
                  <c:v>3805953.0419681966</c:v>
                </c:pt>
                <c:pt idx="30">
                  <c:v>3831037.1052110568</c:v>
                </c:pt>
                <c:pt idx="31">
                  <c:v>3856121.1684539169</c:v>
                </c:pt>
                <c:pt idx="32">
                  <c:v>3881205.231696777</c:v>
                </c:pt>
                <c:pt idx="33">
                  <c:v>3906289.2949396372</c:v>
                </c:pt>
                <c:pt idx="34">
                  <c:v>3931373.3581824973</c:v>
                </c:pt>
                <c:pt idx="35">
                  <c:v>3956457.42142535</c:v>
                </c:pt>
                <c:pt idx="36">
                  <c:v>3981541.4846682101</c:v>
                </c:pt>
                <c:pt idx="37">
                  <c:v>4006625.5479110703</c:v>
                </c:pt>
                <c:pt idx="38">
                  <c:v>4031709.6111539304</c:v>
                </c:pt>
                <c:pt idx="39">
                  <c:v>4061219.1108552311</c:v>
                </c:pt>
              </c:numCache>
            </c:numRef>
          </c:val>
          <c:extLst>
            <c:ext xmlns:c16="http://schemas.microsoft.com/office/drawing/2014/chart" uri="{C3380CC4-5D6E-409C-BE32-E72D297353CC}">
              <c16:uniqueId val="{0000000E-E338-42F5-9746-39CDEDADA95D}"/>
            </c:ext>
          </c:extLst>
        </c:ser>
        <c:ser>
          <c:idx val="16"/>
          <c:order val="15"/>
          <c:tx>
            <c:strRef>
              <c:f>Sheet1!$B$18</c:f>
              <c:strCache>
                <c:ptCount val="1"/>
                <c:pt idx="0">
                  <c:v>    Vukovarsko-srijemska županija</c:v>
                </c:pt>
              </c:strCache>
            </c:strRef>
          </c:tx>
          <c:spPr>
            <a:solidFill>
              <a:srgbClr val="006666"/>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Sheet1!$D$18:$AQ$18</c:f>
              <c:numCache>
                <c:formatCode>_-* #,##0\ _k_n_-;\-* #,##0\ _k_n_-;_-* "-"??\ _k_n_-;_-@_-</c:formatCode>
                <c:ptCount val="40"/>
                <c:pt idx="0">
                  <c:v>5143352</c:v>
                </c:pt>
                <c:pt idx="1">
                  <c:v>5185343.7175525241</c:v>
                </c:pt>
                <c:pt idx="2">
                  <c:v>5200255.4382181801</c:v>
                </c:pt>
                <c:pt idx="3">
                  <c:v>5208904.6226427397</c:v>
                </c:pt>
                <c:pt idx="4">
                  <c:v>5202892.2144801393</c:v>
                </c:pt>
                <c:pt idx="5">
                  <c:v>5201818.6502045542</c:v>
                </c:pt>
                <c:pt idx="6">
                  <c:v>5213872.7160041071</c:v>
                </c:pt>
                <c:pt idx="7">
                  <c:v>5350074.4773837924</c:v>
                </c:pt>
                <c:pt idx="8">
                  <c:v>5388331.3308226168</c:v>
                </c:pt>
                <c:pt idx="9">
                  <c:v>5426588.1842614412</c:v>
                </c:pt>
                <c:pt idx="10">
                  <c:v>5464845.0377002656</c:v>
                </c:pt>
                <c:pt idx="11">
                  <c:v>5503101.8911390901</c:v>
                </c:pt>
                <c:pt idx="12">
                  <c:v>5541358.7445779145</c:v>
                </c:pt>
                <c:pt idx="13">
                  <c:v>5579615.598016724</c:v>
                </c:pt>
                <c:pt idx="14">
                  <c:v>5617872.4514555484</c:v>
                </c:pt>
                <c:pt idx="15">
                  <c:v>5656129.3048943728</c:v>
                </c:pt>
                <c:pt idx="16">
                  <c:v>5694386.1583331972</c:v>
                </c:pt>
                <c:pt idx="17">
                  <c:v>5732643.0117720217</c:v>
                </c:pt>
                <c:pt idx="18">
                  <c:v>5770899.8652108461</c:v>
                </c:pt>
                <c:pt idx="19">
                  <c:v>5809156.7186496705</c:v>
                </c:pt>
                <c:pt idx="20">
                  <c:v>5847413.57208848</c:v>
                </c:pt>
                <c:pt idx="21">
                  <c:v>5885670.4255273044</c:v>
                </c:pt>
                <c:pt idx="22">
                  <c:v>5923927.2789661288</c:v>
                </c:pt>
                <c:pt idx="23">
                  <c:v>5962184.1324049532</c:v>
                </c:pt>
                <c:pt idx="24">
                  <c:v>6000440.9858437777</c:v>
                </c:pt>
                <c:pt idx="25">
                  <c:v>6038697.8392826021</c:v>
                </c:pt>
                <c:pt idx="26">
                  <c:v>6076954.6927214265</c:v>
                </c:pt>
                <c:pt idx="27">
                  <c:v>6115211.546160236</c:v>
                </c:pt>
                <c:pt idx="28">
                  <c:v>6153468.3995990604</c:v>
                </c:pt>
                <c:pt idx="29">
                  <c:v>6191725.2530378848</c:v>
                </c:pt>
                <c:pt idx="30">
                  <c:v>6229982.1064767092</c:v>
                </c:pt>
                <c:pt idx="31">
                  <c:v>6268238.9599155337</c:v>
                </c:pt>
                <c:pt idx="32">
                  <c:v>6306495.8133543581</c:v>
                </c:pt>
                <c:pt idx="33">
                  <c:v>6344752.6667931825</c:v>
                </c:pt>
                <c:pt idx="34">
                  <c:v>6383009.520231992</c:v>
                </c:pt>
                <c:pt idx="35">
                  <c:v>6421266.3736708164</c:v>
                </c:pt>
                <c:pt idx="36">
                  <c:v>6459523.2271096408</c:v>
                </c:pt>
                <c:pt idx="37">
                  <c:v>6497780.0805484653</c:v>
                </c:pt>
                <c:pt idx="38">
                  <c:v>6536036.9339872897</c:v>
                </c:pt>
                <c:pt idx="39">
                  <c:v>6597183.8737236941</c:v>
                </c:pt>
              </c:numCache>
            </c:numRef>
          </c:val>
          <c:extLst>
            <c:ext xmlns:c16="http://schemas.microsoft.com/office/drawing/2014/chart" uri="{C3380CC4-5D6E-409C-BE32-E72D297353CC}">
              <c16:uniqueId val="{0000000F-E338-42F5-9746-39CDEDADA95D}"/>
            </c:ext>
          </c:extLst>
        </c:ser>
        <c:ser>
          <c:idx val="17"/>
          <c:order val="16"/>
          <c:tx>
            <c:strRef>
              <c:f>Sheet1!$B$19</c:f>
              <c:strCache>
                <c:ptCount val="1"/>
                <c:pt idx="0">
                  <c:v>    Splitsko-dalmatinska županija</c:v>
                </c:pt>
              </c:strCache>
            </c:strRef>
          </c:tx>
          <c:spPr>
            <a:pattFill prst="lgCheck">
              <a:fgClr>
                <a:srgbClr val="000099"/>
              </a:fgClr>
              <a:bgClr>
                <a:schemeClr val="bg1"/>
              </a:bgClr>
            </a:patt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Sheet1!$D$19:$AQ$19</c:f>
              <c:numCache>
                <c:formatCode>_-* #,##0\ _k_n_-;\-* #,##0\ _k_n_-;_-* "-"??\ _k_n_-;_-@_-</c:formatCode>
                <c:ptCount val="40"/>
                <c:pt idx="0">
                  <c:v>11606626</c:v>
                </c:pt>
                <c:pt idx="1">
                  <c:v>11697377.806743847</c:v>
                </c:pt>
                <c:pt idx="2">
                  <c:v>11754935.569746919</c:v>
                </c:pt>
                <c:pt idx="3">
                  <c:v>11825442.270092936</c:v>
                </c:pt>
                <c:pt idx="4">
                  <c:v>11892516.293456584</c:v>
                </c:pt>
                <c:pt idx="5">
                  <c:v>11952495.037483547</c:v>
                </c:pt>
                <c:pt idx="6">
                  <c:v>12027820.166477205</c:v>
                </c:pt>
                <c:pt idx="7">
                  <c:v>12200162.719197929</c:v>
                </c:pt>
                <c:pt idx="8">
                  <c:v>12293881.570296854</c:v>
                </c:pt>
                <c:pt idx="9">
                  <c:v>12387600.421395749</c:v>
                </c:pt>
                <c:pt idx="10">
                  <c:v>12481319.272494674</c:v>
                </c:pt>
                <c:pt idx="11">
                  <c:v>12575038.123593599</c:v>
                </c:pt>
                <c:pt idx="12">
                  <c:v>12668756.974692494</c:v>
                </c:pt>
                <c:pt idx="13">
                  <c:v>12762475.825791419</c:v>
                </c:pt>
                <c:pt idx="14">
                  <c:v>12856194.676890314</c:v>
                </c:pt>
                <c:pt idx="15">
                  <c:v>12949913.527989239</c:v>
                </c:pt>
                <c:pt idx="16">
                  <c:v>13043632.379088163</c:v>
                </c:pt>
                <c:pt idx="17">
                  <c:v>13137351.230187058</c:v>
                </c:pt>
                <c:pt idx="18">
                  <c:v>13231070.081285983</c:v>
                </c:pt>
                <c:pt idx="19">
                  <c:v>13324788.932384908</c:v>
                </c:pt>
                <c:pt idx="20">
                  <c:v>13418507.783483803</c:v>
                </c:pt>
                <c:pt idx="21">
                  <c:v>13512226.634582728</c:v>
                </c:pt>
                <c:pt idx="22">
                  <c:v>13605945.485681653</c:v>
                </c:pt>
                <c:pt idx="23">
                  <c:v>13699664.336780548</c:v>
                </c:pt>
                <c:pt idx="24">
                  <c:v>13793383.187879473</c:v>
                </c:pt>
                <c:pt idx="25">
                  <c:v>13887102.038978368</c:v>
                </c:pt>
                <c:pt idx="26">
                  <c:v>13980820.890077293</c:v>
                </c:pt>
                <c:pt idx="27">
                  <c:v>14074539.741176218</c:v>
                </c:pt>
                <c:pt idx="28">
                  <c:v>14168258.592275113</c:v>
                </c:pt>
                <c:pt idx="29">
                  <c:v>14261977.443374038</c:v>
                </c:pt>
                <c:pt idx="30">
                  <c:v>14355696.294472963</c:v>
                </c:pt>
                <c:pt idx="31">
                  <c:v>14449415.145571858</c:v>
                </c:pt>
                <c:pt idx="32">
                  <c:v>14543133.996670783</c:v>
                </c:pt>
                <c:pt idx="33">
                  <c:v>14636852.847769678</c:v>
                </c:pt>
                <c:pt idx="34">
                  <c:v>14730571.698868603</c:v>
                </c:pt>
                <c:pt idx="35">
                  <c:v>14824290.549967527</c:v>
                </c:pt>
                <c:pt idx="36">
                  <c:v>14918009.401066422</c:v>
                </c:pt>
                <c:pt idx="37">
                  <c:v>15011728.252165347</c:v>
                </c:pt>
                <c:pt idx="38">
                  <c:v>15105447.103264272</c:v>
                </c:pt>
                <c:pt idx="39">
                  <c:v>15218964.013978733</c:v>
                </c:pt>
              </c:numCache>
            </c:numRef>
          </c:val>
          <c:extLst>
            <c:ext xmlns:c16="http://schemas.microsoft.com/office/drawing/2014/chart" uri="{C3380CC4-5D6E-409C-BE32-E72D297353CC}">
              <c16:uniqueId val="{00000010-E338-42F5-9746-39CDEDADA95D}"/>
            </c:ext>
          </c:extLst>
        </c:ser>
        <c:ser>
          <c:idx val="18"/>
          <c:order val="17"/>
          <c:tx>
            <c:strRef>
              <c:f>Sheet1!$B$20</c:f>
              <c:strCache>
                <c:ptCount val="1"/>
                <c:pt idx="0">
                  <c:v>     Istarska županija</c:v>
                </c:pt>
              </c:strCache>
            </c:strRef>
          </c:tx>
          <c:spPr>
            <a:solidFill>
              <a:schemeClr val="accent1">
                <a:lumMod val="80000"/>
              </a:schemeClr>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Sheet1!$D$20:$AQ$20</c:f>
              <c:numCache>
                <c:formatCode>_-* #,##0\ _k_n_-;\-* #,##0\ _k_n_-;_-* "-"??\ _k_n_-;_-@_-</c:formatCode>
                <c:ptCount val="40"/>
                <c:pt idx="0">
                  <c:v>6245619</c:v>
                </c:pt>
                <c:pt idx="1">
                  <c:v>6332741.9956326261</c:v>
                </c:pt>
                <c:pt idx="2">
                  <c:v>6395093.4857807495</c:v>
                </c:pt>
                <c:pt idx="3">
                  <c:v>6451268.0748521993</c:v>
                </c:pt>
                <c:pt idx="4">
                  <c:v>6496830.128051416</c:v>
                </c:pt>
                <c:pt idx="5">
                  <c:v>6539428.1853421731</c:v>
                </c:pt>
                <c:pt idx="6">
                  <c:v>6601910.9786688248</c:v>
                </c:pt>
                <c:pt idx="7">
                  <c:v>6650396.8919951171</c:v>
                </c:pt>
                <c:pt idx="8">
                  <c:v>6703697.9491386116</c:v>
                </c:pt>
                <c:pt idx="9">
                  <c:v>6756999.006282106</c:v>
                </c:pt>
                <c:pt idx="10">
                  <c:v>6810300.0634256154</c:v>
                </c:pt>
                <c:pt idx="11">
                  <c:v>6863601.1205691099</c:v>
                </c:pt>
                <c:pt idx="12">
                  <c:v>6916902.1777126044</c:v>
                </c:pt>
                <c:pt idx="13">
                  <c:v>6970203.2348560989</c:v>
                </c:pt>
                <c:pt idx="14">
                  <c:v>7023504.2919995934</c:v>
                </c:pt>
                <c:pt idx="15">
                  <c:v>7076805.3491430879</c:v>
                </c:pt>
                <c:pt idx="16">
                  <c:v>7130106.4062865973</c:v>
                </c:pt>
                <c:pt idx="17">
                  <c:v>7183407.4634300917</c:v>
                </c:pt>
                <c:pt idx="18">
                  <c:v>7236708.5205735862</c:v>
                </c:pt>
                <c:pt idx="19">
                  <c:v>7290009.5777170807</c:v>
                </c:pt>
                <c:pt idx="20">
                  <c:v>7343310.6348605752</c:v>
                </c:pt>
                <c:pt idx="21">
                  <c:v>7396611.6920040697</c:v>
                </c:pt>
                <c:pt idx="22">
                  <c:v>7449912.7491475791</c:v>
                </c:pt>
                <c:pt idx="23">
                  <c:v>7503213.8062910736</c:v>
                </c:pt>
                <c:pt idx="24">
                  <c:v>7556514.863434568</c:v>
                </c:pt>
                <c:pt idx="25">
                  <c:v>7609815.9205780625</c:v>
                </c:pt>
                <c:pt idx="26">
                  <c:v>7663116.977721557</c:v>
                </c:pt>
                <c:pt idx="27">
                  <c:v>7716418.0348650515</c:v>
                </c:pt>
                <c:pt idx="28">
                  <c:v>7769719.0920085609</c:v>
                </c:pt>
                <c:pt idx="29">
                  <c:v>7823020.1491520554</c:v>
                </c:pt>
                <c:pt idx="30">
                  <c:v>7876321.2062955499</c:v>
                </c:pt>
                <c:pt idx="31">
                  <c:v>7929622.2634390444</c:v>
                </c:pt>
                <c:pt idx="32">
                  <c:v>7982923.3205825388</c:v>
                </c:pt>
                <c:pt idx="33">
                  <c:v>8036224.3777260333</c:v>
                </c:pt>
                <c:pt idx="34">
                  <c:v>8089525.4348695427</c:v>
                </c:pt>
                <c:pt idx="35">
                  <c:v>8142826.4920130372</c:v>
                </c:pt>
                <c:pt idx="36">
                  <c:v>8196127.5491565317</c:v>
                </c:pt>
                <c:pt idx="37">
                  <c:v>8249428.6063000262</c:v>
                </c:pt>
                <c:pt idx="38">
                  <c:v>8302729.6634435207</c:v>
                </c:pt>
                <c:pt idx="39">
                  <c:v>8353487.516207152</c:v>
                </c:pt>
              </c:numCache>
            </c:numRef>
          </c:val>
          <c:extLst>
            <c:ext xmlns:c16="http://schemas.microsoft.com/office/drawing/2014/chart" uri="{C3380CC4-5D6E-409C-BE32-E72D297353CC}">
              <c16:uniqueId val="{00000011-E338-42F5-9746-39CDEDADA95D}"/>
            </c:ext>
          </c:extLst>
        </c:ser>
        <c:ser>
          <c:idx val="19"/>
          <c:order val="18"/>
          <c:tx>
            <c:strRef>
              <c:f>Sheet1!$B$21</c:f>
              <c:strCache>
                <c:ptCount val="1"/>
                <c:pt idx="0">
                  <c:v>    Dubrovačko-neretvanska županija</c:v>
                </c:pt>
              </c:strCache>
            </c:strRef>
          </c:tx>
          <c:spPr>
            <a:solidFill>
              <a:srgbClr val="EAEAEA"/>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Sheet1!$D$21:$AQ$21</c:f>
              <c:numCache>
                <c:formatCode>_-* #,##0\ _k_n_-;\-* #,##0\ _k_n_-;_-* "-"??\ _k_n_-;_-@_-</c:formatCode>
                <c:ptCount val="40"/>
                <c:pt idx="0">
                  <c:v>3350645</c:v>
                </c:pt>
                <c:pt idx="1">
                  <c:v>3385915.4437734275</c:v>
                </c:pt>
                <c:pt idx="2">
                  <c:v>3423954.4509484684</c:v>
                </c:pt>
                <c:pt idx="3">
                  <c:v>3450976.7310590283</c:v>
                </c:pt>
                <c:pt idx="4">
                  <c:v>3471290.728162508</c:v>
                </c:pt>
                <c:pt idx="5">
                  <c:v>3498960.9083904433</c:v>
                </c:pt>
                <c:pt idx="6">
                  <c:v>3525930.4631214268</c:v>
                </c:pt>
                <c:pt idx="7">
                  <c:v>3557000.4497705102</c:v>
                </c:pt>
                <c:pt idx="8">
                  <c:v>3585269.8926485032</c:v>
                </c:pt>
                <c:pt idx="9">
                  <c:v>3613539.3355264887</c:v>
                </c:pt>
                <c:pt idx="10">
                  <c:v>3641808.7784044743</c:v>
                </c:pt>
                <c:pt idx="11">
                  <c:v>3670078.2212824598</c:v>
                </c:pt>
                <c:pt idx="12">
                  <c:v>3698347.6641604528</c:v>
                </c:pt>
                <c:pt idx="13">
                  <c:v>3726617.1070384383</c:v>
                </c:pt>
                <c:pt idx="14">
                  <c:v>3754886.5499164239</c:v>
                </c:pt>
                <c:pt idx="15">
                  <c:v>3783155.9927944094</c:v>
                </c:pt>
                <c:pt idx="16">
                  <c:v>3811425.4356723949</c:v>
                </c:pt>
                <c:pt idx="17">
                  <c:v>3839694.8785503879</c:v>
                </c:pt>
                <c:pt idx="18">
                  <c:v>3867964.3214283735</c:v>
                </c:pt>
                <c:pt idx="19">
                  <c:v>3896233.764306359</c:v>
                </c:pt>
                <c:pt idx="20">
                  <c:v>3924503.2071843445</c:v>
                </c:pt>
                <c:pt idx="21">
                  <c:v>3952772.6500623301</c:v>
                </c:pt>
                <c:pt idx="22">
                  <c:v>3981042.0929403231</c:v>
                </c:pt>
                <c:pt idx="23">
                  <c:v>4009311.5358183086</c:v>
                </c:pt>
                <c:pt idx="24">
                  <c:v>4037580.9786962941</c:v>
                </c:pt>
                <c:pt idx="25">
                  <c:v>4065850.4215742797</c:v>
                </c:pt>
                <c:pt idx="26">
                  <c:v>4094119.8644522727</c:v>
                </c:pt>
                <c:pt idx="27">
                  <c:v>4122389.3073302582</c:v>
                </c:pt>
                <c:pt idx="28">
                  <c:v>4150658.7502082437</c:v>
                </c:pt>
                <c:pt idx="29">
                  <c:v>4178928.1930862293</c:v>
                </c:pt>
                <c:pt idx="30">
                  <c:v>4207197.6359642148</c:v>
                </c:pt>
                <c:pt idx="31">
                  <c:v>4235467.0788422078</c:v>
                </c:pt>
                <c:pt idx="32">
                  <c:v>4263736.5217201933</c:v>
                </c:pt>
                <c:pt idx="33">
                  <c:v>4292005.9645981789</c:v>
                </c:pt>
                <c:pt idx="34">
                  <c:v>4320275.4074761644</c:v>
                </c:pt>
                <c:pt idx="35">
                  <c:v>4348544.8503541574</c:v>
                </c:pt>
                <c:pt idx="36">
                  <c:v>4376814.2932321429</c:v>
                </c:pt>
                <c:pt idx="37">
                  <c:v>4405083.7361101285</c:v>
                </c:pt>
                <c:pt idx="38">
                  <c:v>4433353.178988114</c:v>
                </c:pt>
                <c:pt idx="39">
                  <c:v>4461407.6442209547</c:v>
                </c:pt>
              </c:numCache>
            </c:numRef>
          </c:val>
          <c:extLst>
            <c:ext xmlns:c16="http://schemas.microsoft.com/office/drawing/2014/chart" uri="{C3380CC4-5D6E-409C-BE32-E72D297353CC}">
              <c16:uniqueId val="{00000012-E338-42F5-9746-39CDEDADA95D}"/>
            </c:ext>
          </c:extLst>
        </c:ser>
        <c:ser>
          <c:idx val="20"/>
          <c:order val="19"/>
          <c:tx>
            <c:strRef>
              <c:f>Sheet1!$B$22</c:f>
              <c:strCache>
                <c:ptCount val="1"/>
                <c:pt idx="0">
                  <c:v>    Međimurska županija</c:v>
                </c:pt>
              </c:strCache>
            </c:strRef>
          </c:tx>
          <c:spPr>
            <a:solidFill>
              <a:srgbClr val="990033"/>
            </a:solid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Sheet1!$D$22:$AQ$22</c:f>
              <c:numCache>
                <c:formatCode>_-* #,##0\ _k_n_-;\-* #,##0\ _k_n_-;_-* "-"??\ _k_n_-;_-@_-</c:formatCode>
                <c:ptCount val="40"/>
                <c:pt idx="0">
                  <c:v>3450229</c:v>
                </c:pt>
                <c:pt idx="1">
                  <c:v>3475970.0453196438</c:v>
                </c:pt>
                <c:pt idx="2">
                  <c:v>3493477.5451993262</c:v>
                </c:pt>
                <c:pt idx="3">
                  <c:v>3516042.1780701051</c:v>
                </c:pt>
                <c:pt idx="4">
                  <c:v>3534080.6041549691</c:v>
                </c:pt>
                <c:pt idx="5">
                  <c:v>3553644.1734980349</c:v>
                </c:pt>
                <c:pt idx="6">
                  <c:v>3582142.6684045885</c:v>
                </c:pt>
                <c:pt idx="7">
                  <c:v>3628219.65228571</c:v>
                </c:pt>
                <c:pt idx="8">
                  <c:v>3656310.3288969472</c:v>
                </c:pt>
                <c:pt idx="9">
                  <c:v>3684401.0055081919</c:v>
                </c:pt>
                <c:pt idx="10">
                  <c:v>3712491.6821194366</c:v>
                </c:pt>
                <c:pt idx="11">
                  <c:v>3740582.3587306738</c:v>
                </c:pt>
                <c:pt idx="12">
                  <c:v>3768673.0353419185</c:v>
                </c:pt>
                <c:pt idx="13">
                  <c:v>3796763.7119531631</c:v>
                </c:pt>
                <c:pt idx="14">
                  <c:v>3824854.3885644004</c:v>
                </c:pt>
                <c:pt idx="15">
                  <c:v>3852945.0651756451</c:v>
                </c:pt>
                <c:pt idx="16">
                  <c:v>3881035.7417868897</c:v>
                </c:pt>
                <c:pt idx="17">
                  <c:v>3909126.418398127</c:v>
                </c:pt>
                <c:pt idx="18">
                  <c:v>3937217.0950093716</c:v>
                </c:pt>
                <c:pt idx="19">
                  <c:v>3965307.7716206163</c:v>
                </c:pt>
                <c:pt idx="20">
                  <c:v>3993398.4482318535</c:v>
                </c:pt>
                <c:pt idx="21">
                  <c:v>4021489.1248430982</c:v>
                </c:pt>
                <c:pt idx="22">
                  <c:v>4049579.8014543429</c:v>
                </c:pt>
                <c:pt idx="23">
                  <c:v>4077670.4780655801</c:v>
                </c:pt>
                <c:pt idx="24">
                  <c:v>4105761.1546768248</c:v>
                </c:pt>
                <c:pt idx="25">
                  <c:v>4133851.8312880695</c:v>
                </c:pt>
                <c:pt idx="26">
                  <c:v>4161942.5078993142</c:v>
                </c:pt>
                <c:pt idx="27">
                  <c:v>4190033.1845105514</c:v>
                </c:pt>
                <c:pt idx="28">
                  <c:v>4218123.8611217961</c:v>
                </c:pt>
                <c:pt idx="29">
                  <c:v>4246214.5377330408</c:v>
                </c:pt>
                <c:pt idx="30">
                  <c:v>4274305.214344278</c:v>
                </c:pt>
                <c:pt idx="31">
                  <c:v>4302395.8909555227</c:v>
                </c:pt>
                <c:pt idx="32">
                  <c:v>4330486.5675667673</c:v>
                </c:pt>
                <c:pt idx="33">
                  <c:v>4358577.2441780046</c:v>
                </c:pt>
                <c:pt idx="34">
                  <c:v>4386667.9207892492</c:v>
                </c:pt>
                <c:pt idx="35">
                  <c:v>4414758.5974004939</c:v>
                </c:pt>
                <c:pt idx="36">
                  <c:v>4442849.2740117311</c:v>
                </c:pt>
                <c:pt idx="37">
                  <c:v>4470939.9506229758</c:v>
                </c:pt>
                <c:pt idx="38">
                  <c:v>4499030.6272342205</c:v>
                </c:pt>
                <c:pt idx="39">
                  <c:v>4532533.7100840919</c:v>
                </c:pt>
              </c:numCache>
            </c:numRef>
          </c:val>
          <c:extLst>
            <c:ext xmlns:c16="http://schemas.microsoft.com/office/drawing/2014/chart" uri="{C3380CC4-5D6E-409C-BE32-E72D297353CC}">
              <c16:uniqueId val="{00000013-E338-42F5-9746-39CDEDADA95D}"/>
            </c:ext>
          </c:extLst>
        </c:ser>
        <c:ser>
          <c:idx val="21"/>
          <c:order val="20"/>
          <c:tx>
            <c:strRef>
              <c:f>Sheet1!$B$23</c:f>
              <c:strCache>
                <c:ptCount val="1"/>
                <c:pt idx="0">
                  <c:v>    Grad Zagreb</c:v>
                </c:pt>
              </c:strCache>
            </c:strRef>
          </c:tx>
          <c:spPr>
            <a:pattFill prst="lgCheck">
              <a:fgClr>
                <a:srgbClr val="99FF99"/>
              </a:fgClr>
              <a:bgClr>
                <a:schemeClr val="bg1"/>
              </a:bgClr>
            </a:pattFill>
            <a:ln>
              <a:noFill/>
            </a:ln>
            <a:effectLst/>
          </c:spPr>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Sheet1!$D$23:$AQ$23</c:f>
              <c:numCache>
                <c:formatCode>_-* #,##0\ _k_n_-;\-* #,##0\ _k_n_-;_-* "-"??\ _k_n_-;_-@_-</c:formatCode>
                <c:ptCount val="40"/>
                <c:pt idx="0">
                  <c:v>21299986</c:v>
                </c:pt>
                <c:pt idx="1">
                  <c:v>21465281.703010567</c:v>
                </c:pt>
                <c:pt idx="2">
                  <c:v>21579459.303711403</c:v>
                </c:pt>
                <c:pt idx="3">
                  <c:v>21659594.029053453</c:v>
                </c:pt>
                <c:pt idx="4">
                  <c:v>21757022.589274451</c:v>
                </c:pt>
                <c:pt idx="5">
                  <c:v>21832970.272440888</c:v>
                </c:pt>
                <c:pt idx="6">
                  <c:v>21977592.133132972</c:v>
                </c:pt>
                <c:pt idx="7">
                  <c:v>22337857.053476691</c:v>
                </c:pt>
                <c:pt idx="8">
                  <c:v>22507255.817180812</c:v>
                </c:pt>
                <c:pt idx="9">
                  <c:v>22676654.580884993</c:v>
                </c:pt>
                <c:pt idx="10">
                  <c:v>22846053.344589174</c:v>
                </c:pt>
                <c:pt idx="11">
                  <c:v>23015452.108293295</c:v>
                </c:pt>
                <c:pt idx="12">
                  <c:v>23184850.871997476</c:v>
                </c:pt>
                <c:pt idx="13">
                  <c:v>23354249.635701656</c:v>
                </c:pt>
                <c:pt idx="14">
                  <c:v>23523648.399405777</c:v>
                </c:pt>
                <c:pt idx="15">
                  <c:v>23693047.163109958</c:v>
                </c:pt>
                <c:pt idx="16">
                  <c:v>23862445.926814139</c:v>
                </c:pt>
                <c:pt idx="17">
                  <c:v>24031844.69051826</c:v>
                </c:pt>
                <c:pt idx="18">
                  <c:v>24201243.454222441</c:v>
                </c:pt>
                <c:pt idx="19">
                  <c:v>24370642.217926621</c:v>
                </c:pt>
                <c:pt idx="20">
                  <c:v>24540040.981630743</c:v>
                </c:pt>
                <c:pt idx="21">
                  <c:v>24709439.745334923</c:v>
                </c:pt>
                <c:pt idx="22">
                  <c:v>24878838.509039104</c:v>
                </c:pt>
                <c:pt idx="23">
                  <c:v>25048237.272743225</c:v>
                </c:pt>
                <c:pt idx="24">
                  <c:v>25217636.036447406</c:v>
                </c:pt>
                <c:pt idx="25">
                  <c:v>25387034.800151587</c:v>
                </c:pt>
                <c:pt idx="26">
                  <c:v>25556433.563855767</c:v>
                </c:pt>
                <c:pt idx="27">
                  <c:v>25725832.327559888</c:v>
                </c:pt>
                <c:pt idx="28">
                  <c:v>25895231.091264069</c:v>
                </c:pt>
                <c:pt idx="29">
                  <c:v>26064629.85496825</c:v>
                </c:pt>
                <c:pt idx="30">
                  <c:v>26234028.618672371</c:v>
                </c:pt>
                <c:pt idx="31">
                  <c:v>26403427.382376552</c:v>
                </c:pt>
                <c:pt idx="32">
                  <c:v>26572826.146080732</c:v>
                </c:pt>
                <c:pt idx="33">
                  <c:v>26742224.909784853</c:v>
                </c:pt>
                <c:pt idx="34">
                  <c:v>26911623.673489034</c:v>
                </c:pt>
                <c:pt idx="35">
                  <c:v>27081022.437193215</c:v>
                </c:pt>
                <c:pt idx="36">
                  <c:v>27250421.200897336</c:v>
                </c:pt>
                <c:pt idx="37">
                  <c:v>27419819.964601517</c:v>
                </c:pt>
                <c:pt idx="38">
                  <c:v>27589218.728305697</c:v>
                </c:pt>
                <c:pt idx="39">
                  <c:v>27808545.452007417</c:v>
                </c:pt>
              </c:numCache>
            </c:numRef>
          </c:val>
          <c:extLst>
            <c:ext xmlns:c16="http://schemas.microsoft.com/office/drawing/2014/chart" uri="{C3380CC4-5D6E-409C-BE32-E72D297353CC}">
              <c16:uniqueId val="{00000014-E338-42F5-9746-39CDEDADA95D}"/>
            </c:ext>
          </c:extLst>
        </c:ser>
        <c:dLbls>
          <c:showLegendKey val="0"/>
          <c:showVal val="0"/>
          <c:showCatName val="0"/>
          <c:showSerName val="0"/>
          <c:showPercent val="0"/>
          <c:showBubbleSize val="0"/>
        </c:dLbls>
        <c:axId val="149723776"/>
        <c:axId val="151683456"/>
      </c:areaChart>
      <c:lineChart>
        <c:grouping val="standard"/>
        <c:varyColors val="0"/>
        <c:ser>
          <c:idx val="0"/>
          <c:order val="21"/>
          <c:tx>
            <c:strRef>
              <c:f>Sheet1!$B$24</c:f>
              <c:strCache>
                <c:ptCount val="1"/>
                <c:pt idx="0">
                  <c:v>RH</c:v>
                </c:pt>
              </c:strCache>
            </c:strRef>
          </c:tx>
          <c:spPr>
            <a:ln w="28575" cap="rnd">
              <a:solidFill>
                <a:schemeClr val="accent1"/>
              </a:solidFill>
              <a:round/>
            </a:ln>
            <a:effectLst/>
          </c:spPr>
          <c:marker>
            <c:symbol val="none"/>
          </c:marker>
          <c:dLbls>
            <c:dLbl>
              <c:idx val="0"/>
              <c:layout>
                <c:manualLayout>
                  <c:x val="-1.2752391073326262E-2"/>
                  <c:y val="-0.163902388660683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338-42F5-9746-39CDEDADA95D}"/>
                </c:ext>
              </c:extLst>
            </c:dLbl>
            <c:dLbl>
              <c:idx val="1"/>
              <c:delete val="1"/>
              <c:extLst>
                <c:ext xmlns:c15="http://schemas.microsoft.com/office/drawing/2012/chart" uri="{CE6537A1-D6FC-4f65-9D91-7224C49458BB}"/>
                <c:ext xmlns:c16="http://schemas.microsoft.com/office/drawing/2014/chart" uri="{C3380CC4-5D6E-409C-BE32-E72D297353CC}">
                  <c16:uniqueId val="{00000016-E338-42F5-9746-39CDEDADA95D}"/>
                </c:ext>
              </c:extLst>
            </c:dLbl>
            <c:dLbl>
              <c:idx val="2"/>
              <c:delete val="1"/>
              <c:extLst>
                <c:ext xmlns:c15="http://schemas.microsoft.com/office/drawing/2012/chart" uri="{CE6537A1-D6FC-4f65-9D91-7224C49458BB}"/>
                <c:ext xmlns:c16="http://schemas.microsoft.com/office/drawing/2014/chart" uri="{C3380CC4-5D6E-409C-BE32-E72D297353CC}">
                  <c16:uniqueId val="{00000017-E338-42F5-9746-39CDEDADA95D}"/>
                </c:ext>
              </c:extLst>
            </c:dLbl>
            <c:dLbl>
              <c:idx val="3"/>
              <c:delete val="1"/>
              <c:extLst>
                <c:ext xmlns:c15="http://schemas.microsoft.com/office/drawing/2012/chart" uri="{CE6537A1-D6FC-4f65-9D91-7224C49458BB}"/>
                <c:ext xmlns:c16="http://schemas.microsoft.com/office/drawing/2014/chart" uri="{C3380CC4-5D6E-409C-BE32-E72D297353CC}">
                  <c16:uniqueId val="{00000018-E338-42F5-9746-39CDEDADA95D}"/>
                </c:ext>
              </c:extLst>
            </c:dLbl>
            <c:dLbl>
              <c:idx val="4"/>
              <c:delete val="1"/>
              <c:extLst>
                <c:ext xmlns:c15="http://schemas.microsoft.com/office/drawing/2012/chart" uri="{CE6537A1-D6FC-4f65-9D91-7224C49458BB}"/>
                <c:ext xmlns:c16="http://schemas.microsoft.com/office/drawing/2014/chart" uri="{C3380CC4-5D6E-409C-BE32-E72D297353CC}">
                  <c16:uniqueId val="{00000019-E338-42F5-9746-39CDEDADA95D}"/>
                </c:ext>
              </c:extLst>
            </c:dLbl>
            <c:dLbl>
              <c:idx val="5"/>
              <c:delete val="1"/>
              <c:extLst>
                <c:ext xmlns:c15="http://schemas.microsoft.com/office/drawing/2012/chart" uri="{CE6537A1-D6FC-4f65-9D91-7224C49458BB}"/>
                <c:ext xmlns:c16="http://schemas.microsoft.com/office/drawing/2014/chart" uri="{C3380CC4-5D6E-409C-BE32-E72D297353CC}">
                  <c16:uniqueId val="{0000001A-E338-42F5-9746-39CDEDADA95D}"/>
                </c:ext>
              </c:extLst>
            </c:dLbl>
            <c:dLbl>
              <c:idx val="6"/>
              <c:delete val="1"/>
              <c:extLst>
                <c:ext xmlns:c15="http://schemas.microsoft.com/office/drawing/2012/chart" uri="{CE6537A1-D6FC-4f65-9D91-7224C49458BB}"/>
                <c:ext xmlns:c16="http://schemas.microsoft.com/office/drawing/2014/chart" uri="{C3380CC4-5D6E-409C-BE32-E72D297353CC}">
                  <c16:uniqueId val="{0000001B-E338-42F5-9746-39CDEDADA95D}"/>
                </c:ext>
              </c:extLst>
            </c:dLbl>
            <c:dLbl>
              <c:idx val="7"/>
              <c:delete val="1"/>
              <c:extLst>
                <c:ext xmlns:c15="http://schemas.microsoft.com/office/drawing/2012/chart" uri="{CE6537A1-D6FC-4f65-9D91-7224C49458BB}"/>
                <c:ext xmlns:c16="http://schemas.microsoft.com/office/drawing/2014/chart" uri="{C3380CC4-5D6E-409C-BE32-E72D297353CC}">
                  <c16:uniqueId val="{0000001C-E338-42F5-9746-39CDEDADA95D}"/>
                </c:ext>
              </c:extLst>
            </c:dLbl>
            <c:dLbl>
              <c:idx val="8"/>
              <c:delete val="1"/>
              <c:extLst>
                <c:ext xmlns:c15="http://schemas.microsoft.com/office/drawing/2012/chart" uri="{CE6537A1-D6FC-4f65-9D91-7224C49458BB}"/>
                <c:ext xmlns:c16="http://schemas.microsoft.com/office/drawing/2014/chart" uri="{C3380CC4-5D6E-409C-BE32-E72D297353CC}">
                  <c16:uniqueId val="{0000001D-E338-42F5-9746-39CDEDADA95D}"/>
                </c:ext>
              </c:extLst>
            </c:dLbl>
            <c:dLbl>
              <c:idx val="9"/>
              <c:layout>
                <c:manualLayout>
                  <c:x val="-6.0130577006931224E-2"/>
                  <c:y val="-7.97569534577408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338-42F5-9746-39CDEDADA95D}"/>
                </c:ext>
              </c:extLst>
            </c:dLbl>
            <c:dLbl>
              <c:idx val="10"/>
              <c:delete val="1"/>
              <c:extLst>
                <c:ext xmlns:c15="http://schemas.microsoft.com/office/drawing/2012/chart" uri="{CE6537A1-D6FC-4f65-9D91-7224C49458BB}"/>
                <c:ext xmlns:c16="http://schemas.microsoft.com/office/drawing/2014/chart" uri="{C3380CC4-5D6E-409C-BE32-E72D297353CC}">
                  <c16:uniqueId val="{0000001F-E338-42F5-9746-39CDEDADA95D}"/>
                </c:ext>
              </c:extLst>
            </c:dLbl>
            <c:dLbl>
              <c:idx val="11"/>
              <c:delete val="1"/>
              <c:extLst>
                <c:ext xmlns:c15="http://schemas.microsoft.com/office/drawing/2012/chart" uri="{CE6537A1-D6FC-4f65-9D91-7224C49458BB}"/>
                <c:ext xmlns:c16="http://schemas.microsoft.com/office/drawing/2014/chart" uri="{C3380CC4-5D6E-409C-BE32-E72D297353CC}">
                  <c16:uniqueId val="{00000020-E338-42F5-9746-39CDEDADA95D}"/>
                </c:ext>
              </c:extLst>
            </c:dLbl>
            <c:dLbl>
              <c:idx val="12"/>
              <c:delete val="1"/>
              <c:extLst>
                <c:ext xmlns:c15="http://schemas.microsoft.com/office/drawing/2012/chart" uri="{CE6537A1-D6FC-4f65-9D91-7224C49458BB}"/>
                <c:ext xmlns:c16="http://schemas.microsoft.com/office/drawing/2014/chart" uri="{C3380CC4-5D6E-409C-BE32-E72D297353CC}">
                  <c16:uniqueId val="{00000021-E338-42F5-9746-39CDEDADA95D}"/>
                </c:ext>
              </c:extLst>
            </c:dLbl>
            <c:dLbl>
              <c:idx val="13"/>
              <c:delete val="1"/>
              <c:extLst>
                <c:ext xmlns:c15="http://schemas.microsoft.com/office/drawing/2012/chart" uri="{CE6537A1-D6FC-4f65-9D91-7224C49458BB}"/>
                <c:ext xmlns:c16="http://schemas.microsoft.com/office/drawing/2014/chart" uri="{C3380CC4-5D6E-409C-BE32-E72D297353CC}">
                  <c16:uniqueId val="{00000022-E338-42F5-9746-39CDEDADA95D}"/>
                </c:ext>
              </c:extLst>
            </c:dLbl>
            <c:dLbl>
              <c:idx val="14"/>
              <c:delete val="1"/>
              <c:extLst>
                <c:ext xmlns:c15="http://schemas.microsoft.com/office/drawing/2012/chart" uri="{CE6537A1-D6FC-4f65-9D91-7224C49458BB}"/>
                <c:ext xmlns:c16="http://schemas.microsoft.com/office/drawing/2014/chart" uri="{C3380CC4-5D6E-409C-BE32-E72D297353CC}">
                  <c16:uniqueId val="{00000023-E338-42F5-9746-39CDEDADA95D}"/>
                </c:ext>
              </c:extLst>
            </c:dLbl>
            <c:dLbl>
              <c:idx val="15"/>
              <c:delete val="1"/>
              <c:extLst>
                <c:ext xmlns:c15="http://schemas.microsoft.com/office/drawing/2012/chart" uri="{CE6537A1-D6FC-4f65-9D91-7224C49458BB}"/>
                <c:ext xmlns:c16="http://schemas.microsoft.com/office/drawing/2014/chart" uri="{C3380CC4-5D6E-409C-BE32-E72D297353CC}">
                  <c16:uniqueId val="{00000024-E338-42F5-9746-39CDEDADA95D}"/>
                </c:ext>
              </c:extLst>
            </c:dLbl>
            <c:dLbl>
              <c:idx val="16"/>
              <c:delete val="1"/>
              <c:extLst>
                <c:ext xmlns:c15="http://schemas.microsoft.com/office/drawing/2012/chart" uri="{CE6537A1-D6FC-4f65-9D91-7224C49458BB}"/>
                <c:ext xmlns:c16="http://schemas.microsoft.com/office/drawing/2014/chart" uri="{C3380CC4-5D6E-409C-BE32-E72D297353CC}">
                  <c16:uniqueId val="{00000025-E338-42F5-9746-39CDEDADA95D}"/>
                </c:ext>
              </c:extLst>
            </c:dLbl>
            <c:dLbl>
              <c:idx val="17"/>
              <c:delete val="1"/>
              <c:extLst>
                <c:ext xmlns:c15="http://schemas.microsoft.com/office/drawing/2012/chart" uri="{CE6537A1-D6FC-4f65-9D91-7224C49458BB}"/>
                <c:ext xmlns:c16="http://schemas.microsoft.com/office/drawing/2014/chart" uri="{C3380CC4-5D6E-409C-BE32-E72D297353CC}">
                  <c16:uniqueId val="{00000026-E338-42F5-9746-39CDEDADA95D}"/>
                </c:ext>
              </c:extLst>
            </c:dLbl>
            <c:dLbl>
              <c:idx val="18"/>
              <c:delete val="1"/>
              <c:extLst>
                <c:ext xmlns:c15="http://schemas.microsoft.com/office/drawing/2012/chart" uri="{CE6537A1-D6FC-4f65-9D91-7224C49458BB}"/>
                <c:ext xmlns:c16="http://schemas.microsoft.com/office/drawing/2014/chart" uri="{C3380CC4-5D6E-409C-BE32-E72D297353CC}">
                  <c16:uniqueId val="{00000027-E338-42F5-9746-39CDEDADA95D}"/>
                </c:ext>
              </c:extLst>
            </c:dLbl>
            <c:dLbl>
              <c:idx val="19"/>
              <c:layout>
                <c:manualLayout>
                  <c:x val="-8.9266737513283692E-2"/>
                  <c:y val="-0.1170731347576309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338-42F5-9746-39CDEDADA95D}"/>
                </c:ext>
              </c:extLst>
            </c:dLbl>
            <c:dLbl>
              <c:idx val="20"/>
              <c:delete val="1"/>
              <c:extLst>
                <c:ext xmlns:c15="http://schemas.microsoft.com/office/drawing/2012/chart" uri="{CE6537A1-D6FC-4f65-9D91-7224C49458BB}"/>
                <c:ext xmlns:c16="http://schemas.microsoft.com/office/drawing/2014/chart" uri="{C3380CC4-5D6E-409C-BE32-E72D297353CC}">
                  <c16:uniqueId val="{00000029-E338-42F5-9746-39CDEDADA95D}"/>
                </c:ext>
              </c:extLst>
            </c:dLbl>
            <c:dLbl>
              <c:idx val="21"/>
              <c:delete val="1"/>
              <c:extLst>
                <c:ext xmlns:c15="http://schemas.microsoft.com/office/drawing/2012/chart" uri="{CE6537A1-D6FC-4f65-9D91-7224C49458BB}"/>
                <c:ext xmlns:c16="http://schemas.microsoft.com/office/drawing/2014/chart" uri="{C3380CC4-5D6E-409C-BE32-E72D297353CC}">
                  <c16:uniqueId val="{0000002A-E338-42F5-9746-39CDEDADA95D}"/>
                </c:ext>
              </c:extLst>
            </c:dLbl>
            <c:dLbl>
              <c:idx val="22"/>
              <c:delete val="1"/>
              <c:extLst>
                <c:ext xmlns:c15="http://schemas.microsoft.com/office/drawing/2012/chart" uri="{CE6537A1-D6FC-4f65-9D91-7224C49458BB}"/>
                <c:ext xmlns:c16="http://schemas.microsoft.com/office/drawing/2014/chart" uri="{C3380CC4-5D6E-409C-BE32-E72D297353CC}">
                  <c16:uniqueId val="{0000002B-E338-42F5-9746-39CDEDADA95D}"/>
                </c:ext>
              </c:extLst>
            </c:dLbl>
            <c:dLbl>
              <c:idx val="23"/>
              <c:delete val="1"/>
              <c:extLst>
                <c:ext xmlns:c15="http://schemas.microsoft.com/office/drawing/2012/chart" uri="{CE6537A1-D6FC-4f65-9D91-7224C49458BB}"/>
                <c:ext xmlns:c16="http://schemas.microsoft.com/office/drawing/2014/chart" uri="{C3380CC4-5D6E-409C-BE32-E72D297353CC}">
                  <c16:uniqueId val="{0000002C-E338-42F5-9746-39CDEDADA95D}"/>
                </c:ext>
              </c:extLst>
            </c:dLbl>
            <c:dLbl>
              <c:idx val="24"/>
              <c:delete val="1"/>
              <c:extLst>
                <c:ext xmlns:c15="http://schemas.microsoft.com/office/drawing/2012/chart" uri="{CE6537A1-D6FC-4f65-9D91-7224C49458BB}"/>
                <c:ext xmlns:c16="http://schemas.microsoft.com/office/drawing/2014/chart" uri="{C3380CC4-5D6E-409C-BE32-E72D297353CC}">
                  <c16:uniqueId val="{0000002D-E338-42F5-9746-39CDEDADA95D}"/>
                </c:ext>
              </c:extLst>
            </c:dLbl>
            <c:dLbl>
              <c:idx val="25"/>
              <c:delete val="1"/>
              <c:extLst>
                <c:ext xmlns:c15="http://schemas.microsoft.com/office/drawing/2012/chart" uri="{CE6537A1-D6FC-4f65-9D91-7224C49458BB}"/>
                <c:ext xmlns:c16="http://schemas.microsoft.com/office/drawing/2014/chart" uri="{C3380CC4-5D6E-409C-BE32-E72D297353CC}">
                  <c16:uniqueId val="{0000002E-E338-42F5-9746-39CDEDADA95D}"/>
                </c:ext>
              </c:extLst>
            </c:dLbl>
            <c:dLbl>
              <c:idx val="26"/>
              <c:delete val="1"/>
              <c:extLst>
                <c:ext xmlns:c15="http://schemas.microsoft.com/office/drawing/2012/chart" uri="{CE6537A1-D6FC-4f65-9D91-7224C49458BB}"/>
                <c:ext xmlns:c16="http://schemas.microsoft.com/office/drawing/2014/chart" uri="{C3380CC4-5D6E-409C-BE32-E72D297353CC}">
                  <c16:uniqueId val="{0000002F-E338-42F5-9746-39CDEDADA95D}"/>
                </c:ext>
              </c:extLst>
            </c:dLbl>
            <c:dLbl>
              <c:idx val="27"/>
              <c:delete val="1"/>
              <c:extLst>
                <c:ext xmlns:c15="http://schemas.microsoft.com/office/drawing/2012/chart" uri="{CE6537A1-D6FC-4f65-9D91-7224C49458BB}"/>
                <c:ext xmlns:c16="http://schemas.microsoft.com/office/drawing/2014/chart" uri="{C3380CC4-5D6E-409C-BE32-E72D297353CC}">
                  <c16:uniqueId val="{00000030-E338-42F5-9746-39CDEDADA95D}"/>
                </c:ext>
              </c:extLst>
            </c:dLbl>
            <c:dLbl>
              <c:idx val="28"/>
              <c:delete val="1"/>
              <c:extLst>
                <c:ext xmlns:c15="http://schemas.microsoft.com/office/drawing/2012/chart" uri="{CE6537A1-D6FC-4f65-9D91-7224C49458BB}"/>
                <c:ext xmlns:c16="http://schemas.microsoft.com/office/drawing/2014/chart" uri="{C3380CC4-5D6E-409C-BE32-E72D297353CC}">
                  <c16:uniqueId val="{00000031-E338-42F5-9746-39CDEDADA95D}"/>
                </c:ext>
              </c:extLst>
            </c:dLbl>
            <c:dLbl>
              <c:idx val="29"/>
              <c:layout>
                <c:manualLayout>
                  <c:x val="-0.12558945686632028"/>
                  <c:y val="-4.694124772864929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338-42F5-9746-39CDEDADA95D}"/>
                </c:ext>
              </c:extLst>
            </c:dLbl>
            <c:dLbl>
              <c:idx val="30"/>
              <c:delete val="1"/>
              <c:extLst>
                <c:ext xmlns:c15="http://schemas.microsoft.com/office/drawing/2012/chart" uri="{CE6537A1-D6FC-4f65-9D91-7224C49458BB}"/>
                <c:ext xmlns:c16="http://schemas.microsoft.com/office/drawing/2014/chart" uri="{C3380CC4-5D6E-409C-BE32-E72D297353CC}">
                  <c16:uniqueId val="{00000033-E338-42F5-9746-39CDEDADA95D}"/>
                </c:ext>
              </c:extLst>
            </c:dLbl>
            <c:dLbl>
              <c:idx val="31"/>
              <c:delete val="1"/>
              <c:extLst>
                <c:ext xmlns:c15="http://schemas.microsoft.com/office/drawing/2012/chart" uri="{CE6537A1-D6FC-4f65-9D91-7224C49458BB}"/>
                <c:ext xmlns:c16="http://schemas.microsoft.com/office/drawing/2014/chart" uri="{C3380CC4-5D6E-409C-BE32-E72D297353CC}">
                  <c16:uniqueId val="{00000034-E338-42F5-9746-39CDEDADA95D}"/>
                </c:ext>
              </c:extLst>
            </c:dLbl>
            <c:dLbl>
              <c:idx val="32"/>
              <c:delete val="1"/>
              <c:extLst>
                <c:ext xmlns:c15="http://schemas.microsoft.com/office/drawing/2012/chart" uri="{CE6537A1-D6FC-4f65-9D91-7224C49458BB}"/>
                <c:ext xmlns:c16="http://schemas.microsoft.com/office/drawing/2014/chart" uri="{C3380CC4-5D6E-409C-BE32-E72D297353CC}">
                  <c16:uniqueId val="{00000035-E338-42F5-9746-39CDEDADA95D}"/>
                </c:ext>
              </c:extLst>
            </c:dLbl>
            <c:dLbl>
              <c:idx val="33"/>
              <c:delete val="1"/>
              <c:extLst>
                <c:ext xmlns:c15="http://schemas.microsoft.com/office/drawing/2012/chart" uri="{CE6537A1-D6FC-4f65-9D91-7224C49458BB}"/>
                <c:ext xmlns:c16="http://schemas.microsoft.com/office/drawing/2014/chart" uri="{C3380CC4-5D6E-409C-BE32-E72D297353CC}">
                  <c16:uniqueId val="{00000036-E338-42F5-9746-39CDEDADA95D}"/>
                </c:ext>
              </c:extLst>
            </c:dLbl>
            <c:dLbl>
              <c:idx val="34"/>
              <c:delete val="1"/>
              <c:extLst>
                <c:ext xmlns:c15="http://schemas.microsoft.com/office/drawing/2012/chart" uri="{CE6537A1-D6FC-4f65-9D91-7224C49458BB}"/>
                <c:ext xmlns:c16="http://schemas.microsoft.com/office/drawing/2014/chart" uri="{C3380CC4-5D6E-409C-BE32-E72D297353CC}">
                  <c16:uniqueId val="{00000037-E338-42F5-9746-39CDEDADA95D}"/>
                </c:ext>
              </c:extLst>
            </c:dLbl>
            <c:dLbl>
              <c:idx val="35"/>
              <c:delete val="1"/>
              <c:extLst>
                <c:ext xmlns:c15="http://schemas.microsoft.com/office/drawing/2012/chart" uri="{CE6537A1-D6FC-4f65-9D91-7224C49458BB}"/>
                <c:ext xmlns:c16="http://schemas.microsoft.com/office/drawing/2014/chart" uri="{C3380CC4-5D6E-409C-BE32-E72D297353CC}">
                  <c16:uniqueId val="{00000038-E338-42F5-9746-39CDEDADA95D}"/>
                </c:ext>
              </c:extLst>
            </c:dLbl>
            <c:dLbl>
              <c:idx val="36"/>
              <c:delete val="1"/>
              <c:extLst>
                <c:ext xmlns:c15="http://schemas.microsoft.com/office/drawing/2012/chart" uri="{CE6537A1-D6FC-4f65-9D91-7224C49458BB}"/>
                <c:ext xmlns:c16="http://schemas.microsoft.com/office/drawing/2014/chart" uri="{C3380CC4-5D6E-409C-BE32-E72D297353CC}">
                  <c16:uniqueId val="{00000039-E338-42F5-9746-39CDEDADA95D}"/>
                </c:ext>
              </c:extLst>
            </c:dLbl>
            <c:dLbl>
              <c:idx val="37"/>
              <c:delete val="1"/>
              <c:extLst>
                <c:ext xmlns:c15="http://schemas.microsoft.com/office/drawing/2012/chart" uri="{CE6537A1-D6FC-4f65-9D91-7224C49458BB}"/>
                <c:ext xmlns:c16="http://schemas.microsoft.com/office/drawing/2014/chart" uri="{C3380CC4-5D6E-409C-BE32-E72D297353CC}">
                  <c16:uniqueId val="{0000003A-E338-42F5-9746-39CDEDADA95D}"/>
                </c:ext>
              </c:extLst>
            </c:dLbl>
            <c:dLbl>
              <c:idx val="38"/>
              <c:delete val="1"/>
              <c:extLst>
                <c:ext xmlns:c15="http://schemas.microsoft.com/office/drawing/2012/chart" uri="{CE6537A1-D6FC-4f65-9D91-7224C49458BB}"/>
                <c:ext xmlns:c16="http://schemas.microsoft.com/office/drawing/2014/chart" uri="{C3380CC4-5D6E-409C-BE32-E72D297353CC}">
                  <c16:uniqueId val="{0000003B-E338-42F5-9746-39CDEDADA95D}"/>
                </c:ext>
              </c:extLst>
            </c:dLbl>
            <c:dLbl>
              <c:idx val="39"/>
              <c:layout>
                <c:manualLayout>
                  <c:x val="-1.7003188097768331E-2"/>
                  <c:y val="-5.72357547703973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C-E338-42F5-9746-39CDEDADA95D}"/>
                </c:ext>
              </c:extLst>
            </c:dLbl>
            <c:numFmt formatCode="#,##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Sheet1!$D$2:$AQ$2</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Sheet1!$D$24:$AQ$24</c:f>
              <c:numCache>
                <c:formatCode>_-* #,##0\ _k_n_-;\-* #,##0\ _k_n_-;_-* "-"??\ _k_n_-;_-@_-</c:formatCode>
                <c:ptCount val="40"/>
                <c:pt idx="0">
                  <c:v>121125768</c:v>
                </c:pt>
                <c:pt idx="1">
                  <c:v>122056845.24982113</c:v>
                </c:pt>
                <c:pt idx="2">
                  <c:v>122727101.0334221</c:v>
                </c:pt>
                <c:pt idx="3">
                  <c:v>123277018.31339706</c:v>
                </c:pt>
                <c:pt idx="4">
                  <c:v>123784831.53935899</c:v>
                </c:pt>
                <c:pt idx="5">
                  <c:v>124256297.33759734</c:v>
                </c:pt>
                <c:pt idx="6">
                  <c:v>124901113.74528849</c:v>
                </c:pt>
                <c:pt idx="7">
                  <c:v>127041043.48341642</c:v>
                </c:pt>
                <c:pt idx="8">
                  <c:v>128000968.69756559</c:v>
                </c:pt>
                <c:pt idx="9">
                  <c:v>128960893.91171476</c:v>
                </c:pt>
                <c:pt idx="10">
                  <c:v>129920819.125864</c:v>
                </c:pt>
                <c:pt idx="11">
                  <c:v>130880744.34001312</c:v>
                </c:pt>
                <c:pt idx="12">
                  <c:v>131840669.55416235</c:v>
                </c:pt>
                <c:pt idx="13">
                  <c:v>132800594.76831155</c:v>
                </c:pt>
                <c:pt idx="14">
                  <c:v>133760519.98246071</c:v>
                </c:pt>
                <c:pt idx="15">
                  <c:v>134720445.19660988</c:v>
                </c:pt>
                <c:pt idx="16">
                  <c:v>135680370.41075912</c:v>
                </c:pt>
                <c:pt idx="17">
                  <c:v>136640295.62490821</c:v>
                </c:pt>
                <c:pt idx="18">
                  <c:v>137600220.83905745</c:v>
                </c:pt>
                <c:pt idx="19">
                  <c:v>138560146.05320668</c:v>
                </c:pt>
                <c:pt idx="20">
                  <c:v>139520071.26735577</c:v>
                </c:pt>
                <c:pt idx="21">
                  <c:v>140479996.48150501</c:v>
                </c:pt>
                <c:pt idx="22">
                  <c:v>141439921.69565421</c:v>
                </c:pt>
                <c:pt idx="23">
                  <c:v>142399846.90980333</c:v>
                </c:pt>
                <c:pt idx="24">
                  <c:v>143359772.12395257</c:v>
                </c:pt>
                <c:pt idx="25">
                  <c:v>144319697.33810174</c:v>
                </c:pt>
                <c:pt idx="26">
                  <c:v>145279622.55225098</c:v>
                </c:pt>
                <c:pt idx="27">
                  <c:v>146239547.76640016</c:v>
                </c:pt>
                <c:pt idx="28">
                  <c:v>147199472.98054934</c:v>
                </c:pt>
                <c:pt idx="29">
                  <c:v>148159398.19469854</c:v>
                </c:pt>
                <c:pt idx="30">
                  <c:v>149119323.40884763</c:v>
                </c:pt>
                <c:pt idx="31">
                  <c:v>150079248.62299687</c:v>
                </c:pt>
                <c:pt idx="32">
                  <c:v>151039173.83714604</c:v>
                </c:pt>
                <c:pt idx="33">
                  <c:v>151999099.05129519</c:v>
                </c:pt>
                <c:pt idx="34">
                  <c:v>152959024.26544446</c:v>
                </c:pt>
                <c:pt idx="35">
                  <c:v>153918949.47959366</c:v>
                </c:pt>
                <c:pt idx="36">
                  <c:v>154878874.69374275</c:v>
                </c:pt>
                <c:pt idx="37">
                  <c:v>155838799.90789199</c:v>
                </c:pt>
                <c:pt idx="38">
                  <c:v>156798725.12204123</c:v>
                </c:pt>
                <c:pt idx="39">
                  <c:v>158039073.50504971</c:v>
                </c:pt>
              </c:numCache>
            </c:numRef>
          </c:val>
          <c:smooth val="0"/>
          <c:extLst>
            <c:ext xmlns:c16="http://schemas.microsoft.com/office/drawing/2014/chart" uri="{C3380CC4-5D6E-409C-BE32-E72D297353CC}">
              <c16:uniqueId val="{0000003D-E338-42F5-9746-39CDEDADA95D}"/>
            </c:ext>
          </c:extLst>
        </c:ser>
        <c:dLbls>
          <c:showLegendKey val="0"/>
          <c:showVal val="0"/>
          <c:showCatName val="0"/>
          <c:showSerName val="0"/>
          <c:showPercent val="0"/>
          <c:showBubbleSize val="0"/>
        </c:dLbls>
        <c:marker val="1"/>
        <c:smooth val="0"/>
        <c:axId val="149723776"/>
        <c:axId val="151683456"/>
      </c:lineChart>
      <c:catAx>
        <c:axId val="149723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1683456"/>
        <c:crosses val="autoZero"/>
        <c:auto val="1"/>
        <c:lblAlgn val="ctr"/>
        <c:lblOffset val="100"/>
        <c:noMultiLvlLbl val="0"/>
      </c:catAx>
      <c:valAx>
        <c:axId val="151683456"/>
        <c:scaling>
          <c:orientation val="minMax"/>
        </c:scaling>
        <c:delete val="0"/>
        <c:axPos val="l"/>
        <c:majorGridlines>
          <c:spPr>
            <a:ln w="9525" cap="flat" cmpd="sng" algn="ctr">
              <a:solidFill>
                <a:schemeClr val="tx1">
                  <a:lumMod val="15000"/>
                  <a:lumOff val="85000"/>
                </a:schemeClr>
              </a:solidFill>
              <a:round/>
            </a:ln>
            <a:effectLst/>
          </c:spPr>
        </c:majorGridlines>
        <c:numFmt formatCode="_-* #,##0\ _k_n_-;\-* #,##0\ _k_n_-;_-* &quot;-&quot;??\ _k_n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972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19.01.2020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F0A549E4FF9947A25B4B77C27EACDF" ma:contentTypeVersion="11" ma:contentTypeDescription="Create a new document." ma:contentTypeScope="" ma:versionID="18548f3cf28a5fffa0db973199be76e8">
  <xsd:schema xmlns:xsd="http://www.w3.org/2001/XMLSchema" xmlns:xs="http://www.w3.org/2001/XMLSchema" xmlns:p="http://schemas.microsoft.com/office/2006/metadata/properties" xmlns:ns3="bf0a1b3b-433a-4b41-abf4-c2b3d6d8b928" xmlns:ns4="a664fe95-06c9-49a5-a4e2-a3e0e88a01bc" targetNamespace="http://schemas.microsoft.com/office/2006/metadata/properties" ma:root="true" ma:fieldsID="e7d950c0245d0b409347f7787ac29c6c" ns3:_="" ns4:_="">
    <xsd:import namespace="bf0a1b3b-433a-4b41-abf4-c2b3d6d8b928"/>
    <xsd:import namespace="a664fe95-06c9-49a5-a4e2-a3e0e88a01b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a1b3b-433a-4b41-abf4-c2b3d6d8b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64fe95-06c9-49a5-a4e2-a3e0e88a01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XSL" StyleName="ISO 690 - First Element and Date" Version="1987">
  <b:Source>
    <b:Tag>DMi19</b:Tag>
    <b:SourceType>Report</b:SourceType>
    <b:Guid>{BEC92777-8889-4A85-8ECD-17D72C827AD5}</b:Guid>
    <b:Title>Valorizacija ekonomskih učinaka programa usmjerenih na smanjenje potrošnje energije u zgradama javnog sektora i stambenim zgradama</b:Title>
    <b:Year>2019</b:Year>
    <b:City>Zagreb</b:City>
    <b:LCID>hr-HR</b:LCID>
    <b:Author>
      <b:Author>
        <b:NameList>
          <b:Person>
            <b:Last>D.</b:Last>
            <b:First>Mikulić</b:First>
          </b:Person>
          <b:Person>
            <b:Last>G.</b:Last>
            <b:First>Buturac</b:First>
          </b:Person>
          <b:Person>
            <b:Last>Ž.</b:Last>
            <b:First>Lovrinčević</b:First>
          </b:Person>
          <b:Person>
            <b:Last>S.</b:Last>
            <b:First>Slijepčević</b:First>
          </b:Person>
          <b:Person>
            <b:Last>D.</b:Last>
            <b:First>Keček</b:First>
          </b:Person>
        </b:NameList>
      </b:Author>
    </b:Author>
    <b:RefOrder>22</b:RefOrder>
  </b:Source>
  <b:Source>
    <b:Tag>EIZ19</b:Tag>
    <b:SourceType>Report</b:SourceType>
    <b:Guid>{B53E74AB-9A29-43BA-A222-E1758B130F43}</b:Guid>
    <b:Author>
      <b:Author>
        <b:Corporate>Sveučilište u Zagrebu Ekonomski fakultet Zagreb</b:Corporate>
      </b:Author>
    </b:Author>
    <b:Title>Procjena makroekonomskih učinaka politika i mjera Integriranog nacionalnog energetskog i klimatskog plana Republike Hrvatske”</b:Title>
    <b:Year>2019.</b:Year>
    <b:City>Zagreb</b:City>
    <b:RefOrder>25</b:RefOrder>
  </b:Source>
  <b:Source>
    <b:Tag>MGI18</b:Tag>
    <b:SourceType>Report</b:SourceType>
    <b:Guid>{19AD909E-8AB1-4293-B7F9-C8DB3FAF3899}</b:Guid>
    <b:Author>
      <b:Author>
        <b:Corporate>MGIPU</b:Corporate>
      </b:Author>
    </b:Author>
    <b:Title>Program poticanja gradnje novih i obnavljanja postojećih zgrada do standarda gotovo nulte energije</b:Title>
    <b:Year>2018</b:Year>
    <b:Publisher>Republika Hrvatska, Ministarstvo graditeljstva i prostornoga uređenja</b:Publisher>
    <b:City>Zagreb</b:City>
    <b:RefOrder>16</b:RefOrder>
  </b:Source>
  <b:Source>
    <b:Tag>MGI19</b:Tag>
    <b:SourceType>Report</b:SourceType>
    <b:Guid>{CF7A777B-BD38-4F36-98E1-A30D17AA7B84}</b:Guid>
    <b:Author>
      <b:Author>
        <b:Corporate>MGIPU</b:Corporate>
      </b:Author>
    </b:Author>
    <b:Title>Dugoročna strategija za poticanje ulaganja u obnovu nacionalnog fonda zgrada Republike Hrvatske</b:Title>
    <b:Year>2019</b:Year>
    <b:Publisher>Republika Hrvatska, Ministarstvo graditeljstva i prostornoga uređenja </b:Publisher>
    <b:City>Zagreb</b:City>
    <b:RefOrder>4</b:RefOrder>
  </b:Source>
  <b:Source>
    <b:Tag>MGI14</b:Tag>
    <b:SourceType>Report</b:SourceType>
    <b:Guid>{D4E0372E-9E7C-46B0-BCFF-AB1A987883DC}</b:Guid>
    <b:Author>
      <b:Author>
        <b:Corporate>MGIPU</b:Corporate>
      </b:Author>
    </b:Author>
    <b:Title>Plan za povećanje broja zgrada gotovo nulte energije do 2020. godine</b:Title>
    <b:Year>2014</b:Year>
    <b:Publisher>Republika Hrvatska, Minsitarstvo gradieljstva i prostornoga uređenja</b:Publisher>
    <b:URL>http://www.mgipu.hr/doc/Propisi/PLAN_PBZ_0_energije_do_2020.pdf</b:URL>
    <b:RefOrder>6</b:RefOrder>
  </b:Source>
  <b:Source>
    <b:Tag>Nac</b:Tag>
    <b:SourceType>Report</b:SourceType>
    <b:Guid>{1C243B8C-873C-4181-B51D-CE0BD4C9D043}</b:Guid>
    <b:Title>Nacionalni program energetske učinkovitosti za razdoblje 2008.-2016. godine</b:Title>
    <b:Author>
      <b:Author>
        <b:NameList>
          <b:Person>
            <b:Last>MINGO</b:Last>
          </b:Person>
        </b:NameList>
      </b:Author>
    </b:Author>
    <b:Year>2010</b:Year>
    <b:Publisher>Republika Hrvatska, Ministarstvo gospodarstva</b:Publisher>
    <b:City>Zagreb</b:City>
    <b:RefOrder>7</b:RefOrder>
  </b:Source>
  <b:Source>
    <b:Tag>MGI141</b:Tag>
    <b:SourceType>Report</b:SourceType>
    <b:Guid>{240F41EA-D33D-4BE2-930F-985F9DD5D716}</b:Guid>
    <b:Author>
      <b:Author>
        <b:Corporate>MGIPU</b:Corporate>
      </b:Author>
    </b:Author>
    <b:Title>Program energetske obnove obiteljskih kuća za razdoblje od 2014. do 2020. godine s detaljnim planom za razdoblje od 2014. do 2016. godine</b:Title>
    <b:Year>2014</b:Year>
    <b:Publisher>MGIPU</b:Publisher>
    <b:City>Zagreb</b:City>
    <b:RefOrder>8</b:RefOrder>
  </b:Source>
  <b:Source>
    <b:Tag>MGI142</b:Tag>
    <b:SourceType>Report</b:SourceType>
    <b:Guid>{6908398A-0A27-47C9-BC19-E1ABB301CD99}</b:Guid>
    <b:Author>
      <b:Author>
        <b:Corporate>MGIPU</b:Corporate>
      </b:Author>
    </b:Author>
    <b:Title>Program energetske obnove višestambenih zgrada za razdoblje od 2014. do 2020. godine s detaljnim planom za razdoblje od 2014. do 2016. godine</b:Title>
    <b:Year>2014</b:Year>
    <b:Publisher>MGIPU</b:Publisher>
    <b:City>Zagreb</b:City>
    <b:RefOrder>9</b:RefOrder>
  </b:Source>
  <b:Source>
    <b:Tag>MGI143</b:Tag>
    <b:SourceType>Report</b:SourceType>
    <b:Guid>{68221326-8593-429F-ACA3-7485B5062740}</b:Guid>
    <b:Author>
      <b:Author>
        <b:Corporate>MGIPU</b:Corporate>
      </b:Author>
    </b:Author>
    <b:Title>Program energetske obnove komercijalnih nestambenih zgrada za razdoblje od 2014. do 2020. godine s detaljnim planom energetske obnove komercijalnih nestambenih zgrada za razdoblje od 2014. do 2016.</b:Title>
    <b:Year>2014</b:Year>
    <b:Publisher>MGIPU</b:Publisher>
    <b:City>Zagreb</b:City>
    <b:RefOrder>10</b:RefOrder>
  </b:Source>
  <b:Source>
    <b:Tag>MGI171</b:Tag>
    <b:SourceType>Report</b:SourceType>
    <b:Guid>{B6B6E5F6-A33B-4740-8B8F-7F6D9CFF8254}</b:Guid>
    <b:Author>
      <b:Author>
        <b:Corporate>MGIPU</b:Corporate>
      </b:Author>
    </b:Author>
    <b:Title>Program energetske obnove zgrada javnog sektora za razdoblje od 2014. do 2015. godine</b:Title>
    <b:Year>2013</b:Year>
    <b:Publisher>MGIPU</b:Publisher>
    <b:City>Zagreb</b:City>
    <b:RefOrder>26</b:RefOrder>
  </b:Source>
  <b:Source>
    <b:Tag>MGI172</b:Tag>
    <b:SourceType>Report</b:SourceType>
    <b:Guid>{F1654380-4022-42F3-8DF4-F2285900D595}</b:Guid>
    <b:Author>
      <b:Author>
        <b:Corporate>MGIPU</b:Corporate>
      </b:Author>
    </b:Author>
    <b:Title>Program energetske obnove zgrada javnog sektora za razdoblje 2016. – 2020.</b:Title>
    <b:Year>2017</b:Year>
    <b:Publisher>MGIPU</b:Publisher>
    <b:City>Zagreb</b:City>
    <b:RefOrder>11</b:RefOrder>
  </b:Source>
  <b:Source>
    <b:Tag>MOR14</b:Tag>
    <b:SourceType>Report</b:SourceType>
    <b:Guid>{3D134519-2931-4829-AFE7-1EEF4AEDD00D}</b:Guid>
    <b:Author>
      <b:Author>
        <b:Corporate>MORH</b:Corporate>
      </b:Author>
    </b:Author>
    <b:Title>Dugoročni plan razvoja oružanih snaga Republike Hrvatske za razdoblje od 2015. do 2024. godine</b:Title>
    <b:Year>2014</b:Year>
    <b:Publisher>MORH</b:Publisher>
    <b:City>Zagreb</b:City>
    <b:RefOrder>13</b:RefOrder>
  </b:Source>
  <b:Source>
    <b:Tag>Drž11</b:Tag>
    <b:SourceType>Report</b:SourceType>
    <b:Guid>{C710C60A-8C39-4CC7-809D-FE28EAFE3419}</b:Guid>
    <b:Author>
      <b:Author>
        <b:Corporate>Državni zavod za statistiku</b:Corporate>
      </b:Author>
    </b:Author>
    <b:Title>Popis stanovništva, kućanstava i stanova 2011.</b:Title>
    <b:Year>2011</b:Year>
    <b:Publisher>DZS</b:Publisher>
    <b:City>Zagreb</b:City>
    <b:URL>https://www.dzs.hr/</b:URL>
    <b:RefOrder>15</b:RefOrder>
  </b:Source>
  <b:Source>
    <b:Tag>MGI173</b:Tag>
    <b:SourceType>ArticleInAPeriodical</b:SourceType>
    <b:Guid>{1D4F4C4A-7CFB-4CBC-9C04-4539074CF40B}</b:Guid>
    <b:Author>
      <b:Author>
        <b:Corporate>MGIPU</b:Corporate>
      </b:Author>
    </b:Author>
    <b:Title>Pravilnik o energetskom pregledu zgrade i energetskom certificiranju NN 88/17</b:Title>
    <b:Year>2017</b:Year>
    <b:Issue>88</b:Issue>
    <b:PeriodicalTitle>Narodne novine</b:PeriodicalTitle>
    <b:RefOrder>27</b:RefOrder>
  </b:Source>
  <b:Source>
    <b:Tag>Dir18</b:Tag>
    <b:SourceType>ArticleInAPeriodical</b:SourceType>
    <b:Guid>{5583CF7D-0B32-4B0B-B2BE-0C285A1B9526}</b:Guid>
    <b:Title>Direktiva (EU) 2018/844 Europskog parlamenta i Vijeća od 30. svibnja 2018. o o izmjeni Direktive 2010/31/EU o energetskim svojstvima zgrada i Direktive 2012/27/EU o energetskoj učinkovitosti</b:Title>
    <b:PeriodicalTitle>Službeni list Europske unije</b:PeriodicalTitle>
    <b:Year>2018</b:Year>
    <b:Edition>19.6.2018.</b:Edition>
    <b:RefOrder>1</b:RefOrder>
  </b:Source>
  <b:Source>
    <b:Tag>Zak19</b:Tag>
    <b:SourceType>ArticleInAPeriodical</b:SourceType>
    <b:Guid>{FBB096DA-7848-424F-8DAA-1329F905DA5E}</b:Guid>
    <b:Title>Zakon o gradnji</b:Title>
    <b:PeriodicalTitle>Narodne Novine</b:PeriodicalTitle>
    <b:Year>2019</b:Year>
    <b:Edition>153/13, 20/17, 39/19, 125/19</b:Edition>
    <b:RefOrder>2</b:RefOrder>
  </b:Source>
  <b:Source>
    <b:Tag>Pra19</b:Tag>
    <b:SourceType>ArticleInAPeriodical</b:SourceType>
    <b:Guid>{1B3E9FE9-A6E6-4813-9767-32E9D4DF188E}</b:Guid>
    <b:Title>Pravilnik o jednostavnim i drugim građevinama i radovima </b:Title>
    <b:PeriodicalTitle>Narodne novine</b:PeriodicalTitle>
    <b:Year>2019</b:Year>
    <b:Edition>112/2017, NN 34/2018, NN 36/2019, NN 98/2019 </b:Edition>
    <b:RefOrder>23</b:RefOrder>
  </b:Source>
  <b:Source>
    <b:Tag>Pro19</b:Tag>
    <b:SourceType>Report</b:SourceType>
    <b:Guid>{061E1534-0ED6-43D1-AA35-A385F7A49A49}</b:Guid>
    <b:Title>Program suzbijanja energetskog siromaštva koji uključuje korištenje obnovljivih izvora energije u stambenim zgradama na potpomognutim područjima i područjima posebne državne skrbi za razdoblje 2019. – 2021. godine</b:Title>
    <b:Year>2019</b:Year>
    <b:Publisher>MGIPU</b:Publisher>
    <b:City>Zagreb</b:City>
    <b:RefOrder>21</b:RefOrder>
  </b:Source>
  <b:Source>
    <b:Tag>Tka18</b:Tag>
    <b:SourceType>Report</b:SourceType>
    <b:Guid>{52692622-10E0-466E-81C6-C31115AD8C46}</b:Guid>
    <b:Title>Pregled tržišta nekretnina Republike Hrvatske 2012. - 2017.</b:Title>
    <b:Year>2018.</b:Year>
    <b:Publisher>MGIPU</b:Publisher>
    <b:City>Zagreb</b:City>
    <b:Author>
      <b:Author>
        <b:NameList>
          <b:Person>
            <b:Last>Tkalec</b:Last>
            <b:First>Marina</b:First>
          </b:Person>
          <b:Person>
            <b:Last>Vizek </b:Last>
            <b:First>Maruška</b:First>
          </b:Person>
          <b:Person>
            <b:Last>Žilić</b:Last>
            <b:First>Ivan</b:First>
          </b:Person>
        </b:NameList>
      </b:Author>
    </b:Author>
    <b:RefOrder>20</b:RefOrder>
  </b:Source>
  <b:Source>
    <b:Tag>HRN17</b:Tag>
    <b:SourceType>Misc</b:SourceType>
    <b:Guid>{3FF13131-548E-4372-A08C-D8D9DEA7E67C}</b:Guid>
    <b:Title>HRN EN 15459-1:2017. Energijska svojstva zgrada -- Postupak ekonomske ocjene za energijske sustave u zgradama</b:Title>
    <b:Year>2017</b:Year>
    <b:RefOrder>19</b:RefOrder>
  </b:Source>
  <b:Source>
    <b:Tag>EIH19</b:Tag>
    <b:SourceType>Report</b:SourceType>
    <b:Guid>{5598FF7E-0B10-480D-B7A2-3C5FC75A976A}</b:Guid>
    <b:Title>Nacrt prijedloga Strategije energetskog razvoja Republike Hrvatske do 2030. s pogledom na 2050. godinu</b:Title>
    <b:Year>2019.</b:Year>
    <b:City>Zagreb</b:City>
    <b:Author>
      <b:Author>
        <b:Corporate>Vlada RH</b:Corporate>
      </b:Author>
    </b:Author>
    <b:Publisher>Republika Hrvatska</b:Publisher>
    <b:RefOrder>12</b:RefOrder>
  </b:Source>
  <b:Source>
    <b:Tag>MGI17</b:Tag>
    <b:SourceType>Report</b:SourceType>
    <b:Guid>{B74A10A1-1E69-47AC-912A-772C90FC5004}</b:Guid>
    <b:Author>
      <b:Author>
        <b:Corporate>Vlada RH</b:Corporate>
      </b:Author>
    </b:Author>
    <b:Title>Dugoročna strategija za poticanje ulaganja u obnovu nacionalnog fonda zgrada Republike Hrvatske</b:Title>
    <b:Year>2017</b:Year>
    <b:Publisher>Vlada RH</b:Publisher>
    <b:City>Zagreb</b:City>
    <b:URL>http://narodne-novine.nn.hr/clanci/sluzbeni/2014_06_74_1397.html</b:URL>
    <b:RefOrder>5</b:RefOrder>
  </b:Source>
  <b:Source>
    <b:Tag>NECP</b:Tag>
    <b:SourceType>Report</b:SourceType>
    <b:Guid>{D0DB98AB-B8ED-4974-AF55-EB228024F955}</b:Guid>
    <b:Title>Integrirani nacionalni energetski i klimatski plan za Republiku Hrvatsku za razdoblje 2021. do 2030.</b:Title>
    <b:Year>2019.</b:Year>
    <b:Publisher>Republika Hrvatska, Ministarstvo zaštite okoliša i energetike</b:Publisher>
    <b:City>Zagreb</b:City>
    <b:Institution>Republika Hrvatska, Ministarstvo zaštite okoliša i energetike</b:Institution>
    <b:Pages>136</b:Pages>
    <b:ShortTitle>NECP 2021-2030</b:ShortTitle>
    <b:LCID>hr-HR</b:LCID>
    <b:Author>
      <b:Author>
        <b:Corporate>Vlada RH</b:Corporate>
      </b:Author>
    </b:Author>
    <b:URL>https://www.google.hr/url?sa=t&amp;rct=j&amp;q=&amp;esrc=s&amp;source=web&amp;cd=2&amp;cad=rja&amp;uact=8&amp;ved=2ahUKEwj-ntDMleDnAhVHyaYKHb2QDDYQFjABegQIAhAB&amp;url=https%3A%2F%2Fmzoe.gov.hr%2FUserDocsImages%2F%2FUPRAVA%2520ZA%2520ENERGETIKU%2FStrategije%2C%2520planovi%2520i%2520programi</b:URL>
    <b:RefOrder>3</b:RefOrder>
  </b:Source>
  <b:Source>
    <b:Tag>SEA19</b:Tag>
    <b:SourceType>Book</b:SourceType>
    <b:Guid>{73C784F1-1588-4DCF-A0F4-855EA1D42E9B}</b:Guid>
    <b:Author>
      <b:Author>
        <b:Corporate>SEAI</b:Corporate>
      </b:Author>
    </b:Author>
    <b:Title>Deep Retrofit Pilot Programme 2019 - Version 1.8</b:Title>
    <b:Year>2019</b:Year>
    <b:Publisher>SEAI</b:Publisher>
    <b:RefOrder>18</b:RefOrder>
  </b:Source>
  <b:Source>
    <b:Tag>Nac19</b:Tag>
    <b:SourceType>Report</b:SourceType>
    <b:Guid>{8BDE2F30-2E20-4253-BE60-EF842C356F78}</b:Guid>
    <b:Title>Strategija energetskog razvoja Republike Hrvatske do 2030. s pogledom na 2050. godinu</b:Title>
    <b:Year>2020.</b:Year>
    <b:Author>
      <b:Author>
        <b:Corporate>Vlada RH</b:Corporate>
      </b:Author>
    </b:Author>
    <b:Publisher>Vlada RH</b:Publisher>
    <b:RefOrder>14</b:RefOrder>
  </b:Source>
  <b:Source>
    <b:Tag>MGI174</b:Tag>
    <b:SourceType>Misc</b:SourceType>
    <b:Guid>{99DB44AE-F516-48AB-B63B-750A0CDD0707}</b:Guid>
    <b:Author>
      <b:Author>
        <b:Corporate>MGIPU</b:Corporate>
      </b:Author>
    </b:Author>
    <b:Title>Metodologija provođenja energetskog pregleda zgrada</b:Title>
    <b:PublicationTitle>Metodologija provođenja energetskog pregleda zgrada 2017.</b:PublicationTitle>
    <b:Year>2017.</b:Year>
    <b:City>Zagreb</b:City>
    <b:Publisher>Ministarstvo graditeljstva i prostornoga uređenja</b:Publisher>
    <b:URL>https://mgipu.gov.hr/UserDocsImages//dokumenti/EnergetskaUcinkovitost/meteoroloski_podaci//Metodologija-2017.pdf</b:URL>
    <b:RefOrder>17</b:RefOrder>
  </b:Source>
  <b:Source>
    <b:Tag>Drs20</b:Tag>
    <b:SourceType>Book</b:SourceType>
    <b:Guid>{FDAC3F8F-A4EA-4FE7-87B6-4BE8B089C3FD}</b:Guid>
    <b:Author>
      <b:Author>
        <b:NameList>
          <b:Person>
            <b:Last>Galić</b:Last>
            <b:First>Josip</b:First>
          </b:Person>
          <b:Person>
            <b:Last>Vukić</b:Last>
            <b:First>Hrvoje</b:First>
          </b:Person>
          <b:Person>
            <b:Last>Andrić</b:Last>
            <b:First>Davor</b:First>
          </b:Person>
          <b:Person>
            <b:Last>Stepinac</b:Last>
            <b:First>Lucija</b:First>
          </b:Person>
        </b:NameList>
      </b:Author>
    </b:Author>
    <b:Title>Priručnik za protupotresnu obnovu postojećih zidanih zgrada</b:Title>
    <b:Year>2020.</b:Year>
    <b:City>Zagreb</b:City>
    <b:Publisher>Arhitektonski fakultet Sveučilišta u Zagrebu</b:Publisher>
    <b:RefOrder>24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1EB1BC-2A94-40BE-AF99-73A4D21AE0F1}">
  <ds:schemaRefs>
    <ds:schemaRef ds:uri="http://schemas.microsoft.com/sharepoint/v3/contenttype/forms"/>
  </ds:schemaRefs>
</ds:datastoreItem>
</file>

<file path=customXml/itemProps3.xml><?xml version="1.0" encoding="utf-8"?>
<ds:datastoreItem xmlns:ds="http://schemas.openxmlformats.org/officeDocument/2006/customXml" ds:itemID="{F8753530-B383-424F-85CD-D7F4DE76A8DB}">
  <ds:schemaRefs>
    <ds:schemaRef ds:uri="http://www.w3.org/XML/1998/namespace"/>
    <ds:schemaRef ds:uri="http://schemas.openxmlformats.org/package/2006/metadata/core-properties"/>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a664fe95-06c9-49a5-a4e2-a3e0e88a01bc"/>
    <ds:schemaRef ds:uri="bf0a1b3b-433a-4b41-abf4-c2b3d6d8b928"/>
    <ds:schemaRef ds:uri="http://purl.org/dc/elements/1.1/"/>
  </ds:schemaRefs>
</ds:datastoreItem>
</file>

<file path=customXml/itemProps4.xml><?xml version="1.0" encoding="utf-8"?>
<ds:datastoreItem xmlns:ds="http://schemas.openxmlformats.org/officeDocument/2006/customXml" ds:itemID="{424CFCC0-1BD7-404A-8FC3-93A605F15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a1b3b-433a-4b41-abf4-c2b3d6d8b928"/>
    <ds:schemaRef ds:uri="a664fe95-06c9-49a5-a4e2-a3e0e88a0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0346B2-ADBC-47C3-88AF-79ACED9F0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42177</Words>
  <Characters>281840</Characters>
  <Application>Microsoft Office Word</Application>
  <DocSecurity>4</DocSecurity>
  <Lines>2348</Lines>
  <Paragraphs>646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Revizija Dugoročne strategije za poticanje ulaganja u obnovu nacionalnog fonda zgrada Republike Hrvatske</vt:lpstr>
      <vt:lpstr>Revizija Dugoročne strategije za poticanje ulaganja u obnovu nacionalnog fonda zgrada Republike Hrvatske</vt:lpstr>
    </vt:vector>
  </TitlesOfParts>
  <Company>Ministarstvo graditeljstva i prostornoga uređenja</Company>
  <LinksUpToDate>false</LinksUpToDate>
  <CharactersWithSpaces>323371</CharactersWithSpaces>
  <SharedDoc>false</SharedDoc>
  <HLinks>
    <vt:vector size="1020" baseType="variant">
      <vt:variant>
        <vt:i4>1900597</vt:i4>
      </vt:variant>
      <vt:variant>
        <vt:i4>1217</vt:i4>
      </vt:variant>
      <vt:variant>
        <vt:i4>0</vt:i4>
      </vt:variant>
      <vt:variant>
        <vt:i4>5</vt:i4>
      </vt:variant>
      <vt:variant>
        <vt:lpwstr/>
      </vt:variant>
      <vt:variant>
        <vt:lpwstr>_Toc30363468</vt:lpwstr>
      </vt:variant>
      <vt:variant>
        <vt:i4>1179701</vt:i4>
      </vt:variant>
      <vt:variant>
        <vt:i4>1211</vt:i4>
      </vt:variant>
      <vt:variant>
        <vt:i4>0</vt:i4>
      </vt:variant>
      <vt:variant>
        <vt:i4>5</vt:i4>
      </vt:variant>
      <vt:variant>
        <vt:lpwstr/>
      </vt:variant>
      <vt:variant>
        <vt:lpwstr>_Toc30363467</vt:lpwstr>
      </vt:variant>
      <vt:variant>
        <vt:i4>1245237</vt:i4>
      </vt:variant>
      <vt:variant>
        <vt:i4>1205</vt:i4>
      </vt:variant>
      <vt:variant>
        <vt:i4>0</vt:i4>
      </vt:variant>
      <vt:variant>
        <vt:i4>5</vt:i4>
      </vt:variant>
      <vt:variant>
        <vt:lpwstr/>
      </vt:variant>
      <vt:variant>
        <vt:lpwstr>_Toc30363466</vt:lpwstr>
      </vt:variant>
      <vt:variant>
        <vt:i4>1048629</vt:i4>
      </vt:variant>
      <vt:variant>
        <vt:i4>1199</vt:i4>
      </vt:variant>
      <vt:variant>
        <vt:i4>0</vt:i4>
      </vt:variant>
      <vt:variant>
        <vt:i4>5</vt:i4>
      </vt:variant>
      <vt:variant>
        <vt:lpwstr/>
      </vt:variant>
      <vt:variant>
        <vt:lpwstr>_Toc30363465</vt:lpwstr>
      </vt:variant>
      <vt:variant>
        <vt:i4>1114165</vt:i4>
      </vt:variant>
      <vt:variant>
        <vt:i4>1193</vt:i4>
      </vt:variant>
      <vt:variant>
        <vt:i4>0</vt:i4>
      </vt:variant>
      <vt:variant>
        <vt:i4>5</vt:i4>
      </vt:variant>
      <vt:variant>
        <vt:lpwstr/>
      </vt:variant>
      <vt:variant>
        <vt:lpwstr>_Toc30363464</vt:lpwstr>
      </vt:variant>
      <vt:variant>
        <vt:i4>1441845</vt:i4>
      </vt:variant>
      <vt:variant>
        <vt:i4>1187</vt:i4>
      </vt:variant>
      <vt:variant>
        <vt:i4>0</vt:i4>
      </vt:variant>
      <vt:variant>
        <vt:i4>5</vt:i4>
      </vt:variant>
      <vt:variant>
        <vt:lpwstr/>
      </vt:variant>
      <vt:variant>
        <vt:lpwstr>_Toc30363463</vt:lpwstr>
      </vt:variant>
      <vt:variant>
        <vt:i4>1507381</vt:i4>
      </vt:variant>
      <vt:variant>
        <vt:i4>1181</vt:i4>
      </vt:variant>
      <vt:variant>
        <vt:i4>0</vt:i4>
      </vt:variant>
      <vt:variant>
        <vt:i4>5</vt:i4>
      </vt:variant>
      <vt:variant>
        <vt:lpwstr/>
      </vt:variant>
      <vt:variant>
        <vt:lpwstr>_Toc30363462</vt:lpwstr>
      </vt:variant>
      <vt:variant>
        <vt:i4>1310773</vt:i4>
      </vt:variant>
      <vt:variant>
        <vt:i4>1175</vt:i4>
      </vt:variant>
      <vt:variant>
        <vt:i4>0</vt:i4>
      </vt:variant>
      <vt:variant>
        <vt:i4>5</vt:i4>
      </vt:variant>
      <vt:variant>
        <vt:lpwstr/>
      </vt:variant>
      <vt:variant>
        <vt:lpwstr>_Toc30363461</vt:lpwstr>
      </vt:variant>
      <vt:variant>
        <vt:i4>1376309</vt:i4>
      </vt:variant>
      <vt:variant>
        <vt:i4>1169</vt:i4>
      </vt:variant>
      <vt:variant>
        <vt:i4>0</vt:i4>
      </vt:variant>
      <vt:variant>
        <vt:i4>5</vt:i4>
      </vt:variant>
      <vt:variant>
        <vt:lpwstr/>
      </vt:variant>
      <vt:variant>
        <vt:lpwstr>_Toc30363460</vt:lpwstr>
      </vt:variant>
      <vt:variant>
        <vt:i4>1835062</vt:i4>
      </vt:variant>
      <vt:variant>
        <vt:i4>1163</vt:i4>
      </vt:variant>
      <vt:variant>
        <vt:i4>0</vt:i4>
      </vt:variant>
      <vt:variant>
        <vt:i4>5</vt:i4>
      </vt:variant>
      <vt:variant>
        <vt:lpwstr/>
      </vt:variant>
      <vt:variant>
        <vt:lpwstr>_Toc30363459</vt:lpwstr>
      </vt:variant>
      <vt:variant>
        <vt:i4>1900598</vt:i4>
      </vt:variant>
      <vt:variant>
        <vt:i4>1157</vt:i4>
      </vt:variant>
      <vt:variant>
        <vt:i4>0</vt:i4>
      </vt:variant>
      <vt:variant>
        <vt:i4>5</vt:i4>
      </vt:variant>
      <vt:variant>
        <vt:lpwstr/>
      </vt:variant>
      <vt:variant>
        <vt:lpwstr>_Toc30363458</vt:lpwstr>
      </vt:variant>
      <vt:variant>
        <vt:i4>1179702</vt:i4>
      </vt:variant>
      <vt:variant>
        <vt:i4>1151</vt:i4>
      </vt:variant>
      <vt:variant>
        <vt:i4>0</vt:i4>
      </vt:variant>
      <vt:variant>
        <vt:i4>5</vt:i4>
      </vt:variant>
      <vt:variant>
        <vt:lpwstr/>
      </vt:variant>
      <vt:variant>
        <vt:lpwstr>_Toc30363457</vt:lpwstr>
      </vt:variant>
      <vt:variant>
        <vt:i4>1245238</vt:i4>
      </vt:variant>
      <vt:variant>
        <vt:i4>1145</vt:i4>
      </vt:variant>
      <vt:variant>
        <vt:i4>0</vt:i4>
      </vt:variant>
      <vt:variant>
        <vt:i4>5</vt:i4>
      </vt:variant>
      <vt:variant>
        <vt:lpwstr/>
      </vt:variant>
      <vt:variant>
        <vt:lpwstr>_Toc30363456</vt:lpwstr>
      </vt:variant>
      <vt:variant>
        <vt:i4>1048630</vt:i4>
      </vt:variant>
      <vt:variant>
        <vt:i4>1139</vt:i4>
      </vt:variant>
      <vt:variant>
        <vt:i4>0</vt:i4>
      </vt:variant>
      <vt:variant>
        <vt:i4>5</vt:i4>
      </vt:variant>
      <vt:variant>
        <vt:lpwstr/>
      </vt:variant>
      <vt:variant>
        <vt:lpwstr>_Toc30363455</vt:lpwstr>
      </vt:variant>
      <vt:variant>
        <vt:i4>1114166</vt:i4>
      </vt:variant>
      <vt:variant>
        <vt:i4>1133</vt:i4>
      </vt:variant>
      <vt:variant>
        <vt:i4>0</vt:i4>
      </vt:variant>
      <vt:variant>
        <vt:i4>5</vt:i4>
      </vt:variant>
      <vt:variant>
        <vt:lpwstr/>
      </vt:variant>
      <vt:variant>
        <vt:lpwstr>_Toc30363454</vt:lpwstr>
      </vt:variant>
      <vt:variant>
        <vt:i4>1441846</vt:i4>
      </vt:variant>
      <vt:variant>
        <vt:i4>1127</vt:i4>
      </vt:variant>
      <vt:variant>
        <vt:i4>0</vt:i4>
      </vt:variant>
      <vt:variant>
        <vt:i4>5</vt:i4>
      </vt:variant>
      <vt:variant>
        <vt:lpwstr/>
      </vt:variant>
      <vt:variant>
        <vt:lpwstr>_Toc30363453</vt:lpwstr>
      </vt:variant>
      <vt:variant>
        <vt:i4>1507382</vt:i4>
      </vt:variant>
      <vt:variant>
        <vt:i4>1121</vt:i4>
      </vt:variant>
      <vt:variant>
        <vt:i4>0</vt:i4>
      </vt:variant>
      <vt:variant>
        <vt:i4>5</vt:i4>
      </vt:variant>
      <vt:variant>
        <vt:lpwstr/>
      </vt:variant>
      <vt:variant>
        <vt:lpwstr>_Toc30363452</vt:lpwstr>
      </vt:variant>
      <vt:variant>
        <vt:i4>1310774</vt:i4>
      </vt:variant>
      <vt:variant>
        <vt:i4>1115</vt:i4>
      </vt:variant>
      <vt:variant>
        <vt:i4>0</vt:i4>
      </vt:variant>
      <vt:variant>
        <vt:i4>5</vt:i4>
      </vt:variant>
      <vt:variant>
        <vt:lpwstr/>
      </vt:variant>
      <vt:variant>
        <vt:lpwstr>_Toc30363451</vt:lpwstr>
      </vt:variant>
      <vt:variant>
        <vt:i4>1376310</vt:i4>
      </vt:variant>
      <vt:variant>
        <vt:i4>1109</vt:i4>
      </vt:variant>
      <vt:variant>
        <vt:i4>0</vt:i4>
      </vt:variant>
      <vt:variant>
        <vt:i4>5</vt:i4>
      </vt:variant>
      <vt:variant>
        <vt:lpwstr/>
      </vt:variant>
      <vt:variant>
        <vt:lpwstr>_Toc30363450</vt:lpwstr>
      </vt:variant>
      <vt:variant>
        <vt:i4>1835063</vt:i4>
      </vt:variant>
      <vt:variant>
        <vt:i4>1103</vt:i4>
      </vt:variant>
      <vt:variant>
        <vt:i4>0</vt:i4>
      </vt:variant>
      <vt:variant>
        <vt:i4>5</vt:i4>
      </vt:variant>
      <vt:variant>
        <vt:lpwstr/>
      </vt:variant>
      <vt:variant>
        <vt:lpwstr>_Toc30363449</vt:lpwstr>
      </vt:variant>
      <vt:variant>
        <vt:i4>1900599</vt:i4>
      </vt:variant>
      <vt:variant>
        <vt:i4>1097</vt:i4>
      </vt:variant>
      <vt:variant>
        <vt:i4>0</vt:i4>
      </vt:variant>
      <vt:variant>
        <vt:i4>5</vt:i4>
      </vt:variant>
      <vt:variant>
        <vt:lpwstr/>
      </vt:variant>
      <vt:variant>
        <vt:lpwstr>_Toc30363448</vt:lpwstr>
      </vt:variant>
      <vt:variant>
        <vt:i4>1179703</vt:i4>
      </vt:variant>
      <vt:variant>
        <vt:i4>1091</vt:i4>
      </vt:variant>
      <vt:variant>
        <vt:i4>0</vt:i4>
      </vt:variant>
      <vt:variant>
        <vt:i4>5</vt:i4>
      </vt:variant>
      <vt:variant>
        <vt:lpwstr/>
      </vt:variant>
      <vt:variant>
        <vt:lpwstr>_Toc30363447</vt:lpwstr>
      </vt:variant>
      <vt:variant>
        <vt:i4>1245239</vt:i4>
      </vt:variant>
      <vt:variant>
        <vt:i4>1085</vt:i4>
      </vt:variant>
      <vt:variant>
        <vt:i4>0</vt:i4>
      </vt:variant>
      <vt:variant>
        <vt:i4>5</vt:i4>
      </vt:variant>
      <vt:variant>
        <vt:lpwstr/>
      </vt:variant>
      <vt:variant>
        <vt:lpwstr>_Toc30363446</vt:lpwstr>
      </vt:variant>
      <vt:variant>
        <vt:i4>1048631</vt:i4>
      </vt:variant>
      <vt:variant>
        <vt:i4>1079</vt:i4>
      </vt:variant>
      <vt:variant>
        <vt:i4>0</vt:i4>
      </vt:variant>
      <vt:variant>
        <vt:i4>5</vt:i4>
      </vt:variant>
      <vt:variant>
        <vt:lpwstr/>
      </vt:variant>
      <vt:variant>
        <vt:lpwstr>_Toc30363445</vt:lpwstr>
      </vt:variant>
      <vt:variant>
        <vt:i4>1114167</vt:i4>
      </vt:variant>
      <vt:variant>
        <vt:i4>1073</vt:i4>
      </vt:variant>
      <vt:variant>
        <vt:i4>0</vt:i4>
      </vt:variant>
      <vt:variant>
        <vt:i4>5</vt:i4>
      </vt:variant>
      <vt:variant>
        <vt:lpwstr/>
      </vt:variant>
      <vt:variant>
        <vt:lpwstr>_Toc30363444</vt:lpwstr>
      </vt:variant>
      <vt:variant>
        <vt:i4>1441847</vt:i4>
      </vt:variant>
      <vt:variant>
        <vt:i4>1067</vt:i4>
      </vt:variant>
      <vt:variant>
        <vt:i4>0</vt:i4>
      </vt:variant>
      <vt:variant>
        <vt:i4>5</vt:i4>
      </vt:variant>
      <vt:variant>
        <vt:lpwstr/>
      </vt:variant>
      <vt:variant>
        <vt:lpwstr>_Toc30363443</vt:lpwstr>
      </vt:variant>
      <vt:variant>
        <vt:i4>1507383</vt:i4>
      </vt:variant>
      <vt:variant>
        <vt:i4>1061</vt:i4>
      </vt:variant>
      <vt:variant>
        <vt:i4>0</vt:i4>
      </vt:variant>
      <vt:variant>
        <vt:i4>5</vt:i4>
      </vt:variant>
      <vt:variant>
        <vt:lpwstr/>
      </vt:variant>
      <vt:variant>
        <vt:lpwstr>_Toc30363442</vt:lpwstr>
      </vt:variant>
      <vt:variant>
        <vt:i4>1310775</vt:i4>
      </vt:variant>
      <vt:variant>
        <vt:i4>1055</vt:i4>
      </vt:variant>
      <vt:variant>
        <vt:i4>0</vt:i4>
      </vt:variant>
      <vt:variant>
        <vt:i4>5</vt:i4>
      </vt:variant>
      <vt:variant>
        <vt:lpwstr/>
      </vt:variant>
      <vt:variant>
        <vt:lpwstr>_Toc30363441</vt:lpwstr>
      </vt:variant>
      <vt:variant>
        <vt:i4>1376311</vt:i4>
      </vt:variant>
      <vt:variant>
        <vt:i4>1049</vt:i4>
      </vt:variant>
      <vt:variant>
        <vt:i4>0</vt:i4>
      </vt:variant>
      <vt:variant>
        <vt:i4>5</vt:i4>
      </vt:variant>
      <vt:variant>
        <vt:lpwstr/>
      </vt:variant>
      <vt:variant>
        <vt:lpwstr>_Toc30363440</vt:lpwstr>
      </vt:variant>
      <vt:variant>
        <vt:i4>1835056</vt:i4>
      </vt:variant>
      <vt:variant>
        <vt:i4>1040</vt:i4>
      </vt:variant>
      <vt:variant>
        <vt:i4>0</vt:i4>
      </vt:variant>
      <vt:variant>
        <vt:i4>5</vt:i4>
      </vt:variant>
      <vt:variant>
        <vt:lpwstr/>
      </vt:variant>
      <vt:variant>
        <vt:lpwstr>_Toc30363439</vt:lpwstr>
      </vt:variant>
      <vt:variant>
        <vt:i4>1900592</vt:i4>
      </vt:variant>
      <vt:variant>
        <vt:i4>1034</vt:i4>
      </vt:variant>
      <vt:variant>
        <vt:i4>0</vt:i4>
      </vt:variant>
      <vt:variant>
        <vt:i4>5</vt:i4>
      </vt:variant>
      <vt:variant>
        <vt:lpwstr/>
      </vt:variant>
      <vt:variant>
        <vt:lpwstr>_Toc30363438</vt:lpwstr>
      </vt:variant>
      <vt:variant>
        <vt:i4>1179696</vt:i4>
      </vt:variant>
      <vt:variant>
        <vt:i4>1028</vt:i4>
      </vt:variant>
      <vt:variant>
        <vt:i4>0</vt:i4>
      </vt:variant>
      <vt:variant>
        <vt:i4>5</vt:i4>
      </vt:variant>
      <vt:variant>
        <vt:lpwstr/>
      </vt:variant>
      <vt:variant>
        <vt:lpwstr>_Toc30363437</vt:lpwstr>
      </vt:variant>
      <vt:variant>
        <vt:i4>1245232</vt:i4>
      </vt:variant>
      <vt:variant>
        <vt:i4>1022</vt:i4>
      </vt:variant>
      <vt:variant>
        <vt:i4>0</vt:i4>
      </vt:variant>
      <vt:variant>
        <vt:i4>5</vt:i4>
      </vt:variant>
      <vt:variant>
        <vt:lpwstr/>
      </vt:variant>
      <vt:variant>
        <vt:lpwstr>_Toc30363436</vt:lpwstr>
      </vt:variant>
      <vt:variant>
        <vt:i4>1048624</vt:i4>
      </vt:variant>
      <vt:variant>
        <vt:i4>1016</vt:i4>
      </vt:variant>
      <vt:variant>
        <vt:i4>0</vt:i4>
      </vt:variant>
      <vt:variant>
        <vt:i4>5</vt:i4>
      </vt:variant>
      <vt:variant>
        <vt:lpwstr/>
      </vt:variant>
      <vt:variant>
        <vt:lpwstr>_Toc30363435</vt:lpwstr>
      </vt:variant>
      <vt:variant>
        <vt:i4>1114160</vt:i4>
      </vt:variant>
      <vt:variant>
        <vt:i4>1010</vt:i4>
      </vt:variant>
      <vt:variant>
        <vt:i4>0</vt:i4>
      </vt:variant>
      <vt:variant>
        <vt:i4>5</vt:i4>
      </vt:variant>
      <vt:variant>
        <vt:lpwstr/>
      </vt:variant>
      <vt:variant>
        <vt:lpwstr>_Toc30363434</vt:lpwstr>
      </vt:variant>
      <vt:variant>
        <vt:i4>1441840</vt:i4>
      </vt:variant>
      <vt:variant>
        <vt:i4>1004</vt:i4>
      </vt:variant>
      <vt:variant>
        <vt:i4>0</vt:i4>
      </vt:variant>
      <vt:variant>
        <vt:i4>5</vt:i4>
      </vt:variant>
      <vt:variant>
        <vt:lpwstr/>
      </vt:variant>
      <vt:variant>
        <vt:lpwstr>_Toc30363433</vt:lpwstr>
      </vt:variant>
      <vt:variant>
        <vt:i4>1507376</vt:i4>
      </vt:variant>
      <vt:variant>
        <vt:i4>998</vt:i4>
      </vt:variant>
      <vt:variant>
        <vt:i4>0</vt:i4>
      </vt:variant>
      <vt:variant>
        <vt:i4>5</vt:i4>
      </vt:variant>
      <vt:variant>
        <vt:lpwstr/>
      </vt:variant>
      <vt:variant>
        <vt:lpwstr>_Toc30363432</vt:lpwstr>
      </vt:variant>
      <vt:variant>
        <vt:i4>1310768</vt:i4>
      </vt:variant>
      <vt:variant>
        <vt:i4>992</vt:i4>
      </vt:variant>
      <vt:variant>
        <vt:i4>0</vt:i4>
      </vt:variant>
      <vt:variant>
        <vt:i4>5</vt:i4>
      </vt:variant>
      <vt:variant>
        <vt:lpwstr/>
      </vt:variant>
      <vt:variant>
        <vt:lpwstr>_Toc30363431</vt:lpwstr>
      </vt:variant>
      <vt:variant>
        <vt:i4>1376304</vt:i4>
      </vt:variant>
      <vt:variant>
        <vt:i4>986</vt:i4>
      </vt:variant>
      <vt:variant>
        <vt:i4>0</vt:i4>
      </vt:variant>
      <vt:variant>
        <vt:i4>5</vt:i4>
      </vt:variant>
      <vt:variant>
        <vt:lpwstr/>
      </vt:variant>
      <vt:variant>
        <vt:lpwstr>_Toc30363430</vt:lpwstr>
      </vt:variant>
      <vt:variant>
        <vt:i4>1835057</vt:i4>
      </vt:variant>
      <vt:variant>
        <vt:i4>980</vt:i4>
      </vt:variant>
      <vt:variant>
        <vt:i4>0</vt:i4>
      </vt:variant>
      <vt:variant>
        <vt:i4>5</vt:i4>
      </vt:variant>
      <vt:variant>
        <vt:lpwstr/>
      </vt:variant>
      <vt:variant>
        <vt:lpwstr>_Toc30363429</vt:lpwstr>
      </vt:variant>
      <vt:variant>
        <vt:i4>1900593</vt:i4>
      </vt:variant>
      <vt:variant>
        <vt:i4>974</vt:i4>
      </vt:variant>
      <vt:variant>
        <vt:i4>0</vt:i4>
      </vt:variant>
      <vt:variant>
        <vt:i4>5</vt:i4>
      </vt:variant>
      <vt:variant>
        <vt:lpwstr/>
      </vt:variant>
      <vt:variant>
        <vt:lpwstr>_Toc30363428</vt:lpwstr>
      </vt:variant>
      <vt:variant>
        <vt:i4>1179697</vt:i4>
      </vt:variant>
      <vt:variant>
        <vt:i4>968</vt:i4>
      </vt:variant>
      <vt:variant>
        <vt:i4>0</vt:i4>
      </vt:variant>
      <vt:variant>
        <vt:i4>5</vt:i4>
      </vt:variant>
      <vt:variant>
        <vt:lpwstr/>
      </vt:variant>
      <vt:variant>
        <vt:lpwstr>_Toc30363427</vt:lpwstr>
      </vt:variant>
      <vt:variant>
        <vt:i4>1245233</vt:i4>
      </vt:variant>
      <vt:variant>
        <vt:i4>962</vt:i4>
      </vt:variant>
      <vt:variant>
        <vt:i4>0</vt:i4>
      </vt:variant>
      <vt:variant>
        <vt:i4>5</vt:i4>
      </vt:variant>
      <vt:variant>
        <vt:lpwstr/>
      </vt:variant>
      <vt:variant>
        <vt:lpwstr>_Toc30363426</vt:lpwstr>
      </vt:variant>
      <vt:variant>
        <vt:i4>1048625</vt:i4>
      </vt:variant>
      <vt:variant>
        <vt:i4>956</vt:i4>
      </vt:variant>
      <vt:variant>
        <vt:i4>0</vt:i4>
      </vt:variant>
      <vt:variant>
        <vt:i4>5</vt:i4>
      </vt:variant>
      <vt:variant>
        <vt:lpwstr/>
      </vt:variant>
      <vt:variant>
        <vt:lpwstr>_Toc30363425</vt:lpwstr>
      </vt:variant>
      <vt:variant>
        <vt:i4>1114161</vt:i4>
      </vt:variant>
      <vt:variant>
        <vt:i4>950</vt:i4>
      </vt:variant>
      <vt:variant>
        <vt:i4>0</vt:i4>
      </vt:variant>
      <vt:variant>
        <vt:i4>5</vt:i4>
      </vt:variant>
      <vt:variant>
        <vt:lpwstr/>
      </vt:variant>
      <vt:variant>
        <vt:lpwstr>_Toc30363424</vt:lpwstr>
      </vt:variant>
      <vt:variant>
        <vt:i4>1441841</vt:i4>
      </vt:variant>
      <vt:variant>
        <vt:i4>944</vt:i4>
      </vt:variant>
      <vt:variant>
        <vt:i4>0</vt:i4>
      </vt:variant>
      <vt:variant>
        <vt:i4>5</vt:i4>
      </vt:variant>
      <vt:variant>
        <vt:lpwstr/>
      </vt:variant>
      <vt:variant>
        <vt:lpwstr>_Toc30363423</vt:lpwstr>
      </vt:variant>
      <vt:variant>
        <vt:i4>1507377</vt:i4>
      </vt:variant>
      <vt:variant>
        <vt:i4>938</vt:i4>
      </vt:variant>
      <vt:variant>
        <vt:i4>0</vt:i4>
      </vt:variant>
      <vt:variant>
        <vt:i4>5</vt:i4>
      </vt:variant>
      <vt:variant>
        <vt:lpwstr/>
      </vt:variant>
      <vt:variant>
        <vt:lpwstr>_Toc30363422</vt:lpwstr>
      </vt:variant>
      <vt:variant>
        <vt:i4>1310769</vt:i4>
      </vt:variant>
      <vt:variant>
        <vt:i4>932</vt:i4>
      </vt:variant>
      <vt:variant>
        <vt:i4>0</vt:i4>
      </vt:variant>
      <vt:variant>
        <vt:i4>5</vt:i4>
      </vt:variant>
      <vt:variant>
        <vt:lpwstr/>
      </vt:variant>
      <vt:variant>
        <vt:lpwstr>_Toc30363421</vt:lpwstr>
      </vt:variant>
      <vt:variant>
        <vt:i4>1376305</vt:i4>
      </vt:variant>
      <vt:variant>
        <vt:i4>926</vt:i4>
      </vt:variant>
      <vt:variant>
        <vt:i4>0</vt:i4>
      </vt:variant>
      <vt:variant>
        <vt:i4>5</vt:i4>
      </vt:variant>
      <vt:variant>
        <vt:lpwstr/>
      </vt:variant>
      <vt:variant>
        <vt:lpwstr>_Toc30363420</vt:lpwstr>
      </vt:variant>
      <vt:variant>
        <vt:i4>1638452</vt:i4>
      </vt:variant>
      <vt:variant>
        <vt:i4>545</vt:i4>
      </vt:variant>
      <vt:variant>
        <vt:i4>0</vt:i4>
      </vt:variant>
      <vt:variant>
        <vt:i4>5</vt:i4>
      </vt:variant>
      <vt:variant>
        <vt:lpwstr/>
      </vt:variant>
      <vt:variant>
        <vt:lpwstr>_Toc31977098</vt:lpwstr>
      </vt:variant>
      <vt:variant>
        <vt:i4>1441844</vt:i4>
      </vt:variant>
      <vt:variant>
        <vt:i4>539</vt:i4>
      </vt:variant>
      <vt:variant>
        <vt:i4>0</vt:i4>
      </vt:variant>
      <vt:variant>
        <vt:i4>5</vt:i4>
      </vt:variant>
      <vt:variant>
        <vt:lpwstr/>
      </vt:variant>
      <vt:variant>
        <vt:lpwstr>_Toc31977097</vt:lpwstr>
      </vt:variant>
      <vt:variant>
        <vt:i4>1507380</vt:i4>
      </vt:variant>
      <vt:variant>
        <vt:i4>533</vt:i4>
      </vt:variant>
      <vt:variant>
        <vt:i4>0</vt:i4>
      </vt:variant>
      <vt:variant>
        <vt:i4>5</vt:i4>
      </vt:variant>
      <vt:variant>
        <vt:lpwstr/>
      </vt:variant>
      <vt:variant>
        <vt:lpwstr>_Toc31977096</vt:lpwstr>
      </vt:variant>
      <vt:variant>
        <vt:i4>1310772</vt:i4>
      </vt:variant>
      <vt:variant>
        <vt:i4>527</vt:i4>
      </vt:variant>
      <vt:variant>
        <vt:i4>0</vt:i4>
      </vt:variant>
      <vt:variant>
        <vt:i4>5</vt:i4>
      </vt:variant>
      <vt:variant>
        <vt:lpwstr/>
      </vt:variant>
      <vt:variant>
        <vt:lpwstr>_Toc31977095</vt:lpwstr>
      </vt:variant>
      <vt:variant>
        <vt:i4>1376308</vt:i4>
      </vt:variant>
      <vt:variant>
        <vt:i4>521</vt:i4>
      </vt:variant>
      <vt:variant>
        <vt:i4>0</vt:i4>
      </vt:variant>
      <vt:variant>
        <vt:i4>5</vt:i4>
      </vt:variant>
      <vt:variant>
        <vt:lpwstr/>
      </vt:variant>
      <vt:variant>
        <vt:lpwstr>_Toc31977094</vt:lpwstr>
      </vt:variant>
      <vt:variant>
        <vt:i4>1179700</vt:i4>
      </vt:variant>
      <vt:variant>
        <vt:i4>515</vt:i4>
      </vt:variant>
      <vt:variant>
        <vt:i4>0</vt:i4>
      </vt:variant>
      <vt:variant>
        <vt:i4>5</vt:i4>
      </vt:variant>
      <vt:variant>
        <vt:lpwstr/>
      </vt:variant>
      <vt:variant>
        <vt:lpwstr>_Toc31977093</vt:lpwstr>
      </vt:variant>
      <vt:variant>
        <vt:i4>1245236</vt:i4>
      </vt:variant>
      <vt:variant>
        <vt:i4>509</vt:i4>
      </vt:variant>
      <vt:variant>
        <vt:i4>0</vt:i4>
      </vt:variant>
      <vt:variant>
        <vt:i4>5</vt:i4>
      </vt:variant>
      <vt:variant>
        <vt:lpwstr/>
      </vt:variant>
      <vt:variant>
        <vt:lpwstr>_Toc31977092</vt:lpwstr>
      </vt:variant>
      <vt:variant>
        <vt:i4>1048628</vt:i4>
      </vt:variant>
      <vt:variant>
        <vt:i4>503</vt:i4>
      </vt:variant>
      <vt:variant>
        <vt:i4>0</vt:i4>
      </vt:variant>
      <vt:variant>
        <vt:i4>5</vt:i4>
      </vt:variant>
      <vt:variant>
        <vt:lpwstr/>
      </vt:variant>
      <vt:variant>
        <vt:lpwstr>_Toc31977091</vt:lpwstr>
      </vt:variant>
      <vt:variant>
        <vt:i4>1114164</vt:i4>
      </vt:variant>
      <vt:variant>
        <vt:i4>497</vt:i4>
      </vt:variant>
      <vt:variant>
        <vt:i4>0</vt:i4>
      </vt:variant>
      <vt:variant>
        <vt:i4>5</vt:i4>
      </vt:variant>
      <vt:variant>
        <vt:lpwstr/>
      </vt:variant>
      <vt:variant>
        <vt:lpwstr>_Toc31977090</vt:lpwstr>
      </vt:variant>
      <vt:variant>
        <vt:i4>1572917</vt:i4>
      </vt:variant>
      <vt:variant>
        <vt:i4>491</vt:i4>
      </vt:variant>
      <vt:variant>
        <vt:i4>0</vt:i4>
      </vt:variant>
      <vt:variant>
        <vt:i4>5</vt:i4>
      </vt:variant>
      <vt:variant>
        <vt:lpwstr/>
      </vt:variant>
      <vt:variant>
        <vt:lpwstr>_Toc31977089</vt:lpwstr>
      </vt:variant>
      <vt:variant>
        <vt:i4>1638453</vt:i4>
      </vt:variant>
      <vt:variant>
        <vt:i4>485</vt:i4>
      </vt:variant>
      <vt:variant>
        <vt:i4>0</vt:i4>
      </vt:variant>
      <vt:variant>
        <vt:i4>5</vt:i4>
      </vt:variant>
      <vt:variant>
        <vt:lpwstr/>
      </vt:variant>
      <vt:variant>
        <vt:lpwstr>_Toc31977088</vt:lpwstr>
      </vt:variant>
      <vt:variant>
        <vt:i4>1441845</vt:i4>
      </vt:variant>
      <vt:variant>
        <vt:i4>479</vt:i4>
      </vt:variant>
      <vt:variant>
        <vt:i4>0</vt:i4>
      </vt:variant>
      <vt:variant>
        <vt:i4>5</vt:i4>
      </vt:variant>
      <vt:variant>
        <vt:lpwstr/>
      </vt:variant>
      <vt:variant>
        <vt:lpwstr>_Toc31977087</vt:lpwstr>
      </vt:variant>
      <vt:variant>
        <vt:i4>1507381</vt:i4>
      </vt:variant>
      <vt:variant>
        <vt:i4>473</vt:i4>
      </vt:variant>
      <vt:variant>
        <vt:i4>0</vt:i4>
      </vt:variant>
      <vt:variant>
        <vt:i4>5</vt:i4>
      </vt:variant>
      <vt:variant>
        <vt:lpwstr/>
      </vt:variant>
      <vt:variant>
        <vt:lpwstr>_Toc31977086</vt:lpwstr>
      </vt:variant>
      <vt:variant>
        <vt:i4>1310773</vt:i4>
      </vt:variant>
      <vt:variant>
        <vt:i4>467</vt:i4>
      </vt:variant>
      <vt:variant>
        <vt:i4>0</vt:i4>
      </vt:variant>
      <vt:variant>
        <vt:i4>5</vt:i4>
      </vt:variant>
      <vt:variant>
        <vt:lpwstr/>
      </vt:variant>
      <vt:variant>
        <vt:lpwstr>_Toc31977085</vt:lpwstr>
      </vt:variant>
      <vt:variant>
        <vt:i4>1376309</vt:i4>
      </vt:variant>
      <vt:variant>
        <vt:i4>461</vt:i4>
      </vt:variant>
      <vt:variant>
        <vt:i4>0</vt:i4>
      </vt:variant>
      <vt:variant>
        <vt:i4>5</vt:i4>
      </vt:variant>
      <vt:variant>
        <vt:lpwstr/>
      </vt:variant>
      <vt:variant>
        <vt:lpwstr>_Toc31977084</vt:lpwstr>
      </vt:variant>
      <vt:variant>
        <vt:i4>1179701</vt:i4>
      </vt:variant>
      <vt:variant>
        <vt:i4>455</vt:i4>
      </vt:variant>
      <vt:variant>
        <vt:i4>0</vt:i4>
      </vt:variant>
      <vt:variant>
        <vt:i4>5</vt:i4>
      </vt:variant>
      <vt:variant>
        <vt:lpwstr/>
      </vt:variant>
      <vt:variant>
        <vt:lpwstr>_Toc31977083</vt:lpwstr>
      </vt:variant>
      <vt:variant>
        <vt:i4>1245237</vt:i4>
      </vt:variant>
      <vt:variant>
        <vt:i4>449</vt:i4>
      </vt:variant>
      <vt:variant>
        <vt:i4>0</vt:i4>
      </vt:variant>
      <vt:variant>
        <vt:i4>5</vt:i4>
      </vt:variant>
      <vt:variant>
        <vt:lpwstr/>
      </vt:variant>
      <vt:variant>
        <vt:lpwstr>_Toc31977082</vt:lpwstr>
      </vt:variant>
      <vt:variant>
        <vt:i4>1048629</vt:i4>
      </vt:variant>
      <vt:variant>
        <vt:i4>443</vt:i4>
      </vt:variant>
      <vt:variant>
        <vt:i4>0</vt:i4>
      </vt:variant>
      <vt:variant>
        <vt:i4>5</vt:i4>
      </vt:variant>
      <vt:variant>
        <vt:lpwstr/>
      </vt:variant>
      <vt:variant>
        <vt:lpwstr>_Toc31977081</vt:lpwstr>
      </vt:variant>
      <vt:variant>
        <vt:i4>1114165</vt:i4>
      </vt:variant>
      <vt:variant>
        <vt:i4>437</vt:i4>
      </vt:variant>
      <vt:variant>
        <vt:i4>0</vt:i4>
      </vt:variant>
      <vt:variant>
        <vt:i4>5</vt:i4>
      </vt:variant>
      <vt:variant>
        <vt:lpwstr/>
      </vt:variant>
      <vt:variant>
        <vt:lpwstr>_Toc31977080</vt:lpwstr>
      </vt:variant>
      <vt:variant>
        <vt:i4>1572922</vt:i4>
      </vt:variant>
      <vt:variant>
        <vt:i4>431</vt:i4>
      </vt:variant>
      <vt:variant>
        <vt:i4>0</vt:i4>
      </vt:variant>
      <vt:variant>
        <vt:i4>5</vt:i4>
      </vt:variant>
      <vt:variant>
        <vt:lpwstr/>
      </vt:variant>
      <vt:variant>
        <vt:lpwstr>_Toc31977079</vt:lpwstr>
      </vt:variant>
      <vt:variant>
        <vt:i4>1638458</vt:i4>
      </vt:variant>
      <vt:variant>
        <vt:i4>425</vt:i4>
      </vt:variant>
      <vt:variant>
        <vt:i4>0</vt:i4>
      </vt:variant>
      <vt:variant>
        <vt:i4>5</vt:i4>
      </vt:variant>
      <vt:variant>
        <vt:lpwstr/>
      </vt:variant>
      <vt:variant>
        <vt:lpwstr>_Toc31977078</vt:lpwstr>
      </vt:variant>
      <vt:variant>
        <vt:i4>1441850</vt:i4>
      </vt:variant>
      <vt:variant>
        <vt:i4>419</vt:i4>
      </vt:variant>
      <vt:variant>
        <vt:i4>0</vt:i4>
      </vt:variant>
      <vt:variant>
        <vt:i4>5</vt:i4>
      </vt:variant>
      <vt:variant>
        <vt:lpwstr/>
      </vt:variant>
      <vt:variant>
        <vt:lpwstr>_Toc31977077</vt:lpwstr>
      </vt:variant>
      <vt:variant>
        <vt:i4>1507386</vt:i4>
      </vt:variant>
      <vt:variant>
        <vt:i4>413</vt:i4>
      </vt:variant>
      <vt:variant>
        <vt:i4>0</vt:i4>
      </vt:variant>
      <vt:variant>
        <vt:i4>5</vt:i4>
      </vt:variant>
      <vt:variant>
        <vt:lpwstr/>
      </vt:variant>
      <vt:variant>
        <vt:lpwstr>_Toc31977076</vt:lpwstr>
      </vt:variant>
      <vt:variant>
        <vt:i4>1310778</vt:i4>
      </vt:variant>
      <vt:variant>
        <vt:i4>407</vt:i4>
      </vt:variant>
      <vt:variant>
        <vt:i4>0</vt:i4>
      </vt:variant>
      <vt:variant>
        <vt:i4>5</vt:i4>
      </vt:variant>
      <vt:variant>
        <vt:lpwstr/>
      </vt:variant>
      <vt:variant>
        <vt:lpwstr>_Toc31977075</vt:lpwstr>
      </vt:variant>
      <vt:variant>
        <vt:i4>1376314</vt:i4>
      </vt:variant>
      <vt:variant>
        <vt:i4>401</vt:i4>
      </vt:variant>
      <vt:variant>
        <vt:i4>0</vt:i4>
      </vt:variant>
      <vt:variant>
        <vt:i4>5</vt:i4>
      </vt:variant>
      <vt:variant>
        <vt:lpwstr/>
      </vt:variant>
      <vt:variant>
        <vt:lpwstr>_Toc31977074</vt:lpwstr>
      </vt:variant>
      <vt:variant>
        <vt:i4>1179706</vt:i4>
      </vt:variant>
      <vt:variant>
        <vt:i4>395</vt:i4>
      </vt:variant>
      <vt:variant>
        <vt:i4>0</vt:i4>
      </vt:variant>
      <vt:variant>
        <vt:i4>5</vt:i4>
      </vt:variant>
      <vt:variant>
        <vt:lpwstr/>
      </vt:variant>
      <vt:variant>
        <vt:lpwstr>_Toc31977073</vt:lpwstr>
      </vt:variant>
      <vt:variant>
        <vt:i4>1245242</vt:i4>
      </vt:variant>
      <vt:variant>
        <vt:i4>389</vt:i4>
      </vt:variant>
      <vt:variant>
        <vt:i4>0</vt:i4>
      </vt:variant>
      <vt:variant>
        <vt:i4>5</vt:i4>
      </vt:variant>
      <vt:variant>
        <vt:lpwstr/>
      </vt:variant>
      <vt:variant>
        <vt:lpwstr>_Toc31977072</vt:lpwstr>
      </vt:variant>
      <vt:variant>
        <vt:i4>1048634</vt:i4>
      </vt:variant>
      <vt:variant>
        <vt:i4>383</vt:i4>
      </vt:variant>
      <vt:variant>
        <vt:i4>0</vt:i4>
      </vt:variant>
      <vt:variant>
        <vt:i4>5</vt:i4>
      </vt:variant>
      <vt:variant>
        <vt:lpwstr/>
      </vt:variant>
      <vt:variant>
        <vt:lpwstr>_Toc31977071</vt:lpwstr>
      </vt:variant>
      <vt:variant>
        <vt:i4>1114170</vt:i4>
      </vt:variant>
      <vt:variant>
        <vt:i4>377</vt:i4>
      </vt:variant>
      <vt:variant>
        <vt:i4>0</vt:i4>
      </vt:variant>
      <vt:variant>
        <vt:i4>5</vt:i4>
      </vt:variant>
      <vt:variant>
        <vt:lpwstr/>
      </vt:variant>
      <vt:variant>
        <vt:lpwstr>_Toc31977070</vt:lpwstr>
      </vt:variant>
      <vt:variant>
        <vt:i4>1572923</vt:i4>
      </vt:variant>
      <vt:variant>
        <vt:i4>371</vt:i4>
      </vt:variant>
      <vt:variant>
        <vt:i4>0</vt:i4>
      </vt:variant>
      <vt:variant>
        <vt:i4>5</vt:i4>
      </vt:variant>
      <vt:variant>
        <vt:lpwstr/>
      </vt:variant>
      <vt:variant>
        <vt:lpwstr>_Toc31977069</vt:lpwstr>
      </vt:variant>
      <vt:variant>
        <vt:i4>1638459</vt:i4>
      </vt:variant>
      <vt:variant>
        <vt:i4>365</vt:i4>
      </vt:variant>
      <vt:variant>
        <vt:i4>0</vt:i4>
      </vt:variant>
      <vt:variant>
        <vt:i4>5</vt:i4>
      </vt:variant>
      <vt:variant>
        <vt:lpwstr/>
      </vt:variant>
      <vt:variant>
        <vt:lpwstr>_Toc31977068</vt:lpwstr>
      </vt:variant>
      <vt:variant>
        <vt:i4>1441851</vt:i4>
      </vt:variant>
      <vt:variant>
        <vt:i4>359</vt:i4>
      </vt:variant>
      <vt:variant>
        <vt:i4>0</vt:i4>
      </vt:variant>
      <vt:variant>
        <vt:i4>5</vt:i4>
      </vt:variant>
      <vt:variant>
        <vt:lpwstr/>
      </vt:variant>
      <vt:variant>
        <vt:lpwstr>_Toc31977067</vt:lpwstr>
      </vt:variant>
      <vt:variant>
        <vt:i4>1507387</vt:i4>
      </vt:variant>
      <vt:variant>
        <vt:i4>353</vt:i4>
      </vt:variant>
      <vt:variant>
        <vt:i4>0</vt:i4>
      </vt:variant>
      <vt:variant>
        <vt:i4>5</vt:i4>
      </vt:variant>
      <vt:variant>
        <vt:lpwstr/>
      </vt:variant>
      <vt:variant>
        <vt:lpwstr>_Toc31977066</vt:lpwstr>
      </vt:variant>
      <vt:variant>
        <vt:i4>1310779</vt:i4>
      </vt:variant>
      <vt:variant>
        <vt:i4>347</vt:i4>
      </vt:variant>
      <vt:variant>
        <vt:i4>0</vt:i4>
      </vt:variant>
      <vt:variant>
        <vt:i4>5</vt:i4>
      </vt:variant>
      <vt:variant>
        <vt:lpwstr/>
      </vt:variant>
      <vt:variant>
        <vt:lpwstr>_Toc31977065</vt:lpwstr>
      </vt:variant>
      <vt:variant>
        <vt:i4>1376315</vt:i4>
      </vt:variant>
      <vt:variant>
        <vt:i4>341</vt:i4>
      </vt:variant>
      <vt:variant>
        <vt:i4>0</vt:i4>
      </vt:variant>
      <vt:variant>
        <vt:i4>5</vt:i4>
      </vt:variant>
      <vt:variant>
        <vt:lpwstr/>
      </vt:variant>
      <vt:variant>
        <vt:lpwstr>_Toc31977064</vt:lpwstr>
      </vt:variant>
      <vt:variant>
        <vt:i4>1179707</vt:i4>
      </vt:variant>
      <vt:variant>
        <vt:i4>335</vt:i4>
      </vt:variant>
      <vt:variant>
        <vt:i4>0</vt:i4>
      </vt:variant>
      <vt:variant>
        <vt:i4>5</vt:i4>
      </vt:variant>
      <vt:variant>
        <vt:lpwstr/>
      </vt:variant>
      <vt:variant>
        <vt:lpwstr>_Toc31977063</vt:lpwstr>
      </vt:variant>
      <vt:variant>
        <vt:i4>1245243</vt:i4>
      </vt:variant>
      <vt:variant>
        <vt:i4>329</vt:i4>
      </vt:variant>
      <vt:variant>
        <vt:i4>0</vt:i4>
      </vt:variant>
      <vt:variant>
        <vt:i4>5</vt:i4>
      </vt:variant>
      <vt:variant>
        <vt:lpwstr/>
      </vt:variant>
      <vt:variant>
        <vt:lpwstr>_Toc31977062</vt:lpwstr>
      </vt:variant>
      <vt:variant>
        <vt:i4>1048635</vt:i4>
      </vt:variant>
      <vt:variant>
        <vt:i4>323</vt:i4>
      </vt:variant>
      <vt:variant>
        <vt:i4>0</vt:i4>
      </vt:variant>
      <vt:variant>
        <vt:i4>5</vt:i4>
      </vt:variant>
      <vt:variant>
        <vt:lpwstr/>
      </vt:variant>
      <vt:variant>
        <vt:lpwstr>_Toc31977061</vt:lpwstr>
      </vt:variant>
      <vt:variant>
        <vt:i4>1114171</vt:i4>
      </vt:variant>
      <vt:variant>
        <vt:i4>317</vt:i4>
      </vt:variant>
      <vt:variant>
        <vt:i4>0</vt:i4>
      </vt:variant>
      <vt:variant>
        <vt:i4>5</vt:i4>
      </vt:variant>
      <vt:variant>
        <vt:lpwstr/>
      </vt:variant>
      <vt:variant>
        <vt:lpwstr>_Toc31977060</vt:lpwstr>
      </vt:variant>
      <vt:variant>
        <vt:i4>1572920</vt:i4>
      </vt:variant>
      <vt:variant>
        <vt:i4>311</vt:i4>
      </vt:variant>
      <vt:variant>
        <vt:i4>0</vt:i4>
      </vt:variant>
      <vt:variant>
        <vt:i4>5</vt:i4>
      </vt:variant>
      <vt:variant>
        <vt:lpwstr/>
      </vt:variant>
      <vt:variant>
        <vt:lpwstr>_Toc31977059</vt:lpwstr>
      </vt:variant>
      <vt:variant>
        <vt:i4>1638456</vt:i4>
      </vt:variant>
      <vt:variant>
        <vt:i4>305</vt:i4>
      </vt:variant>
      <vt:variant>
        <vt:i4>0</vt:i4>
      </vt:variant>
      <vt:variant>
        <vt:i4>5</vt:i4>
      </vt:variant>
      <vt:variant>
        <vt:lpwstr/>
      </vt:variant>
      <vt:variant>
        <vt:lpwstr>_Toc31977058</vt:lpwstr>
      </vt:variant>
      <vt:variant>
        <vt:i4>1441848</vt:i4>
      </vt:variant>
      <vt:variant>
        <vt:i4>299</vt:i4>
      </vt:variant>
      <vt:variant>
        <vt:i4>0</vt:i4>
      </vt:variant>
      <vt:variant>
        <vt:i4>5</vt:i4>
      </vt:variant>
      <vt:variant>
        <vt:lpwstr/>
      </vt:variant>
      <vt:variant>
        <vt:lpwstr>_Toc31977057</vt:lpwstr>
      </vt:variant>
      <vt:variant>
        <vt:i4>1507384</vt:i4>
      </vt:variant>
      <vt:variant>
        <vt:i4>293</vt:i4>
      </vt:variant>
      <vt:variant>
        <vt:i4>0</vt:i4>
      </vt:variant>
      <vt:variant>
        <vt:i4>5</vt:i4>
      </vt:variant>
      <vt:variant>
        <vt:lpwstr/>
      </vt:variant>
      <vt:variant>
        <vt:lpwstr>_Toc31977056</vt:lpwstr>
      </vt:variant>
      <vt:variant>
        <vt:i4>1310776</vt:i4>
      </vt:variant>
      <vt:variant>
        <vt:i4>287</vt:i4>
      </vt:variant>
      <vt:variant>
        <vt:i4>0</vt:i4>
      </vt:variant>
      <vt:variant>
        <vt:i4>5</vt:i4>
      </vt:variant>
      <vt:variant>
        <vt:lpwstr/>
      </vt:variant>
      <vt:variant>
        <vt:lpwstr>_Toc31977055</vt:lpwstr>
      </vt:variant>
      <vt:variant>
        <vt:i4>1376312</vt:i4>
      </vt:variant>
      <vt:variant>
        <vt:i4>281</vt:i4>
      </vt:variant>
      <vt:variant>
        <vt:i4>0</vt:i4>
      </vt:variant>
      <vt:variant>
        <vt:i4>5</vt:i4>
      </vt:variant>
      <vt:variant>
        <vt:lpwstr/>
      </vt:variant>
      <vt:variant>
        <vt:lpwstr>_Toc31977054</vt:lpwstr>
      </vt:variant>
      <vt:variant>
        <vt:i4>1179704</vt:i4>
      </vt:variant>
      <vt:variant>
        <vt:i4>275</vt:i4>
      </vt:variant>
      <vt:variant>
        <vt:i4>0</vt:i4>
      </vt:variant>
      <vt:variant>
        <vt:i4>5</vt:i4>
      </vt:variant>
      <vt:variant>
        <vt:lpwstr/>
      </vt:variant>
      <vt:variant>
        <vt:lpwstr>_Toc31977053</vt:lpwstr>
      </vt:variant>
      <vt:variant>
        <vt:i4>1245240</vt:i4>
      </vt:variant>
      <vt:variant>
        <vt:i4>269</vt:i4>
      </vt:variant>
      <vt:variant>
        <vt:i4>0</vt:i4>
      </vt:variant>
      <vt:variant>
        <vt:i4>5</vt:i4>
      </vt:variant>
      <vt:variant>
        <vt:lpwstr/>
      </vt:variant>
      <vt:variant>
        <vt:lpwstr>_Toc31977052</vt:lpwstr>
      </vt:variant>
      <vt:variant>
        <vt:i4>1048632</vt:i4>
      </vt:variant>
      <vt:variant>
        <vt:i4>263</vt:i4>
      </vt:variant>
      <vt:variant>
        <vt:i4>0</vt:i4>
      </vt:variant>
      <vt:variant>
        <vt:i4>5</vt:i4>
      </vt:variant>
      <vt:variant>
        <vt:lpwstr/>
      </vt:variant>
      <vt:variant>
        <vt:lpwstr>_Toc31977051</vt:lpwstr>
      </vt:variant>
      <vt:variant>
        <vt:i4>1114168</vt:i4>
      </vt:variant>
      <vt:variant>
        <vt:i4>257</vt:i4>
      </vt:variant>
      <vt:variant>
        <vt:i4>0</vt:i4>
      </vt:variant>
      <vt:variant>
        <vt:i4>5</vt:i4>
      </vt:variant>
      <vt:variant>
        <vt:lpwstr/>
      </vt:variant>
      <vt:variant>
        <vt:lpwstr>_Toc31977050</vt:lpwstr>
      </vt:variant>
      <vt:variant>
        <vt:i4>1572921</vt:i4>
      </vt:variant>
      <vt:variant>
        <vt:i4>251</vt:i4>
      </vt:variant>
      <vt:variant>
        <vt:i4>0</vt:i4>
      </vt:variant>
      <vt:variant>
        <vt:i4>5</vt:i4>
      </vt:variant>
      <vt:variant>
        <vt:lpwstr/>
      </vt:variant>
      <vt:variant>
        <vt:lpwstr>_Toc31977049</vt:lpwstr>
      </vt:variant>
      <vt:variant>
        <vt:i4>1638457</vt:i4>
      </vt:variant>
      <vt:variant>
        <vt:i4>245</vt:i4>
      </vt:variant>
      <vt:variant>
        <vt:i4>0</vt:i4>
      </vt:variant>
      <vt:variant>
        <vt:i4>5</vt:i4>
      </vt:variant>
      <vt:variant>
        <vt:lpwstr/>
      </vt:variant>
      <vt:variant>
        <vt:lpwstr>_Toc31977048</vt:lpwstr>
      </vt:variant>
      <vt:variant>
        <vt:i4>1441849</vt:i4>
      </vt:variant>
      <vt:variant>
        <vt:i4>239</vt:i4>
      </vt:variant>
      <vt:variant>
        <vt:i4>0</vt:i4>
      </vt:variant>
      <vt:variant>
        <vt:i4>5</vt:i4>
      </vt:variant>
      <vt:variant>
        <vt:lpwstr/>
      </vt:variant>
      <vt:variant>
        <vt:lpwstr>_Toc31977047</vt:lpwstr>
      </vt:variant>
      <vt:variant>
        <vt:i4>1507385</vt:i4>
      </vt:variant>
      <vt:variant>
        <vt:i4>233</vt:i4>
      </vt:variant>
      <vt:variant>
        <vt:i4>0</vt:i4>
      </vt:variant>
      <vt:variant>
        <vt:i4>5</vt:i4>
      </vt:variant>
      <vt:variant>
        <vt:lpwstr/>
      </vt:variant>
      <vt:variant>
        <vt:lpwstr>_Toc31977046</vt:lpwstr>
      </vt:variant>
      <vt:variant>
        <vt:i4>1310777</vt:i4>
      </vt:variant>
      <vt:variant>
        <vt:i4>227</vt:i4>
      </vt:variant>
      <vt:variant>
        <vt:i4>0</vt:i4>
      </vt:variant>
      <vt:variant>
        <vt:i4>5</vt:i4>
      </vt:variant>
      <vt:variant>
        <vt:lpwstr/>
      </vt:variant>
      <vt:variant>
        <vt:lpwstr>_Toc31977045</vt:lpwstr>
      </vt:variant>
      <vt:variant>
        <vt:i4>1376313</vt:i4>
      </vt:variant>
      <vt:variant>
        <vt:i4>221</vt:i4>
      </vt:variant>
      <vt:variant>
        <vt:i4>0</vt:i4>
      </vt:variant>
      <vt:variant>
        <vt:i4>5</vt:i4>
      </vt:variant>
      <vt:variant>
        <vt:lpwstr/>
      </vt:variant>
      <vt:variant>
        <vt:lpwstr>_Toc31977044</vt:lpwstr>
      </vt:variant>
      <vt:variant>
        <vt:i4>1179705</vt:i4>
      </vt:variant>
      <vt:variant>
        <vt:i4>215</vt:i4>
      </vt:variant>
      <vt:variant>
        <vt:i4>0</vt:i4>
      </vt:variant>
      <vt:variant>
        <vt:i4>5</vt:i4>
      </vt:variant>
      <vt:variant>
        <vt:lpwstr/>
      </vt:variant>
      <vt:variant>
        <vt:lpwstr>_Toc31977043</vt:lpwstr>
      </vt:variant>
      <vt:variant>
        <vt:i4>1245241</vt:i4>
      </vt:variant>
      <vt:variant>
        <vt:i4>209</vt:i4>
      </vt:variant>
      <vt:variant>
        <vt:i4>0</vt:i4>
      </vt:variant>
      <vt:variant>
        <vt:i4>5</vt:i4>
      </vt:variant>
      <vt:variant>
        <vt:lpwstr/>
      </vt:variant>
      <vt:variant>
        <vt:lpwstr>_Toc31977042</vt:lpwstr>
      </vt:variant>
      <vt:variant>
        <vt:i4>1048633</vt:i4>
      </vt:variant>
      <vt:variant>
        <vt:i4>203</vt:i4>
      </vt:variant>
      <vt:variant>
        <vt:i4>0</vt:i4>
      </vt:variant>
      <vt:variant>
        <vt:i4>5</vt:i4>
      </vt:variant>
      <vt:variant>
        <vt:lpwstr/>
      </vt:variant>
      <vt:variant>
        <vt:lpwstr>_Toc31977041</vt:lpwstr>
      </vt:variant>
      <vt:variant>
        <vt:i4>1114169</vt:i4>
      </vt:variant>
      <vt:variant>
        <vt:i4>197</vt:i4>
      </vt:variant>
      <vt:variant>
        <vt:i4>0</vt:i4>
      </vt:variant>
      <vt:variant>
        <vt:i4>5</vt:i4>
      </vt:variant>
      <vt:variant>
        <vt:lpwstr/>
      </vt:variant>
      <vt:variant>
        <vt:lpwstr>_Toc31977040</vt:lpwstr>
      </vt:variant>
      <vt:variant>
        <vt:i4>1572926</vt:i4>
      </vt:variant>
      <vt:variant>
        <vt:i4>191</vt:i4>
      </vt:variant>
      <vt:variant>
        <vt:i4>0</vt:i4>
      </vt:variant>
      <vt:variant>
        <vt:i4>5</vt:i4>
      </vt:variant>
      <vt:variant>
        <vt:lpwstr/>
      </vt:variant>
      <vt:variant>
        <vt:lpwstr>_Toc31977039</vt:lpwstr>
      </vt:variant>
      <vt:variant>
        <vt:i4>1638462</vt:i4>
      </vt:variant>
      <vt:variant>
        <vt:i4>185</vt:i4>
      </vt:variant>
      <vt:variant>
        <vt:i4>0</vt:i4>
      </vt:variant>
      <vt:variant>
        <vt:i4>5</vt:i4>
      </vt:variant>
      <vt:variant>
        <vt:lpwstr/>
      </vt:variant>
      <vt:variant>
        <vt:lpwstr>_Toc31977038</vt:lpwstr>
      </vt:variant>
      <vt:variant>
        <vt:i4>1441854</vt:i4>
      </vt:variant>
      <vt:variant>
        <vt:i4>179</vt:i4>
      </vt:variant>
      <vt:variant>
        <vt:i4>0</vt:i4>
      </vt:variant>
      <vt:variant>
        <vt:i4>5</vt:i4>
      </vt:variant>
      <vt:variant>
        <vt:lpwstr/>
      </vt:variant>
      <vt:variant>
        <vt:lpwstr>_Toc31977037</vt:lpwstr>
      </vt:variant>
      <vt:variant>
        <vt:i4>1507390</vt:i4>
      </vt:variant>
      <vt:variant>
        <vt:i4>173</vt:i4>
      </vt:variant>
      <vt:variant>
        <vt:i4>0</vt:i4>
      </vt:variant>
      <vt:variant>
        <vt:i4>5</vt:i4>
      </vt:variant>
      <vt:variant>
        <vt:lpwstr/>
      </vt:variant>
      <vt:variant>
        <vt:lpwstr>_Toc31977036</vt:lpwstr>
      </vt:variant>
      <vt:variant>
        <vt:i4>1310782</vt:i4>
      </vt:variant>
      <vt:variant>
        <vt:i4>167</vt:i4>
      </vt:variant>
      <vt:variant>
        <vt:i4>0</vt:i4>
      </vt:variant>
      <vt:variant>
        <vt:i4>5</vt:i4>
      </vt:variant>
      <vt:variant>
        <vt:lpwstr/>
      </vt:variant>
      <vt:variant>
        <vt:lpwstr>_Toc31977035</vt:lpwstr>
      </vt:variant>
      <vt:variant>
        <vt:i4>1376318</vt:i4>
      </vt:variant>
      <vt:variant>
        <vt:i4>161</vt:i4>
      </vt:variant>
      <vt:variant>
        <vt:i4>0</vt:i4>
      </vt:variant>
      <vt:variant>
        <vt:i4>5</vt:i4>
      </vt:variant>
      <vt:variant>
        <vt:lpwstr/>
      </vt:variant>
      <vt:variant>
        <vt:lpwstr>_Toc31977034</vt:lpwstr>
      </vt:variant>
      <vt:variant>
        <vt:i4>1179710</vt:i4>
      </vt:variant>
      <vt:variant>
        <vt:i4>155</vt:i4>
      </vt:variant>
      <vt:variant>
        <vt:i4>0</vt:i4>
      </vt:variant>
      <vt:variant>
        <vt:i4>5</vt:i4>
      </vt:variant>
      <vt:variant>
        <vt:lpwstr/>
      </vt:variant>
      <vt:variant>
        <vt:lpwstr>_Toc31977033</vt:lpwstr>
      </vt:variant>
      <vt:variant>
        <vt:i4>1245246</vt:i4>
      </vt:variant>
      <vt:variant>
        <vt:i4>149</vt:i4>
      </vt:variant>
      <vt:variant>
        <vt:i4>0</vt:i4>
      </vt:variant>
      <vt:variant>
        <vt:i4>5</vt:i4>
      </vt:variant>
      <vt:variant>
        <vt:lpwstr/>
      </vt:variant>
      <vt:variant>
        <vt:lpwstr>_Toc31977032</vt:lpwstr>
      </vt:variant>
      <vt:variant>
        <vt:i4>1048638</vt:i4>
      </vt:variant>
      <vt:variant>
        <vt:i4>143</vt:i4>
      </vt:variant>
      <vt:variant>
        <vt:i4>0</vt:i4>
      </vt:variant>
      <vt:variant>
        <vt:i4>5</vt:i4>
      </vt:variant>
      <vt:variant>
        <vt:lpwstr/>
      </vt:variant>
      <vt:variant>
        <vt:lpwstr>_Toc31977031</vt:lpwstr>
      </vt:variant>
      <vt:variant>
        <vt:i4>1114174</vt:i4>
      </vt:variant>
      <vt:variant>
        <vt:i4>137</vt:i4>
      </vt:variant>
      <vt:variant>
        <vt:i4>0</vt:i4>
      </vt:variant>
      <vt:variant>
        <vt:i4>5</vt:i4>
      </vt:variant>
      <vt:variant>
        <vt:lpwstr/>
      </vt:variant>
      <vt:variant>
        <vt:lpwstr>_Toc31977030</vt:lpwstr>
      </vt:variant>
      <vt:variant>
        <vt:i4>1572927</vt:i4>
      </vt:variant>
      <vt:variant>
        <vt:i4>131</vt:i4>
      </vt:variant>
      <vt:variant>
        <vt:i4>0</vt:i4>
      </vt:variant>
      <vt:variant>
        <vt:i4>5</vt:i4>
      </vt:variant>
      <vt:variant>
        <vt:lpwstr/>
      </vt:variant>
      <vt:variant>
        <vt:lpwstr>_Toc31977029</vt:lpwstr>
      </vt:variant>
      <vt:variant>
        <vt:i4>1638463</vt:i4>
      </vt:variant>
      <vt:variant>
        <vt:i4>125</vt:i4>
      </vt:variant>
      <vt:variant>
        <vt:i4>0</vt:i4>
      </vt:variant>
      <vt:variant>
        <vt:i4>5</vt:i4>
      </vt:variant>
      <vt:variant>
        <vt:lpwstr/>
      </vt:variant>
      <vt:variant>
        <vt:lpwstr>_Toc31977028</vt:lpwstr>
      </vt:variant>
      <vt:variant>
        <vt:i4>1441855</vt:i4>
      </vt:variant>
      <vt:variant>
        <vt:i4>119</vt:i4>
      </vt:variant>
      <vt:variant>
        <vt:i4>0</vt:i4>
      </vt:variant>
      <vt:variant>
        <vt:i4>5</vt:i4>
      </vt:variant>
      <vt:variant>
        <vt:lpwstr/>
      </vt:variant>
      <vt:variant>
        <vt:lpwstr>_Toc31977027</vt:lpwstr>
      </vt:variant>
      <vt:variant>
        <vt:i4>1507391</vt:i4>
      </vt:variant>
      <vt:variant>
        <vt:i4>113</vt:i4>
      </vt:variant>
      <vt:variant>
        <vt:i4>0</vt:i4>
      </vt:variant>
      <vt:variant>
        <vt:i4>5</vt:i4>
      </vt:variant>
      <vt:variant>
        <vt:lpwstr/>
      </vt:variant>
      <vt:variant>
        <vt:lpwstr>_Toc31977026</vt:lpwstr>
      </vt:variant>
      <vt:variant>
        <vt:i4>1310783</vt:i4>
      </vt:variant>
      <vt:variant>
        <vt:i4>107</vt:i4>
      </vt:variant>
      <vt:variant>
        <vt:i4>0</vt:i4>
      </vt:variant>
      <vt:variant>
        <vt:i4>5</vt:i4>
      </vt:variant>
      <vt:variant>
        <vt:lpwstr/>
      </vt:variant>
      <vt:variant>
        <vt:lpwstr>_Toc31977025</vt:lpwstr>
      </vt:variant>
      <vt:variant>
        <vt:i4>1376319</vt:i4>
      </vt:variant>
      <vt:variant>
        <vt:i4>101</vt:i4>
      </vt:variant>
      <vt:variant>
        <vt:i4>0</vt:i4>
      </vt:variant>
      <vt:variant>
        <vt:i4>5</vt:i4>
      </vt:variant>
      <vt:variant>
        <vt:lpwstr/>
      </vt:variant>
      <vt:variant>
        <vt:lpwstr>_Toc31977024</vt:lpwstr>
      </vt:variant>
      <vt:variant>
        <vt:i4>1179711</vt:i4>
      </vt:variant>
      <vt:variant>
        <vt:i4>95</vt:i4>
      </vt:variant>
      <vt:variant>
        <vt:i4>0</vt:i4>
      </vt:variant>
      <vt:variant>
        <vt:i4>5</vt:i4>
      </vt:variant>
      <vt:variant>
        <vt:lpwstr/>
      </vt:variant>
      <vt:variant>
        <vt:lpwstr>_Toc31977023</vt:lpwstr>
      </vt:variant>
      <vt:variant>
        <vt:i4>1245247</vt:i4>
      </vt:variant>
      <vt:variant>
        <vt:i4>89</vt:i4>
      </vt:variant>
      <vt:variant>
        <vt:i4>0</vt:i4>
      </vt:variant>
      <vt:variant>
        <vt:i4>5</vt:i4>
      </vt:variant>
      <vt:variant>
        <vt:lpwstr/>
      </vt:variant>
      <vt:variant>
        <vt:lpwstr>_Toc31977022</vt:lpwstr>
      </vt:variant>
      <vt:variant>
        <vt:i4>1048639</vt:i4>
      </vt:variant>
      <vt:variant>
        <vt:i4>83</vt:i4>
      </vt:variant>
      <vt:variant>
        <vt:i4>0</vt:i4>
      </vt:variant>
      <vt:variant>
        <vt:i4>5</vt:i4>
      </vt:variant>
      <vt:variant>
        <vt:lpwstr/>
      </vt:variant>
      <vt:variant>
        <vt:lpwstr>_Toc31977021</vt:lpwstr>
      </vt:variant>
      <vt:variant>
        <vt:i4>1114175</vt:i4>
      </vt:variant>
      <vt:variant>
        <vt:i4>77</vt:i4>
      </vt:variant>
      <vt:variant>
        <vt:i4>0</vt:i4>
      </vt:variant>
      <vt:variant>
        <vt:i4>5</vt:i4>
      </vt:variant>
      <vt:variant>
        <vt:lpwstr/>
      </vt:variant>
      <vt:variant>
        <vt:lpwstr>_Toc31977020</vt:lpwstr>
      </vt:variant>
      <vt:variant>
        <vt:i4>1572924</vt:i4>
      </vt:variant>
      <vt:variant>
        <vt:i4>71</vt:i4>
      </vt:variant>
      <vt:variant>
        <vt:i4>0</vt:i4>
      </vt:variant>
      <vt:variant>
        <vt:i4>5</vt:i4>
      </vt:variant>
      <vt:variant>
        <vt:lpwstr/>
      </vt:variant>
      <vt:variant>
        <vt:lpwstr>_Toc31977019</vt:lpwstr>
      </vt:variant>
      <vt:variant>
        <vt:i4>1638460</vt:i4>
      </vt:variant>
      <vt:variant>
        <vt:i4>65</vt:i4>
      </vt:variant>
      <vt:variant>
        <vt:i4>0</vt:i4>
      </vt:variant>
      <vt:variant>
        <vt:i4>5</vt:i4>
      </vt:variant>
      <vt:variant>
        <vt:lpwstr/>
      </vt:variant>
      <vt:variant>
        <vt:lpwstr>_Toc31977018</vt:lpwstr>
      </vt:variant>
      <vt:variant>
        <vt:i4>1441852</vt:i4>
      </vt:variant>
      <vt:variant>
        <vt:i4>59</vt:i4>
      </vt:variant>
      <vt:variant>
        <vt:i4>0</vt:i4>
      </vt:variant>
      <vt:variant>
        <vt:i4>5</vt:i4>
      </vt:variant>
      <vt:variant>
        <vt:lpwstr/>
      </vt:variant>
      <vt:variant>
        <vt:lpwstr>_Toc31977017</vt:lpwstr>
      </vt:variant>
      <vt:variant>
        <vt:i4>1507388</vt:i4>
      </vt:variant>
      <vt:variant>
        <vt:i4>53</vt:i4>
      </vt:variant>
      <vt:variant>
        <vt:i4>0</vt:i4>
      </vt:variant>
      <vt:variant>
        <vt:i4>5</vt:i4>
      </vt:variant>
      <vt:variant>
        <vt:lpwstr/>
      </vt:variant>
      <vt:variant>
        <vt:lpwstr>_Toc31977016</vt:lpwstr>
      </vt:variant>
      <vt:variant>
        <vt:i4>1310780</vt:i4>
      </vt:variant>
      <vt:variant>
        <vt:i4>47</vt:i4>
      </vt:variant>
      <vt:variant>
        <vt:i4>0</vt:i4>
      </vt:variant>
      <vt:variant>
        <vt:i4>5</vt:i4>
      </vt:variant>
      <vt:variant>
        <vt:lpwstr/>
      </vt:variant>
      <vt:variant>
        <vt:lpwstr>_Toc31977015</vt:lpwstr>
      </vt:variant>
      <vt:variant>
        <vt:i4>1376316</vt:i4>
      </vt:variant>
      <vt:variant>
        <vt:i4>41</vt:i4>
      </vt:variant>
      <vt:variant>
        <vt:i4>0</vt:i4>
      </vt:variant>
      <vt:variant>
        <vt:i4>5</vt:i4>
      </vt:variant>
      <vt:variant>
        <vt:lpwstr/>
      </vt:variant>
      <vt:variant>
        <vt:lpwstr>_Toc31977014</vt:lpwstr>
      </vt:variant>
      <vt:variant>
        <vt:i4>1179708</vt:i4>
      </vt:variant>
      <vt:variant>
        <vt:i4>35</vt:i4>
      </vt:variant>
      <vt:variant>
        <vt:i4>0</vt:i4>
      </vt:variant>
      <vt:variant>
        <vt:i4>5</vt:i4>
      </vt:variant>
      <vt:variant>
        <vt:lpwstr/>
      </vt:variant>
      <vt:variant>
        <vt:lpwstr>_Toc31977013</vt:lpwstr>
      </vt:variant>
      <vt:variant>
        <vt:i4>1245244</vt:i4>
      </vt:variant>
      <vt:variant>
        <vt:i4>29</vt:i4>
      </vt:variant>
      <vt:variant>
        <vt:i4>0</vt:i4>
      </vt:variant>
      <vt:variant>
        <vt:i4>5</vt:i4>
      </vt:variant>
      <vt:variant>
        <vt:lpwstr/>
      </vt:variant>
      <vt:variant>
        <vt:lpwstr>_Toc31977012</vt:lpwstr>
      </vt:variant>
      <vt:variant>
        <vt:i4>1048636</vt:i4>
      </vt:variant>
      <vt:variant>
        <vt:i4>23</vt:i4>
      </vt:variant>
      <vt:variant>
        <vt:i4>0</vt:i4>
      </vt:variant>
      <vt:variant>
        <vt:i4>5</vt:i4>
      </vt:variant>
      <vt:variant>
        <vt:lpwstr/>
      </vt:variant>
      <vt:variant>
        <vt:lpwstr>_Toc31977011</vt:lpwstr>
      </vt:variant>
      <vt:variant>
        <vt:i4>1114172</vt:i4>
      </vt:variant>
      <vt:variant>
        <vt:i4>17</vt:i4>
      </vt:variant>
      <vt:variant>
        <vt:i4>0</vt:i4>
      </vt:variant>
      <vt:variant>
        <vt:i4>5</vt:i4>
      </vt:variant>
      <vt:variant>
        <vt:lpwstr/>
      </vt:variant>
      <vt:variant>
        <vt:lpwstr>_Toc31977010</vt:lpwstr>
      </vt:variant>
      <vt:variant>
        <vt:i4>1572925</vt:i4>
      </vt:variant>
      <vt:variant>
        <vt:i4>11</vt:i4>
      </vt:variant>
      <vt:variant>
        <vt:i4>0</vt:i4>
      </vt:variant>
      <vt:variant>
        <vt:i4>5</vt:i4>
      </vt:variant>
      <vt:variant>
        <vt:lpwstr/>
      </vt:variant>
      <vt:variant>
        <vt:lpwstr>_Toc31977009</vt:lpwstr>
      </vt:variant>
      <vt:variant>
        <vt:i4>7995425</vt:i4>
      </vt:variant>
      <vt:variant>
        <vt:i4>3</vt:i4>
      </vt:variant>
      <vt:variant>
        <vt:i4>0</vt:i4>
      </vt:variant>
      <vt:variant>
        <vt:i4>5</vt:i4>
      </vt:variant>
      <vt:variant>
        <vt:lpwstr>http://www.eihp.hr/</vt:lpwstr>
      </vt:variant>
      <vt:variant>
        <vt:lpwstr/>
      </vt:variant>
      <vt:variant>
        <vt:i4>1900572</vt:i4>
      </vt:variant>
      <vt:variant>
        <vt:i4>90</vt:i4>
      </vt:variant>
      <vt:variant>
        <vt:i4>0</vt:i4>
      </vt:variant>
      <vt:variant>
        <vt:i4>5</vt:i4>
      </vt:variant>
      <vt:variant>
        <vt:lpwstr>https://mgipu.gov.hr/o-ministarstvu-15/djelokrug/energetska-ucinkovitost-u-zgradarstvu/povelja-o-dekarbonizaciji-zgrada/8915</vt:lpwstr>
      </vt:variant>
      <vt:variant>
        <vt:lpwstr/>
      </vt:variant>
      <vt:variant>
        <vt:i4>6029387</vt:i4>
      </vt:variant>
      <vt:variant>
        <vt:i4>87</vt:i4>
      </vt:variant>
      <vt:variant>
        <vt:i4>0</vt:i4>
      </vt:variant>
      <vt:variant>
        <vt:i4>5</vt:i4>
      </vt:variant>
      <vt:variant>
        <vt:lpwstr>https://mgipu.gov.hr/vijesti/u-zagrebu-odrzan-cetvrti-otvoreni-dijalog-partnera/10412</vt:lpwstr>
      </vt:variant>
      <vt:variant>
        <vt:lpwstr/>
      </vt:variant>
      <vt:variant>
        <vt:i4>2949172</vt:i4>
      </vt:variant>
      <vt:variant>
        <vt:i4>84</vt:i4>
      </vt:variant>
      <vt:variant>
        <vt:i4>0</vt:i4>
      </vt:variant>
      <vt:variant>
        <vt:i4>5</vt:i4>
      </vt:variant>
      <vt:variant>
        <vt:lpwstr>https://mgipu.gov.hr/vijesti/u-zagrebu-odrzan-treci-otvoreni-dijalog-partnera/9177</vt:lpwstr>
      </vt:variant>
      <vt:variant>
        <vt:lpwstr/>
      </vt:variant>
      <vt:variant>
        <vt:i4>3407923</vt:i4>
      </vt:variant>
      <vt:variant>
        <vt:i4>81</vt:i4>
      </vt:variant>
      <vt:variant>
        <vt:i4>0</vt:i4>
      </vt:variant>
      <vt:variant>
        <vt:i4>5</vt:i4>
      </vt:variant>
      <vt:variant>
        <vt:lpwstr>https://mgipu.gov.hr/vijesti/drugi-otvoreni-dijalog-partnera-energetsko-siromastvo/8938</vt:lpwstr>
      </vt:variant>
      <vt:variant>
        <vt:lpwstr/>
      </vt:variant>
      <vt:variant>
        <vt:i4>1900572</vt:i4>
      </vt:variant>
      <vt:variant>
        <vt:i4>78</vt:i4>
      </vt:variant>
      <vt:variant>
        <vt:i4>0</vt:i4>
      </vt:variant>
      <vt:variant>
        <vt:i4>5</vt:i4>
      </vt:variant>
      <vt:variant>
        <vt:lpwstr>https://mgipu.gov.hr/o-ministarstvu-15/djelokrug/energetska-ucinkovitost-u-zgradarstvu/povelja-o-dekarbonizaciji-zgrada/8915</vt:lpwstr>
      </vt:variant>
      <vt:variant>
        <vt:lpwstr/>
      </vt:variant>
      <vt:variant>
        <vt:i4>7733279</vt:i4>
      </vt:variant>
      <vt:variant>
        <vt:i4>75</vt:i4>
      </vt:variant>
      <vt:variant>
        <vt:i4>0</vt:i4>
      </vt:variant>
      <vt:variant>
        <vt:i4>5</vt:i4>
      </vt:variant>
      <vt:variant>
        <vt:lpwstr>http://eur-lex.europa.eu/resource.html?uri=cellar:c382f65d-618a-4c72-9135-1e68087499fa.0006.02/DOC_3&amp;format=PDF</vt:lpwstr>
      </vt:variant>
      <vt:variant>
        <vt:lpwstr/>
      </vt:variant>
      <vt:variant>
        <vt:i4>2555965</vt:i4>
      </vt:variant>
      <vt:variant>
        <vt:i4>72</vt:i4>
      </vt:variant>
      <vt:variant>
        <vt:i4>0</vt:i4>
      </vt:variant>
      <vt:variant>
        <vt:i4>5</vt:i4>
      </vt:variant>
      <vt:variant>
        <vt:lpwstr>https://www.velux.com/health/healthy-homes-barometer-frontpage</vt:lpwstr>
      </vt:variant>
      <vt:variant>
        <vt:lpwstr/>
      </vt:variant>
      <vt:variant>
        <vt:i4>6422617</vt:i4>
      </vt:variant>
      <vt:variant>
        <vt:i4>69</vt:i4>
      </vt:variant>
      <vt:variant>
        <vt:i4>0</vt:i4>
      </vt:variant>
      <vt:variant>
        <vt:i4>5</vt:i4>
      </vt:variant>
      <vt:variant>
        <vt:lpwstr>http://econpapers.repec.org/article/eeeecosys/v_3a38_3ay_3a2014_3ai_3a3_3ap_3a433-450.htm</vt:lpwstr>
      </vt:variant>
      <vt:variant>
        <vt:lpwstr/>
      </vt:variant>
      <vt:variant>
        <vt:i4>3407923</vt:i4>
      </vt:variant>
      <vt:variant>
        <vt:i4>63</vt:i4>
      </vt:variant>
      <vt:variant>
        <vt:i4>0</vt:i4>
      </vt:variant>
      <vt:variant>
        <vt:i4>5</vt:i4>
      </vt:variant>
      <vt:variant>
        <vt:lpwstr>https://mgipu.gov.hr/vijesti/drugi-otvoreni-dijalog-partnera-energetsko-siromastvo/8938</vt:lpwstr>
      </vt:variant>
      <vt:variant>
        <vt:lpwstr/>
      </vt:variant>
      <vt:variant>
        <vt:i4>1507349</vt:i4>
      </vt:variant>
      <vt:variant>
        <vt:i4>60</vt:i4>
      </vt:variant>
      <vt:variant>
        <vt:i4>0</vt:i4>
      </vt:variant>
      <vt:variant>
        <vt:i4>5</vt:i4>
      </vt:variant>
      <vt:variant>
        <vt:lpwstr>https://www.statista.com/statistics/246355/home-ownership-rate-in-europe/</vt:lpwstr>
      </vt:variant>
      <vt:variant>
        <vt:lpwstr/>
      </vt:variant>
      <vt:variant>
        <vt:i4>104</vt:i4>
      </vt:variant>
      <vt:variant>
        <vt:i4>57</vt:i4>
      </vt:variant>
      <vt:variant>
        <vt:i4>0</vt:i4>
      </vt:variant>
      <vt:variant>
        <vt:i4>5</vt:i4>
      </vt:variant>
      <vt:variant>
        <vt:lpwstr>http://www.ijf.hr/upload/files/file/projekti/Analiza_sustava_poticanja_stambene_stednje_u_Republici_Hrvatskoj.pdf</vt:lpwstr>
      </vt:variant>
      <vt:variant>
        <vt:lpwstr/>
      </vt:variant>
      <vt:variant>
        <vt:i4>4456475</vt:i4>
      </vt:variant>
      <vt:variant>
        <vt:i4>51</vt:i4>
      </vt:variant>
      <vt:variant>
        <vt:i4>0</vt:i4>
      </vt:variant>
      <vt:variant>
        <vt:i4>5</vt:i4>
      </vt:variant>
      <vt:variant>
        <vt:lpwstr>http://apn.hr/energetska-obnova-zgrada-javnog-sektora/program-2016-2020/opcenito</vt:lpwstr>
      </vt:variant>
      <vt:variant>
        <vt:lpwstr/>
      </vt:variant>
      <vt:variant>
        <vt:i4>3473525</vt:i4>
      </vt:variant>
      <vt:variant>
        <vt:i4>48</vt:i4>
      </vt:variant>
      <vt:variant>
        <vt:i4>0</vt:i4>
      </vt:variant>
      <vt:variant>
        <vt:i4>5</vt:i4>
      </vt:variant>
      <vt:variant>
        <vt:lpwstr>http://ec.europa.eu/programmes/horizon2020/</vt:lpwstr>
      </vt:variant>
      <vt:variant>
        <vt:lpwstr/>
      </vt:variant>
      <vt:variant>
        <vt:i4>6422585</vt:i4>
      </vt:variant>
      <vt:variant>
        <vt:i4>45</vt:i4>
      </vt:variant>
      <vt:variant>
        <vt:i4>0</vt:i4>
      </vt:variant>
      <vt:variant>
        <vt:i4>5</vt:i4>
      </vt:variant>
      <vt:variant>
        <vt:lpwstr>http://buildupon.eu/hr/</vt:lpwstr>
      </vt:variant>
      <vt:variant>
        <vt:lpwstr/>
      </vt:variant>
      <vt:variant>
        <vt:i4>8257620</vt:i4>
      </vt:variant>
      <vt:variant>
        <vt:i4>42</vt:i4>
      </vt:variant>
      <vt:variant>
        <vt:i4>0</vt:i4>
      </vt:variant>
      <vt:variant>
        <vt:i4>5</vt:i4>
      </vt:variant>
      <vt:variant>
        <vt:lpwstr>https://ec.europa.eu/info/funding-tenders_en</vt:lpwstr>
      </vt:variant>
      <vt:variant>
        <vt:lpwstr/>
      </vt:variant>
      <vt:variant>
        <vt:i4>3342383</vt:i4>
      </vt:variant>
      <vt:variant>
        <vt:i4>39</vt:i4>
      </vt:variant>
      <vt:variant>
        <vt:i4>0</vt:i4>
      </vt:variant>
      <vt:variant>
        <vt:i4>5</vt:i4>
      </vt:variant>
      <vt:variant>
        <vt:lpwstr>http://www.eco-sandwich.hr/hr/</vt:lpwstr>
      </vt:variant>
      <vt:variant>
        <vt:lpwstr/>
      </vt:variant>
      <vt:variant>
        <vt:i4>3801198</vt:i4>
      </vt:variant>
      <vt:variant>
        <vt:i4>36</vt:i4>
      </vt:variant>
      <vt:variant>
        <vt:i4>0</vt:i4>
      </vt:variant>
      <vt:variant>
        <vt:i4>5</vt:i4>
      </vt:variant>
      <vt:variant>
        <vt:lpwstr>http://www.strukturnifondovi.hr/natjecaji/1276</vt:lpwstr>
      </vt:variant>
      <vt:variant>
        <vt:lpwstr/>
      </vt:variant>
      <vt:variant>
        <vt:i4>8257632</vt:i4>
      </vt:variant>
      <vt:variant>
        <vt:i4>33</vt:i4>
      </vt:variant>
      <vt:variant>
        <vt:i4>0</vt:i4>
      </vt:variant>
      <vt:variant>
        <vt:i4>5</vt:i4>
      </vt:variant>
      <vt:variant>
        <vt:lpwstr>http://novebojeznanja.hr/UserDocsImages/Dokumenti i publikacije/Dokumenti i publikacije referirani u SOZTu (popis 1)/146 Akcijski plan za poticanje ulaganja u znanost i istra%C5%BEivanje.pdf</vt:lpwstr>
      </vt:variant>
      <vt:variant>
        <vt:lpwstr/>
      </vt:variant>
      <vt:variant>
        <vt:i4>7143456</vt:i4>
      </vt:variant>
      <vt:variant>
        <vt:i4>30</vt:i4>
      </vt:variant>
      <vt:variant>
        <vt:i4>0</vt:i4>
      </vt:variant>
      <vt:variant>
        <vt:i4>5</vt:i4>
      </vt:variant>
      <vt:variant>
        <vt:lpwstr>http://www.mingo.hr/userdocsimages/STRATE%C5%A0KI PLAN MINGO 2013-2015 kona%C4%8Dno.doc</vt:lpwstr>
      </vt:variant>
      <vt:variant>
        <vt:lpwstr/>
      </vt:variant>
      <vt:variant>
        <vt:i4>5832705</vt:i4>
      </vt:variant>
      <vt:variant>
        <vt:i4>27</vt:i4>
      </vt:variant>
      <vt:variant>
        <vt:i4>0</vt:i4>
      </vt:variant>
      <vt:variant>
        <vt:i4>5</vt:i4>
      </vt:variant>
      <vt:variant>
        <vt:lpwstr>http://www.hamagbicro.hr/inovacije/javni-sektor/test/</vt:lpwstr>
      </vt:variant>
      <vt:variant>
        <vt:lpwstr/>
      </vt:variant>
      <vt:variant>
        <vt:i4>83</vt:i4>
      </vt:variant>
      <vt:variant>
        <vt:i4>24</vt:i4>
      </vt:variant>
      <vt:variant>
        <vt:i4>0</vt:i4>
      </vt:variant>
      <vt:variant>
        <vt:i4>5</vt:i4>
      </vt:variant>
      <vt:variant>
        <vt:lpwstr>http://www.enu.fzoeu.hr/</vt:lpwstr>
      </vt:variant>
      <vt:variant>
        <vt:lpwstr/>
      </vt:variant>
      <vt:variant>
        <vt:i4>7078009</vt:i4>
      </vt:variant>
      <vt:variant>
        <vt:i4>21</vt:i4>
      </vt:variant>
      <vt:variant>
        <vt:i4>0</vt:i4>
      </vt:variant>
      <vt:variant>
        <vt:i4>5</vt:i4>
      </vt:variant>
      <vt:variant>
        <vt:lpwstr>http://www.wb-reep.org/</vt:lpwstr>
      </vt:variant>
      <vt:variant>
        <vt:lpwstr/>
      </vt:variant>
      <vt:variant>
        <vt:i4>6094942</vt:i4>
      </vt:variant>
      <vt:variant>
        <vt:i4>18</vt:i4>
      </vt:variant>
      <vt:variant>
        <vt:i4>0</vt:i4>
      </vt:variant>
      <vt:variant>
        <vt:i4>5</vt:i4>
      </vt:variant>
      <vt:variant>
        <vt:lpwstr>https://www.hbor.hr/wp-content/uploads/2017/05/Za%C5%A1tita-okoli%C5%A1a-Pk-projekata-za%C5%A1tite-okoli%C5%A1a-energetske-u%C4%8Dinkovitosti -1612-1704.pdf</vt:lpwstr>
      </vt:variant>
      <vt:variant>
        <vt:lpwstr/>
      </vt:variant>
      <vt:variant>
        <vt:i4>3080218</vt:i4>
      </vt:variant>
      <vt:variant>
        <vt:i4>15</vt:i4>
      </vt:variant>
      <vt:variant>
        <vt:i4>0</vt:i4>
      </vt:variant>
      <vt:variant>
        <vt:i4>5</vt:i4>
      </vt:variant>
      <vt:variant>
        <vt:lpwstr>http://www.fzoeu.hr/hr/energetska_ucinkovitost/enu_u_zgradarstvu/</vt:lpwstr>
      </vt:variant>
      <vt:variant>
        <vt:lpwstr/>
      </vt:variant>
      <vt:variant>
        <vt:i4>720897</vt:i4>
      </vt:variant>
      <vt:variant>
        <vt:i4>12</vt:i4>
      </vt:variant>
      <vt:variant>
        <vt:i4>0</vt:i4>
      </vt:variant>
      <vt:variant>
        <vt:i4>5</vt:i4>
      </vt:variant>
      <vt:variant>
        <vt:lpwstr>http://www.obzor2020.hr/</vt:lpwstr>
      </vt:variant>
      <vt:variant>
        <vt:lpwstr/>
      </vt:variant>
      <vt:variant>
        <vt:i4>1507397</vt:i4>
      </vt:variant>
      <vt:variant>
        <vt:i4>9</vt:i4>
      </vt:variant>
      <vt:variant>
        <vt:i4>0</vt:i4>
      </vt:variant>
      <vt:variant>
        <vt:i4>5</vt:i4>
      </vt:variant>
      <vt:variant>
        <vt:lpwstr>http://ec.europa.eu/cip/</vt:lpwstr>
      </vt:variant>
      <vt:variant>
        <vt:lpwstr/>
      </vt:variant>
      <vt:variant>
        <vt:i4>6881339</vt:i4>
      </vt:variant>
      <vt:variant>
        <vt:i4>6</vt:i4>
      </vt:variant>
      <vt:variant>
        <vt:i4>0</vt:i4>
      </vt:variant>
      <vt:variant>
        <vt:i4>5</vt:i4>
      </vt:variant>
      <vt:variant>
        <vt:lpwstr>http://www.concertoplus.eu/</vt:lpwstr>
      </vt:variant>
      <vt:variant>
        <vt:lpwstr/>
      </vt:variant>
      <vt:variant>
        <vt:i4>6357014</vt:i4>
      </vt:variant>
      <vt:variant>
        <vt:i4>3</vt:i4>
      </vt:variant>
      <vt:variant>
        <vt:i4>0</vt:i4>
      </vt:variant>
      <vt:variant>
        <vt:i4>5</vt:i4>
      </vt:variant>
      <vt:variant>
        <vt:lpwstr>http://www.strukturnifondovi.hr/UserDocsImages/Publikacije/Instrument_pretpristupne_pomoci_IPA.pdf</vt:lpwstr>
      </vt:variant>
      <vt:variant>
        <vt:lpwstr/>
      </vt:variant>
      <vt:variant>
        <vt:i4>3145796</vt:i4>
      </vt:variant>
      <vt:variant>
        <vt:i4>0</vt:i4>
      </vt:variant>
      <vt:variant>
        <vt:i4>0</vt:i4>
      </vt:variant>
      <vt:variant>
        <vt:i4>5</vt:i4>
      </vt:variant>
      <vt:variant>
        <vt:lpwstr>https://www.mingo.hr/public/investicije/OPKK_2014_2020_31316.pdf %5b2017</vt:lpwstr>
      </vt:variant>
      <vt:variant>
        <vt:lpwstr/>
      </vt:variant>
      <vt:variant>
        <vt:i4>7471170</vt:i4>
      </vt:variant>
      <vt:variant>
        <vt:i4>0</vt:i4>
      </vt:variant>
      <vt:variant>
        <vt:i4>0</vt:i4>
      </vt:variant>
      <vt:variant>
        <vt:i4>5</vt:i4>
      </vt:variant>
      <vt:variant>
        <vt:lpwstr>https://books.google.hr/books?id=ygdAO6_mOCgC&amp;lpg=PA542&amp;ots=YV6Ku44MW6&amp;dq=demolition%20rate&amp;pg=PA541</vt:lpwstr>
      </vt:variant>
      <vt:variant>
        <vt:lpwstr>v=onepage&amp;q=demolition%20rate&amp;f=false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Revizija Dugoročne strategije za poticanje ulaganja u obnovu nacionalnog fonda zgrada Republike Hrvatske</dc:title>
  <dc:creator>Toni Borković;Vesna Bukarica</dc:creator>
  <cp:lastModifiedBy>Daliborka Nović</cp:lastModifiedBy>
  <cp:revision>2</cp:revision>
  <cp:lastPrinted>2020-07-30T10:47:00Z</cp:lastPrinted>
  <dcterms:created xsi:type="dcterms:W3CDTF">2020-08-07T12:26:00Z</dcterms:created>
  <dcterms:modified xsi:type="dcterms:W3CDTF">2020-08-07T12:26:00Z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0x010100C1F0A549E4FF9947A25B4B77C27EACDF</vt:lpwstr>
  </property>
  <property fmtid="{D5CDD505-2E9C-101B-9397-08002B2CF9AE}" pid="3" name="AuthorIds_UIVersion_43520">
    <vt:lpwstr>12</vt:lpwstr>
  </property>
</Properties>
</file>