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69"/>
      </w:tblGrid>
      <w:tr w:rsidR="00944F9E" w:rsidRPr="00361664" w:rsidTr="007871C0">
        <w:trPr>
          <w:trHeight w:val="2880"/>
          <w:jc w:val="center"/>
        </w:trPr>
        <w:tc>
          <w:tcPr>
            <w:tcW w:w="5000" w:type="pct"/>
          </w:tcPr>
          <w:p w:rsidR="00944F9E" w:rsidRPr="00361664" w:rsidRDefault="00A9294A" w:rsidP="0022125F">
            <w:pPr>
              <w:pStyle w:val="Bezproreda"/>
              <w:jc w:val="center"/>
              <w:rPr>
                <w:rFonts w:ascii="Cambria" w:hAnsi="Cambria"/>
                <w:caps/>
                <w:lang w:val="hr-HR"/>
              </w:rPr>
            </w:pPr>
            <w:r w:rsidRPr="00361664">
              <w:rPr>
                <w:rFonts w:ascii="Cambria" w:hAnsi="Cambria"/>
                <w:caps/>
                <w:lang w:val="hr-HR"/>
              </w:rPr>
              <w:t>Ministarstvo ZaŠTITE OKOLIŠA I ENERGETIKE</w:t>
            </w:r>
          </w:p>
          <w:p w:rsidR="00944F9E" w:rsidRPr="00361664" w:rsidRDefault="00944F9E" w:rsidP="0022125F">
            <w:pPr>
              <w:pStyle w:val="Bezproreda"/>
              <w:jc w:val="center"/>
              <w:rPr>
                <w:rFonts w:ascii="Cambria" w:hAnsi="Cambria"/>
                <w:caps/>
                <w:lang w:val="hr-HR"/>
              </w:rPr>
            </w:pPr>
          </w:p>
          <w:p w:rsidR="00944F9E" w:rsidRPr="00361664" w:rsidRDefault="00944F9E" w:rsidP="0022125F">
            <w:pPr>
              <w:pStyle w:val="Bezproreda"/>
              <w:jc w:val="center"/>
              <w:rPr>
                <w:rFonts w:ascii="Cambria" w:hAnsi="Cambria"/>
                <w:caps/>
                <w:lang w:val="hr-HR"/>
              </w:rPr>
            </w:pPr>
          </w:p>
          <w:p w:rsidR="001838B5" w:rsidRPr="00361664" w:rsidRDefault="001838B5" w:rsidP="0022125F">
            <w:pPr>
              <w:pStyle w:val="Bezproreda"/>
              <w:jc w:val="center"/>
              <w:rPr>
                <w:rFonts w:ascii="Cambria" w:hAnsi="Cambria"/>
                <w:caps/>
                <w:lang w:val="hr-HR"/>
              </w:rPr>
            </w:pPr>
          </w:p>
          <w:p w:rsidR="001838B5" w:rsidRPr="00361664" w:rsidRDefault="001838B5" w:rsidP="0022125F">
            <w:pPr>
              <w:pStyle w:val="Bezproreda"/>
              <w:jc w:val="center"/>
              <w:rPr>
                <w:rFonts w:ascii="Cambria" w:hAnsi="Cambria"/>
                <w:caps/>
                <w:lang w:val="hr-HR"/>
              </w:rPr>
            </w:pPr>
          </w:p>
          <w:p w:rsidR="001838B5" w:rsidRPr="00361664" w:rsidRDefault="001838B5" w:rsidP="0022125F">
            <w:pPr>
              <w:pStyle w:val="Bezproreda"/>
              <w:jc w:val="center"/>
              <w:rPr>
                <w:rFonts w:ascii="Cambria" w:hAnsi="Cambria"/>
                <w:caps/>
                <w:lang w:val="hr-HR"/>
              </w:rPr>
            </w:pPr>
          </w:p>
          <w:p w:rsidR="001838B5" w:rsidRPr="00361664" w:rsidRDefault="001838B5" w:rsidP="0022125F">
            <w:pPr>
              <w:pStyle w:val="Bezproreda"/>
              <w:jc w:val="center"/>
              <w:rPr>
                <w:rFonts w:ascii="Cambria" w:hAnsi="Cambria"/>
                <w:caps/>
                <w:lang w:val="hr-HR"/>
              </w:rPr>
            </w:pPr>
          </w:p>
        </w:tc>
      </w:tr>
      <w:tr w:rsidR="00944F9E" w:rsidRPr="00361664" w:rsidTr="007871C0">
        <w:trPr>
          <w:trHeight w:val="1440"/>
          <w:jc w:val="center"/>
        </w:trPr>
        <w:tc>
          <w:tcPr>
            <w:tcW w:w="5000" w:type="pct"/>
            <w:tcBorders>
              <w:bottom w:val="single" w:sz="4" w:space="0" w:color="4F81BD"/>
            </w:tcBorders>
            <w:vAlign w:val="center"/>
          </w:tcPr>
          <w:p w:rsidR="00944F9E" w:rsidRPr="00361664" w:rsidRDefault="00944F9E" w:rsidP="0022125F">
            <w:pPr>
              <w:pStyle w:val="Bezproreda"/>
              <w:jc w:val="center"/>
              <w:rPr>
                <w:rFonts w:ascii="Cambria" w:eastAsia="Calibri" w:hAnsi="Cambria"/>
                <w:color w:val="17365D"/>
                <w:spacing w:val="5"/>
                <w:kern w:val="28"/>
                <w:sz w:val="52"/>
                <w:szCs w:val="52"/>
                <w:lang w:val="hr-HR"/>
              </w:rPr>
            </w:pPr>
          </w:p>
          <w:p w:rsidR="00944F9E" w:rsidRPr="00361664" w:rsidRDefault="00944F9E" w:rsidP="0022125F">
            <w:pPr>
              <w:pStyle w:val="Bezproreda"/>
              <w:jc w:val="center"/>
              <w:rPr>
                <w:rFonts w:ascii="Cambria" w:eastAsia="Calibri" w:hAnsi="Cambria"/>
                <w:color w:val="17365D"/>
                <w:spacing w:val="5"/>
                <w:kern w:val="28"/>
                <w:sz w:val="52"/>
                <w:szCs w:val="52"/>
                <w:lang w:val="hr-HR"/>
              </w:rPr>
            </w:pPr>
          </w:p>
          <w:p w:rsidR="00944F9E" w:rsidRPr="00361664" w:rsidRDefault="00944F9E" w:rsidP="0022125F">
            <w:pPr>
              <w:pStyle w:val="Bezproreda"/>
              <w:jc w:val="center"/>
              <w:rPr>
                <w:rFonts w:ascii="Cambria" w:eastAsia="Calibri" w:hAnsi="Cambria"/>
                <w:color w:val="17365D"/>
                <w:spacing w:val="5"/>
                <w:kern w:val="28"/>
                <w:sz w:val="52"/>
                <w:szCs w:val="52"/>
                <w:lang w:val="hr-HR"/>
              </w:rPr>
            </w:pPr>
          </w:p>
          <w:p w:rsidR="00944F9E" w:rsidRPr="00361664" w:rsidRDefault="00944F9E" w:rsidP="0022125F">
            <w:pPr>
              <w:pStyle w:val="Bezproreda"/>
              <w:jc w:val="center"/>
              <w:rPr>
                <w:rFonts w:ascii="Cambria" w:eastAsia="Calibri" w:hAnsi="Cambria"/>
                <w:color w:val="17365D"/>
                <w:spacing w:val="5"/>
                <w:kern w:val="28"/>
                <w:sz w:val="52"/>
                <w:szCs w:val="52"/>
                <w:lang w:val="hr-HR"/>
              </w:rPr>
            </w:pPr>
          </w:p>
          <w:p w:rsidR="00944F9E" w:rsidRPr="00361664" w:rsidRDefault="00A9294A" w:rsidP="00EB7689">
            <w:pPr>
              <w:pStyle w:val="Bezproreda"/>
              <w:jc w:val="center"/>
              <w:rPr>
                <w:rFonts w:ascii="Cambria" w:hAnsi="Cambria"/>
                <w:sz w:val="80"/>
                <w:szCs w:val="80"/>
                <w:lang w:val="hr-HR"/>
              </w:rPr>
            </w:pPr>
            <w:r w:rsidRPr="00361664">
              <w:rPr>
                <w:rFonts w:ascii="Cambria" w:eastAsia="Calibri" w:hAnsi="Cambria"/>
                <w:color w:val="17365D"/>
                <w:spacing w:val="5"/>
                <w:kern w:val="28"/>
                <w:sz w:val="52"/>
                <w:szCs w:val="52"/>
                <w:lang w:val="hr-HR"/>
              </w:rPr>
              <w:t xml:space="preserve">ČETVRTI </w:t>
            </w:r>
            <w:r w:rsidR="00944F9E" w:rsidRPr="00361664">
              <w:rPr>
                <w:rFonts w:ascii="Cambria" w:eastAsia="Calibri" w:hAnsi="Cambria"/>
                <w:color w:val="17365D"/>
                <w:spacing w:val="5"/>
                <w:kern w:val="28"/>
                <w:sz w:val="52"/>
                <w:szCs w:val="52"/>
                <w:lang w:val="hr-HR"/>
              </w:rPr>
              <w:t>NACIONALNI AKCIJSKI PLAN ENERGETSKE</w:t>
            </w:r>
            <w:r w:rsidRPr="00361664">
              <w:rPr>
                <w:rFonts w:ascii="Cambria" w:eastAsia="Calibri" w:hAnsi="Cambria"/>
                <w:color w:val="17365D"/>
                <w:spacing w:val="5"/>
                <w:kern w:val="28"/>
                <w:sz w:val="52"/>
                <w:szCs w:val="52"/>
                <w:lang w:val="hr-HR"/>
              </w:rPr>
              <w:t xml:space="preserve"> UČINKOVITOSTI </w:t>
            </w:r>
            <w:r w:rsidR="00DE6E1F" w:rsidRPr="00361664">
              <w:rPr>
                <w:rFonts w:ascii="Cambria" w:eastAsia="Calibri" w:hAnsi="Cambria"/>
                <w:color w:val="17365D"/>
                <w:spacing w:val="5"/>
                <w:kern w:val="28"/>
                <w:sz w:val="52"/>
                <w:szCs w:val="52"/>
                <w:lang w:val="hr-HR"/>
              </w:rPr>
              <w:t xml:space="preserve">ZA RAZDOBLJE </w:t>
            </w:r>
            <w:r w:rsidR="00EB7689" w:rsidRPr="00361664">
              <w:rPr>
                <w:rFonts w:ascii="Cambria" w:eastAsia="Calibri" w:hAnsi="Cambria"/>
                <w:color w:val="17365D"/>
                <w:spacing w:val="5"/>
                <w:kern w:val="28"/>
                <w:sz w:val="52"/>
                <w:szCs w:val="52"/>
                <w:lang w:val="hr-HR"/>
              </w:rPr>
              <w:t xml:space="preserve">DO KRAJA </w:t>
            </w:r>
            <w:r w:rsidRPr="00361664">
              <w:rPr>
                <w:rFonts w:ascii="Cambria" w:eastAsia="Calibri" w:hAnsi="Cambria"/>
                <w:color w:val="17365D"/>
                <w:spacing w:val="5"/>
                <w:kern w:val="28"/>
                <w:sz w:val="52"/>
                <w:szCs w:val="52"/>
                <w:lang w:val="hr-HR"/>
              </w:rPr>
              <w:t>2019</w:t>
            </w:r>
            <w:r w:rsidR="00944F9E" w:rsidRPr="00361664">
              <w:rPr>
                <w:rFonts w:ascii="Cambria" w:eastAsia="Calibri" w:hAnsi="Cambria"/>
                <w:color w:val="17365D"/>
                <w:spacing w:val="5"/>
                <w:kern w:val="28"/>
                <w:sz w:val="52"/>
                <w:szCs w:val="52"/>
                <w:lang w:val="hr-HR"/>
              </w:rPr>
              <w:t>.</w:t>
            </w:r>
          </w:p>
        </w:tc>
      </w:tr>
      <w:tr w:rsidR="00944F9E" w:rsidRPr="00361664" w:rsidTr="007871C0">
        <w:trPr>
          <w:trHeight w:val="720"/>
          <w:jc w:val="center"/>
        </w:trPr>
        <w:tc>
          <w:tcPr>
            <w:tcW w:w="5000" w:type="pct"/>
            <w:tcBorders>
              <w:top w:val="single" w:sz="4" w:space="0" w:color="4F81BD"/>
            </w:tcBorders>
            <w:vAlign w:val="center"/>
          </w:tcPr>
          <w:p w:rsidR="00944F9E" w:rsidRPr="00361664" w:rsidRDefault="00944F9E" w:rsidP="0022125F">
            <w:pPr>
              <w:pStyle w:val="Bezproreda"/>
              <w:jc w:val="center"/>
              <w:rPr>
                <w:rFonts w:ascii="Cambria" w:hAnsi="Cambria"/>
                <w:sz w:val="44"/>
                <w:szCs w:val="44"/>
                <w:lang w:val="hr-HR"/>
              </w:rPr>
            </w:pPr>
          </w:p>
          <w:p w:rsidR="00944F9E" w:rsidRPr="00361664" w:rsidRDefault="00944F9E" w:rsidP="0022125F">
            <w:pPr>
              <w:pStyle w:val="Bezproreda"/>
              <w:jc w:val="center"/>
              <w:rPr>
                <w:rFonts w:ascii="Cambria" w:hAnsi="Cambria"/>
                <w:sz w:val="44"/>
                <w:szCs w:val="44"/>
                <w:lang w:val="hr-HR"/>
              </w:rPr>
            </w:pPr>
          </w:p>
          <w:p w:rsidR="00944F9E" w:rsidRPr="00361664" w:rsidRDefault="009802EF" w:rsidP="0022125F">
            <w:pPr>
              <w:pStyle w:val="Bezproreda"/>
              <w:jc w:val="center"/>
              <w:rPr>
                <w:rFonts w:ascii="Cambria" w:hAnsi="Cambria"/>
                <w:sz w:val="44"/>
                <w:szCs w:val="44"/>
                <w:lang w:val="hr-HR"/>
              </w:rPr>
            </w:pPr>
            <w:r w:rsidRPr="00361664">
              <w:rPr>
                <w:rFonts w:ascii="Cambria" w:hAnsi="Cambria"/>
                <w:sz w:val="40"/>
                <w:szCs w:val="44"/>
                <w:lang w:val="hr-HR"/>
              </w:rPr>
              <w:t>DODATAK</w:t>
            </w:r>
            <w:r w:rsidR="001838B5" w:rsidRPr="00361664">
              <w:rPr>
                <w:rFonts w:ascii="Cambria" w:hAnsi="Cambria"/>
                <w:sz w:val="40"/>
                <w:szCs w:val="44"/>
                <w:lang w:val="hr-HR"/>
              </w:rPr>
              <w:t>: MJERE ZA USPOSTAVU INFRASTRUKTURE ZA ALTERNATIVNA GORIVA</w:t>
            </w:r>
          </w:p>
          <w:p w:rsidR="00944F9E" w:rsidRPr="00361664" w:rsidRDefault="00944F9E" w:rsidP="0022125F">
            <w:pPr>
              <w:pStyle w:val="Bezproreda"/>
              <w:jc w:val="center"/>
              <w:rPr>
                <w:rFonts w:ascii="Cambria" w:hAnsi="Cambria"/>
                <w:sz w:val="44"/>
                <w:szCs w:val="44"/>
                <w:lang w:val="hr-HR"/>
              </w:rPr>
            </w:pPr>
          </w:p>
          <w:p w:rsidR="00944F9E" w:rsidRPr="00361664" w:rsidRDefault="00944F9E" w:rsidP="0022125F">
            <w:pPr>
              <w:pStyle w:val="Bezproreda"/>
              <w:jc w:val="center"/>
              <w:rPr>
                <w:rFonts w:ascii="Cambria" w:hAnsi="Cambria"/>
                <w:sz w:val="44"/>
                <w:szCs w:val="44"/>
                <w:lang w:val="hr-HR"/>
              </w:rPr>
            </w:pPr>
          </w:p>
          <w:p w:rsidR="00944F9E" w:rsidRPr="00361664" w:rsidRDefault="00944F9E" w:rsidP="0022125F">
            <w:pPr>
              <w:pStyle w:val="Bezproreda"/>
              <w:jc w:val="center"/>
              <w:rPr>
                <w:rFonts w:ascii="Cambria" w:hAnsi="Cambria"/>
                <w:sz w:val="44"/>
                <w:szCs w:val="44"/>
                <w:lang w:val="hr-HR"/>
              </w:rPr>
            </w:pPr>
          </w:p>
          <w:p w:rsidR="001838B5" w:rsidRPr="00361664" w:rsidRDefault="001838B5" w:rsidP="0022125F">
            <w:pPr>
              <w:pStyle w:val="Bezproreda"/>
              <w:jc w:val="center"/>
              <w:rPr>
                <w:rFonts w:ascii="Cambria" w:hAnsi="Cambria"/>
                <w:sz w:val="44"/>
                <w:szCs w:val="44"/>
                <w:lang w:val="hr-HR"/>
              </w:rPr>
            </w:pPr>
          </w:p>
          <w:p w:rsidR="001838B5" w:rsidRPr="00361664" w:rsidRDefault="001838B5" w:rsidP="00776DE5">
            <w:pPr>
              <w:pStyle w:val="Bezproreda"/>
              <w:jc w:val="center"/>
              <w:rPr>
                <w:rFonts w:ascii="Cambria" w:hAnsi="Cambria"/>
                <w:sz w:val="44"/>
                <w:szCs w:val="44"/>
                <w:lang w:val="hr-HR"/>
              </w:rPr>
            </w:pPr>
          </w:p>
          <w:p w:rsidR="00776DE5" w:rsidRPr="00361664" w:rsidRDefault="00776DE5" w:rsidP="00776DE5">
            <w:pPr>
              <w:pStyle w:val="Bezproreda"/>
              <w:jc w:val="center"/>
              <w:rPr>
                <w:rFonts w:ascii="Cambria" w:hAnsi="Cambria"/>
                <w:sz w:val="44"/>
                <w:szCs w:val="44"/>
                <w:lang w:val="hr-HR"/>
              </w:rPr>
            </w:pPr>
          </w:p>
        </w:tc>
      </w:tr>
      <w:tr w:rsidR="00944F9E" w:rsidRPr="00361664" w:rsidTr="007871C0">
        <w:trPr>
          <w:trHeight w:val="360"/>
          <w:jc w:val="center"/>
        </w:trPr>
        <w:tc>
          <w:tcPr>
            <w:tcW w:w="5000" w:type="pct"/>
            <w:vAlign w:val="center"/>
          </w:tcPr>
          <w:p w:rsidR="00944F9E" w:rsidRPr="00361664" w:rsidRDefault="00944F9E" w:rsidP="0022125F">
            <w:pPr>
              <w:pStyle w:val="Bezproreda"/>
              <w:jc w:val="center"/>
              <w:rPr>
                <w:lang w:val="hr-HR"/>
              </w:rPr>
            </w:pPr>
          </w:p>
        </w:tc>
      </w:tr>
      <w:tr w:rsidR="00944F9E" w:rsidRPr="00361664" w:rsidTr="007871C0">
        <w:trPr>
          <w:trHeight w:val="360"/>
          <w:jc w:val="center"/>
        </w:trPr>
        <w:tc>
          <w:tcPr>
            <w:tcW w:w="5000" w:type="pct"/>
            <w:vAlign w:val="center"/>
          </w:tcPr>
          <w:p w:rsidR="00944F9E" w:rsidRPr="00361664" w:rsidRDefault="000F1335" w:rsidP="0022125F">
            <w:pPr>
              <w:pStyle w:val="Bezproreda"/>
              <w:jc w:val="center"/>
              <w:rPr>
                <w:bCs/>
                <w:lang w:val="hr-HR"/>
              </w:rPr>
            </w:pPr>
            <w:r w:rsidRPr="00361664">
              <w:rPr>
                <w:bCs/>
                <w:lang w:val="hr-HR"/>
              </w:rPr>
              <w:t>siječanj 2019</w:t>
            </w:r>
            <w:r w:rsidR="00A04CD0" w:rsidRPr="00361664">
              <w:rPr>
                <w:bCs/>
                <w:lang w:val="hr-HR"/>
              </w:rPr>
              <w:t>.</w:t>
            </w:r>
          </w:p>
        </w:tc>
      </w:tr>
      <w:tr w:rsidR="00944F9E" w:rsidRPr="00361664" w:rsidTr="007871C0">
        <w:trPr>
          <w:trHeight w:val="360"/>
          <w:jc w:val="center"/>
        </w:trPr>
        <w:tc>
          <w:tcPr>
            <w:tcW w:w="5000" w:type="pct"/>
            <w:vAlign w:val="center"/>
          </w:tcPr>
          <w:p w:rsidR="00944F9E" w:rsidRPr="00361664" w:rsidRDefault="00944F9E" w:rsidP="0022125F">
            <w:pPr>
              <w:pStyle w:val="Bezproreda"/>
              <w:jc w:val="center"/>
              <w:rPr>
                <w:bCs/>
                <w:lang w:val="hr-HR"/>
              </w:rPr>
            </w:pPr>
          </w:p>
        </w:tc>
      </w:tr>
    </w:tbl>
    <w:p w:rsidR="00227C66" w:rsidRPr="00361664" w:rsidRDefault="00227C66" w:rsidP="00981F92">
      <w:pPr>
        <w:tabs>
          <w:tab w:val="center" w:pos="4676"/>
        </w:tabs>
        <w:jc w:val="both"/>
      </w:pPr>
      <w:r w:rsidRPr="00361664">
        <w:br w:type="page"/>
      </w:r>
      <w:r w:rsidR="00981F92" w:rsidRPr="00361664">
        <w:lastRenderedPageBreak/>
        <w:tab/>
      </w:r>
    </w:p>
    <w:p w:rsidR="00B51D74" w:rsidRPr="00361664" w:rsidRDefault="00944F9E" w:rsidP="00F53F98">
      <w:pPr>
        <w:pStyle w:val="Naslov1"/>
        <w:numPr>
          <w:ilvl w:val="0"/>
          <w:numId w:val="0"/>
        </w:numPr>
        <w:spacing w:before="0" w:line="240" w:lineRule="auto"/>
        <w:jc w:val="both"/>
        <w:rPr>
          <w:lang w:val="hr-HR"/>
        </w:rPr>
      </w:pPr>
      <w:bookmarkStart w:id="0" w:name="_Toc298961528"/>
      <w:bookmarkStart w:id="1" w:name="_Toc481059113"/>
      <w:bookmarkStart w:id="2" w:name="_Toc535245832"/>
      <w:r w:rsidRPr="00361664">
        <w:rPr>
          <w:lang w:val="hr-HR"/>
        </w:rPr>
        <w:t>Sadržaj</w:t>
      </w:r>
      <w:bookmarkEnd w:id="0"/>
      <w:bookmarkEnd w:id="1"/>
      <w:bookmarkEnd w:id="2"/>
    </w:p>
    <w:p w:rsidR="00B04851" w:rsidRDefault="00E85060">
      <w:pPr>
        <w:pStyle w:val="Sadraj1"/>
        <w:rPr>
          <w:rFonts w:asciiTheme="minorHAnsi" w:eastAsiaTheme="minorEastAsia" w:hAnsiTheme="minorHAnsi" w:cstheme="minorBidi"/>
          <w:b w:val="0"/>
          <w:sz w:val="22"/>
          <w:szCs w:val="22"/>
          <w:lang w:val="en-US" w:eastAsia="en-US"/>
        </w:rPr>
      </w:pPr>
      <w:r w:rsidRPr="00361664">
        <w:rPr>
          <w:noProof w:val="0"/>
          <w:lang w:val="hr-HR"/>
        </w:rPr>
        <w:fldChar w:fldCharType="begin"/>
      </w:r>
      <w:r w:rsidR="00944F9E" w:rsidRPr="00361664">
        <w:rPr>
          <w:noProof w:val="0"/>
          <w:lang w:val="hr-HR"/>
        </w:rPr>
        <w:instrText xml:space="preserve"> TOC \o "1-5" \h \z \t "Title;1" </w:instrText>
      </w:r>
      <w:r w:rsidRPr="00361664">
        <w:rPr>
          <w:noProof w:val="0"/>
          <w:lang w:val="hr-HR"/>
        </w:rPr>
        <w:fldChar w:fldCharType="separate"/>
      </w:r>
      <w:hyperlink w:anchor="_Toc535245832" w:history="1">
        <w:r w:rsidR="00B04851" w:rsidRPr="0045029D">
          <w:rPr>
            <w:rStyle w:val="Hiperveza"/>
            <w:lang w:val="hr-HR"/>
          </w:rPr>
          <w:t>Sadržaj</w:t>
        </w:r>
        <w:r w:rsidR="00B04851">
          <w:rPr>
            <w:webHidden/>
          </w:rPr>
          <w:tab/>
        </w:r>
        <w:r w:rsidR="00B04851">
          <w:rPr>
            <w:webHidden/>
          </w:rPr>
          <w:fldChar w:fldCharType="begin"/>
        </w:r>
        <w:r w:rsidR="00B04851">
          <w:rPr>
            <w:webHidden/>
          </w:rPr>
          <w:instrText xml:space="preserve"> PAGEREF _Toc535245832 \h </w:instrText>
        </w:r>
        <w:r w:rsidR="00B04851">
          <w:rPr>
            <w:webHidden/>
          </w:rPr>
        </w:r>
        <w:r w:rsidR="00B04851">
          <w:rPr>
            <w:webHidden/>
          </w:rPr>
          <w:fldChar w:fldCharType="separate"/>
        </w:r>
        <w:r w:rsidR="00B04851">
          <w:rPr>
            <w:webHidden/>
          </w:rPr>
          <w:t>1</w:t>
        </w:r>
        <w:r w:rsidR="00B04851">
          <w:rPr>
            <w:webHidden/>
          </w:rPr>
          <w:fldChar w:fldCharType="end"/>
        </w:r>
      </w:hyperlink>
    </w:p>
    <w:p w:rsidR="00B04851" w:rsidRDefault="00F87012">
      <w:pPr>
        <w:pStyle w:val="Sadraj1"/>
        <w:rPr>
          <w:rFonts w:asciiTheme="minorHAnsi" w:eastAsiaTheme="minorEastAsia" w:hAnsiTheme="minorHAnsi" w:cstheme="minorBidi"/>
          <w:b w:val="0"/>
          <w:sz w:val="22"/>
          <w:szCs w:val="22"/>
          <w:lang w:val="en-US" w:eastAsia="en-US"/>
        </w:rPr>
      </w:pPr>
      <w:hyperlink w:anchor="_Toc535245833" w:history="1">
        <w:r w:rsidR="00B04851" w:rsidRPr="0045029D">
          <w:rPr>
            <w:rStyle w:val="Hiperveza"/>
            <w:lang w:val="hr-HR"/>
          </w:rPr>
          <w:t>popis kratica</w:t>
        </w:r>
        <w:r w:rsidR="00B04851">
          <w:rPr>
            <w:webHidden/>
          </w:rPr>
          <w:tab/>
        </w:r>
        <w:r w:rsidR="00B04851">
          <w:rPr>
            <w:webHidden/>
          </w:rPr>
          <w:fldChar w:fldCharType="begin"/>
        </w:r>
        <w:r w:rsidR="00B04851">
          <w:rPr>
            <w:webHidden/>
          </w:rPr>
          <w:instrText xml:space="preserve"> PAGEREF _Toc535245833 \h </w:instrText>
        </w:r>
        <w:r w:rsidR="00B04851">
          <w:rPr>
            <w:webHidden/>
          </w:rPr>
        </w:r>
        <w:r w:rsidR="00B04851">
          <w:rPr>
            <w:webHidden/>
          </w:rPr>
          <w:fldChar w:fldCharType="separate"/>
        </w:r>
        <w:r w:rsidR="00B04851">
          <w:rPr>
            <w:webHidden/>
          </w:rPr>
          <w:t>3</w:t>
        </w:r>
        <w:r w:rsidR="00B04851">
          <w:rPr>
            <w:webHidden/>
          </w:rPr>
          <w:fldChar w:fldCharType="end"/>
        </w:r>
      </w:hyperlink>
    </w:p>
    <w:p w:rsidR="00B04851" w:rsidRDefault="00F87012">
      <w:pPr>
        <w:pStyle w:val="Sadraj1"/>
        <w:rPr>
          <w:rFonts w:asciiTheme="minorHAnsi" w:eastAsiaTheme="minorEastAsia" w:hAnsiTheme="minorHAnsi" w:cstheme="minorBidi"/>
          <w:b w:val="0"/>
          <w:sz w:val="22"/>
          <w:szCs w:val="22"/>
          <w:lang w:val="en-US" w:eastAsia="en-US"/>
        </w:rPr>
      </w:pPr>
      <w:hyperlink w:anchor="_Toc535245834" w:history="1">
        <w:r w:rsidR="00B04851" w:rsidRPr="0045029D">
          <w:rPr>
            <w:rStyle w:val="Hiperveza"/>
            <w:lang w:val="hr-HR"/>
          </w:rPr>
          <w:t>1</w:t>
        </w:r>
        <w:r w:rsidR="00B04851">
          <w:rPr>
            <w:rFonts w:asciiTheme="minorHAnsi" w:eastAsiaTheme="minorEastAsia" w:hAnsiTheme="minorHAnsi" w:cstheme="minorBidi"/>
            <w:b w:val="0"/>
            <w:sz w:val="22"/>
            <w:szCs w:val="22"/>
            <w:lang w:val="en-US" w:eastAsia="en-US"/>
          </w:rPr>
          <w:tab/>
        </w:r>
        <w:r w:rsidR="00B04851" w:rsidRPr="0045029D">
          <w:rPr>
            <w:rStyle w:val="Hiperveza"/>
            <w:lang w:val="hr-HR"/>
          </w:rPr>
          <w:t>SAŽETAK</w:t>
        </w:r>
        <w:r w:rsidR="00B04851">
          <w:rPr>
            <w:webHidden/>
          </w:rPr>
          <w:tab/>
        </w:r>
        <w:r w:rsidR="00B04851">
          <w:rPr>
            <w:webHidden/>
          </w:rPr>
          <w:fldChar w:fldCharType="begin"/>
        </w:r>
        <w:r w:rsidR="00B04851">
          <w:rPr>
            <w:webHidden/>
          </w:rPr>
          <w:instrText xml:space="preserve"> PAGEREF _Toc535245834 \h </w:instrText>
        </w:r>
        <w:r w:rsidR="00B04851">
          <w:rPr>
            <w:webHidden/>
          </w:rPr>
        </w:r>
        <w:r w:rsidR="00B04851">
          <w:rPr>
            <w:webHidden/>
          </w:rPr>
          <w:fldChar w:fldCharType="separate"/>
        </w:r>
        <w:r w:rsidR="00B04851">
          <w:rPr>
            <w:webHidden/>
          </w:rPr>
          <w:t>5</w:t>
        </w:r>
        <w:r w:rsidR="00B04851">
          <w:rPr>
            <w:webHidden/>
          </w:rPr>
          <w:fldChar w:fldCharType="end"/>
        </w:r>
      </w:hyperlink>
    </w:p>
    <w:p w:rsidR="00B04851" w:rsidRDefault="00F87012">
      <w:pPr>
        <w:pStyle w:val="Sadraj1"/>
        <w:rPr>
          <w:rFonts w:asciiTheme="minorHAnsi" w:eastAsiaTheme="minorEastAsia" w:hAnsiTheme="minorHAnsi" w:cstheme="minorBidi"/>
          <w:b w:val="0"/>
          <w:sz w:val="22"/>
          <w:szCs w:val="22"/>
          <w:lang w:val="en-US" w:eastAsia="en-US"/>
        </w:rPr>
      </w:pPr>
      <w:hyperlink w:anchor="_Toc535245835" w:history="1">
        <w:r w:rsidR="00B04851" w:rsidRPr="0045029D">
          <w:rPr>
            <w:rStyle w:val="Hiperveza"/>
            <w:lang w:val="hr-HR"/>
          </w:rPr>
          <w:t>2</w:t>
        </w:r>
        <w:r w:rsidR="00B04851">
          <w:rPr>
            <w:rFonts w:asciiTheme="minorHAnsi" w:eastAsiaTheme="minorEastAsia" w:hAnsiTheme="minorHAnsi" w:cstheme="minorBidi"/>
            <w:b w:val="0"/>
            <w:sz w:val="22"/>
            <w:szCs w:val="22"/>
            <w:lang w:val="en-US" w:eastAsia="en-US"/>
          </w:rPr>
          <w:tab/>
        </w:r>
        <w:r w:rsidR="00B04851" w:rsidRPr="0045029D">
          <w:rPr>
            <w:rStyle w:val="Hiperveza"/>
            <w:lang w:val="hr-HR"/>
          </w:rPr>
          <w:t>PREGLED NACIONALNIH CILJEVA I UŠTEDA</w:t>
        </w:r>
        <w:r w:rsidR="00B04851">
          <w:rPr>
            <w:webHidden/>
          </w:rPr>
          <w:tab/>
        </w:r>
        <w:r w:rsidR="00B04851">
          <w:rPr>
            <w:webHidden/>
          </w:rPr>
          <w:fldChar w:fldCharType="begin"/>
        </w:r>
        <w:r w:rsidR="00B04851">
          <w:rPr>
            <w:webHidden/>
          </w:rPr>
          <w:instrText xml:space="preserve"> PAGEREF _Toc535245835 \h </w:instrText>
        </w:r>
        <w:r w:rsidR="00B04851">
          <w:rPr>
            <w:webHidden/>
          </w:rPr>
        </w:r>
        <w:r w:rsidR="00B04851">
          <w:rPr>
            <w:webHidden/>
          </w:rPr>
          <w:fldChar w:fldCharType="separate"/>
        </w:r>
        <w:r w:rsidR="00B04851">
          <w:rPr>
            <w:webHidden/>
          </w:rPr>
          <w:t>15</w:t>
        </w:r>
        <w:r w:rsidR="00B04851">
          <w:rPr>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36" w:history="1">
        <w:r w:rsidR="00B04851" w:rsidRPr="0045029D">
          <w:rPr>
            <w:rStyle w:val="Hiperveza"/>
          </w:rPr>
          <w:t>2.1</w:t>
        </w:r>
        <w:r w:rsidR="00B04851">
          <w:rPr>
            <w:rFonts w:asciiTheme="minorHAnsi" w:eastAsiaTheme="minorEastAsia" w:hAnsiTheme="minorHAnsi" w:cstheme="minorBidi"/>
            <w:b w:val="0"/>
            <w:sz w:val="22"/>
            <w:lang w:val="en-US"/>
          </w:rPr>
          <w:tab/>
        </w:r>
        <w:r w:rsidR="00B04851" w:rsidRPr="0045029D">
          <w:rPr>
            <w:rStyle w:val="Hiperveza"/>
          </w:rPr>
          <w:t>Nacionalni ciljevi energetske učinkovitosti  za 2020.</w:t>
        </w:r>
        <w:r w:rsidR="00B04851">
          <w:rPr>
            <w:webHidden/>
          </w:rPr>
          <w:tab/>
        </w:r>
        <w:r w:rsidR="00B04851">
          <w:rPr>
            <w:webHidden/>
          </w:rPr>
          <w:fldChar w:fldCharType="begin"/>
        </w:r>
        <w:r w:rsidR="00B04851">
          <w:rPr>
            <w:webHidden/>
          </w:rPr>
          <w:instrText xml:space="preserve"> PAGEREF _Toc535245836 \h </w:instrText>
        </w:r>
        <w:r w:rsidR="00B04851">
          <w:rPr>
            <w:webHidden/>
          </w:rPr>
        </w:r>
        <w:r w:rsidR="00B04851">
          <w:rPr>
            <w:webHidden/>
          </w:rPr>
          <w:fldChar w:fldCharType="separate"/>
        </w:r>
        <w:r w:rsidR="00B04851">
          <w:rPr>
            <w:webHidden/>
          </w:rPr>
          <w:t>15</w:t>
        </w:r>
        <w:r w:rsidR="00B04851">
          <w:rPr>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37" w:history="1">
        <w:r w:rsidR="00B04851" w:rsidRPr="0045029D">
          <w:rPr>
            <w:rStyle w:val="Hiperveza"/>
          </w:rPr>
          <w:t>2.2</w:t>
        </w:r>
        <w:r w:rsidR="00B04851">
          <w:rPr>
            <w:rFonts w:asciiTheme="minorHAnsi" w:eastAsiaTheme="minorEastAsia" w:hAnsiTheme="minorHAnsi" w:cstheme="minorBidi"/>
            <w:b w:val="0"/>
            <w:sz w:val="22"/>
            <w:lang w:val="en-US"/>
          </w:rPr>
          <w:tab/>
        </w:r>
        <w:r w:rsidR="00B04851" w:rsidRPr="0045029D">
          <w:rPr>
            <w:rStyle w:val="Hiperveza"/>
          </w:rPr>
          <w:t>Dodatni ciljevi energetske učinkovitosti</w:t>
        </w:r>
        <w:r w:rsidR="00B04851">
          <w:rPr>
            <w:webHidden/>
          </w:rPr>
          <w:tab/>
        </w:r>
        <w:r w:rsidR="00B04851">
          <w:rPr>
            <w:webHidden/>
          </w:rPr>
          <w:fldChar w:fldCharType="begin"/>
        </w:r>
        <w:r w:rsidR="00B04851">
          <w:rPr>
            <w:webHidden/>
          </w:rPr>
          <w:instrText xml:space="preserve"> PAGEREF _Toc535245837 \h </w:instrText>
        </w:r>
        <w:r w:rsidR="00B04851">
          <w:rPr>
            <w:webHidden/>
          </w:rPr>
        </w:r>
        <w:r w:rsidR="00B04851">
          <w:rPr>
            <w:webHidden/>
          </w:rPr>
          <w:fldChar w:fldCharType="separate"/>
        </w:r>
        <w:r w:rsidR="00B04851">
          <w:rPr>
            <w:webHidden/>
          </w:rPr>
          <w:t>17</w:t>
        </w:r>
        <w:r w:rsidR="00B04851">
          <w:rPr>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38" w:history="1">
        <w:r w:rsidR="00B04851" w:rsidRPr="0045029D">
          <w:rPr>
            <w:rStyle w:val="Hiperveza"/>
          </w:rPr>
          <w:t>2.3</w:t>
        </w:r>
        <w:r w:rsidR="00B04851">
          <w:rPr>
            <w:rFonts w:asciiTheme="minorHAnsi" w:eastAsiaTheme="minorEastAsia" w:hAnsiTheme="minorHAnsi" w:cstheme="minorBidi"/>
            <w:b w:val="0"/>
            <w:sz w:val="22"/>
            <w:lang w:val="en-US"/>
          </w:rPr>
          <w:tab/>
        </w:r>
        <w:r w:rsidR="00B04851" w:rsidRPr="0045029D">
          <w:rPr>
            <w:rStyle w:val="Hiperveza"/>
          </w:rPr>
          <w:t>Uštede primarne energije</w:t>
        </w:r>
        <w:r w:rsidR="00B04851">
          <w:rPr>
            <w:webHidden/>
          </w:rPr>
          <w:tab/>
        </w:r>
        <w:r w:rsidR="00B04851">
          <w:rPr>
            <w:webHidden/>
          </w:rPr>
          <w:fldChar w:fldCharType="begin"/>
        </w:r>
        <w:r w:rsidR="00B04851">
          <w:rPr>
            <w:webHidden/>
          </w:rPr>
          <w:instrText xml:space="preserve"> PAGEREF _Toc535245838 \h </w:instrText>
        </w:r>
        <w:r w:rsidR="00B04851">
          <w:rPr>
            <w:webHidden/>
          </w:rPr>
        </w:r>
        <w:r w:rsidR="00B04851">
          <w:rPr>
            <w:webHidden/>
          </w:rPr>
          <w:fldChar w:fldCharType="separate"/>
        </w:r>
        <w:r w:rsidR="00B04851">
          <w:rPr>
            <w:webHidden/>
          </w:rPr>
          <w:t>18</w:t>
        </w:r>
        <w:r w:rsidR="00B04851">
          <w:rPr>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39" w:history="1">
        <w:r w:rsidR="00B04851" w:rsidRPr="0045029D">
          <w:rPr>
            <w:rStyle w:val="Hiperveza"/>
          </w:rPr>
          <w:t>2.4</w:t>
        </w:r>
        <w:r w:rsidR="00B04851">
          <w:rPr>
            <w:rFonts w:asciiTheme="minorHAnsi" w:eastAsiaTheme="minorEastAsia" w:hAnsiTheme="minorHAnsi" w:cstheme="minorBidi"/>
            <w:b w:val="0"/>
            <w:sz w:val="22"/>
            <w:lang w:val="en-US"/>
          </w:rPr>
          <w:tab/>
        </w:r>
        <w:r w:rsidR="00B04851" w:rsidRPr="0045029D">
          <w:rPr>
            <w:rStyle w:val="Hiperveza"/>
          </w:rPr>
          <w:t>Uštede energije u neposrednoj potrošnji</w:t>
        </w:r>
        <w:r w:rsidR="00B04851">
          <w:rPr>
            <w:webHidden/>
          </w:rPr>
          <w:tab/>
        </w:r>
        <w:r w:rsidR="00B04851">
          <w:rPr>
            <w:webHidden/>
          </w:rPr>
          <w:fldChar w:fldCharType="begin"/>
        </w:r>
        <w:r w:rsidR="00B04851">
          <w:rPr>
            <w:webHidden/>
          </w:rPr>
          <w:instrText xml:space="preserve"> PAGEREF _Toc535245839 \h </w:instrText>
        </w:r>
        <w:r w:rsidR="00B04851">
          <w:rPr>
            <w:webHidden/>
          </w:rPr>
        </w:r>
        <w:r w:rsidR="00B04851">
          <w:rPr>
            <w:webHidden/>
          </w:rPr>
          <w:fldChar w:fldCharType="separate"/>
        </w:r>
        <w:r w:rsidR="00B04851">
          <w:rPr>
            <w:webHidden/>
          </w:rPr>
          <w:t>19</w:t>
        </w:r>
        <w:r w:rsidR="00B04851">
          <w:rPr>
            <w:webHidden/>
          </w:rPr>
          <w:fldChar w:fldCharType="end"/>
        </w:r>
      </w:hyperlink>
    </w:p>
    <w:p w:rsidR="00B04851" w:rsidRDefault="00F87012">
      <w:pPr>
        <w:pStyle w:val="Sadraj1"/>
        <w:rPr>
          <w:rFonts w:asciiTheme="minorHAnsi" w:eastAsiaTheme="minorEastAsia" w:hAnsiTheme="minorHAnsi" w:cstheme="minorBidi"/>
          <w:b w:val="0"/>
          <w:sz w:val="22"/>
          <w:szCs w:val="22"/>
          <w:lang w:val="en-US" w:eastAsia="en-US"/>
        </w:rPr>
      </w:pPr>
      <w:hyperlink w:anchor="_Toc535245840" w:history="1">
        <w:r w:rsidR="00B04851" w:rsidRPr="0045029D">
          <w:rPr>
            <w:rStyle w:val="Hiperveza"/>
            <w:lang w:val="hr-HR"/>
          </w:rPr>
          <w:t>3</w:t>
        </w:r>
        <w:r w:rsidR="00B04851">
          <w:rPr>
            <w:rFonts w:asciiTheme="minorHAnsi" w:eastAsiaTheme="minorEastAsia" w:hAnsiTheme="minorHAnsi" w:cstheme="minorBidi"/>
            <w:b w:val="0"/>
            <w:sz w:val="22"/>
            <w:szCs w:val="22"/>
            <w:lang w:val="en-US" w:eastAsia="en-US"/>
          </w:rPr>
          <w:tab/>
        </w:r>
        <w:r w:rsidR="00B04851" w:rsidRPr="0045029D">
          <w:rPr>
            <w:rStyle w:val="Hiperveza"/>
            <w:lang w:val="hr-HR"/>
          </w:rPr>
          <w:t>MJERE POLITIKE O PROVEDBI DIREKTIVE O ENERGETSKOJ UČINKOVITOSTI (2012/27/EU)</w:t>
        </w:r>
        <w:r w:rsidR="00B04851">
          <w:rPr>
            <w:webHidden/>
          </w:rPr>
          <w:tab/>
        </w:r>
        <w:r w:rsidR="00B04851">
          <w:rPr>
            <w:webHidden/>
          </w:rPr>
          <w:fldChar w:fldCharType="begin"/>
        </w:r>
        <w:r w:rsidR="00B04851">
          <w:rPr>
            <w:webHidden/>
          </w:rPr>
          <w:instrText xml:space="preserve"> PAGEREF _Toc535245840 \h </w:instrText>
        </w:r>
        <w:r w:rsidR="00B04851">
          <w:rPr>
            <w:webHidden/>
          </w:rPr>
        </w:r>
        <w:r w:rsidR="00B04851">
          <w:rPr>
            <w:webHidden/>
          </w:rPr>
          <w:fldChar w:fldCharType="separate"/>
        </w:r>
        <w:r w:rsidR="00B04851">
          <w:rPr>
            <w:webHidden/>
          </w:rPr>
          <w:t>23</w:t>
        </w:r>
        <w:r w:rsidR="00B04851">
          <w:rPr>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41" w:history="1">
        <w:r w:rsidR="00B04851" w:rsidRPr="0045029D">
          <w:rPr>
            <w:rStyle w:val="Hiperveza"/>
          </w:rPr>
          <w:t>3.1 Horizontalne mjere</w:t>
        </w:r>
        <w:r w:rsidR="00B04851">
          <w:rPr>
            <w:webHidden/>
          </w:rPr>
          <w:tab/>
        </w:r>
        <w:r w:rsidR="00B04851">
          <w:rPr>
            <w:webHidden/>
          </w:rPr>
          <w:fldChar w:fldCharType="begin"/>
        </w:r>
        <w:r w:rsidR="00B04851">
          <w:rPr>
            <w:webHidden/>
          </w:rPr>
          <w:instrText xml:space="preserve"> PAGEREF _Toc535245841 \h </w:instrText>
        </w:r>
        <w:r w:rsidR="00B04851">
          <w:rPr>
            <w:webHidden/>
          </w:rPr>
        </w:r>
        <w:r w:rsidR="00B04851">
          <w:rPr>
            <w:webHidden/>
          </w:rPr>
          <w:fldChar w:fldCharType="separate"/>
        </w:r>
        <w:r w:rsidR="00B04851">
          <w:rPr>
            <w:webHidden/>
          </w:rPr>
          <w:t>26</w:t>
        </w:r>
        <w:r w:rsidR="00B04851">
          <w:rPr>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42" w:history="1">
        <w:r w:rsidR="00B04851" w:rsidRPr="0045029D">
          <w:rPr>
            <w:rStyle w:val="Hiperveza"/>
            <w:noProof/>
          </w:rPr>
          <w:t>3.1.1</w:t>
        </w:r>
        <w:r w:rsidR="00B04851">
          <w:rPr>
            <w:rFonts w:asciiTheme="minorHAnsi" w:eastAsiaTheme="minorEastAsia" w:hAnsiTheme="minorHAnsi" w:cstheme="minorBidi"/>
            <w:noProof/>
            <w:sz w:val="22"/>
            <w:lang w:val="en-US"/>
          </w:rPr>
          <w:tab/>
        </w:r>
        <w:r w:rsidR="00B04851" w:rsidRPr="0045029D">
          <w:rPr>
            <w:rStyle w:val="Hiperveza"/>
            <w:noProof/>
          </w:rPr>
          <w:t>Sustavi obveze energetske učinkovitosti i alternativne mjere politike (članak 7 i Prilog XIV. dio 2. točka 3.2 DEU-a)</w:t>
        </w:r>
        <w:r w:rsidR="00B04851">
          <w:rPr>
            <w:noProof/>
            <w:webHidden/>
          </w:rPr>
          <w:tab/>
        </w:r>
        <w:r w:rsidR="00B04851">
          <w:rPr>
            <w:noProof/>
            <w:webHidden/>
          </w:rPr>
          <w:fldChar w:fldCharType="begin"/>
        </w:r>
        <w:r w:rsidR="00B04851">
          <w:rPr>
            <w:noProof/>
            <w:webHidden/>
          </w:rPr>
          <w:instrText xml:space="preserve"> PAGEREF _Toc535245842 \h </w:instrText>
        </w:r>
        <w:r w:rsidR="00B04851">
          <w:rPr>
            <w:noProof/>
            <w:webHidden/>
          </w:rPr>
        </w:r>
        <w:r w:rsidR="00B04851">
          <w:rPr>
            <w:noProof/>
            <w:webHidden/>
          </w:rPr>
          <w:fldChar w:fldCharType="separate"/>
        </w:r>
        <w:r w:rsidR="00B04851">
          <w:rPr>
            <w:noProof/>
            <w:webHidden/>
          </w:rPr>
          <w:t>26</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43" w:history="1">
        <w:r w:rsidR="00B04851" w:rsidRPr="0045029D">
          <w:rPr>
            <w:rStyle w:val="Hiperveza"/>
            <w:noProof/>
          </w:rPr>
          <w:t>3.1.2</w:t>
        </w:r>
        <w:r w:rsidR="00B04851">
          <w:rPr>
            <w:rFonts w:asciiTheme="minorHAnsi" w:eastAsiaTheme="minorEastAsia" w:hAnsiTheme="minorHAnsi" w:cstheme="minorBidi"/>
            <w:noProof/>
            <w:sz w:val="22"/>
            <w:lang w:val="en-US"/>
          </w:rPr>
          <w:tab/>
        </w:r>
        <w:r w:rsidR="00B04851" w:rsidRPr="0045029D">
          <w:rPr>
            <w:rStyle w:val="Hiperveza"/>
            <w:noProof/>
          </w:rPr>
          <w:t>Energetski pregledi i sustavi gospodarenja energijom (članak 8 DEU-a)</w:t>
        </w:r>
        <w:r w:rsidR="00B04851">
          <w:rPr>
            <w:noProof/>
            <w:webHidden/>
          </w:rPr>
          <w:tab/>
        </w:r>
        <w:r w:rsidR="00B04851">
          <w:rPr>
            <w:noProof/>
            <w:webHidden/>
          </w:rPr>
          <w:fldChar w:fldCharType="begin"/>
        </w:r>
        <w:r w:rsidR="00B04851">
          <w:rPr>
            <w:noProof/>
            <w:webHidden/>
          </w:rPr>
          <w:instrText xml:space="preserve"> PAGEREF _Toc535245843 \h </w:instrText>
        </w:r>
        <w:r w:rsidR="00B04851">
          <w:rPr>
            <w:noProof/>
            <w:webHidden/>
          </w:rPr>
        </w:r>
        <w:r w:rsidR="00B04851">
          <w:rPr>
            <w:noProof/>
            <w:webHidden/>
          </w:rPr>
          <w:fldChar w:fldCharType="separate"/>
        </w:r>
        <w:r w:rsidR="00B04851">
          <w:rPr>
            <w:noProof/>
            <w:webHidden/>
          </w:rPr>
          <w:t>31</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44" w:history="1">
        <w:r w:rsidR="00B04851" w:rsidRPr="0045029D">
          <w:rPr>
            <w:rStyle w:val="Hiperveza"/>
            <w:noProof/>
          </w:rPr>
          <w:t>3.1.3</w:t>
        </w:r>
        <w:r w:rsidR="00B04851">
          <w:rPr>
            <w:rFonts w:asciiTheme="minorHAnsi" w:eastAsiaTheme="minorEastAsia" w:hAnsiTheme="minorHAnsi" w:cstheme="minorBidi"/>
            <w:noProof/>
            <w:sz w:val="22"/>
            <w:lang w:val="en-US"/>
          </w:rPr>
          <w:tab/>
        </w:r>
        <w:r w:rsidR="00B04851" w:rsidRPr="0045029D">
          <w:rPr>
            <w:rStyle w:val="Hiperveza"/>
            <w:noProof/>
          </w:rPr>
          <w:t>Mjerenje i obračun (članci od 9. do 11. DEU-a)</w:t>
        </w:r>
        <w:r w:rsidR="00B04851">
          <w:rPr>
            <w:noProof/>
            <w:webHidden/>
          </w:rPr>
          <w:tab/>
        </w:r>
        <w:r w:rsidR="00B04851">
          <w:rPr>
            <w:noProof/>
            <w:webHidden/>
          </w:rPr>
          <w:fldChar w:fldCharType="begin"/>
        </w:r>
        <w:r w:rsidR="00B04851">
          <w:rPr>
            <w:noProof/>
            <w:webHidden/>
          </w:rPr>
          <w:instrText xml:space="preserve"> PAGEREF _Toc535245844 \h </w:instrText>
        </w:r>
        <w:r w:rsidR="00B04851">
          <w:rPr>
            <w:noProof/>
            <w:webHidden/>
          </w:rPr>
        </w:r>
        <w:r w:rsidR="00B04851">
          <w:rPr>
            <w:noProof/>
            <w:webHidden/>
          </w:rPr>
          <w:fldChar w:fldCharType="separate"/>
        </w:r>
        <w:r w:rsidR="00B04851">
          <w:rPr>
            <w:noProof/>
            <w:webHidden/>
          </w:rPr>
          <w:t>32</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45" w:history="1">
        <w:r w:rsidR="00B04851" w:rsidRPr="0045029D">
          <w:rPr>
            <w:rStyle w:val="Hiperveza"/>
            <w:noProof/>
          </w:rPr>
          <w:t>3.1.4</w:t>
        </w:r>
        <w:r w:rsidR="00B04851">
          <w:rPr>
            <w:rFonts w:asciiTheme="minorHAnsi" w:eastAsiaTheme="minorEastAsia" w:hAnsiTheme="minorHAnsi" w:cstheme="minorBidi"/>
            <w:noProof/>
            <w:sz w:val="22"/>
            <w:lang w:val="en-US"/>
          </w:rPr>
          <w:tab/>
        </w:r>
        <w:r w:rsidR="00B04851" w:rsidRPr="0045029D">
          <w:rPr>
            <w:rStyle w:val="Hiperveza"/>
            <w:noProof/>
          </w:rPr>
          <w:t>Programi obavješćivanja i osposobljavanja potrošača članci od 12. do 17. DEU-a)</w:t>
        </w:r>
        <w:r w:rsidR="00B04851">
          <w:rPr>
            <w:noProof/>
            <w:webHidden/>
          </w:rPr>
          <w:tab/>
        </w:r>
        <w:r w:rsidR="00B04851">
          <w:rPr>
            <w:noProof/>
            <w:webHidden/>
          </w:rPr>
          <w:fldChar w:fldCharType="begin"/>
        </w:r>
        <w:r w:rsidR="00B04851">
          <w:rPr>
            <w:noProof/>
            <w:webHidden/>
          </w:rPr>
          <w:instrText xml:space="preserve"> PAGEREF _Toc535245845 \h </w:instrText>
        </w:r>
        <w:r w:rsidR="00B04851">
          <w:rPr>
            <w:noProof/>
            <w:webHidden/>
          </w:rPr>
        </w:r>
        <w:r w:rsidR="00B04851">
          <w:rPr>
            <w:noProof/>
            <w:webHidden/>
          </w:rPr>
          <w:fldChar w:fldCharType="separate"/>
        </w:r>
        <w:r w:rsidR="00B04851">
          <w:rPr>
            <w:noProof/>
            <w:webHidden/>
          </w:rPr>
          <w:t>32</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46" w:history="1">
        <w:r w:rsidR="00B04851" w:rsidRPr="0045029D">
          <w:rPr>
            <w:rStyle w:val="Hiperveza"/>
            <w:noProof/>
          </w:rPr>
          <w:t>3.1.5</w:t>
        </w:r>
        <w:r w:rsidR="00B04851">
          <w:rPr>
            <w:rFonts w:asciiTheme="minorHAnsi" w:eastAsiaTheme="minorEastAsia" w:hAnsiTheme="minorHAnsi" w:cstheme="minorBidi"/>
            <w:noProof/>
            <w:sz w:val="22"/>
            <w:lang w:val="en-US"/>
          </w:rPr>
          <w:tab/>
        </w:r>
        <w:r w:rsidR="00B04851" w:rsidRPr="0045029D">
          <w:rPr>
            <w:rStyle w:val="Hiperveza"/>
            <w:noProof/>
          </w:rPr>
          <w:t>Raspoloživost kvalifikacijskih, akreditacijskih i certifikacijskih programa (članak 16. DEU-a)</w:t>
        </w:r>
        <w:r w:rsidR="00B04851">
          <w:rPr>
            <w:noProof/>
            <w:webHidden/>
          </w:rPr>
          <w:tab/>
        </w:r>
        <w:r w:rsidR="00B04851">
          <w:rPr>
            <w:noProof/>
            <w:webHidden/>
          </w:rPr>
          <w:fldChar w:fldCharType="begin"/>
        </w:r>
        <w:r w:rsidR="00B04851">
          <w:rPr>
            <w:noProof/>
            <w:webHidden/>
          </w:rPr>
          <w:instrText xml:space="preserve"> PAGEREF _Toc535245846 \h </w:instrText>
        </w:r>
        <w:r w:rsidR="00B04851">
          <w:rPr>
            <w:noProof/>
            <w:webHidden/>
          </w:rPr>
        </w:r>
        <w:r w:rsidR="00B04851">
          <w:rPr>
            <w:noProof/>
            <w:webHidden/>
          </w:rPr>
          <w:fldChar w:fldCharType="separate"/>
        </w:r>
        <w:r w:rsidR="00B04851">
          <w:rPr>
            <w:noProof/>
            <w:webHidden/>
          </w:rPr>
          <w:t>37</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47" w:history="1">
        <w:r w:rsidR="00B04851" w:rsidRPr="0045029D">
          <w:rPr>
            <w:rStyle w:val="Hiperveza"/>
            <w:noProof/>
          </w:rPr>
          <w:t>3.1.6</w:t>
        </w:r>
        <w:r w:rsidR="00B04851">
          <w:rPr>
            <w:rFonts w:asciiTheme="minorHAnsi" w:eastAsiaTheme="minorEastAsia" w:hAnsiTheme="minorHAnsi" w:cstheme="minorBidi"/>
            <w:noProof/>
            <w:sz w:val="22"/>
            <w:lang w:val="en-US"/>
          </w:rPr>
          <w:tab/>
        </w:r>
        <w:r w:rsidR="00B04851" w:rsidRPr="0045029D">
          <w:rPr>
            <w:rStyle w:val="Hiperveza"/>
            <w:noProof/>
          </w:rPr>
          <w:t>Energetske usluge (članak 18. DEU-a)</w:t>
        </w:r>
        <w:r w:rsidR="00B04851">
          <w:rPr>
            <w:noProof/>
            <w:webHidden/>
          </w:rPr>
          <w:tab/>
        </w:r>
        <w:r w:rsidR="00B04851">
          <w:rPr>
            <w:noProof/>
            <w:webHidden/>
          </w:rPr>
          <w:fldChar w:fldCharType="begin"/>
        </w:r>
        <w:r w:rsidR="00B04851">
          <w:rPr>
            <w:noProof/>
            <w:webHidden/>
          </w:rPr>
          <w:instrText xml:space="preserve"> PAGEREF _Toc535245847 \h </w:instrText>
        </w:r>
        <w:r w:rsidR="00B04851">
          <w:rPr>
            <w:noProof/>
            <w:webHidden/>
          </w:rPr>
        </w:r>
        <w:r w:rsidR="00B04851">
          <w:rPr>
            <w:noProof/>
            <w:webHidden/>
          </w:rPr>
          <w:fldChar w:fldCharType="separate"/>
        </w:r>
        <w:r w:rsidR="00B04851">
          <w:rPr>
            <w:noProof/>
            <w:webHidden/>
          </w:rPr>
          <w:t>43</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48" w:history="1">
        <w:r w:rsidR="00B04851" w:rsidRPr="0045029D">
          <w:rPr>
            <w:rStyle w:val="Hiperveza"/>
            <w:noProof/>
          </w:rPr>
          <w:t>3.1.7</w:t>
        </w:r>
        <w:r w:rsidR="00B04851">
          <w:rPr>
            <w:rFonts w:asciiTheme="minorHAnsi" w:eastAsiaTheme="minorEastAsia" w:hAnsiTheme="minorHAnsi" w:cstheme="minorBidi"/>
            <w:noProof/>
            <w:sz w:val="22"/>
            <w:lang w:val="en-US"/>
          </w:rPr>
          <w:tab/>
        </w:r>
        <w:r w:rsidR="00B04851" w:rsidRPr="0045029D">
          <w:rPr>
            <w:rStyle w:val="Hiperveza"/>
            <w:noProof/>
          </w:rPr>
          <w:t>Ostale mjere energetske učinkovitosti horizontalne naravi članci 19. i 20. DEU-a)</w:t>
        </w:r>
        <w:r w:rsidR="00B04851">
          <w:rPr>
            <w:noProof/>
            <w:webHidden/>
          </w:rPr>
          <w:tab/>
        </w:r>
        <w:r w:rsidR="00B04851">
          <w:rPr>
            <w:noProof/>
            <w:webHidden/>
          </w:rPr>
          <w:fldChar w:fldCharType="begin"/>
        </w:r>
        <w:r w:rsidR="00B04851">
          <w:rPr>
            <w:noProof/>
            <w:webHidden/>
          </w:rPr>
          <w:instrText xml:space="preserve"> PAGEREF _Toc535245848 \h </w:instrText>
        </w:r>
        <w:r w:rsidR="00B04851">
          <w:rPr>
            <w:noProof/>
            <w:webHidden/>
          </w:rPr>
        </w:r>
        <w:r w:rsidR="00B04851">
          <w:rPr>
            <w:noProof/>
            <w:webHidden/>
          </w:rPr>
          <w:fldChar w:fldCharType="separate"/>
        </w:r>
        <w:r w:rsidR="00B04851">
          <w:rPr>
            <w:noProof/>
            <w:webHidden/>
          </w:rPr>
          <w:t>45</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49" w:history="1">
        <w:r w:rsidR="00B04851" w:rsidRPr="0045029D">
          <w:rPr>
            <w:rStyle w:val="Hiperveza"/>
            <w:noProof/>
          </w:rPr>
          <w:t>3.1.8</w:t>
        </w:r>
        <w:r w:rsidR="00B04851">
          <w:rPr>
            <w:rFonts w:asciiTheme="minorHAnsi" w:eastAsiaTheme="minorEastAsia" w:hAnsiTheme="minorHAnsi" w:cstheme="minorBidi"/>
            <w:noProof/>
            <w:sz w:val="22"/>
            <w:lang w:val="en-US"/>
          </w:rPr>
          <w:tab/>
        </w:r>
        <w:r w:rsidR="00B04851" w:rsidRPr="0045029D">
          <w:rPr>
            <w:rStyle w:val="Hiperveza"/>
            <w:noProof/>
          </w:rPr>
          <w:t>Uštede koje proizlaze iz horizontalnih mjera</w:t>
        </w:r>
        <w:r w:rsidR="00B04851">
          <w:rPr>
            <w:noProof/>
            <w:webHidden/>
          </w:rPr>
          <w:tab/>
        </w:r>
        <w:r w:rsidR="00B04851">
          <w:rPr>
            <w:noProof/>
            <w:webHidden/>
          </w:rPr>
          <w:fldChar w:fldCharType="begin"/>
        </w:r>
        <w:r w:rsidR="00B04851">
          <w:rPr>
            <w:noProof/>
            <w:webHidden/>
          </w:rPr>
          <w:instrText xml:space="preserve"> PAGEREF _Toc535245849 \h </w:instrText>
        </w:r>
        <w:r w:rsidR="00B04851">
          <w:rPr>
            <w:noProof/>
            <w:webHidden/>
          </w:rPr>
        </w:r>
        <w:r w:rsidR="00B04851">
          <w:rPr>
            <w:noProof/>
            <w:webHidden/>
          </w:rPr>
          <w:fldChar w:fldCharType="separate"/>
        </w:r>
        <w:r w:rsidR="00B04851">
          <w:rPr>
            <w:noProof/>
            <w:webHidden/>
          </w:rPr>
          <w:t>50</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50" w:history="1">
        <w:r w:rsidR="00B04851" w:rsidRPr="0045029D">
          <w:rPr>
            <w:rStyle w:val="Hiperveza"/>
            <w:noProof/>
          </w:rPr>
          <w:t>3.1.9</w:t>
        </w:r>
        <w:r w:rsidR="00B04851">
          <w:rPr>
            <w:rFonts w:asciiTheme="minorHAnsi" w:eastAsiaTheme="minorEastAsia" w:hAnsiTheme="minorHAnsi" w:cstheme="minorBidi"/>
            <w:noProof/>
            <w:sz w:val="22"/>
            <w:lang w:val="en-US"/>
          </w:rPr>
          <w:tab/>
        </w:r>
        <w:r w:rsidR="00B04851" w:rsidRPr="0045029D">
          <w:rPr>
            <w:rStyle w:val="Hiperveza"/>
            <w:noProof/>
          </w:rPr>
          <w:t>Financiranje horizontalnih mjera</w:t>
        </w:r>
        <w:r w:rsidR="00B04851">
          <w:rPr>
            <w:noProof/>
            <w:webHidden/>
          </w:rPr>
          <w:tab/>
        </w:r>
        <w:r w:rsidR="00B04851">
          <w:rPr>
            <w:noProof/>
            <w:webHidden/>
          </w:rPr>
          <w:fldChar w:fldCharType="begin"/>
        </w:r>
        <w:r w:rsidR="00B04851">
          <w:rPr>
            <w:noProof/>
            <w:webHidden/>
          </w:rPr>
          <w:instrText xml:space="preserve"> PAGEREF _Toc535245850 \h </w:instrText>
        </w:r>
        <w:r w:rsidR="00B04851">
          <w:rPr>
            <w:noProof/>
            <w:webHidden/>
          </w:rPr>
        </w:r>
        <w:r w:rsidR="00B04851">
          <w:rPr>
            <w:noProof/>
            <w:webHidden/>
          </w:rPr>
          <w:fldChar w:fldCharType="separate"/>
        </w:r>
        <w:r w:rsidR="00B04851">
          <w:rPr>
            <w:noProof/>
            <w:webHidden/>
          </w:rPr>
          <w:t>50</w:t>
        </w:r>
        <w:r w:rsidR="00B04851">
          <w:rPr>
            <w:noProof/>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51" w:history="1">
        <w:r w:rsidR="00B04851" w:rsidRPr="0045029D">
          <w:rPr>
            <w:rStyle w:val="Hiperveza"/>
          </w:rPr>
          <w:t>3.2</w:t>
        </w:r>
        <w:r w:rsidR="00B04851">
          <w:rPr>
            <w:rFonts w:asciiTheme="minorHAnsi" w:eastAsiaTheme="minorEastAsia" w:hAnsiTheme="minorHAnsi" w:cstheme="minorBidi"/>
            <w:b w:val="0"/>
            <w:sz w:val="22"/>
            <w:lang w:val="en-US"/>
          </w:rPr>
          <w:tab/>
        </w:r>
        <w:r w:rsidR="00B04851" w:rsidRPr="0045029D">
          <w:rPr>
            <w:rStyle w:val="Hiperveza"/>
          </w:rPr>
          <w:t>Energetska učinkovitost u zgradarstvu</w:t>
        </w:r>
        <w:r w:rsidR="00B04851">
          <w:rPr>
            <w:webHidden/>
          </w:rPr>
          <w:tab/>
        </w:r>
        <w:r w:rsidR="00B04851">
          <w:rPr>
            <w:webHidden/>
          </w:rPr>
          <w:fldChar w:fldCharType="begin"/>
        </w:r>
        <w:r w:rsidR="00B04851">
          <w:rPr>
            <w:webHidden/>
          </w:rPr>
          <w:instrText xml:space="preserve"> PAGEREF _Toc535245851 \h </w:instrText>
        </w:r>
        <w:r w:rsidR="00B04851">
          <w:rPr>
            <w:webHidden/>
          </w:rPr>
        </w:r>
        <w:r w:rsidR="00B04851">
          <w:rPr>
            <w:webHidden/>
          </w:rPr>
          <w:fldChar w:fldCharType="separate"/>
        </w:r>
        <w:r w:rsidR="00B04851">
          <w:rPr>
            <w:webHidden/>
          </w:rPr>
          <w:t>51</w:t>
        </w:r>
        <w:r w:rsidR="00B04851">
          <w:rPr>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52" w:history="1">
        <w:r w:rsidR="00B04851" w:rsidRPr="0045029D">
          <w:rPr>
            <w:rStyle w:val="Hiperveza"/>
            <w:noProof/>
          </w:rPr>
          <w:t>3.2.1</w:t>
        </w:r>
        <w:r w:rsidR="00B04851">
          <w:rPr>
            <w:rFonts w:asciiTheme="minorHAnsi" w:eastAsiaTheme="minorEastAsia" w:hAnsiTheme="minorHAnsi" w:cstheme="minorBidi"/>
            <w:noProof/>
            <w:sz w:val="22"/>
            <w:lang w:val="en-US"/>
          </w:rPr>
          <w:tab/>
        </w:r>
        <w:r w:rsidR="00B04851" w:rsidRPr="0045029D">
          <w:rPr>
            <w:rStyle w:val="Hiperveza"/>
            <w:noProof/>
          </w:rPr>
          <w:t>Rješavanje zahtjeva EPB direktive (2010/31/EU)</w:t>
        </w:r>
        <w:r w:rsidR="00B04851">
          <w:rPr>
            <w:noProof/>
            <w:webHidden/>
          </w:rPr>
          <w:tab/>
        </w:r>
        <w:r w:rsidR="00B04851">
          <w:rPr>
            <w:noProof/>
            <w:webHidden/>
          </w:rPr>
          <w:fldChar w:fldCharType="begin"/>
        </w:r>
        <w:r w:rsidR="00B04851">
          <w:rPr>
            <w:noProof/>
            <w:webHidden/>
          </w:rPr>
          <w:instrText xml:space="preserve"> PAGEREF _Toc535245852 \h </w:instrText>
        </w:r>
        <w:r w:rsidR="00B04851">
          <w:rPr>
            <w:noProof/>
            <w:webHidden/>
          </w:rPr>
        </w:r>
        <w:r w:rsidR="00B04851">
          <w:rPr>
            <w:noProof/>
            <w:webHidden/>
          </w:rPr>
          <w:fldChar w:fldCharType="separate"/>
        </w:r>
        <w:r w:rsidR="00B04851">
          <w:rPr>
            <w:noProof/>
            <w:webHidden/>
          </w:rPr>
          <w:t>52</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53" w:history="1">
        <w:r w:rsidR="00B04851" w:rsidRPr="0045029D">
          <w:rPr>
            <w:rStyle w:val="Hiperveza"/>
            <w:noProof/>
          </w:rPr>
          <w:t>3.2.2</w:t>
        </w:r>
        <w:r w:rsidR="00B04851">
          <w:rPr>
            <w:rFonts w:asciiTheme="minorHAnsi" w:eastAsiaTheme="minorEastAsia" w:hAnsiTheme="minorHAnsi" w:cstheme="minorBidi"/>
            <w:noProof/>
            <w:sz w:val="22"/>
            <w:lang w:val="en-US"/>
          </w:rPr>
          <w:tab/>
        </w:r>
        <w:r w:rsidR="00B04851" w:rsidRPr="0045029D">
          <w:rPr>
            <w:rStyle w:val="Hiperveza"/>
            <w:noProof/>
          </w:rPr>
          <w:t>Strategija energetske obnove zgrada (članak 4. DEU-a)</w:t>
        </w:r>
        <w:r w:rsidR="00B04851">
          <w:rPr>
            <w:noProof/>
            <w:webHidden/>
          </w:rPr>
          <w:tab/>
        </w:r>
        <w:r w:rsidR="00B04851">
          <w:rPr>
            <w:noProof/>
            <w:webHidden/>
          </w:rPr>
          <w:fldChar w:fldCharType="begin"/>
        </w:r>
        <w:r w:rsidR="00B04851">
          <w:rPr>
            <w:noProof/>
            <w:webHidden/>
          </w:rPr>
          <w:instrText xml:space="preserve"> PAGEREF _Toc535245853 \h </w:instrText>
        </w:r>
        <w:r w:rsidR="00B04851">
          <w:rPr>
            <w:noProof/>
            <w:webHidden/>
          </w:rPr>
        </w:r>
        <w:r w:rsidR="00B04851">
          <w:rPr>
            <w:noProof/>
            <w:webHidden/>
          </w:rPr>
          <w:fldChar w:fldCharType="separate"/>
        </w:r>
        <w:r w:rsidR="00B04851">
          <w:rPr>
            <w:noProof/>
            <w:webHidden/>
          </w:rPr>
          <w:t>59</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54" w:history="1">
        <w:r w:rsidR="00B04851" w:rsidRPr="0045029D">
          <w:rPr>
            <w:rStyle w:val="Hiperveza"/>
            <w:noProof/>
          </w:rPr>
          <w:t>3.2.3</w:t>
        </w:r>
        <w:r w:rsidR="00B04851">
          <w:rPr>
            <w:rFonts w:asciiTheme="minorHAnsi" w:eastAsiaTheme="minorEastAsia" w:hAnsiTheme="minorHAnsi" w:cstheme="minorBidi"/>
            <w:noProof/>
            <w:sz w:val="22"/>
            <w:lang w:val="en-US"/>
          </w:rPr>
          <w:tab/>
        </w:r>
        <w:r w:rsidR="00B04851" w:rsidRPr="0045029D">
          <w:rPr>
            <w:rStyle w:val="Hiperveza"/>
            <w:noProof/>
          </w:rPr>
          <w:t>Ostale mjere energetske učinkovitosti u sektoru graditeljstva</w:t>
        </w:r>
        <w:r w:rsidR="00B04851">
          <w:rPr>
            <w:noProof/>
            <w:webHidden/>
          </w:rPr>
          <w:tab/>
        </w:r>
        <w:r w:rsidR="00B04851">
          <w:rPr>
            <w:noProof/>
            <w:webHidden/>
          </w:rPr>
          <w:fldChar w:fldCharType="begin"/>
        </w:r>
        <w:r w:rsidR="00B04851">
          <w:rPr>
            <w:noProof/>
            <w:webHidden/>
          </w:rPr>
          <w:instrText xml:space="preserve"> PAGEREF _Toc535245854 \h </w:instrText>
        </w:r>
        <w:r w:rsidR="00B04851">
          <w:rPr>
            <w:noProof/>
            <w:webHidden/>
          </w:rPr>
        </w:r>
        <w:r w:rsidR="00B04851">
          <w:rPr>
            <w:noProof/>
            <w:webHidden/>
          </w:rPr>
          <w:fldChar w:fldCharType="separate"/>
        </w:r>
        <w:r w:rsidR="00B04851">
          <w:rPr>
            <w:noProof/>
            <w:webHidden/>
          </w:rPr>
          <w:t>67</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55" w:history="1">
        <w:r w:rsidR="00B04851" w:rsidRPr="0045029D">
          <w:rPr>
            <w:rStyle w:val="Hiperveza"/>
            <w:noProof/>
          </w:rPr>
          <w:t>3.2.4</w:t>
        </w:r>
        <w:r w:rsidR="00B04851">
          <w:rPr>
            <w:rFonts w:asciiTheme="minorHAnsi" w:eastAsiaTheme="minorEastAsia" w:hAnsiTheme="minorHAnsi" w:cstheme="minorBidi"/>
            <w:noProof/>
            <w:sz w:val="22"/>
            <w:lang w:val="en-US"/>
          </w:rPr>
          <w:tab/>
        </w:r>
        <w:r w:rsidR="00B04851" w:rsidRPr="0045029D">
          <w:rPr>
            <w:rStyle w:val="Hiperveza"/>
            <w:noProof/>
          </w:rPr>
          <w:t>Uštede koje proizlaze iz mjera za povećanje energetske učinkovitosti u zgradarstvu</w:t>
        </w:r>
        <w:r w:rsidR="00B04851">
          <w:rPr>
            <w:noProof/>
            <w:webHidden/>
          </w:rPr>
          <w:tab/>
        </w:r>
        <w:r w:rsidR="00B04851">
          <w:rPr>
            <w:noProof/>
            <w:webHidden/>
          </w:rPr>
          <w:fldChar w:fldCharType="begin"/>
        </w:r>
        <w:r w:rsidR="00B04851">
          <w:rPr>
            <w:noProof/>
            <w:webHidden/>
          </w:rPr>
          <w:instrText xml:space="preserve"> PAGEREF _Toc535245855 \h </w:instrText>
        </w:r>
        <w:r w:rsidR="00B04851">
          <w:rPr>
            <w:noProof/>
            <w:webHidden/>
          </w:rPr>
        </w:r>
        <w:r w:rsidR="00B04851">
          <w:rPr>
            <w:noProof/>
            <w:webHidden/>
          </w:rPr>
          <w:fldChar w:fldCharType="separate"/>
        </w:r>
        <w:r w:rsidR="00B04851">
          <w:rPr>
            <w:noProof/>
            <w:webHidden/>
          </w:rPr>
          <w:t>70</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56" w:history="1">
        <w:r w:rsidR="00B04851" w:rsidRPr="0045029D">
          <w:rPr>
            <w:rStyle w:val="Hiperveza"/>
            <w:noProof/>
          </w:rPr>
          <w:t>3.2.5</w:t>
        </w:r>
        <w:r w:rsidR="00B04851">
          <w:rPr>
            <w:rFonts w:asciiTheme="minorHAnsi" w:eastAsiaTheme="minorEastAsia" w:hAnsiTheme="minorHAnsi" w:cstheme="minorBidi"/>
            <w:noProof/>
            <w:sz w:val="22"/>
            <w:lang w:val="en-US"/>
          </w:rPr>
          <w:tab/>
        </w:r>
        <w:r w:rsidR="00B04851" w:rsidRPr="0045029D">
          <w:rPr>
            <w:rStyle w:val="Hiperveza"/>
            <w:noProof/>
          </w:rPr>
          <w:t>Financiranje mjera za povećanje energetske učinkovitosti u zgradarstvu</w:t>
        </w:r>
        <w:r w:rsidR="00B04851">
          <w:rPr>
            <w:noProof/>
            <w:webHidden/>
          </w:rPr>
          <w:tab/>
        </w:r>
        <w:r w:rsidR="00B04851">
          <w:rPr>
            <w:noProof/>
            <w:webHidden/>
          </w:rPr>
          <w:fldChar w:fldCharType="begin"/>
        </w:r>
        <w:r w:rsidR="00B04851">
          <w:rPr>
            <w:noProof/>
            <w:webHidden/>
          </w:rPr>
          <w:instrText xml:space="preserve"> PAGEREF _Toc535245856 \h </w:instrText>
        </w:r>
        <w:r w:rsidR="00B04851">
          <w:rPr>
            <w:noProof/>
            <w:webHidden/>
          </w:rPr>
        </w:r>
        <w:r w:rsidR="00B04851">
          <w:rPr>
            <w:noProof/>
            <w:webHidden/>
          </w:rPr>
          <w:fldChar w:fldCharType="separate"/>
        </w:r>
        <w:r w:rsidR="00B04851">
          <w:rPr>
            <w:noProof/>
            <w:webHidden/>
          </w:rPr>
          <w:t>70</w:t>
        </w:r>
        <w:r w:rsidR="00B04851">
          <w:rPr>
            <w:noProof/>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57" w:history="1">
        <w:r w:rsidR="00B04851" w:rsidRPr="0045029D">
          <w:rPr>
            <w:rStyle w:val="Hiperveza"/>
          </w:rPr>
          <w:t>3.3</w:t>
        </w:r>
        <w:r w:rsidR="00B04851">
          <w:rPr>
            <w:rFonts w:asciiTheme="minorHAnsi" w:eastAsiaTheme="minorEastAsia" w:hAnsiTheme="minorHAnsi" w:cstheme="minorBidi"/>
            <w:b w:val="0"/>
            <w:sz w:val="22"/>
            <w:lang w:val="en-US"/>
          </w:rPr>
          <w:tab/>
        </w:r>
        <w:r w:rsidR="00B04851" w:rsidRPr="0045029D">
          <w:rPr>
            <w:rStyle w:val="Hiperveza"/>
          </w:rPr>
          <w:t>Energetska učinkovitost zgrada javnih tijela</w:t>
        </w:r>
        <w:r w:rsidR="00B04851">
          <w:rPr>
            <w:webHidden/>
          </w:rPr>
          <w:tab/>
        </w:r>
        <w:r w:rsidR="00B04851">
          <w:rPr>
            <w:webHidden/>
          </w:rPr>
          <w:fldChar w:fldCharType="begin"/>
        </w:r>
        <w:r w:rsidR="00B04851">
          <w:rPr>
            <w:webHidden/>
          </w:rPr>
          <w:instrText xml:space="preserve"> PAGEREF _Toc535245857 \h </w:instrText>
        </w:r>
        <w:r w:rsidR="00B04851">
          <w:rPr>
            <w:webHidden/>
          </w:rPr>
        </w:r>
        <w:r w:rsidR="00B04851">
          <w:rPr>
            <w:webHidden/>
          </w:rPr>
          <w:fldChar w:fldCharType="separate"/>
        </w:r>
        <w:r w:rsidR="00B04851">
          <w:rPr>
            <w:webHidden/>
          </w:rPr>
          <w:t>71</w:t>
        </w:r>
        <w:r w:rsidR="00B04851">
          <w:rPr>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58" w:history="1">
        <w:r w:rsidR="00B04851" w:rsidRPr="0045029D">
          <w:rPr>
            <w:rStyle w:val="Hiperveza"/>
            <w:noProof/>
          </w:rPr>
          <w:t>3.3.1</w:t>
        </w:r>
        <w:r w:rsidR="00B04851">
          <w:rPr>
            <w:rFonts w:asciiTheme="minorHAnsi" w:eastAsiaTheme="minorEastAsia" w:hAnsiTheme="minorHAnsi" w:cstheme="minorBidi"/>
            <w:noProof/>
            <w:sz w:val="22"/>
            <w:lang w:val="en-US"/>
          </w:rPr>
          <w:tab/>
        </w:r>
        <w:r w:rsidR="00B04851" w:rsidRPr="0045029D">
          <w:rPr>
            <w:rStyle w:val="Hiperveza"/>
            <w:noProof/>
          </w:rPr>
          <w:t>Zgrade središnje vlade (članak 5. DEU-a)</w:t>
        </w:r>
        <w:r w:rsidR="00B04851">
          <w:rPr>
            <w:noProof/>
            <w:webHidden/>
          </w:rPr>
          <w:tab/>
        </w:r>
        <w:r w:rsidR="00B04851">
          <w:rPr>
            <w:noProof/>
            <w:webHidden/>
          </w:rPr>
          <w:fldChar w:fldCharType="begin"/>
        </w:r>
        <w:r w:rsidR="00B04851">
          <w:rPr>
            <w:noProof/>
            <w:webHidden/>
          </w:rPr>
          <w:instrText xml:space="preserve"> PAGEREF _Toc535245858 \h </w:instrText>
        </w:r>
        <w:r w:rsidR="00B04851">
          <w:rPr>
            <w:noProof/>
            <w:webHidden/>
          </w:rPr>
        </w:r>
        <w:r w:rsidR="00B04851">
          <w:rPr>
            <w:noProof/>
            <w:webHidden/>
          </w:rPr>
          <w:fldChar w:fldCharType="separate"/>
        </w:r>
        <w:r w:rsidR="00B04851">
          <w:rPr>
            <w:noProof/>
            <w:webHidden/>
          </w:rPr>
          <w:t>71</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59" w:history="1">
        <w:r w:rsidR="00B04851" w:rsidRPr="0045029D">
          <w:rPr>
            <w:rStyle w:val="Hiperveza"/>
            <w:noProof/>
          </w:rPr>
          <w:t>3.3.2</w:t>
        </w:r>
        <w:r w:rsidR="00B04851">
          <w:rPr>
            <w:rFonts w:asciiTheme="minorHAnsi" w:eastAsiaTheme="minorEastAsia" w:hAnsiTheme="minorHAnsi" w:cstheme="minorBidi"/>
            <w:noProof/>
            <w:sz w:val="22"/>
            <w:lang w:val="en-US"/>
          </w:rPr>
          <w:tab/>
        </w:r>
        <w:r w:rsidR="00B04851" w:rsidRPr="0045029D">
          <w:rPr>
            <w:rStyle w:val="Hiperveza"/>
            <w:noProof/>
          </w:rPr>
          <w:t>Zgrade drugih javnih tijela (članak 5. DEU-a)</w:t>
        </w:r>
        <w:r w:rsidR="00B04851">
          <w:rPr>
            <w:noProof/>
            <w:webHidden/>
          </w:rPr>
          <w:tab/>
        </w:r>
        <w:r w:rsidR="00B04851">
          <w:rPr>
            <w:noProof/>
            <w:webHidden/>
          </w:rPr>
          <w:fldChar w:fldCharType="begin"/>
        </w:r>
        <w:r w:rsidR="00B04851">
          <w:rPr>
            <w:noProof/>
            <w:webHidden/>
          </w:rPr>
          <w:instrText xml:space="preserve"> PAGEREF _Toc535245859 \h </w:instrText>
        </w:r>
        <w:r w:rsidR="00B04851">
          <w:rPr>
            <w:noProof/>
            <w:webHidden/>
          </w:rPr>
        </w:r>
        <w:r w:rsidR="00B04851">
          <w:rPr>
            <w:noProof/>
            <w:webHidden/>
          </w:rPr>
          <w:fldChar w:fldCharType="separate"/>
        </w:r>
        <w:r w:rsidR="00B04851">
          <w:rPr>
            <w:noProof/>
            <w:webHidden/>
          </w:rPr>
          <w:t>81</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0" w:history="1">
        <w:r w:rsidR="00B04851" w:rsidRPr="0045029D">
          <w:rPr>
            <w:rStyle w:val="Hiperveza"/>
            <w:noProof/>
          </w:rPr>
          <w:t>3.3.3</w:t>
        </w:r>
        <w:r w:rsidR="00B04851">
          <w:rPr>
            <w:rFonts w:asciiTheme="minorHAnsi" w:eastAsiaTheme="minorEastAsia" w:hAnsiTheme="minorHAnsi" w:cstheme="minorBidi"/>
            <w:noProof/>
            <w:sz w:val="22"/>
            <w:lang w:val="en-US"/>
          </w:rPr>
          <w:tab/>
        </w:r>
        <w:r w:rsidR="00B04851" w:rsidRPr="0045029D">
          <w:rPr>
            <w:rStyle w:val="Hiperveza"/>
            <w:noProof/>
          </w:rPr>
          <w:t>Kupnja od strane javnih tijela (članak 6. DEU-a)</w:t>
        </w:r>
        <w:r w:rsidR="00B04851">
          <w:rPr>
            <w:noProof/>
            <w:webHidden/>
          </w:rPr>
          <w:tab/>
        </w:r>
        <w:r w:rsidR="00B04851">
          <w:rPr>
            <w:noProof/>
            <w:webHidden/>
          </w:rPr>
          <w:fldChar w:fldCharType="begin"/>
        </w:r>
        <w:r w:rsidR="00B04851">
          <w:rPr>
            <w:noProof/>
            <w:webHidden/>
          </w:rPr>
          <w:instrText xml:space="preserve"> PAGEREF _Toc535245860 \h </w:instrText>
        </w:r>
        <w:r w:rsidR="00B04851">
          <w:rPr>
            <w:noProof/>
            <w:webHidden/>
          </w:rPr>
        </w:r>
        <w:r w:rsidR="00B04851">
          <w:rPr>
            <w:noProof/>
            <w:webHidden/>
          </w:rPr>
          <w:fldChar w:fldCharType="separate"/>
        </w:r>
        <w:r w:rsidR="00B04851">
          <w:rPr>
            <w:noProof/>
            <w:webHidden/>
          </w:rPr>
          <w:t>85</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1" w:history="1">
        <w:r w:rsidR="00B04851" w:rsidRPr="0045029D">
          <w:rPr>
            <w:rStyle w:val="Hiperveza"/>
            <w:noProof/>
          </w:rPr>
          <w:t>3.3.4</w:t>
        </w:r>
        <w:r w:rsidR="00B04851">
          <w:rPr>
            <w:rFonts w:asciiTheme="minorHAnsi" w:eastAsiaTheme="minorEastAsia" w:hAnsiTheme="minorHAnsi" w:cstheme="minorBidi"/>
            <w:noProof/>
            <w:sz w:val="22"/>
            <w:lang w:val="en-US"/>
          </w:rPr>
          <w:tab/>
        </w:r>
        <w:r w:rsidR="00B04851" w:rsidRPr="0045029D">
          <w:rPr>
            <w:rStyle w:val="Hiperveza"/>
            <w:noProof/>
          </w:rPr>
          <w:t>Uštede koje proizlaze iz mjera u javnom sektoru</w:t>
        </w:r>
        <w:r w:rsidR="00B04851">
          <w:rPr>
            <w:noProof/>
            <w:webHidden/>
          </w:rPr>
          <w:tab/>
        </w:r>
        <w:r w:rsidR="00B04851">
          <w:rPr>
            <w:noProof/>
            <w:webHidden/>
          </w:rPr>
          <w:fldChar w:fldCharType="begin"/>
        </w:r>
        <w:r w:rsidR="00B04851">
          <w:rPr>
            <w:noProof/>
            <w:webHidden/>
          </w:rPr>
          <w:instrText xml:space="preserve"> PAGEREF _Toc535245861 \h </w:instrText>
        </w:r>
        <w:r w:rsidR="00B04851">
          <w:rPr>
            <w:noProof/>
            <w:webHidden/>
          </w:rPr>
        </w:r>
        <w:r w:rsidR="00B04851">
          <w:rPr>
            <w:noProof/>
            <w:webHidden/>
          </w:rPr>
          <w:fldChar w:fldCharType="separate"/>
        </w:r>
        <w:r w:rsidR="00B04851">
          <w:rPr>
            <w:noProof/>
            <w:webHidden/>
          </w:rPr>
          <w:t>87</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2" w:history="1">
        <w:r w:rsidR="00B04851" w:rsidRPr="0045029D">
          <w:rPr>
            <w:rStyle w:val="Hiperveza"/>
            <w:noProof/>
          </w:rPr>
          <w:t>3.3.5</w:t>
        </w:r>
        <w:r w:rsidR="00B04851">
          <w:rPr>
            <w:rFonts w:asciiTheme="minorHAnsi" w:eastAsiaTheme="minorEastAsia" w:hAnsiTheme="minorHAnsi" w:cstheme="minorBidi"/>
            <w:noProof/>
            <w:sz w:val="22"/>
            <w:lang w:val="en-US"/>
          </w:rPr>
          <w:tab/>
        </w:r>
        <w:r w:rsidR="00B04851" w:rsidRPr="0045029D">
          <w:rPr>
            <w:rStyle w:val="Hiperveza"/>
            <w:noProof/>
          </w:rPr>
          <w:t>Financiranje mjera u javnom sektoru</w:t>
        </w:r>
        <w:r w:rsidR="00B04851">
          <w:rPr>
            <w:noProof/>
            <w:webHidden/>
          </w:rPr>
          <w:tab/>
        </w:r>
        <w:r w:rsidR="00B04851">
          <w:rPr>
            <w:noProof/>
            <w:webHidden/>
          </w:rPr>
          <w:fldChar w:fldCharType="begin"/>
        </w:r>
        <w:r w:rsidR="00B04851">
          <w:rPr>
            <w:noProof/>
            <w:webHidden/>
          </w:rPr>
          <w:instrText xml:space="preserve"> PAGEREF _Toc535245862 \h </w:instrText>
        </w:r>
        <w:r w:rsidR="00B04851">
          <w:rPr>
            <w:noProof/>
            <w:webHidden/>
          </w:rPr>
        </w:r>
        <w:r w:rsidR="00B04851">
          <w:rPr>
            <w:noProof/>
            <w:webHidden/>
          </w:rPr>
          <w:fldChar w:fldCharType="separate"/>
        </w:r>
        <w:r w:rsidR="00B04851">
          <w:rPr>
            <w:noProof/>
            <w:webHidden/>
          </w:rPr>
          <w:t>87</w:t>
        </w:r>
        <w:r w:rsidR="00B04851">
          <w:rPr>
            <w:noProof/>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63" w:history="1">
        <w:r w:rsidR="00B04851" w:rsidRPr="0045029D">
          <w:rPr>
            <w:rStyle w:val="Hiperveza"/>
          </w:rPr>
          <w:t>3.4</w:t>
        </w:r>
        <w:r w:rsidR="00B04851">
          <w:rPr>
            <w:rFonts w:asciiTheme="minorHAnsi" w:eastAsiaTheme="minorEastAsia" w:hAnsiTheme="minorHAnsi" w:cstheme="minorBidi"/>
            <w:b w:val="0"/>
            <w:sz w:val="22"/>
            <w:lang w:val="en-US"/>
          </w:rPr>
          <w:tab/>
        </w:r>
        <w:r w:rsidR="00B04851" w:rsidRPr="0045029D">
          <w:rPr>
            <w:rStyle w:val="Hiperveza"/>
          </w:rPr>
          <w:t>Ostale mjere energetske učinkovitosti krajnje potrošnje uključujući industriju i promet</w:t>
        </w:r>
        <w:r w:rsidR="00B04851">
          <w:rPr>
            <w:webHidden/>
          </w:rPr>
          <w:tab/>
        </w:r>
        <w:r w:rsidR="00B04851">
          <w:rPr>
            <w:webHidden/>
          </w:rPr>
          <w:fldChar w:fldCharType="begin"/>
        </w:r>
        <w:r w:rsidR="00B04851">
          <w:rPr>
            <w:webHidden/>
          </w:rPr>
          <w:instrText xml:space="preserve"> PAGEREF _Toc535245863 \h </w:instrText>
        </w:r>
        <w:r w:rsidR="00B04851">
          <w:rPr>
            <w:webHidden/>
          </w:rPr>
        </w:r>
        <w:r w:rsidR="00B04851">
          <w:rPr>
            <w:webHidden/>
          </w:rPr>
          <w:fldChar w:fldCharType="separate"/>
        </w:r>
        <w:r w:rsidR="00B04851">
          <w:rPr>
            <w:webHidden/>
          </w:rPr>
          <w:t>88</w:t>
        </w:r>
        <w:r w:rsidR="00B04851">
          <w:rPr>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4" w:history="1">
        <w:r w:rsidR="00B04851" w:rsidRPr="0045029D">
          <w:rPr>
            <w:rStyle w:val="Hiperveza"/>
            <w:noProof/>
          </w:rPr>
          <w:t>3.4.1</w:t>
        </w:r>
        <w:r w:rsidR="00B04851">
          <w:rPr>
            <w:rFonts w:asciiTheme="minorHAnsi" w:eastAsiaTheme="minorEastAsia" w:hAnsiTheme="minorHAnsi" w:cstheme="minorBidi"/>
            <w:noProof/>
            <w:sz w:val="22"/>
            <w:lang w:val="en-US"/>
          </w:rPr>
          <w:tab/>
        </w:r>
        <w:r w:rsidR="00B04851" w:rsidRPr="0045029D">
          <w:rPr>
            <w:rStyle w:val="Hiperveza"/>
            <w:noProof/>
          </w:rPr>
          <w:t>Glavne mjere za povećanje energetske učinkovitosti u industriji</w:t>
        </w:r>
        <w:r w:rsidR="00B04851">
          <w:rPr>
            <w:noProof/>
            <w:webHidden/>
          </w:rPr>
          <w:tab/>
        </w:r>
        <w:r w:rsidR="00B04851">
          <w:rPr>
            <w:noProof/>
            <w:webHidden/>
          </w:rPr>
          <w:fldChar w:fldCharType="begin"/>
        </w:r>
        <w:r w:rsidR="00B04851">
          <w:rPr>
            <w:noProof/>
            <w:webHidden/>
          </w:rPr>
          <w:instrText xml:space="preserve"> PAGEREF _Toc535245864 \h </w:instrText>
        </w:r>
        <w:r w:rsidR="00B04851">
          <w:rPr>
            <w:noProof/>
            <w:webHidden/>
          </w:rPr>
        </w:r>
        <w:r w:rsidR="00B04851">
          <w:rPr>
            <w:noProof/>
            <w:webHidden/>
          </w:rPr>
          <w:fldChar w:fldCharType="separate"/>
        </w:r>
        <w:r w:rsidR="00B04851">
          <w:rPr>
            <w:noProof/>
            <w:webHidden/>
          </w:rPr>
          <w:t>88</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5" w:history="1">
        <w:r w:rsidR="00B04851" w:rsidRPr="0045029D">
          <w:rPr>
            <w:rStyle w:val="Hiperveza"/>
            <w:noProof/>
          </w:rPr>
          <w:t>3.4.2</w:t>
        </w:r>
        <w:r w:rsidR="00B04851">
          <w:rPr>
            <w:rFonts w:asciiTheme="minorHAnsi" w:eastAsiaTheme="minorEastAsia" w:hAnsiTheme="minorHAnsi" w:cstheme="minorBidi"/>
            <w:noProof/>
            <w:sz w:val="22"/>
            <w:lang w:val="en-US"/>
          </w:rPr>
          <w:tab/>
        </w:r>
        <w:r w:rsidR="00B04851" w:rsidRPr="0045029D">
          <w:rPr>
            <w:rStyle w:val="Hiperveza"/>
            <w:noProof/>
          </w:rPr>
          <w:t>Uštede koje proizlaze iz mjera energetske učinkovitosti u industriji</w:t>
        </w:r>
        <w:r w:rsidR="00B04851">
          <w:rPr>
            <w:noProof/>
            <w:webHidden/>
          </w:rPr>
          <w:tab/>
        </w:r>
        <w:r w:rsidR="00B04851">
          <w:rPr>
            <w:noProof/>
            <w:webHidden/>
          </w:rPr>
          <w:fldChar w:fldCharType="begin"/>
        </w:r>
        <w:r w:rsidR="00B04851">
          <w:rPr>
            <w:noProof/>
            <w:webHidden/>
          </w:rPr>
          <w:instrText xml:space="preserve"> PAGEREF _Toc535245865 \h </w:instrText>
        </w:r>
        <w:r w:rsidR="00B04851">
          <w:rPr>
            <w:noProof/>
            <w:webHidden/>
          </w:rPr>
        </w:r>
        <w:r w:rsidR="00B04851">
          <w:rPr>
            <w:noProof/>
            <w:webHidden/>
          </w:rPr>
          <w:fldChar w:fldCharType="separate"/>
        </w:r>
        <w:r w:rsidR="00B04851">
          <w:rPr>
            <w:noProof/>
            <w:webHidden/>
          </w:rPr>
          <w:t>91</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6" w:history="1">
        <w:r w:rsidR="00B04851" w:rsidRPr="0045029D">
          <w:rPr>
            <w:rStyle w:val="Hiperveza"/>
            <w:noProof/>
          </w:rPr>
          <w:t>3.4.3</w:t>
        </w:r>
        <w:r w:rsidR="00B04851">
          <w:rPr>
            <w:rFonts w:asciiTheme="minorHAnsi" w:eastAsiaTheme="minorEastAsia" w:hAnsiTheme="minorHAnsi" w:cstheme="minorBidi"/>
            <w:noProof/>
            <w:sz w:val="22"/>
            <w:lang w:val="en-US"/>
          </w:rPr>
          <w:tab/>
        </w:r>
        <w:r w:rsidR="00B04851" w:rsidRPr="0045029D">
          <w:rPr>
            <w:rStyle w:val="Hiperveza"/>
            <w:noProof/>
          </w:rPr>
          <w:t>Financiranje mjera energetske učinkovitosti u industriji</w:t>
        </w:r>
        <w:r w:rsidR="00B04851">
          <w:rPr>
            <w:noProof/>
            <w:webHidden/>
          </w:rPr>
          <w:tab/>
        </w:r>
        <w:r w:rsidR="00B04851">
          <w:rPr>
            <w:noProof/>
            <w:webHidden/>
          </w:rPr>
          <w:fldChar w:fldCharType="begin"/>
        </w:r>
        <w:r w:rsidR="00B04851">
          <w:rPr>
            <w:noProof/>
            <w:webHidden/>
          </w:rPr>
          <w:instrText xml:space="preserve"> PAGEREF _Toc535245866 \h </w:instrText>
        </w:r>
        <w:r w:rsidR="00B04851">
          <w:rPr>
            <w:noProof/>
            <w:webHidden/>
          </w:rPr>
        </w:r>
        <w:r w:rsidR="00B04851">
          <w:rPr>
            <w:noProof/>
            <w:webHidden/>
          </w:rPr>
          <w:fldChar w:fldCharType="separate"/>
        </w:r>
        <w:r w:rsidR="00B04851">
          <w:rPr>
            <w:noProof/>
            <w:webHidden/>
          </w:rPr>
          <w:t>91</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7" w:history="1">
        <w:r w:rsidR="00B04851" w:rsidRPr="0045029D">
          <w:rPr>
            <w:rStyle w:val="Hiperveza"/>
            <w:noProof/>
          </w:rPr>
          <w:t>3.4.4</w:t>
        </w:r>
        <w:r w:rsidR="00B04851">
          <w:rPr>
            <w:rFonts w:asciiTheme="minorHAnsi" w:eastAsiaTheme="minorEastAsia" w:hAnsiTheme="minorHAnsi" w:cstheme="minorBidi"/>
            <w:noProof/>
            <w:sz w:val="22"/>
            <w:lang w:val="en-US"/>
          </w:rPr>
          <w:tab/>
        </w:r>
        <w:r w:rsidR="00B04851" w:rsidRPr="0045029D">
          <w:rPr>
            <w:rStyle w:val="Hiperveza"/>
            <w:noProof/>
          </w:rPr>
          <w:t>Glavne mjere za povećanje energetske učinkovitosti u prometu</w:t>
        </w:r>
        <w:r w:rsidR="00B04851">
          <w:rPr>
            <w:noProof/>
            <w:webHidden/>
          </w:rPr>
          <w:tab/>
        </w:r>
        <w:r w:rsidR="00B04851">
          <w:rPr>
            <w:noProof/>
            <w:webHidden/>
          </w:rPr>
          <w:fldChar w:fldCharType="begin"/>
        </w:r>
        <w:r w:rsidR="00B04851">
          <w:rPr>
            <w:noProof/>
            <w:webHidden/>
          </w:rPr>
          <w:instrText xml:space="preserve"> PAGEREF _Toc535245867 \h </w:instrText>
        </w:r>
        <w:r w:rsidR="00B04851">
          <w:rPr>
            <w:noProof/>
            <w:webHidden/>
          </w:rPr>
        </w:r>
        <w:r w:rsidR="00B04851">
          <w:rPr>
            <w:noProof/>
            <w:webHidden/>
          </w:rPr>
          <w:fldChar w:fldCharType="separate"/>
        </w:r>
        <w:r w:rsidR="00B04851">
          <w:rPr>
            <w:noProof/>
            <w:webHidden/>
          </w:rPr>
          <w:t>92</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8" w:history="1">
        <w:r w:rsidR="00B04851" w:rsidRPr="0045029D">
          <w:rPr>
            <w:rStyle w:val="Hiperveza"/>
            <w:noProof/>
          </w:rPr>
          <w:t>3.4.5</w:t>
        </w:r>
        <w:r w:rsidR="00B04851">
          <w:rPr>
            <w:rFonts w:asciiTheme="minorHAnsi" w:eastAsiaTheme="minorEastAsia" w:hAnsiTheme="minorHAnsi" w:cstheme="minorBidi"/>
            <w:noProof/>
            <w:sz w:val="22"/>
            <w:lang w:val="en-US"/>
          </w:rPr>
          <w:tab/>
        </w:r>
        <w:r w:rsidR="00B04851" w:rsidRPr="0045029D">
          <w:rPr>
            <w:rStyle w:val="Hiperveza"/>
            <w:noProof/>
          </w:rPr>
          <w:t>Uštede koje proizlaze iz mjera energetske učinkovitosti u prometu</w:t>
        </w:r>
        <w:r w:rsidR="00B04851">
          <w:rPr>
            <w:noProof/>
            <w:webHidden/>
          </w:rPr>
          <w:tab/>
        </w:r>
        <w:r w:rsidR="00B04851">
          <w:rPr>
            <w:noProof/>
            <w:webHidden/>
          </w:rPr>
          <w:fldChar w:fldCharType="begin"/>
        </w:r>
        <w:r w:rsidR="00B04851">
          <w:rPr>
            <w:noProof/>
            <w:webHidden/>
          </w:rPr>
          <w:instrText xml:space="preserve"> PAGEREF _Toc535245868 \h </w:instrText>
        </w:r>
        <w:r w:rsidR="00B04851">
          <w:rPr>
            <w:noProof/>
            <w:webHidden/>
          </w:rPr>
        </w:r>
        <w:r w:rsidR="00B04851">
          <w:rPr>
            <w:noProof/>
            <w:webHidden/>
          </w:rPr>
          <w:fldChar w:fldCharType="separate"/>
        </w:r>
        <w:r w:rsidR="00B04851">
          <w:rPr>
            <w:noProof/>
            <w:webHidden/>
          </w:rPr>
          <w:t>105</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69" w:history="1">
        <w:r w:rsidR="00B04851" w:rsidRPr="0045029D">
          <w:rPr>
            <w:rStyle w:val="Hiperveza"/>
            <w:noProof/>
          </w:rPr>
          <w:t>3.4.6</w:t>
        </w:r>
        <w:r w:rsidR="00B04851">
          <w:rPr>
            <w:rFonts w:asciiTheme="minorHAnsi" w:eastAsiaTheme="minorEastAsia" w:hAnsiTheme="minorHAnsi" w:cstheme="minorBidi"/>
            <w:noProof/>
            <w:sz w:val="22"/>
            <w:lang w:val="en-US"/>
          </w:rPr>
          <w:tab/>
        </w:r>
        <w:r w:rsidR="00B04851" w:rsidRPr="0045029D">
          <w:rPr>
            <w:rStyle w:val="Hiperveza"/>
            <w:noProof/>
          </w:rPr>
          <w:t>Financiranje mjera energetske učinkovitosti u prometu</w:t>
        </w:r>
        <w:r w:rsidR="00B04851">
          <w:rPr>
            <w:noProof/>
            <w:webHidden/>
          </w:rPr>
          <w:tab/>
        </w:r>
        <w:r w:rsidR="00B04851">
          <w:rPr>
            <w:noProof/>
            <w:webHidden/>
          </w:rPr>
          <w:fldChar w:fldCharType="begin"/>
        </w:r>
        <w:r w:rsidR="00B04851">
          <w:rPr>
            <w:noProof/>
            <w:webHidden/>
          </w:rPr>
          <w:instrText xml:space="preserve"> PAGEREF _Toc535245869 \h </w:instrText>
        </w:r>
        <w:r w:rsidR="00B04851">
          <w:rPr>
            <w:noProof/>
            <w:webHidden/>
          </w:rPr>
        </w:r>
        <w:r w:rsidR="00B04851">
          <w:rPr>
            <w:noProof/>
            <w:webHidden/>
          </w:rPr>
          <w:fldChar w:fldCharType="separate"/>
        </w:r>
        <w:r w:rsidR="00B04851">
          <w:rPr>
            <w:noProof/>
            <w:webHidden/>
          </w:rPr>
          <w:t>105</w:t>
        </w:r>
        <w:r w:rsidR="00B04851">
          <w:rPr>
            <w:noProof/>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70" w:history="1">
        <w:r w:rsidR="00B04851" w:rsidRPr="0045029D">
          <w:rPr>
            <w:rStyle w:val="Hiperveza"/>
          </w:rPr>
          <w:t>3.5</w:t>
        </w:r>
        <w:r w:rsidR="00B04851">
          <w:rPr>
            <w:rFonts w:asciiTheme="minorHAnsi" w:eastAsiaTheme="minorEastAsia" w:hAnsiTheme="minorHAnsi" w:cstheme="minorBidi"/>
            <w:b w:val="0"/>
            <w:sz w:val="22"/>
            <w:lang w:val="en-US"/>
          </w:rPr>
          <w:tab/>
        </w:r>
        <w:r w:rsidR="00B04851" w:rsidRPr="0045029D">
          <w:rPr>
            <w:rStyle w:val="Hiperveza"/>
          </w:rPr>
          <w:t>Promicanje učinkovitog grijanja i hlađenja (članak 14. DEU-a)</w:t>
        </w:r>
        <w:r w:rsidR="00B04851">
          <w:rPr>
            <w:webHidden/>
          </w:rPr>
          <w:tab/>
        </w:r>
        <w:r w:rsidR="00B04851">
          <w:rPr>
            <w:webHidden/>
          </w:rPr>
          <w:fldChar w:fldCharType="begin"/>
        </w:r>
        <w:r w:rsidR="00B04851">
          <w:rPr>
            <w:webHidden/>
          </w:rPr>
          <w:instrText xml:space="preserve"> PAGEREF _Toc535245870 \h </w:instrText>
        </w:r>
        <w:r w:rsidR="00B04851">
          <w:rPr>
            <w:webHidden/>
          </w:rPr>
        </w:r>
        <w:r w:rsidR="00B04851">
          <w:rPr>
            <w:webHidden/>
          </w:rPr>
          <w:fldChar w:fldCharType="separate"/>
        </w:r>
        <w:r w:rsidR="00B04851">
          <w:rPr>
            <w:webHidden/>
          </w:rPr>
          <w:t>106</w:t>
        </w:r>
        <w:r w:rsidR="00B04851">
          <w:rPr>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71" w:history="1">
        <w:r w:rsidR="00B04851" w:rsidRPr="0045029D">
          <w:rPr>
            <w:rStyle w:val="Hiperveza"/>
            <w:noProof/>
          </w:rPr>
          <w:t>3.5.1</w:t>
        </w:r>
        <w:r w:rsidR="00B04851">
          <w:rPr>
            <w:rFonts w:asciiTheme="minorHAnsi" w:eastAsiaTheme="minorEastAsia" w:hAnsiTheme="minorHAnsi" w:cstheme="minorBidi"/>
            <w:noProof/>
            <w:sz w:val="22"/>
            <w:lang w:val="en-US"/>
          </w:rPr>
          <w:tab/>
        </w:r>
        <w:r w:rsidR="00B04851" w:rsidRPr="0045029D">
          <w:rPr>
            <w:rStyle w:val="Hiperveza"/>
            <w:noProof/>
          </w:rPr>
          <w:t>Detaljno mapiranje energetskog sustava</w:t>
        </w:r>
        <w:r w:rsidR="00B04851">
          <w:rPr>
            <w:noProof/>
            <w:webHidden/>
          </w:rPr>
          <w:tab/>
        </w:r>
        <w:r w:rsidR="00B04851">
          <w:rPr>
            <w:noProof/>
            <w:webHidden/>
          </w:rPr>
          <w:fldChar w:fldCharType="begin"/>
        </w:r>
        <w:r w:rsidR="00B04851">
          <w:rPr>
            <w:noProof/>
            <w:webHidden/>
          </w:rPr>
          <w:instrText xml:space="preserve"> PAGEREF _Toc535245871 \h </w:instrText>
        </w:r>
        <w:r w:rsidR="00B04851">
          <w:rPr>
            <w:noProof/>
            <w:webHidden/>
          </w:rPr>
        </w:r>
        <w:r w:rsidR="00B04851">
          <w:rPr>
            <w:noProof/>
            <w:webHidden/>
          </w:rPr>
          <w:fldChar w:fldCharType="separate"/>
        </w:r>
        <w:r w:rsidR="00B04851">
          <w:rPr>
            <w:noProof/>
            <w:webHidden/>
          </w:rPr>
          <w:t>106</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72" w:history="1">
        <w:r w:rsidR="00B04851" w:rsidRPr="0045029D">
          <w:rPr>
            <w:rStyle w:val="Hiperveza"/>
            <w:noProof/>
          </w:rPr>
          <w:t>3.5.2</w:t>
        </w:r>
        <w:r w:rsidR="00B04851">
          <w:rPr>
            <w:rFonts w:asciiTheme="minorHAnsi" w:eastAsiaTheme="minorEastAsia" w:hAnsiTheme="minorHAnsi" w:cstheme="minorBidi"/>
            <w:noProof/>
            <w:sz w:val="22"/>
            <w:lang w:val="en-US"/>
          </w:rPr>
          <w:tab/>
        </w:r>
        <w:r w:rsidR="00B04851" w:rsidRPr="0045029D">
          <w:rPr>
            <w:rStyle w:val="Hiperveza"/>
            <w:noProof/>
          </w:rPr>
          <w:t>Sveobuhvatna procjena (članak 14. DEU-a)</w:t>
        </w:r>
        <w:r w:rsidR="00B04851">
          <w:rPr>
            <w:noProof/>
            <w:webHidden/>
          </w:rPr>
          <w:tab/>
        </w:r>
        <w:r w:rsidR="00B04851">
          <w:rPr>
            <w:noProof/>
            <w:webHidden/>
          </w:rPr>
          <w:fldChar w:fldCharType="begin"/>
        </w:r>
        <w:r w:rsidR="00B04851">
          <w:rPr>
            <w:noProof/>
            <w:webHidden/>
          </w:rPr>
          <w:instrText xml:space="preserve"> PAGEREF _Toc535245872 \h </w:instrText>
        </w:r>
        <w:r w:rsidR="00B04851">
          <w:rPr>
            <w:noProof/>
            <w:webHidden/>
          </w:rPr>
        </w:r>
        <w:r w:rsidR="00B04851">
          <w:rPr>
            <w:noProof/>
            <w:webHidden/>
          </w:rPr>
          <w:fldChar w:fldCharType="separate"/>
        </w:r>
        <w:r w:rsidR="00B04851">
          <w:rPr>
            <w:noProof/>
            <w:webHidden/>
          </w:rPr>
          <w:t>109</w:t>
        </w:r>
        <w:r w:rsidR="00B04851">
          <w:rPr>
            <w:noProof/>
            <w:webHidden/>
          </w:rPr>
          <w:fldChar w:fldCharType="end"/>
        </w:r>
      </w:hyperlink>
    </w:p>
    <w:p w:rsidR="00B04851" w:rsidRDefault="00F87012">
      <w:pPr>
        <w:pStyle w:val="Sadraj2"/>
        <w:rPr>
          <w:rFonts w:asciiTheme="minorHAnsi" w:eastAsiaTheme="minorEastAsia" w:hAnsiTheme="minorHAnsi" w:cstheme="minorBidi"/>
          <w:b w:val="0"/>
          <w:sz w:val="22"/>
          <w:lang w:val="en-US"/>
        </w:rPr>
      </w:pPr>
      <w:hyperlink w:anchor="_Toc535245873" w:history="1">
        <w:r w:rsidR="00B04851" w:rsidRPr="0045029D">
          <w:rPr>
            <w:rStyle w:val="Hiperveza"/>
          </w:rPr>
          <w:t>3.6</w:t>
        </w:r>
        <w:r w:rsidR="00B04851">
          <w:rPr>
            <w:rFonts w:asciiTheme="minorHAnsi" w:eastAsiaTheme="minorEastAsia" w:hAnsiTheme="minorHAnsi" w:cstheme="minorBidi"/>
            <w:b w:val="0"/>
            <w:sz w:val="22"/>
            <w:lang w:val="en-US"/>
          </w:rPr>
          <w:tab/>
        </w:r>
        <w:r w:rsidR="00B04851" w:rsidRPr="0045029D">
          <w:rPr>
            <w:rStyle w:val="Hiperveza"/>
          </w:rPr>
          <w:t>Pretvorba, prijenos i distribucijaenergije te odgovor na potražnju</w:t>
        </w:r>
        <w:r w:rsidR="00B04851">
          <w:rPr>
            <w:webHidden/>
          </w:rPr>
          <w:tab/>
        </w:r>
        <w:r w:rsidR="00B04851">
          <w:rPr>
            <w:webHidden/>
          </w:rPr>
          <w:fldChar w:fldCharType="begin"/>
        </w:r>
        <w:r w:rsidR="00B04851">
          <w:rPr>
            <w:webHidden/>
          </w:rPr>
          <w:instrText xml:space="preserve"> PAGEREF _Toc535245873 \h </w:instrText>
        </w:r>
        <w:r w:rsidR="00B04851">
          <w:rPr>
            <w:webHidden/>
          </w:rPr>
        </w:r>
        <w:r w:rsidR="00B04851">
          <w:rPr>
            <w:webHidden/>
          </w:rPr>
          <w:fldChar w:fldCharType="separate"/>
        </w:r>
        <w:r w:rsidR="00B04851">
          <w:rPr>
            <w:webHidden/>
          </w:rPr>
          <w:t>112</w:t>
        </w:r>
        <w:r w:rsidR="00B04851">
          <w:rPr>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74" w:history="1">
        <w:r w:rsidR="00B04851" w:rsidRPr="0045029D">
          <w:rPr>
            <w:rStyle w:val="Hiperveza"/>
            <w:noProof/>
          </w:rPr>
          <w:t>3.6.1</w:t>
        </w:r>
        <w:r w:rsidR="00B04851">
          <w:rPr>
            <w:rFonts w:asciiTheme="minorHAnsi" w:eastAsiaTheme="minorEastAsia" w:hAnsiTheme="minorHAnsi" w:cstheme="minorBidi"/>
            <w:noProof/>
            <w:sz w:val="22"/>
            <w:lang w:val="en-US"/>
          </w:rPr>
          <w:tab/>
        </w:r>
        <w:r w:rsidR="00B04851" w:rsidRPr="0045029D">
          <w:rPr>
            <w:rStyle w:val="Hiperveza"/>
            <w:noProof/>
          </w:rPr>
          <w:t>Kriteriji energetske učinkovitosti u mrežnim tarifama i regulacija (članak 15. DEU-a)</w:t>
        </w:r>
        <w:r w:rsidR="00B04851">
          <w:rPr>
            <w:noProof/>
            <w:webHidden/>
          </w:rPr>
          <w:tab/>
        </w:r>
        <w:r w:rsidR="00B04851">
          <w:rPr>
            <w:noProof/>
            <w:webHidden/>
          </w:rPr>
          <w:fldChar w:fldCharType="begin"/>
        </w:r>
        <w:r w:rsidR="00B04851">
          <w:rPr>
            <w:noProof/>
            <w:webHidden/>
          </w:rPr>
          <w:instrText xml:space="preserve"> PAGEREF _Toc535245874 \h </w:instrText>
        </w:r>
        <w:r w:rsidR="00B04851">
          <w:rPr>
            <w:noProof/>
            <w:webHidden/>
          </w:rPr>
        </w:r>
        <w:r w:rsidR="00B04851">
          <w:rPr>
            <w:noProof/>
            <w:webHidden/>
          </w:rPr>
          <w:fldChar w:fldCharType="separate"/>
        </w:r>
        <w:r w:rsidR="00B04851">
          <w:rPr>
            <w:noProof/>
            <w:webHidden/>
          </w:rPr>
          <w:t>124</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75" w:history="1">
        <w:r w:rsidR="00B04851" w:rsidRPr="0045029D">
          <w:rPr>
            <w:rStyle w:val="Hiperveza"/>
            <w:noProof/>
          </w:rPr>
          <w:t>3.6.2</w:t>
        </w:r>
        <w:r w:rsidR="00B04851">
          <w:rPr>
            <w:rFonts w:asciiTheme="minorHAnsi" w:eastAsiaTheme="minorEastAsia" w:hAnsiTheme="minorHAnsi" w:cstheme="minorBidi"/>
            <w:noProof/>
            <w:sz w:val="22"/>
            <w:lang w:val="en-US"/>
          </w:rPr>
          <w:tab/>
        </w:r>
        <w:r w:rsidR="00B04851" w:rsidRPr="0045029D">
          <w:rPr>
            <w:rStyle w:val="Hiperveza"/>
            <w:noProof/>
          </w:rPr>
          <w:t>Olakšavanje i poticanje odgovora na  potražnju (članak 15. DEU-a)</w:t>
        </w:r>
        <w:r w:rsidR="00B04851">
          <w:rPr>
            <w:noProof/>
            <w:webHidden/>
          </w:rPr>
          <w:tab/>
        </w:r>
        <w:r w:rsidR="00B04851">
          <w:rPr>
            <w:noProof/>
            <w:webHidden/>
          </w:rPr>
          <w:fldChar w:fldCharType="begin"/>
        </w:r>
        <w:r w:rsidR="00B04851">
          <w:rPr>
            <w:noProof/>
            <w:webHidden/>
          </w:rPr>
          <w:instrText xml:space="preserve"> PAGEREF _Toc535245875 \h </w:instrText>
        </w:r>
        <w:r w:rsidR="00B04851">
          <w:rPr>
            <w:noProof/>
            <w:webHidden/>
          </w:rPr>
        </w:r>
        <w:r w:rsidR="00B04851">
          <w:rPr>
            <w:noProof/>
            <w:webHidden/>
          </w:rPr>
          <w:fldChar w:fldCharType="separate"/>
        </w:r>
        <w:r w:rsidR="00B04851">
          <w:rPr>
            <w:noProof/>
            <w:webHidden/>
          </w:rPr>
          <w:t>125</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76" w:history="1">
        <w:r w:rsidR="00B04851" w:rsidRPr="0045029D">
          <w:rPr>
            <w:rStyle w:val="Hiperveza"/>
            <w:noProof/>
          </w:rPr>
          <w:t>3.6.3</w:t>
        </w:r>
        <w:r w:rsidR="00B04851">
          <w:rPr>
            <w:rFonts w:asciiTheme="minorHAnsi" w:eastAsiaTheme="minorEastAsia" w:hAnsiTheme="minorHAnsi" w:cstheme="minorBidi"/>
            <w:noProof/>
            <w:sz w:val="22"/>
            <w:lang w:val="en-US"/>
          </w:rPr>
          <w:tab/>
        </w:r>
        <w:r w:rsidR="00B04851" w:rsidRPr="0045029D">
          <w:rPr>
            <w:rStyle w:val="Hiperveza"/>
            <w:noProof/>
          </w:rPr>
          <w:t>Energetska učinkovitost u projektiranju mreža i regulaciji (članak 15. DEU-a)</w:t>
        </w:r>
        <w:r w:rsidR="00B04851">
          <w:rPr>
            <w:noProof/>
            <w:webHidden/>
          </w:rPr>
          <w:tab/>
        </w:r>
        <w:r w:rsidR="00B04851">
          <w:rPr>
            <w:noProof/>
            <w:webHidden/>
          </w:rPr>
          <w:fldChar w:fldCharType="begin"/>
        </w:r>
        <w:r w:rsidR="00B04851">
          <w:rPr>
            <w:noProof/>
            <w:webHidden/>
          </w:rPr>
          <w:instrText xml:space="preserve"> PAGEREF _Toc535245876 \h </w:instrText>
        </w:r>
        <w:r w:rsidR="00B04851">
          <w:rPr>
            <w:noProof/>
            <w:webHidden/>
          </w:rPr>
        </w:r>
        <w:r w:rsidR="00B04851">
          <w:rPr>
            <w:noProof/>
            <w:webHidden/>
          </w:rPr>
          <w:fldChar w:fldCharType="separate"/>
        </w:r>
        <w:r w:rsidR="00B04851">
          <w:rPr>
            <w:noProof/>
            <w:webHidden/>
          </w:rPr>
          <w:t>126</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77" w:history="1">
        <w:r w:rsidR="00B04851" w:rsidRPr="0045029D">
          <w:rPr>
            <w:rStyle w:val="Hiperveza"/>
            <w:noProof/>
          </w:rPr>
          <w:t>3.6.4</w:t>
        </w:r>
        <w:r w:rsidR="00B04851">
          <w:rPr>
            <w:rFonts w:asciiTheme="minorHAnsi" w:eastAsiaTheme="minorEastAsia" w:hAnsiTheme="minorHAnsi" w:cstheme="minorBidi"/>
            <w:noProof/>
            <w:sz w:val="22"/>
            <w:lang w:val="en-US"/>
          </w:rPr>
          <w:tab/>
        </w:r>
        <w:r w:rsidR="00B04851" w:rsidRPr="0045029D">
          <w:rPr>
            <w:rStyle w:val="Hiperveza"/>
            <w:noProof/>
          </w:rPr>
          <w:t>Uštede koje proizlaze iz mjera u području opskrbe Energijom</w:t>
        </w:r>
        <w:r w:rsidR="00B04851">
          <w:rPr>
            <w:noProof/>
            <w:webHidden/>
          </w:rPr>
          <w:tab/>
        </w:r>
        <w:r w:rsidR="00B04851">
          <w:rPr>
            <w:noProof/>
            <w:webHidden/>
          </w:rPr>
          <w:fldChar w:fldCharType="begin"/>
        </w:r>
        <w:r w:rsidR="00B04851">
          <w:rPr>
            <w:noProof/>
            <w:webHidden/>
          </w:rPr>
          <w:instrText xml:space="preserve"> PAGEREF _Toc535245877 \h </w:instrText>
        </w:r>
        <w:r w:rsidR="00B04851">
          <w:rPr>
            <w:noProof/>
            <w:webHidden/>
          </w:rPr>
        </w:r>
        <w:r w:rsidR="00B04851">
          <w:rPr>
            <w:noProof/>
            <w:webHidden/>
          </w:rPr>
          <w:fldChar w:fldCharType="separate"/>
        </w:r>
        <w:r w:rsidR="00B04851">
          <w:rPr>
            <w:noProof/>
            <w:webHidden/>
          </w:rPr>
          <w:t>132</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78" w:history="1">
        <w:r w:rsidR="00B04851" w:rsidRPr="0045029D">
          <w:rPr>
            <w:rStyle w:val="Hiperveza"/>
            <w:noProof/>
          </w:rPr>
          <w:t>3.6.5</w:t>
        </w:r>
        <w:r w:rsidR="00B04851">
          <w:rPr>
            <w:rFonts w:asciiTheme="minorHAnsi" w:eastAsiaTheme="minorEastAsia" w:hAnsiTheme="minorHAnsi" w:cstheme="minorBidi"/>
            <w:noProof/>
            <w:sz w:val="22"/>
            <w:lang w:val="en-US"/>
          </w:rPr>
          <w:tab/>
        </w:r>
        <w:r w:rsidR="00B04851" w:rsidRPr="0045029D">
          <w:rPr>
            <w:rStyle w:val="Hiperveza"/>
            <w:noProof/>
          </w:rPr>
          <w:t>Financiranje mjera u području opskrbe Energijom</w:t>
        </w:r>
        <w:r w:rsidR="00B04851">
          <w:rPr>
            <w:noProof/>
            <w:webHidden/>
          </w:rPr>
          <w:tab/>
        </w:r>
        <w:r w:rsidR="00B04851">
          <w:rPr>
            <w:noProof/>
            <w:webHidden/>
          </w:rPr>
          <w:fldChar w:fldCharType="begin"/>
        </w:r>
        <w:r w:rsidR="00B04851">
          <w:rPr>
            <w:noProof/>
            <w:webHidden/>
          </w:rPr>
          <w:instrText xml:space="preserve"> PAGEREF _Toc535245878 \h </w:instrText>
        </w:r>
        <w:r w:rsidR="00B04851">
          <w:rPr>
            <w:noProof/>
            <w:webHidden/>
          </w:rPr>
        </w:r>
        <w:r w:rsidR="00B04851">
          <w:rPr>
            <w:noProof/>
            <w:webHidden/>
          </w:rPr>
          <w:fldChar w:fldCharType="separate"/>
        </w:r>
        <w:r w:rsidR="00B04851">
          <w:rPr>
            <w:noProof/>
            <w:webHidden/>
          </w:rPr>
          <w:t>132</w:t>
        </w:r>
        <w:r w:rsidR="00B04851">
          <w:rPr>
            <w:noProof/>
            <w:webHidden/>
          </w:rPr>
          <w:fldChar w:fldCharType="end"/>
        </w:r>
      </w:hyperlink>
    </w:p>
    <w:p w:rsidR="00B04851" w:rsidRDefault="00F87012">
      <w:pPr>
        <w:pStyle w:val="Sadraj3"/>
        <w:rPr>
          <w:rFonts w:asciiTheme="minorHAnsi" w:eastAsiaTheme="minorEastAsia" w:hAnsiTheme="minorHAnsi" w:cstheme="minorBidi"/>
          <w:noProof/>
          <w:sz w:val="22"/>
          <w:lang w:val="en-US"/>
        </w:rPr>
      </w:pPr>
      <w:hyperlink w:anchor="_Toc535245879" w:history="1">
        <w:r w:rsidR="00B04851" w:rsidRPr="0045029D">
          <w:rPr>
            <w:rStyle w:val="Hiperveza"/>
            <w:noProof/>
          </w:rPr>
          <w:t>DODATAK 1  Pregled mjera za uspostavu infrastrukture za alternativna goriva</w:t>
        </w:r>
        <w:r w:rsidR="00B04851">
          <w:rPr>
            <w:noProof/>
            <w:webHidden/>
          </w:rPr>
          <w:tab/>
        </w:r>
        <w:r w:rsidR="00B04851">
          <w:rPr>
            <w:noProof/>
            <w:webHidden/>
          </w:rPr>
          <w:fldChar w:fldCharType="begin"/>
        </w:r>
        <w:r w:rsidR="00B04851">
          <w:rPr>
            <w:noProof/>
            <w:webHidden/>
          </w:rPr>
          <w:instrText xml:space="preserve"> PAGEREF _Toc535245879 \h </w:instrText>
        </w:r>
        <w:r w:rsidR="00B04851">
          <w:rPr>
            <w:noProof/>
            <w:webHidden/>
          </w:rPr>
        </w:r>
        <w:r w:rsidR="00B04851">
          <w:rPr>
            <w:noProof/>
            <w:webHidden/>
          </w:rPr>
          <w:fldChar w:fldCharType="separate"/>
        </w:r>
        <w:r w:rsidR="00B04851">
          <w:rPr>
            <w:noProof/>
            <w:webHidden/>
          </w:rPr>
          <w:t>133</w:t>
        </w:r>
        <w:r w:rsidR="00B04851">
          <w:rPr>
            <w:noProof/>
            <w:webHidden/>
          </w:rPr>
          <w:fldChar w:fldCharType="end"/>
        </w:r>
      </w:hyperlink>
    </w:p>
    <w:p w:rsidR="004724DF" w:rsidRPr="00361664" w:rsidRDefault="00E85060" w:rsidP="00DE6C4B">
      <w:pPr>
        <w:pStyle w:val="Naslov1"/>
        <w:numPr>
          <w:ilvl w:val="0"/>
          <w:numId w:val="0"/>
        </w:numPr>
        <w:rPr>
          <w:rFonts w:cs="Arial"/>
          <w:sz w:val="20"/>
          <w:szCs w:val="20"/>
          <w:lang w:val="hr-HR" w:eastAsia="de-DE"/>
        </w:rPr>
      </w:pPr>
      <w:r w:rsidRPr="00361664">
        <w:rPr>
          <w:rFonts w:cs="Arial"/>
          <w:sz w:val="20"/>
          <w:szCs w:val="20"/>
          <w:lang w:val="hr-HR" w:eastAsia="de-DE"/>
        </w:rPr>
        <w:fldChar w:fldCharType="end"/>
      </w:r>
    </w:p>
    <w:p w:rsidR="004724DF" w:rsidRPr="00361664" w:rsidRDefault="004724DF">
      <w:pPr>
        <w:rPr>
          <w:rFonts w:ascii="Cambria" w:eastAsia="Calibri" w:hAnsi="Cambria" w:cs="Arial"/>
          <w:b/>
          <w:bCs/>
          <w:smallCaps/>
          <w:color w:val="365F91"/>
          <w:sz w:val="20"/>
          <w:szCs w:val="20"/>
          <w:lang w:eastAsia="de-DE"/>
        </w:rPr>
      </w:pPr>
      <w:r w:rsidRPr="00361664">
        <w:rPr>
          <w:rFonts w:cs="Arial"/>
          <w:sz w:val="20"/>
          <w:szCs w:val="20"/>
          <w:lang w:eastAsia="de-DE"/>
        </w:rPr>
        <w:br w:type="page"/>
      </w:r>
    </w:p>
    <w:p w:rsidR="00944F9E" w:rsidRPr="00361664" w:rsidRDefault="001838B5" w:rsidP="00DE6C4B">
      <w:pPr>
        <w:pStyle w:val="Naslov1"/>
        <w:numPr>
          <w:ilvl w:val="0"/>
          <w:numId w:val="0"/>
        </w:numPr>
        <w:rPr>
          <w:lang w:val="hr-HR"/>
        </w:rPr>
      </w:pPr>
      <w:bookmarkStart w:id="3" w:name="_Toc535245833"/>
      <w:r w:rsidRPr="00361664">
        <w:rPr>
          <w:lang w:val="hr-HR"/>
        </w:rPr>
        <w:lastRenderedPageBreak/>
        <w:t>p</w:t>
      </w:r>
      <w:r w:rsidR="00417281" w:rsidRPr="00361664">
        <w:rPr>
          <w:lang w:val="hr-HR"/>
        </w:rPr>
        <w:t>opis kratica</w:t>
      </w:r>
      <w:bookmarkEnd w:id="3"/>
    </w:p>
    <w:p w:rsidR="006F1403" w:rsidRPr="00361664" w:rsidRDefault="006F1403" w:rsidP="00651BCA">
      <w:pPr>
        <w:spacing w:after="0"/>
        <w:jc w:val="both"/>
        <w:rPr>
          <w:rFonts w:cs="Calibri"/>
          <w:sz w:val="18"/>
          <w:szCs w:val="20"/>
        </w:rPr>
      </w:pPr>
    </w:p>
    <w:p w:rsidR="004D21B8" w:rsidRPr="00361664" w:rsidRDefault="004D21B8" w:rsidP="004D21B8">
      <w:pPr>
        <w:spacing w:after="0"/>
        <w:jc w:val="both"/>
        <w:rPr>
          <w:rFonts w:cs="Calibri"/>
          <w:sz w:val="20"/>
          <w:szCs w:val="20"/>
        </w:rPr>
      </w:pPr>
      <w:r w:rsidRPr="00361664">
        <w:rPr>
          <w:rFonts w:cs="Calibri"/>
          <w:sz w:val="20"/>
          <w:szCs w:val="20"/>
        </w:rPr>
        <w:t>APN</w:t>
      </w:r>
      <w:r w:rsidRPr="00361664">
        <w:rPr>
          <w:rFonts w:cs="Calibri"/>
          <w:sz w:val="20"/>
          <w:szCs w:val="20"/>
        </w:rPr>
        <w:tab/>
      </w:r>
      <w:r w:rsidRPr="00361664">
        <w:rPr>
          <w:rFonts w:cs="Calibri"/>
          <w:sz w:val="20"/>
          <w:szCs w:val="20"/>
        </w:rPr>
        <w:tab/>
        <w:t>Agencija za pravni promet i posredovanje nekretninama</w:t>
      </w:r>
    </w:p>
    <w:p w:rsidR="004D21B8" w:rsidRPr="00361664" w:rsidRDefault="004D21B8" w:rsidP="004D21B8">
      <w:pPr>
        <w:spacing w:after="0"/>
        <w:jc w:val="both"/>
        <w:rPr>
          <w:rFonts w:cs="Calibri"/>
          <w:sz w:val="20"/>
          <w:szCs w:val="20"/>
        </w:rPr>
      </w:pPr>
      <w:r w:rsidRPr="00361664">
        <w:rPr>
          <w:rFonts w:cs="Calibri"/>
          <w:sz w:val="20"/>
          <w:szCs w:val="20"/>
        </w:rPr>
        <w:t>ASSO</w:t>
      </w:r>
      <w:r w:rsidRPr="00361664">
        <w:rPr>
          <w:rFonts w:cs="Calibri"/>
          <w:sz w:val="20"/>
          <w:szCs w:val="20"/>
        </w:rPr>
        <w:tab/>
      </w:r>
      <w:r w:rsidRPr="00361664">
        <w:rPr>
          <w:rFonts w:cs="Calibri"/>
          <w:sz w:val="20"/>
          <w:szCs w:val="20"/>
        </w:rPr>
        <w:tab/>
        <w:t>Agencija za strukovno obrazovanje i obrazovanje odraslih</w:t>
      </w:r>
    </w:p>
    <w:p w:rsidR="004D21B8" w:rsidRPr="00361664" w:rsidRDefault="004D21B8" w:rsidP="004D21B8">
      <w:pPr>
        <w:spacing w:after="0"/>
        <w:jc w:val="both"/>
        <w:rPr>
          <w:rFonts w:cs="Calibri"/>
          <w:sz w:val="20"/>
          <w:szCs w:val="20"/>
        </w:rPr>
      </w:pPr>
      <w:r w:rsidRPr="00361664">
        <w:rPr>
          <w:rFonts w:cs="Calibri"/>
          <w:sz w:val="20"/>
          <w:szCs w:val="20"/>
        </w:rPr>
        <w:t>BAU</w:t>
      </w:r>
      <w:r w:rsidRPr="00361664">
        <w:rPr>
          <w:rFonts w:cs="Calibri"/>
          <w:sz w:val="20"/>
          <w:szCs w:val="20"/>
        </w:rPr>
        <w:tab/>
      </w:r>
      <w:r w:rsidRPr="00361664">
        <w:rPr>
          <w:rFonts w:cs="Calibri"/>
          <w:sz w:val="20"/>
          <w:szCs w:val="20"/>
        </w:rPr>
        <w:tab/>
      </w:r>
      <w:r w:rsidR="00B51B6C" w:rsidRPr="00361664">
        <w:rPr>
          <w:rFonts w:cs="Calibri"/>
          <w:sz w:val="20"/>
          <w:szCs w:val="20"/>
        </w:rPr>
        <w:t>engl.</w:t>
      </w:r>
      <w:r w:rsidR="00B51B6C" w:rsidRPr="00361664">
        <w:rPr>
          <w:rFonts w:cs="Calibri"/>
          <w:i/>
          <w:sz w:val="20"/>
          <w:szCs w:val="20"/>
        </w:rPr>
        <w:t>Business</w:t>
      </w:r>
      <w:r w:rsidRPr="00361664">
        <w:rPr>
          <w:rFonts w:cs="Calibri"/>
          <w:i/>
          <w:sz w:val="20"/>
          <w:szCs w:val="20"/>
        </w:rPr>
        <w:t>-as-usual</w:t>
      </w:r>
    </w:p>
    <w:p w:rsidR="004D21B8" w:rsidRPr="00361664" w:rsidRDefault="004D21B8" w:rsidP="004D21B8">
      <w:pPr>
        <w:spacing w:after="0"/>
        <w:jc w:val="both"/>
        <w:rPr>
          <w:rFonts w:cs="Calibri"/>
          <w:sz w:val="20"/>
          <w:szCs w:val="20"/>
        </w:rPr>
      </w:pPr>
      <w:r w:rsidRPr="00361664">
        <w:rPr>
          <w:rFonts w:cs="Calibri"/>
          <w:sz w:val="20"/>
          <w:szCs w:val="20"/>
        </w:rPr>
        <w:t>BDP</w:t>
      </w:r>
      <w:r w:rsidRPr="00361664">
        <w:rPr>
          <w:rFonts w:cs="Calibri"/>
          <w:sz w:val="20"/>
          <w:szCs w:val="20"/>
        </w:rPr>
        <w:tab/>
      </w:r>
      <w:r w:rsidRPr="00361664">
        <w:rPr>
          <w:rFonts w:cs="Calibri"/>
          <w:sz w:val="20"/>
          <w:szCs w:val="20"/>
        </w:rPr>
        <w:tab/>
        <w:t xml:space="preserve">bruto </w:t>
      </w:r>
      <w:r w:rsidR="000F1335" w:rsidRPr="00361664">
        <w:rPr>
          <w:rFonts w:cs="Calibri"/>
          <w:sz w:val="20"/>
          <w:szCs w:val="20"/>
        </w:rPr>
        <w:t>domaći</w:t>
      </w:r>
      <w:r w:rsidRPr="00361664">
        <w:rPr>
          <w:rFonts w:cs="Calibri"/>
          <w:sz w:val="20"/>
          <w:szCs w:val="20"/>
        </w:rPr>
        <w:t xml:space="preserve"> proizvod</w:t>
      </w:r>
    </w:p>
    <w:p w:rsidR="004D21B8" w:rsidRPr="00361664" w:rsidRDefault="004D21B8" w:rsidP="004D21B8">
      <w:pPr>
        <w:spacing w:after="0"/>
        <w:jc w:val="both"/>
        <w:rPr>
          <w:rFonts w:cs="Calibri"/>
          <w:sz w:val="20"/>
          <w:szCs w:val="20"/>
        </w:rPr>
      </w:pPr>
      <w:r w:rsidRPr="00361664">
        <w:rPr>
          <w:rFonts w:cs="Calibri"/>
          <w:sz w:val="20"/>
          <w:szCs w:val="20"/>
        </w:rPr>
        <w:t>BU</w:t>
      </w:r>
      <w:r w:rsidRPr="00361664">
        <w:rPr>
          <w:rFonts w:cs="Calibri"/>
          <w:sz w:val="20"/>
          <w:szCs w:val="20"/>
        </w:rPr>
        <w:tab/>
      </w:r>
      <w:r w:rsidRPr="00361664">
        <w:rPr>
          <w:rFonts w:cs="Calibri"/>
          <w:sz w:val="20"/>
          <w:szCs w:val="20"/>
        </w:rPr>
        <w:tab/>
        <w:t>odozdo-prema-gore (</w:t>
      </w:r>
      <w:r w:rsidR="00D0277A" w:rsidRPr="00361664">
        <w:rPr>
          <w:rFonts w:cs="Calibri"/>
          <w:sz w:val="20"/>
          <w:szCs w:val="20"/>
        </w:rPr>
        <w:t>engl.</w:t>
      </w:r>
      <w:r w:rsidRPr="00361664">
        <w:rPr>
          <w:rFonts w:cs="Calibri"/>
          <w:i/>
          <w:sz w:val="20"/>
          <w:szCs w:val="20"/>
        </w:rPr>
        <w:t>bottom-up</w:t>
      </w:r>
      <w:r w:rsidRPr="00361664">
        <w:rPr>
          <w:rFonts w:cs="Calibri"/>
          <w:sz w:val="20"/>
          <w:szCs w:val="20"/>
        </w:rPr>
        <w:t>)</w:t>
      </w:r>
    </w:p>
    <w:p w:rsidR="004D21B8" w:rsidRPr="00361664" w:rsidRDefault="004D21B8" w:rsidP="004D21B8">
      <w:pPr>
        <w:spacing w:after="0"/>
        <w:jc w:val="both"/>
        <w:rPr>
          <w:rFonts w:cs="Calibri"/>
          <w:sz w:val="20"/>
          <w:szCs w:val="20"/>
        </w:rPr>
      </w:pPr>
      <w:r w:rsidRPr="00361664">
        <w:rPr>
          <w:rFonts w:cs="Calibri"/>
          <w:sz w:val="20"/>
          <w:szCs w:val="20"/>
        </w:rPr>
        <w:t>CEI</w:t>
      </w:r>
      <w:r w:rsidRPr="00361664">
        <w:rPr>
          <w:rFonts w:cs="Calibri"/>
          <w:sz w:val="20"/>
          <w:szCs w:val="20"/>
        </w:rPr>
        <w:tab/>
      </w:r>
      <w:r w:rsidRPr="00361664">
        <w:rPr>
          <w:rFonts w:cs="Calibri"/>
          <w:sz w:val="20"/>
          <w:szCs w:val="20"/>
        </w:rPr>
        <w:tab/>
        <w:t>Centar za praćenje poslovanja energetskog sektora i investicija</w:t>
      </w:r>
    </w:p>
    <w:p w:rsidR="004D21B8" w:rsidRPr="00361664" w:rsidRDefault="004D21B8" w:rsidP="004D21B8">
      <w:pPr>
        <w:tabs>
          <w:tab w:val="left" w:pos="1418"/>
        </w:tabs>
        <w:spacing w:after="0"/>
        <w:jc w:val="both"/>
        <w:rPr>
          <w:rFonts w:cs="Calibri"/>
          <w:sz w:val="20"/>
          <w:szCs w:val="20"/>
        </w:rPr>
      </w:pPr>
      <w:r w:rsidRPr="00361664">
        <w:rPr>
          <w:rFonts w:cs="Calibri"/>
          <w:sz w:val="20"/>
          <w:szCs w:val="20"/>
        </w:rPr>
        <w:t>CVH</w:t>
      </w:r>
      <w:r w:rsidRPr="00361664">
        <w:rPr>
          <w:rFonts w:cs="Calibri"/>
          <w:sz w:val="20"/>
          <w:szCs w:val="20"/>
        </w:rPr>
        <w:tab/>
        <w:t>Centar za vozila Hrvatske</w:t>
      </w:r>
    </w:p>
    <w:p w:rsidR="004D21B8" w:rsidRPr="00361664" w:rsidRDefault="004D21B8" w:rsidP="004D21B8">
      <w:pPr>
        <w:tabs>
          <w:tab w:val="left" w:pos="1418"/>
        </w:tabs>
        <w:spacing w:after="0"/>
        <w:jc w:val="both"/>
        <w:rPr>
          <w:sz w:val="20"/>
          <w:szCs w:val="20"/>
        </w:rPr>
      </w:pPr>
      <w:r w:rsidRPr="00361664">
        <w:rPr>
          <w:sz w:val="20"/>
          <w:szCs w:val="20"/>
        </w:rPr>
        <w:t>DGU</w:t>
      </w:r>
      <w:r w:rsidRPr="00361664">
        <w:rPr>
          <w:sz w:val="20"/>
          <w:szCs w:val="20"/>
        </w:rPr>
        <w:tab/>
        <w:t xml:space="preserve">Državna geodetska uprava </w:t>
      </w:r>
    </w:p>
    <w:p w:rsidR="004D21B8" w:rsidRPr="00361664" w:rsidRDefault="004D21B8" w:rsidP="004D21B8">
      <w:pPr>
        <w:spacing w:after="0"/>
        <w:jc w:val="both"/>
        <w:rPr>
          <w:rFonts w:cs="Calibri"/>
          <w:sz w:val="20"/>
          <w:szCs w:val="20"/>
        </w:rPr>
      </w:pPr>
      <w:r w:rsidRPr="00361664">
        <w:rPr>
          <w:rFonts w:cs="Calibri"/>
          <w:sz w:val="20"/>
          <w:szCs w:val="20"/>
        </w:rPr>
        <w:t>DOOR</w:t>
      </w:r>
      <w:r w:rsidRPr="00361664">
        <w:rPr>
          <w:rFonts w:cs="Calibri"/>
          <w:sz w:val="20"/>
          <w:szCs w:val="20"/>
        </w:rPr>
        <w:tab/>
      </w:r>
      <w:r w:rsidRPr="00361664">
        <w:rPr>
          <w:rFonts w:cs="Calibri"/>
          <w:sz w:val="20"/>
          <w:szCs w:val="20"/>
        </w:rPr>
        <w:tab/>
        <w:t>Društvo za oblikovanje održivog razvoja</w:t>
      </w:r>
    </w:p>
    <w:p w:rsidR="004D21B8" w:rsidRPr="00361664" w:rsidRDefault="004D21B8" w:rsidP="004D21B8">
      <w:pPr>
        <w:spacing w:after="0"/>
        <w:jc w:val="both"/>
        <w:rPr>
          <w:rFonts w:cs="Calibri"/>
          <w:sz w:val="20"/>
          <w:szCs w:val="20"/>
        </w:rPr>
      </w:pPr>
      <w:r w:rsidRPr="00361664">
        <w:rPr>
          <w:rFonts w:cs="Calibri"/>
          <w:sz w:val="20"/>
          <w:szCs w:val="20"/>
        </w:rPr>
        <w:t>EBRD</w:t>
      </w:r>
      <w:r w:rsidRPr="00361664">
        <w:rPr>
          <w:rFonts w:cs="Calibri"/>
          <w:sz w:val="20"/>
          <w:szCs w:val="20"/>
        </w:rPr>
        <w:tab/>
      </w:r>
      <w:r w:rsidRPr="00361664">
        <w:rPr>
          <w:rFonts w:cs="Calibri"/>
          <w:sz w:val="20"/>
          <w:szCs w:val="20"/>
        </w:rPr>
        <w:tab/>
        <w:t>Europska banka za obnovu i razvoj</w:t>
      </w:r>
    </w:p>
    <w:p w:rsidR="004D21B8" w:rsidRPr="00361664" w:rsidRDefault="004D21B8" w:rsidP="004D21B8">
      <w:pPr>
        <w:spacing w:after="0"/>
        <w:jc w:val="both"/>
        <w:rPr>
          <w:rFonts w:cs="Calibri"/>
          <w:sz w:val="20"/>
          <w:szCs w:val="20"/>
        </w:rPr>
      </w:pPr>
      <w:r w:rsidRPr="00361664">
        <w:rPr>
          <w:rFonts w:cs="Calibri"/>
          <w:sz w:val="20"/>
          <w:szCs w:val="20"/>
        </w:rPr>
        <w:t>EE</w:t>
      </w:r>
      <w:r w:rsidRPr="00361664">
        <w:rPr>
          <w:rFonts w:cs="Calibri"/>
          <w:sz w:val="20"/>
          <w:szCs w:val="20"/>
        </w:rPr>
        <w:tab/>
      </w:r>
      <w:r w:rsidRPr="00361664">
        <w:rPr>
          <w:rFonts w:cs="Calibri"/>
          <w:sz w:val="20"/>
          <w:szCs w:val="20"/>
        </w:rPr>
        <w:tab/>
        <w:t>energetska učinkovitost (efikasnost)</w:t>
      </w:r>
    </w:p>
    <w:p w:rsidR="004D21B8" w:rsidRPr="00361664" w:rsidRDefault="004D21B8" w:rsidP="003A714B">
      <w:pPr>
        <w:spacing w:after="0"/>
        <w:ind w:left="1410" w:hanging="1410"/>
        <w:jc w:val="both"/>
        <w:rPr>
          <w:rFonts w:asciiTheme="minorHAnsi" w:hAnsiTheme="minorHAnsi"/>
          <w:sz w:val="20"/>
          <w:szCs w:val="20"/>
        </w:rPr>
      </w:pPr>
      <w:r w:rsidRPr="00361664">
        <w:rPr>
          <w:rFonts w:cs="Calibri"/>
          <w:sz w:val="20"/>
          <w:szCs w:val="20"/>
        </w:rPr>
        <w:t>DEU</w:t>
      </w:r>
      <w:r w:rsidRPr="00361664">
        <w:rPr>
          <w:rFonts w:cs="Calibri"/>
          <w:sz w:val="20"/>
          <w:szCs w:val="20"/>
        </w:rPr>
        <w:tab/>
      </w:r>
      <w:r w:rsidRPr="00361664">
        <w:rPr>
          <w:rFonts w:cs="Calibri"/>
          <w:sz w:val="20"/>
          <w:szCs w:val="20"/>
        </w:rPr>
        <w:tab/>
      </w:r>
      <w:r w:rsidR="003A714B" w:rsidRPr="00361664">
        <w:rPr>
          <w:rFonts w:asciiTheme="minorHAnsi" w:hAnsiTheme="minorHAnsi"/>
          <w:sz w:val="20"/>
          <w:szCs w:val="20"/>
        </w:rPr>
        <w:t>Direktiva 2012/27/EU Europskog p</w:t>
      </w:r>
      <w:r w:rsidRPr="00361664">
        <w:rPr>
          <w:rFonts w:asciiTheme="minorHAnsi" w:hAnsiTheme="minorHAnsi"/>
          <w:sz w:val="20"/>
          <w:szCs w:val="20"/>
        </w:rPr>
        <w:t>arlamenta i Vijeća od 25.</w:t>
      </w:r>
      <w:r w:rsidR="003A714B" w:rsidRPr="00361664">
        <w:rPr>
          <w:rFonts w:asciiTheme="minorHAnsi" w:hAnsiTheme="minorHAnsi"/>
          <w:sz w:val="20"/>
          <w:szCs w:val="20"/>
        </w:rPr>
        <w:t xml:space="preserve">listopada </w:t>
      </w:r>
      <w:r w:rsidRPr="00361664">
        <w:rPr>
          <w:rFonts w:asciiTheme="minorHAnsi" w:hAnsiTheme="minorHAnsi"/>
          <w:sz w:val="20"/>
          <w:szCs w:val="20"/>
        </w:rPr>
        <w:t>2012. o energetskoj učinkovitosti</w:t>
      </w:r>
      <w:r w:rsidR="003A714B" w:rsidRPr="00361664">
        <w:rPr>
          <w:rFonts w:asciiTheme="minorHAnsi" w:hAnsiTheme="minorHAnsi"/>
          <w:sz w:val="20"/>
          <w:szCs w:val="20"/>
        </w:rPr>
        <w:t>, izmjeni direktive 2009/125/EZ i 2010/30/EU i stavljanju izvan snage direktiva</w:t>
      </w:r>
    </w:p>
    <w:p w:rsidR="003A714B" w:rsidRPr="00361664" w:rsidRDefault="003A714B" w:rsidP="003A714B">
      <w:pPr>
        <w:spacing w:after="0"/>
        <w:ind w:left="1410" w:hanging="1410"/>
        <w:jc w:val="both"/>
        <w:rPr>
          <w:rFonts w:cs="Calibri"/>
          <w:sz w:val="20"/>
          <w:szCs w:val="20"/>
        </w:rPr>
      </w:pPr>
      <w:r w:rsidRPr="00361664">
        <w:rPr>
          <w:rFonts w:cs="Calibri"/>
          <w:sz w:val="20"/>
          <w:szCs w:val="20"/>
        </w:rPr>
        <w:tab/>
        <w:t>2004/8/EZ /02006/32/EZ</w:t>
      </w:r>
      <w:r w:rsidR="000E46B5" w:rsidRPr="00361664">
        <w:rPr>
          <w:rFonts w:cs="Calibri"/>
          <w:sz w:val="20"/>
          <w:szCs w:val="20"/>
        </w:rPr>
        <w:t xml:space="preserve"> (SL L 315/1 od 14.11.2012.)</w:t>
      </w:r>
    </w:p>
    <w:p w:rsidR="004D21B8" w:rsidRPr="00361664" w:rsidRDefault="004D21B8" w:rsidP="004D21B8">
      <w:pPr>
        <w:spacing w:after="0"/>
        <w:jc w:val="both"/>
        <w:rPr>
          <w:rFonts w:cs="Calibri"/>
          <w:sz w:val="20"/>
          <w:szCs w:val="20"/>
        </w:rPr>
      </w:pPr>
      <w:r w:rsidRPr="00361664">
        <w:rPr>
          <w:rFonts w:cs="Calibri"/>
          <w:sz w:val="20"/>
          <w:szCs w:val="20"/>
        </w:rPr>
        <w:t>EIHP</w:t>
      </w:r>
      <w:r w:rsidRPr="00361664">
        <w:rPr>
          <w:rFonts w:cs="Calibri"/>
          <w:sz w:val="20"/>
          <w:szCs w:val="20"/>
        </w:rPr>
        <w:tab/>
      </w:r>
      <w:r w:rsidRPr="00361664">
        <w:rPr>
          <w:rFonts w:cs="Calibri"/>
          <w:sz w:val="20"/>
          <w:szCs w:val="20"/>
        </w:rPr>
        <w:tab/>
        <w:t>Energetski institut Hrvoje Požar</w:t>
      </w:r>
    </w:p>
    <w:p w:rsidR="004D21B8" w:rsidRPr="00361664" w:rsidRDefault="004D21B8" w:rsidP="004D21B8">
      <w:pPr>
        <w:spacing w:after="0"/>
        <w:jc w:val="both"/>
        <w:rPr>
          <w:rFonts w:cs="Calibri"/>
          <w:sz w:val="20"/>
          <w:szCs w:val="20"/>
        </w:rPr>
      </w:pPr>
      <w:r w:rsidRPr="00361664">
        <w:rPr>
          <w:rFonts w:cs="Calibri"/>
          <w:sz w:val="20"/>
          <w:szCs w:val="20"/>
        </w:rPr>
        <w:t>EK</w:t>
      </w:r>
      <w:r w:rsidRPr="00361664">
        <w:rPr>
          <w:rFonts w:cs="Calibri"/>
          <w:sz w:val="20"/>
          <w:szCs w:val="20"/>
        </w:rPr>
        <w:tab/>
      </w:r>
      <w:r w:rsidRPr="00361664">
        <w:rPr>
          <w:rFonts w:cs="Calibri"/>
          <w:sz w:val="20"/>
          <w:szCs w:val="20"/>
        </w:rPr>
        <w:tab/>
        <w:t xml:space="preserve">Europska komisija </w:t>
      </w:r>
    </w:p>
    <w:p w:rsidR="004D21B8" w:rsidRPr="00361664" w:rsidRDefault="004D21B8" w:rsidP="004D21B8">
      <w:pPr>
        <w:spacing w:after="0"/>
        <w:ind w:left="1410" w:hanging="1410"/>
        <w:jc w:val="both"/>
        <w:rPr>
          <w:rFonts w:cs="Calibri"/>
          <w:sz w:val="20"/>
          <w:szCs w:val="20"/>
        </w:rPr>
      </w:pPr>
      <w:r w:rsidRPr="00361664">
        <w:rPr>
          <w:rFonts w:cs="Calibri"/>
          <w:sz w:val="20"/>
          <w:szCs w:val="20"/>
        </w:rPr>
        <w:t>EKONERG</w:t>
      </w:r>
      <w:r w:rsidRPr="00361664">
        <w:rPr>
          <w:rFonts w:cs="Calibri"/>
          <w:sz w:val="20"/>
          <w:szCs w:val="20"/>
        </w:rPr>
        <w:tab/>
        <w:t>Institut za energetiku i zaštitu okoliša</w:t>
      </w:r>
    </w:p>
    <w:p w:rsidR="004D21B8" w:rsidRPr="00361664" w:rsidRDefault="004D21B8" w:rsidP="004D21B8">
      <w:pPr>
        <w:spacing w:after="0"/>
        <w:ind w:left="1410" w:hanging="1410"/>
        <w:jc w:val="both"/>
        <w:rPr>
          <w:rFonts w:cs="Calibri"/>
          <w:sz w:val="20"/>
          <w:szCs w:val="20"/>
        </w:rPr>
      </w:pPr>
      <w:r w:rsidRPr="00361664">
        <w:rPr>
          <w:rFonts w:cs="Calibri"/>
          <w:sz w:val="20"/>
          <w:szCs w:val="20"/>
        </w:rPr>
        <w:t>EMEEES</w:t>
      </w:r>
      <w:r w:rsidRPr="00361664">
        <w:rPr>
          <w:rFonts w:cs="Calibri"/>
          <w:sz w:val="20"/>
          <w:szCs w:val="20"/>
        </w:rPr>
        <w:tab/>
        <w:t>projekt “</w:t>
      </w:r>
      <w:r w:rsidRPr="00361664">
        <w:rPr>
          <w:rFonts w:cs="Calibri"/>
          <w:i/>
          <w:sz w:val="20"/>
          <w:szCs w:val="20"/>
        </w:rPr>
        <w:t>EvaluationandMonitoring for the EU Directive on En</w:t>
      </w:r>
      <w:r w:rsidR="00D0277A" w:rsidRPr="00361664">
        <w:rPr>
          <w:rFonts w:cs="Calibri"/>
          <w:i/>
          <w:sz w:val="20"/>
          <w:szCs w:val="20"/>
        </w:rPr>
        <w:t>ergy</w:t>
      </w:r>
      <w:r w:rsidRPr="00361664">
        <w:rPr>
          <w:rFonts w:cs="Calibri"/>
          <w:i/>
          <w:sz w:val="20"/>
          <w:szCs w:val="20"/>
        </w:rPr>
        <w:t>End-UseEfficiencyand En</w:t>
      </w:r>
      <w:r w:rsidR="00D0277A" w:rsidRPr="00361664">
        <w:rPr>
          <w:rFonts w:cs="Calibri"/>
          <w:i/>
          <w:sz w:val="20"/>
          <w:szCs w:val="20"/>
        </w:rPr>
        <w:t>ergy</w:t>
      </w:r>
      <w:r w:rsidRPr="00361664">
        <w:rPr>
          <w:rFonts w:cs="Calibri"/>
          <w:i/>
          <w:sz w:val="20"/>
          <w:szCs w:val="20"/>
        </w:rPr>
        <w:t>Services</w:t>
      </w:r>
      <w:r w:rsidRPr="00361664">
        <w:rPr>
          <w:rFonts w:cs="Calibri"/>
          <w:sz w:val="20"/>
          <w:szCs w:val="20"/>
        </w:rPr>
        <w:t>”</w:t>
      </w:r>
    </w:p>
    <w:p w:rsidR="004D21B8" w:rsidRPr="00361664" w:rsidRDefault="004D21B8" w:rsidP="004D21B8">
      <w:pPr>
        <w:spacing w:after="0"/>
        <w:jc w:val="both"/>
        <w:rPr>
          <w:rFonts w:cs="Calibri"/>
          <w:sz w:val="20"/>
          <w:szCs w:val="20"/>
        </w:rPr>
      </w:pPr>
      <w:r w:rsidRPr="00361664">
        <w:rPr>
          <w:rFonts w:cs="Calibri"/>
          <w:sz w:val="20"/>
          <w:szCs w:val="20"/>
        </w:rPr>
        <w:t>EnU</w:t>
      </w:r>
      <w:r w:rsidRPr="00361664">
        <w:rPr>
          <w:rFonts w:cs="Calibri"/>
          <w:sz w:val="20"/>
          <w:szCs w:val="20"/>
        </w:rPr>
        <w:tab/>
      </w:r>
      <w:r w:rsidRPr="00361664">
        <w:rPr>
          <w:rFonts w:cs="Calibri"/>
          <w:sz w:val="20"/>
          <w:szCs w:val="20"/>
        </w:rPr>
        <w:tab/>
        <w:t>energetska učinkovitost</w:t>
      </w:r>
    </w:p>
    <w:p w:rsidR="000E46B5" w:rsidRPr="00361664" w:rsidRDefault="004D21B8" w:rsidP="004D21B8">
      <w:pPr>
        <w:spacing w:after="0"/>
        <w:ind w:left="1410" w:hanging="1410"/>
        <w:jc w:val="both"/>
        <w:rPr>
          <w:rFonts w:cs="Calibri"/>
          <w:sz w:val="20"/>
          <w:szCs w:val="20"/>
        </w:rPr>
      </w:pPr>
      <w:r w:rsidRPr="00361664">
        <w:rPr>
          <w:rFonts w:cs="Calibri"/>
          <w:sz w:val="20"/>
          <w:szCs w:val="20"/>
        </w:rPr>
        <w:t>EPBD</w:t>
      </w:r>
      <w:r w:rsidRPr="00361664">
        <w:rPr>
          <w:rFonts w:cs="Calibri"/>
          <w:sz w:val="20"/>
          <w:szCs w:val="20"/>
        </w:rPr>
        <w:tab/>
        <w:t xml:space="preserve">Direktiva 2002/91/EC </w:t>
      </w:r>
      <w:r w:rsidR="000E46B5" w:rsidRPr="00361664">
        <w:rPr>
          <w:rFonts w:cs="Calibri"/>
          <w:sz w:val="20"/>
          <w:szCs w:val="20"/>
        </w:rPr>
        <w:t xml:space="preserve">Europskog parlamenta i Vijeća od 16. 12. 2002. </w:t>
      </w:r>
      <w:r w:rsidRPr="00361664">
        <w:rPr>
          <w:rFonts w:cs="Calibri"/>
          <w:sz w:val="20"/>
          <w:szCs w:val="20"/>
        </w:rPr>
        <w:t>o energetskim svojstvima zgrada</w:t>
      </w:r>
      <w:r w:rsidR="000E46B5" w:rsidRPr="00361664">
        <w:rPr>
          <w:rFonts w:cs="Calibri"/>
          <w:sz w:val="20"/>
          <w:szCs w:val="20"/>
        </w:rPr>
        <w:t xml:space="preserve"> (SL L 1/65 od 4.1.2003.)</w:t>
      </w:r>
    </w:p>
    <w:p w:rsidR="004D21B8" w:rsidRPr="00361664" w:rsidRDefault="004D21B8" w:rsidP="004D21B8">
      <w:pPr>
        <w:spacing w:after="0"/>
        <w:ind w:left="1410" w:hanging="1410"/>
        <w:jc w:val="both"/>
        <w:rPr>
          <w:rFonts w:cs="Calibri"/>
          <w:sz w:val="20"/>
          <w:szCs w:val="20"/>
        </w:rPr>
      </w:pPr>
      <w:r w:rsidRPr="00361664">
        <w:rPr>
          <w:rFonts w:cs="Calibri"/>
          <w:sz w:val="20"/>
          <w:szCs w:val="20"/>
        </w:rPr>
        <w:t>EPBD II</w:t>
      </w:r>
      <w:r w:rsidRPr="00361664">
        <w:rPr>
          <w:rFonts w:cs="Calibri"/>
          <w:sz w:val="20"/>
          <w:szCs w:val="20"/>
        </w:rPr>
        <w:tab/>
        <w:t xml:space="preserve">Direktiva 2010/31/EC </w:t>
      </w:r>
      <w:r w:rsidR="000E46B5" w:rsidRPr="00361664">
        <w:rPr>
          <w:rFonts w:cs="Calibri"/>
          <w:sz w:val="20"/>
          <w:szCs w:val="20"/>
        </w:rPr>
        <w:t xml:space="preserve">Europskog parlamenta i Vijeća od 19. svibnja 2010. </w:t>
      </w:r>
      <w:r w:rsidRPr="00361664">
        <w:rPr>
          <w:rFonts w:cs="Calibri"/>
          <w:sz w:val="20"/>
          <w:szCs w:val="20"/>
        </w:rPr>
        <w:t xml:space="preserve">o </w:t>
      </w:r>
      <w:r w:rsidR="000E46B5" w:rsidRPr="00361664">
        <w:rPr>
          <w:rFonts w:cs="Calibri"/>
          <w:sz w:val="20"/>
          <w:szCs w:val="20"/>
        </w:rPr>
        <w:t>energetskoj učinkovitosti zgrada (prinaka) (SL L 153/13 od 18.6.2010.)</w:t>
      </w:r>
    </w:p>
    <w:p w:rsidR="004D21B8" w:rsidRPr="00361664" w:rsidRDefault="004D21B8" w:rsidP="004D21B8">
      <w:pPr>
        <w:spacing w:after="0"/>
        <w:ind w:left="1410" w:hanging="1410"/>
        <w:jc w:val="both"/>
        <w:rPr>
          <w:rFonts w:cs="Calibri"/>
          <w:sz w:val="20"/>
          <w:szCs w:val="20"/>
        </w:rPr>
      </w:pPr>
      <w:r w:rsidRPr="00361664">
        <w:rPr>
          <w:rFonts w:cs="Calibri"/>
          <w:sz w:val="20"/>
          <w:szCs w:val="20"/>
        </w:rPr>
        <w:t xml:space="preserve">ESCO </w:t>
      </w:r>
      <w:r w:rsidRPr="00361664">
        <w:rPr>
          <w:rFonts w:cs="Calibri"/>
          <w:sz w:val="20"/>
          <w:szCs w:val="20"/>
        </w:rPr>
        <w:tab/>
        <w:t xml:space="preserve">pružatelj energetskih usluga </w:t>
      </w:r>
    </w:p>
    <w:p w:rsidR="000E46B5" w:rsidRPr="00361664" w:rsidRDefault="004D21B8" w:rsidP="004D21B8">
      <w:pPr>
        <w:spacing w:after="0"/>
        <w:ind w:left="1410" w:hanging="1410"/>
        <w:jc w:val="both"/>
        <w:rPr>
          <w:rFonts w:cs="Calibri"/>
          <w:sz w:val="20"/>
          <w:szCs w:val="20"/>
        </w:rPr>
      </w:pPr>
      <w:r w:rsidRPr="00361664">
        <w:rPr>
          <w:rFonts w:cs="Calibri"/>
          <w:sz w:val="20"/>
          <w:szCs w:val="20"/>
        </w:rPr>
        <w:t>ESD</w:t>
      </w:r>
      <w:r w:rsidRPr="00361664">
        <w:rPr>
          <w:rFonts w:cs="Calibri"/>
          <w:sz w:val="20"/>
          <w:szCs w:val="20"/>
        </w:rPr>
        <w:tab/>
      </w:r>
      <w:r w:rsidRPr="00361664">
        <w:rPr>
          <w:rFonts w:cs="Calibri"/>
          <w:sz w:val="20"/>
          <w:szCs w:val="20"/>
        </w:rPr>
        <w:tab/>
        <w:t xml:space="preserve">Direktiva 2006/32/EC </w:t>
      </w:r>
      <w:r w:rsidR="000E46B5" w:rsidRPr="00361664">
        <w:rPr>
          <w:rFonts w:cs="Calibri"/>
          <w:sz w:val="20"/>
          <w:szCs w:val="20"/>
        </w:rPr>
        <w:t xml:space="preserve">Europskog parlamenta i Vijeća od 5. travnja 2006. </w:t>
      </w:r>
      <w:r w:rsidRPr="00361664">
        <w:rPr>
          <w:rFonts w:cs="Calibri"/>
          <w:sz w:val="20"/>
          <w:szCs w:val="20"/>
        </w:rPr>
        <w:t xml:space="preserve">o energetskoj učinkovitosti </w:t>
      </w:r>
      <w:r w:rsidR="000E46B5" w:rsidRPr="00361664">
        <w:rPr>
          <w:rFonts w:cs="Calibri"/>
          <w:sz w:val="20"/>
          <w:szCs w:val="20"/>
        </w:rPr>
        <w:t xml:space="preserve">u krajnjoj potrošnji </w:t>
      </w:r>
      <w:r w:rsidRPr="00361664">
        <w:rPr>
          <w:rFonts w:cs="Calibri"/>
          <w:sz w:val="20"/>
          <w:szCs w:val="20"/>
        </w:rPr>
        <w:t>i energetskim uslugama</w:t>
      </w:r>
      <w:r w:rsidR="000E46B5" w:rsidRPr="00361664">
        <w:rPr>
          <w:rFonts w:cs="Calibri"/>
          <w:sz w:val="20"/>
          <w:szCs w:val="20"/>
        </w:rPr>
        <w:t xml:space="preserve"> te o stavljanju izvan snage Direktive Vijeća 93/76/EZ (SL L 114/64 od 27.4.2006.)</w:t>
      </w:r>
    </w:p>
    <w:p w:rsidR="004D21B8" w:rsidRPr="00361664" w:rsidRDefault="004D21B8" w:rsidP="004D21B8">
      <w:pPr>
        <w:spacing w:after="0"/>
        <w:ind w:left="1410" w:hanging="1410"/>
        <w:jc w:val="both"/>
        <w:rPr>
          <w:rFonts w:cs="Calibri"/>
          <w:sz w:val="20"/>
          <w:szCs w:val="20"/>
        </w:rPr>
      </w:pPr>
      <w:r w:rsidRPr="00361664">
        <w:rPr>
          <w:rFonts w:cs="Calibri"/>
          <w:sz w:val="20"/>
          <w:szCs w:val="20"/>
        </w:rPr>
        <w:t>ETS</w:t>
      </w:r>
      <w:r w:rsidRPr="00361664">
        <w:rPr>
          <w:rFonts w:cs="Calibri"/>
          <w:sz w:val="20"/>
          <w:szCs w:val="20"/>
        </w:rPr>
        <w:tab/>
      </w:r>
      <w:r w:rsidRPr="00361664">
        <w:rPr>
          <w:sz w:val="20"/>
          <w:szCs w:val="20"/>
        </w:rPr>
        <w:t>Europska shema trgovanja emisijskim dozvolama</w:t>
      </w:r>
    </w:p>
    <w:p w:rsidR="004D21B8" w:rsidRPr="00361664" w:rsidRDefault="004D21B8" w:rsidP="004D21B8">
      <w:pPr>
        <w:spacing w:after="0"/>
        <w:jc w:val="both"/>
        <w:rPr>
          <w:rFonts w:cs="Calibri"/>
          <w:sz w:val="20"/>
          <w:szCs w:val="20"/>
        </w:rPr>
      </w:pPr>
      <w:r w:rsidRPr="00361664">
        <w:rPr>
          <w:rFonts w:cs="Calibri"/>
          <w:sz w:val="20"/>
          <w:szCs w:val="20"/>
        </w:rPr>
        <w:t>EU</w:t>
      </w:r>
      <w:r w:rsidRPr="00361664">
        <w:rPr>
          <w:rFonts w:cs="Calibri"/>
          <w:sz w:val="20"/>
          <w:szCs w:val="20"/>
        </w:rPr>
        <w:tab/>
      </w:r>
      <w:r w:rsidRPr="00361664">
        <w:rPr>
          <w:rFonts w:cs="Calibri"/>
          <w:sz w:val="20"/>
          <w:szCs w:val="20"/>
        </w:rPr>
        <w:tab/>
        <w:t xml:space="preserve">Europska unija </w:t>
      </w:r>
    </w:p>
    <w:p w:rsidR="004D21B8" w:rsidRPr="00361664" w:rsidRDefault="004D21B8" w:rsidP="004D21B8">
      <w:pPr>
        <w:spacing w:after="0"/>
        <w:jc w:val="both"/>
        <w:rPr>
          <w:rFonts w:cs="Calibri"/>
          <w:sz w:val="20"/>
          <w:szCs w:val="20"/>
        </w:rPr>
      </w:pPr>
      <w:r w:rsidRPr="00361664">
        <w:rPr>
          <w:rFonts w:cs="Calibri"/>
          <w:sz w:val="20"/>
          <w:szCs w:val="20"/>
        </w:rPr>
        <w:t>FER</w:t>
      </w:r>
      <w:r w:rsidRPr="00361664">
        <w:rPr>
          <w:rFonts w:cs="Calibri"/>
          <w:sz w:val="20"/>
          <w:szCs w:val="20"/>
        </w:rPr>
        <w:tab/>
      </w:r>
      <w:r w:rsidRPr="00361664">
        <w:rPr>
          <w:rFonts w:cs="Calibri"/>
          <w:sz w:val="20"/>
          <w:szCs w:val="20"/>
        </w:rPr>
        <w:tab/>
        <w:t>Fakultet elektrotehnike i računarstva</w:t>
      </w:r>
    </w:p>
    <w:p w:rsidR="004D21B8" w:rsidRPr="00361664" w:rsidRDefault="004D21B8" w:rsidP="004D21B8">
      <w:pPr>
        <w:spacing w:after="0"/>
        <w:jc w:val="both"/>
        <w:rPr>
          <w:rFonts w:cs="Calibri"/>
          <w:sz w:val="20"/>
          <w:szCs w:val="20"/>
        </w:rPr>
      </w:pPr>
      <w:r w:rsidRPr="00361664">
        <w:rPr>
          <w:rFonts w:cs="Calibri"/>
          <w:sz w:val="20"/>
          <w:szCs w:val="20"/>
        </w:rPr>
        <w:t>FSB</w:t>
      </w:r>
      <w:r w:rsidRPr="00361664">
        <w:rPr>
          <w:rFonts w:cs="Calibri"/>
          <w:sz w:val="20"/>
          <w:szCs w:val="20"/>
        </w:rPr>
        <w:tab/>
      </w:r>
      <w:r w:rsidRPr="00361664">
        <w:rPr>
          <w:rFonts w:cs="Calibri"/>
          <w:sz w:val="20"/>
          <w:szCs w:val="20"/>
        </w:rPr>
        <w:tab/>
        <w:t>Fakultet strojarstva i brodogradnje</w:t>
      </w:r>
    </w:p>
    <w:p w:rsidR="004D21B8" w:rsidRPr="00361664" w:rsidRDefault="004D21B8" w:rsidP="004D21B8">
      <w:pPr>
        <w:spacing w:after="0"/>
        <w:jc w:val="both"/>
        <w:rPr>
          <w:rFonts w:cs="Calibri"/>
          <w:sz w:val="20"/>
          <w:szCs w:val="20"/>
        </w:rPr>
      </w:pPr>
      <w:r w:rsidRPr="00361664">
        <w:rPr>
          <w:rFonts w:cs="Calibri"/>
          <w:sz w:val="20"/>
          <w:szCs w:val="20"/>
        </w:rPr>
        <w:t>FZOEU</w:t>
      </w:r>
      <w:r w:rsidRPr="00361664">
        <w:rPr>
          <w:rFonts w:cs="Calibri"/>
          <w:sz w:val="20"/>
          <w:szCs w:val="20"/>
        </w:rPr>
        <w:tab/>
      </w:r>
      <w:r w:rsidRPr="00361664">
        <w:rPr>
          <w:rFonts w:cs="Calibri"/>
          <w:sz w:val="20"/>
          <w:szCs w:val="20"/>
        </w:rPr>
        <w:tab/>
        <w:t xml:space="preserve">Fond za zaštitu okoliša i energetsku učinkovitost </w:t>
      </w:r>
    </w:p>
    <w:p w:rsidR="004D21B8" w:rsidRPr="00361664" w:rsidRDefault="004D21B8" w:rsidP="004D21B8">
      <w:pPr>
        <w:spacing w:after="0"/>
        <w:jc w:val="both"/>
        <w:rPr>
          <w:rFonts w:cs="Calibri"/>
          <w:sz w:val="20"/>
          <w:szCs w:val="20"/>
        </w:rPr>
      </w:pPr>
      <w:r w:rsidRPr="00361664">
        <w:rPr>
          <w:rFonts w:cs="Calibri"/>
          <w:sz w:val="20"/>
          <w:szCs w:val="20"/>
        </w:rPr>
        <w:t>HBOR</w:t>
      </w:r>
      <w:r w:rsidRPr="00361664">
        <w:rPr>
          <w:rFonts w:cs="Calibri"/>
          <w:sz w:val="20"/>
          <w:szCs w:val="20"/>
        </w:rPr>
        <w:tab/>
      </w:r>
      <w:r w:rsidRPr="00361664">
        <w:rPr>
          <w:rFonts w:cs="Calibri"/>
          <w:sz w:val="20"/>
          <w:szCs w:val="20"/>
        </w:rPr>
        <w:tab/>
        <w:t>Hrvatska banka za obnovu i razvitak</w:t>
      </w:r>
    </w:p>
    <w:p w:rsidR="004D21B8" w:rsidRPr="00361664" w:rsidRDefault="004D21B8" w:rsidP="004D21B8">
      <w:pPr>
        <w:spacing w:after="0"/>
        <w:jc w:val="both"/>
        <w:rPr>
          <w:rFonts w:cs="Calibri"/>
          <w:sz w:val="20"/>
          <w:szCs w:val="20"/>
        </w:rPr>
      </w:pPr>
      <w:r w:rsidRPr="00361664">
        <w:rPr>
          <w:rFonts w:cs="Calibri"/>
          <w:sz w:val="20"/>
          <w:szCs w:val="20"/>
        </w:rPr>
        <w:t>HERA</w:t>
      </w:r>
      <w:r w:rsidRPr="00361664">
        <w:rPr>
          <w:rFonts w:cs="Calibri"/>
          <w:sz w:val="20"/>
          <w:szCs w:val="20"/>
        </w:rPr>
        <w:tab/>
      </w:r>
      <w:r w:rsidRPr="00361664">
        <w:rPr>
          <w:rFonts w:cs="Calibri"/>
          <w:sz w:val="20"/>
          <w:szCs w:val="20"/>
        </w:rPr>
        <w:tab/>
        <w:t>Hrvatska energetska regulatorna agencija</w:t>
      </w:r>
    </w:p>
    <w:p w:rsidR="004D21B8" w:rsidRPr="00361664" w:rsidRDefault="004D21B8" w:rsidP="004D21B8">
      <w:pPr>
        <w:spacing w:after="0"/>
        <w:jc w:val="both"/>
        <w:rPr>
          <w:rFonts w:cs="Calibri"/>
          <w:sz w:val="20"/>
          <w:szCs w:val="20"/>
        </w:rPr>
      </w:pPr>
      <w:r w:rsidRPr="00361664">
        <w:rPr>
          <w:rFonts w:cs="Calibri"/>
          <w:sz w:val="20"/>
          <w:szCs w:val="20"/>
        </w:rPr>
        <w:t>HGI</w:t>
      </w:r>
      <w:r w:rsidRPr="00361664">
        <w:rPr>
          <w:rFonts w:cs="Calibri"/>
          <w:sz w:val="20"/>
          <w:szCs w:val="20"/>
        </w:rPr>
        <w:tab/>
      </w:r>
      <w:r w:rsidRPr="00361664">
        <w:rPr>
          <w:rFonts w:cs="Calibri"/>
          <w:sz w:val="20"/>
          <w:szCs w:val="20"/>
        </w:rPr>
        <w:tab/>
        <w:t>Hrvatski geološki institut</w:t>
      </w:r>
    </w:p>
    <w:p w:rsidR="004D21B8" w:rsidRPr="00361664" w:rsidRDefault="004D21B8" w:rsidP="004D21B8">
      <w:pPr>
        <w:spacing w:after="0"/>
        <w:jc w:val="both"/>
        <w:rPr>
          <w:rFonts w:cs="Calibri"/>
          <w:sz w:val="20"/>
          <w:szCs w:val="20"/>
        </w:rPr>
      </w:pPr>
      <w:r w:rsidRPr="00361664">
        <w:rPr>
          <w:rFonts w:cs="Calibri"/>
          <w:sz w:val="20"/>
          <w:szCs w:val="20"/>
        </w:rPr>
        <w:t>HGK</w:t>
      </w:r>
      <w:r w:rsidRPr="00361664">
        <w:rPr>
          <w:rFonts w:cs="Calibri"/>
          <w:sz w:val="20"/>
          <w:szCs w:val="20"/>
        </w:rPr>
        <w:tab/>
      </w:r>
      <w:r w:rsidRPr="00361664">
        <w:rPr>
          <w:rFonts w:cs="Calibri"/>
          <w:sz w:val="20"/>
          <w:szCs w:val="20"/>
        </w:rPr>
        <w:tab/>
        <w:t>Hrvatska gospodarska komora</w:t>
      </w:r>
    </w:p>
    <w:p w:rsidR="004D21B8" w:rsidRPr="00361664" w:rsidRDefault="004D21B8" w:rsidP="004D21B8">
      <w:pPr>
        <w:spacing w:after="0"/>
        <w:jc w:val="both"/>
        <w:rPr>
          <w:rFonts w:cs="Calibri"/>
          <w:sz w:val="20"/>
          <w:szCs w:val="20"/>
        </w:rPr>
      </w:pPr>
      <w:r w:rsidRPr="00361664">
        <w:rPr>
          <w:rFonts w:cs="Calibri"/>
          <w:sz w:val="20"/>
          <w:szCs w:val="20"/>
        </w:rPr>
        <w:t>HOPS</w:t>
      </w:r>
      <w:r w:rsidRPr="00361664">
        <w:rPr>
          <w:rFonts w:cs="Calibri"/>
          <w:sz w:val="20"/>
          <w:szCs w:val="20"/>
        </w:rPr>
        <w:tab/>
      </w:r>
      <w:r w:rsidRPr="00361664">
        <w:rPr>
          <w:rFonts w:cs="Calibri"/>
          <w:sz w:val="20"/>
          <w:szCs w:val="20"/>
        </w:rPr>
        <w:tab/>
        <w:t>Hrvatski operator prijenosnog sustava d.o.o.</w:t>
      </w:r>
    </w:p>
    <w:p w:rsidR="004D21B8" w:rsidRPr="00361664" w:rsidRDefault="004D21B8" w:rsidP="004D21B8">
      <w:pPr>
        <w:tabs>
          <w:tab w:val="left" w:pos="1418"/>
        </w:tabs>
        <w:spacing w:after="0"/>
        <w:jc w:val="both"/>
        <w:rPr>
          <w:sz w:val="20"/>
          <w:szCs w:val="20"/>
        </w:rPr>
      </w:pPr>
      <w:r w:rsidRPr="00361664">
        <w:rPr>
          <w:rFonts w:cs="Calibri"/>
          <w:sz w:val="20"/>
          <w:szCs w:val="20"/>
        </w:rPr>
        <w:t>HROTE</w:t>
      </w:r>
      <w:r w:rsidRPr="00361664">
        <w:rPr>
          <w:rFonts w:cs="Calibri"/>
          <w:sz w:val="20"/>
          <w:szCs w:val="20"/>
        </w:rPr>
        <w:tab/>
      </w:r>
      <w:r w:rsidRPr="00361664">
        <w:rPr>
          <w:sz w:val="20"/>
          <w:szCs w:val="20"/>
        </w:rPr>
        <w:t>Hrvatski operator tržišta energije</w:t>
      </w:r>
    </w:p>
    <w:p w:rsidR="004D21B8" w:rsidRPr="00361664" w:rsidRDefault="004D21B8" w:rsidP="004D21B8">
      <w:pPr>
        <w:tabs>
          <w:tab w:val="left" w:pos="1418"/>
        </w:tabs>
        <w:spacing w:after="0"/>
        <w:jc w:val="both"/>
        <w:rPr>
          <w:sz w:val="20"/>
          <w:szCs w:val="20"/>
        </w:rPr>
      </w:pPr>
      <w:r w:rsidRPr="00361664">
        <w:rPr>
          <w:sz w:val="20"/>
          <w:szCs w:val="20"/>
        </w:rPr>
        <w:t>HSZG</w:t>
      </w:r>
      <w:r w:rsidRPr="00361664">
        <w:rPr>
          <w:sz w:val="20"/>
          <w:szCs w:val="20"/>
        </w:rPr>
        <w:tab/>
        <w:t xml:space="preserve">Hrvatski savjet za zelenu gradnju </w:t>
      </w:r>
    </w:p>
    <w:p w:rsidR="004D21B8" w:rsidRPr="00361664" w:rsidRDefault="004D21B8" w:rsidP="004D21B8">
      <w:pPr>
        <w:tabs>
          <w:tab w:val="left" w:pos="1418"/>
        </w:tabs>
        <w:spacing w:after="0"/>
        <w:jc w:val="both"/>
        <w:rPr>
          <w:sz w:val="20"/>
          <w:szCs w:val="20"/>
        </w:rPr>
      </w:pPr>
      <w:r w:rsidRPr="00361664">
        <w:rPr>
          <w:sz w:val="20"/>
          <w:szCs w:val="20"/>
        </w:rPr>
        <w:t>INA</w:t>
      </w:r>
      <w:r w:rsidRPr="00361664">
        <w:rPr>
          <w:sz w:val="20"/>
          <w:szCs w:val="20"/>
        </w:rPr>
        <w:tab/>
        <w:t>Industrija nafte</w:t>
      </w:r>
      <w:r w:rsidRPr="00361664">
        <w:rPr>
          <w:sz w:val="20"/>
          <w:szCs w:val="20"/>
        </w:rPr>
        <w:tab/>
      </w:r>
    </w:p>
    <w:p w:rsidR="00D76DBE" w:rsidRPr="00361664" w:rsidRDefault="00D76DBE" w:rsidP="004D21B8">
      <w:pPr>
        <w:tabs>
          <w:tab w:val="left" w:pos="1418"/>
        </w:tabs>
        <w:spacing w:after="0"/>
        <w:jc w:val="both"/>
        <w:rPr>
          <w:sz w:val="20"/>
          <w:szCs w:val="20"/>
        </w:rPr>
      </w:pPr>
      <w:r w:rsidRPr="00361664">
        <w:rPr>
          <w:sz w:val="20"/>
          <w:szCs w:val="20"/>
        </w:rPr>
        <w:t>ISGE</w:t>
      </w:r>
      <w:r w:rsidRPr="00361664">
        <w:rPr>
          <w:sz w:val="20"/>
          <w:szCs w:val="20"/>
        </w:rPr>
        <w:tab/>
        <w:t>Informacijski sustav za gospodarenje energijom</w:t>
      </w:r>
    </w:p>
    <w:p w:rsidR="004D21B8" w:rsidRPr="00361664" w:rsidRDefault="004D21B8" w:rsidP="004D21B8">
      <w:pPr>
        <w:spacing w:after="0"/>
        <w:ind w:left="1410" w:hanging="1410"/>
        <w:jc w:val="both"/>
        <w:rPr>
          <w:rFonts w:cs="Calibri"/>
          <w:sz w:val="20"/>
          <w:szCs w:val="20"/>
        </w:rPr>
      </w:pPr>
      <w:r w:rsidRPr="00361664">
        <w:rPr>
          <w:rFonts w:cs="Calibri"/>
          <w:sz w:val="20"/>
          <w:szCs w:val="20"/>
        </w:rPr>
        <w:t>IPMVP</w:t>
      </w:r>
      <w:r w:rsidRPr="00361664">
        <w:rPr>
          <w:rFonts w:cs="Calibri"/>
          <w:sz w:val="20"/>
          <w:szCs w:val="20"/>
        </w:rPr>
        <w:tab/>
      </w:r>
      <w:r w:rsidRPr="00361664">
        <w:rPr>
          <w:rFonts w:cs="Calibri"/>
          <w:sz w:val="20"/>
          <w:szCs w:val="20"/>
        </w:rPr>
        <w:tab/>
        <w:t>Međunarodni Protokol za mjerenje i verifikaciju učinka</w:t>
      </w:r>
      <w:r w:rsidR="00361664" w:rsidRPr="00361664">
        <w:rPr>
          <w:rFonts w:cs="Calibri"/>
          <w:sz w:val="20"/>
          <w:szCs w:val="20"/>
        </w:rPr>
        <w:t xml:space="preserve">  </w:t>
      </w:r>
      <w:r w:rsidRPr="00361664">
        <w:rPr>
          <w:rFonts w:cs="Calibri"/>
          <w:sz w:val="20"/>
          <w:szCs w:val="20"/>
        </w:rPr>
        <w:t>(</w:t>
      </w:r>
      <w:r w:rsidR="00B51B6C" w:rsidRPr="00361664">
        <w:rPr>
          <w:rFonts w:cs="Calibri"/>
          <w:sz w:val="20"/>
          <w:szCs w:val="20"/>
        </w:rPr>
        <w:t>engl.</w:t>
      </w:r>
      <w:r w:rsidR="00361664" w:rsidRPr="00361664">
        <w:rPr>
          <w:rFonts w:cs="Calibri"/>
          <w:sz w:val="20"/>
          <w:szCs w:val="20"/>
        </w:rPr>
        <w:t xml:space="preserve"> </w:t>
      </w:r>
      <w:r w:rsidRPr="00361664">
        <w:rPr>
          <w:rFonts w:cs="Calibri"/>
          <w:i/>
          <w:sz w:val="20"/>
          <w:szCs w:val="20"/>
        </w:rPr>
        <w:t>InternationalPerformanceMeasurementandVerificationProtocol</w:t>
      </w:r>
      <w:r w:rsidRPr="00361664">
        <w:rPr>
          <w:rFonts w:cs="Calibri"/>
          <w:sz w:val="20"/>
          <w:szCs w:val="20"/>
        </w:rPr>
        <w:t>)</w:t>
      </w:r>
    </w:p>
    <w:p w:rsidR="004D21B8" w:rsidRPr="00361664" w:rsidRDefault="004D21B8" w:rsidP="004D21B8">
      <w:pPr>
        <w:spacing w:after="0"/>
        <w:ind w:left="1410" w:hanging="1410"/>
        <w:jc w:val="both"/>
        <w:rPr>
          <w:rFonts w:cs="Calibri"/>
          <w:i/>
          <w:sz w:val="20"/>
          <w:szCs w:val="20"/>
        </w:rPr>
      </w:pPr>
      <w:r w:rsidRPr="00361664">
        <w:rPr>
          <w:rFonts w:cs="Calibri"/>
          <w:sz w:val="20"/>
          <w:szCs w:val="20"/>
        </w:rPr>
        <w:t>JANAF</w:t>
      </w:r>
      <w:r w:rsidRPr="00361664">
        <w:rPr>
          <w:rFonts w:cs="Calibri"/>
          <w:sz w:val="20"/>
          <w:szCs w:val="20"/>
        </w:rPr>
        <w:tab/>
        <w:t>Jadranski naftovod</w:t>
      </w:r>
    </w:p>
    <w:p w:rsidR="004D21B8" w:rsidRPr="00361664" w:rsidRDefault="004D21B8" w:rsidP="004D21B8">
      <w:pPr>
        <w:spacing w:after="0"/>
        <w:jc w:val="both"/>
        <w:rPr>
          <w:rFonts w:cs="Calibri"/>
          <w:sz w:val="20"/>
          <w:szCs w:val="20"/>
        </w:rPr>
      </w:pPr>
      <w:r w:rsidRPr="00361664">
        <w:rPr>
          <w:rFonts w:cs="Calibri"/>
          <w:sz w:val="20"/>
          <w:szCs w:val="20"/>
        </w:rPr>
        <w:t>JLP(R)S</w:t>
      </w:r>
      <w:r w:rsidRPr="00361664">
        <w:rPr>
          <w:rFonts w:cs="Calibri"/>
          <w:sz w:val="20"/>
          <w:szCs w:val="20"/>
        </w:rPr>
        <w:tab/>
      </w:r>
      <w:r w:rsidRPr="00361664">
        <w:rPr>
          <w:rFonts w:cs="Calibri"/>
          <w:sz w:val="20"/>
          <w:szCs w:val="20"/>
        </w:rPr>
        <w:tab/>
        <w:t>Jedinica lokalne i područne (regionalne) samouprave</w:t>
      </w:r>
    </w:p>
    <w:p w:rsidR="004D21B8" w:rsidRPr="00361664" w:rsidRDefault="004D21B8" w:rsidP="004D21B8">
      <w:pPr>
        <w:spacing w:after="0"/>
        <w:jc w:val="both"/>
        <w:rPr>
          <w:rFonts w:cs="Calibri"/>
          <w:sz w:val="20"/>
          <w:szCs w:val="20"/>
        </w:rPr>
      </w:pPr>
      <w:r w:rsidRPr="00361664">
        <w:rPr>
          <w:rFonts w:cs="Calibri"/>
          <w:sz w:val="20"/>
          <w:szCs w:val="20"/>
        </w:rPr>
        <w:lastRenderedPageBreak/>
        <w:t>MFIN</w:t>
      </w:r>
      <w:r w:rsidRPr="00361664">
        <w:rPr>
          <w:rFonts w:cs="Calibri"/>
          <w:sz w:val="20"/>
          <w:szCs w:val="20"/>
        </w:rPr>
        <w:tab/>
      </w:r>
      <w:r w:rsidRPr="00361664">
        <w:rPr>
          <w:rFonts w:cs="Calibri"/>
          <w:sz w:val="20"/>
          <w:szCs w:val="20"/>
        </w:rPr>
        <w:tab/>
        <w:t>Ministarstvo financija</w:t>
      </w:r>
    </w:p>
    <w:p w:rsidR="004D21B8" w:rsidRPr="00361664" w:rsidRDefault="004D21B8" w:rsidP="004D21B8">
      <w:pPr>
        <w:spacing w:after="0"/>
        <w:jc w:val="both"/>
        <w:rPr>
          <w:rFonts w:cs="Calibri"/>
          <w:sz w:val="20"/>
          <w:szCs w:val="20"/>
        </w:rPr>
      </w:pPr>
      <w:r w:rsidRPr="00361664">
        <w:rPr>
          <w:rFonts w:cs="Calibri"/>
          <w:sz w:val="20"/>
          <w:szCs w:val="20"/>
        </w:rPr>
        <w:t>MGIPU</w:t>
      </w:r>
      <w:r w:rsidRPr="00361664">
        <w:rPr>
          <w:rFonts w:cs="Calibri"/>
          <w:sz w:val="20"/>
          <w:szCs w:val="20"/>
        </w:rPr>
        <w:tab/>
      </w:r>
      <w:r w:rsidRPr="00361664">
        <w:rPr>
          <w:rFonts w:cs="Calibri"/>
          <w:sz w:val="20"/>
          <w:szCs w:val="20"/>
        </w:rPr>
        <w:tab/>
        <w:t xml:space="preserve">Ministarstvo graditeljstva i prostornog uređenja </w:t>
      </w:r>
    </w:p>
    <w:p w:rsidR="004D21B8" w:rsidRPr="00361664" w:rsidRDefault="004D21B8" w:rsidP="004D21B8">
      <w:pPr>
        <w:spacing w:after="0"/>
        <w:jc w:val="both"/>
        <w:rPr>
          <w:rFonts w:cs="Calibri"/>
          <w:sz w:val="20"/>
          <w:szCs w:val="20"/>
        </w:rPr>
      </w:pPr>
      <w:r w:rsidRPr="00361664">
        <w:rPr>
          <w:rFonts w:cs="Calibri"/>
          <w:sz w:val="20"/>
          <w:szCs w:val="20"/>
        </w:rPr>
        <w:t>MINGO</w:t>
      </w:r>
      <w:r w:rsidRPr="00361664">
        <w:rPr>
          <w:rFonts w:cs="Calibri"/>
          <w:sz w:val="20"/>
          <w:szCs w:val="20"/>
        </w:rPr>
        <w:tab/>
      </w:r>
      <w:r w:rsidRPr="00361664">
        <w:rPr>
          <w:rFonts w:cs="Calibri"/>
          <w:sz w:val="20"/>
          <w:szCs w:val="20"/>
        </w:rPr>
        <w:tab/>
        <w:t>Ministarstvo gospodarstva, poduzetništva i obrta</w:t>
      </w:r>
    </w:p>
    <w:p w:rsidR="004D21B8" w:rsidRPr="00361664" w:rsidRDefault="004D21B8" w:rsidP="004D21B8">
      <w:pPr>
        <w:spacing w:after="0"/>
        <w:jc w:val="both"/>
        <w:rPr>
          <w:rFonts w:cs="Calibri"/>
          <w:sz w:val="20"/>
          <w:szCs w:val="20"/>
        </w:rPr>
      </w:pPr>
      <w:r w:rsidRPr="00361664">
        <w:rPr>
          <w:rFonts w:cs="Calibri"/>
          <w:sz w:val="20"/>
          <w:szCs w:val="20"/>
        </w:rPr>
        <w:t>MINT</w:t>
      </w:r>
      <w:r w:rsidRPr="00361664">
        <w:rPr>
          <w:rFonts w:cs="Calibri"/>
          <w:sz w:val="20"/>
          <w:szCs w:val="20"/>
        </w:rPr>
        <w:tab/>
      </w:r>
      <w:r w:rsidRPr="00361664">
        <w:rPr>
          <w:rFonts w:cs="Calibri"/>
          <w:sz w:val="20"/>
          <w:szCs w:val="20"/>
        </w:rPr>
        <w:tab/>
        <w:t>Ministarstvo turizma</w:t>
      </w:r>
    </w:p>
    <w:p w:rsidR="004D21B8" w:rsidRPr="00361664" w:rsidRDefault="004D21B8" w:rsidP="004D21B8">
      <w:pPr>
        <w:spacing w:after="0"/>
        <w:jc w:val="both"/>
        <w:rPr>
          <w:rFonts w:cs="Calibri"/>
          <w:sz w:val="20"/>
          <w:szCs w:val="20"/>
        </w:rPr>
      </w:pPr>
      <w:r w:rsidRPr="00361664">
        <w:rPr>
          <w:rFonts w:cs="Calibri"/>
          <w:sz w:val="20"/>
          <w:szCs w:val="20"/>
        </w:rPr>
        <w:t>MMPI</w:t>
      </w:r>
      <w:r w:rsidRPr="00361664">
        <w:rPr>
          <w:rFonts w:cs="Calibri"/>
          <w:sz w:val="20"/>
          <w:szCs w:val="20"/>
        </w:rPr>
        <w:tab/>
      </w:r>
      <w:r w:rsidRPr="00361664">
        <w:rPr>
          <w:rFonts w:cs="Calibri"/>
          <w:sz w:val="20"/>
          <w:szCs w:val="20"/>
        </w:rPr>
        <w:tab/>
        <w:t>Ministarstvo mora, prometa i infrastrukture</w:t>
      </w:r>
    </w:p>
    <w:p w:rsidR="004D21B8" w:rsidRPr="00361664" w:rsidRDefault="004D21B8" w:rsidP="004D21B8">
      <w:pPr>
        <w:spacing w:after="0"/>
        <w:jc w:val="both"/>
        <w:rPr>
          <w:rFonts w:cs="Calibri"/>
          <w:sz w:val="20"/>
          <w:szCs w:val="20"/>
        </w:rPr>
      </w:pPr>
      <w:r w:rsidRPr="00361664">
        <w:rPr>
          <w:rFonts w:cs="Calibri"/>
          <w:sz w:val="20"/>
          <w:szCs w:val="20"/>
        </w:rPr>
        <w:t>MRRFEU</w:t>
      </w:r>
      <w:r w:rsidRPr="00361664">
        <w:rPr>
          <w:rFonts w:cs="Calibri"/>
          <w:sz w:val="20"/>
          <w:szCs w:val="20"/>
        </w:rPr>
        <w:tab/>
      </w:r>
      <w:r w:rsidRPr="00361664">
        <w:rPr>
          <w:rFonts w:cs="Calibri"/>
          <w:sz w:val="20"/>
          <w:szCs w:val="20"/>
        </w:rPr>
        <w:tab/>
        <w:t>Ministarstvo regionalnog razvoja i fondova Europske unije</w:t>
      </w:r>
    </w:p>
    <w:p w:rsidR="004D21B8" w:rsidRPr="00361664" w:rsidRDefault="004D21B8" w:rsidP="004D21B8">
      <w:pPr>
        <w:spacing w:after="0"/>
        <w:jc w:val="both"/>
        <w:rPr>
          <w:rFonts w:cs="Calibri"/>
          <w:sz w:val="20"/>
          <w:szCs w:val="20"/>
        </w:rPr>
      </w:pPr>
      <w:r w:rsidRPr="00361664">
        <w:rPr>
          <w:rFonts w:cs="Calibri"/>
          <w:sz w:val="20"/>
          <w:szCs w:val="20"/>
        </w:rPr>
        <w:t>MSP</w:t>
      </w:r>
      <w:r w:rsidRPr="00361664">
        <w:rPr>
          <w:rFonts w:cs="Calibri"/>
          <w:sz w:val="20"/>
          <w:szCs w:val="20"/>
        </w:rPr>
        <w:tab/>
      </w:r>
      <w:r w:rsidRPr="00361664">
        <w:rPr>
          <w:rFonts w:cs="Calibri"/>
          <w:sz w:val="20"/>
          <w:szCs w:val="20"/>
        </w:rPr>
        <w:tab/>
        <w:t>Mala i srednja poduzeća</w:t>
      </w:r>
    </w:p>
    <w:p w:rsidR="004D21B8" w:rsidRPr="00361664" w:rsidRDefault="004D21B8" w:rsidP="004D21B8">
      <w:pPr>
        <w:spacing w:after="0"/>
        <w:jc w:val="both"/>
        <w:rPr>
          <w:rFonts w:cs="Calibri"/>
          <w:sz w:val="20"/>
          <w:szCs w:val="20"/>
        </w:rPr>
      </w:pPr>
      <w:r w:rsidRPr="00361664">
        <w:rPr>
          <w:rFonts w:cs="Calibri"/>
          <w:sz w:val="20"/>
          <w:szCs w:val="20"/>
        </w:rPr>
        <w:t>MSPM</w:t>
      </w:r>
      <w:r w:rsidRPr="00361664">
        <w:rPr>
          <w:rFonts w:cs="Calibri"/>
          <w:sz w:val="20"/>
          <w:szCs w:val="20"/>
        </w:rPr>
        <w:tab/>
      </w:r>
      <w:r w:rsidRPr="00361664">
        <w:rPr>
          <w:rFonts w:cs="Calibri"/>
          <w:sz w:val="20"/>
          <w:szCs w:val="20"/>
        </w:rPr>
        <w:tab/>
        <w:t>Ministarstvo za demografiju, obitelj, mlade i socijalnu politiku</w:t>
      </w:r>
    </w:p>
    <w:p w:rsidR="004D21B8" w:rsidRPr="00361664" w:rsidRDefault="004D21B8" w:rsidP="004D21B8">
      <w:pPr>
        <w:spacing w:after="0"/>
        <w:jc w:val="both"/>
        <w:rPr>
          <w:rFonts w:cs="Calibri"/>
          <w:sz w:val="20"/>
          <w:szCs w:val="20"/>
        </w:rPr>
      </w:pPr>
      <w:r w:rsidRPr="00361664">
        <w:rPr>
          <w:rFonts w:cs="Calibri"/>
          <w:sz w:val="20"/>
          <w:szCs w:val="20"/>
        </w:rPr>
        <w:t>MZOE</w:t>
      </w:r>
      <w:r w:rsidRPr="00361664">
        <w:rPr>
          <w:rFonts w:cs="Calibri"/>
          <w:sz w:val="20"/>
          <w:szCs w:val="20"/>
        </w:rPr>
        <w:tab/>
      </w:r>
      <w:r w:rsidRPr="00361664">
        <w:rPr>
          <w:rFonts w:cs="Calibri"/>
          <w:sz w:val="20"/>
          <w:szCs w:val="20"/>
        </w:rPr>
        <w:tab/>
        <w:t>Ministarstvo zaštite okoliša i energetike</w:t>
      </w:r>
    </w:p>
    <w:p w:rsidR="00756C66" w:rsidRPr="00361664" w:rsidRDefault="004D21B8" w:rsidP="004D21B8">
      <w:pPr>
        <w:spacing w:after="0"/>
        <w:jc w:val="both"/>
        <w:rPr>
          <w:rFonts w:cs="Calibri"/>
          <w:sz w:val="20"/>
          <w:szCs w:val="20"/>
        </w:rPr>
      </w:pPr>
      <w:r w:rsidRPr="00361664">
        <w:rPr>
          <w:rFonts w:cs="Calibri"/>
          <w:sz w:val="20"/>
          <w:szCs w:val="20"/>
        </w:rPr>
        <w:t>MZOS</w:t>
      </w:r>
      <w:r w:rsidRPr="00361664">
        <w:rPr>
          <w:rFonts w:cs="Calibri"/>
          <w:sz w:val="20"/>
          <w:szCs w:val="20"/>
        </w:rPr>
        <w:tab/>
      </w:r>
      <w:r w:rsidRPr="00361664">
        <w:rPr>
          <w:rFonts w:cs="Calibri"/>
          <w:sz w:val="20"/>
          <w:szCs w:val="20"/>
        </w:rPr>
        <w:tab/>
        <w:t>Ministarstv</w:t>
      </w:r>
      <w:r w:rsidR="009426F9" w:rsidRPr="00361664">
        <w:rPr>
          <w:rFonts w:cs="Calibri"/>
          <w:sz w:val="20"/>
          <w:szCs w:val="20"/>
        </w:rPr>
        <w:t xml:space="preserve">o znanosti i obrazovanja </w:t>
      </w:r>
    </w:p>
    <w:p w:rsidR="004D21B8" w:rsidRPr="00361664" w:rsidRDefault="004D21B8" w:rsidP="004D21B8">
      <w:pPr>
        <w:spacing w:after="0"/>
        <w:jc w:val="both"/>
        <w:rPr>
          <w:rFonts w:cs="Calibri"/>
          <w:sz w:val="20"/>
          <w:szCs w:val="20"/>
        </w:rPr>
      </w:pPr>
      <w:r w:rsidRPr="00361664">
        <w:rPr>
          <w:rFonts w:cs="Calibri"/>
          <w:sz w:val="20"/>
          <w:szCs w:val="20"/>
        </w:rPr>
        <w:t>NAPEnU</w:t>
      </w:r>
      <w:r w:rsidRPr="00361664">
        <w:rPr>
          <w:rFonts w:cs="Calibri"/>
          <w:sz w:val="20"/>
          <w:szCs w:val="20"/>
        </w:rPr>
        <w:tab/>
      </w:r>
      <w:r w:rsidRPr="00361664">
        <w:rPr>
          <w:rFonts w:cs="Calibri"/>
          <w:sz w:val="20"/>
          <w:szCs w:val="20"/>
        </w:rPr>
        <w:tab/>
        <w:t>Nacionalni akcijski plan energetske učinkovitosti</w:t>
      </w:r>
    </w:p>
    <w:p w:rsidR="004D21B8" w:rsidRPr="00361664" w:rsidRDefault="004D21B8" w:rsidP="004D21B8">
      <w:pPr>
        <w:spacing w:after="0"/>
        <w:jc w:val="both"/>
        <w:rPr>
          <w:rFonts w:cs="Calibri"/>
          <w:sz w:val="20"/>
          <w:szCs w:val="20"/>
        </w:rPr>
      </w:pPr>
      <w:r w:rsidRPr="00361664">
        <w:rPr>
          <w:rFonts w:cs="Calibri"/>
          <w:sz w:val="20"/>
          <w:szCs w:val="20"/>
        </w:rPr>
        <w:t>NKT</w:t>
      </w:r>
      <w:r w:rsidRPr="00361664">
        <w:rPr>
          <w:rFonts w:cs="Calibri"/>
          <w:sz w:val="20"/>
          <w:szCs w:val="20"/>
        </w:rPr>
        <w:tab/>
      </w:r>
      <w:r w:rsidRPr="00361664">
        <w:rPr>
          <w:rFonts w:cs="Calibri"/>
          <w:sz w:val="20"/>
          <w:szCs w:val="20"/>
        </w:rPr>
        <w:tab/>
        <w:t>Nacionalno koordinacijsko tijelo za energetsku učinkovitost</w:t>
      </w:r>
    </w:p>
    <w:p w:rsidR="00233C12" w:rsidRPr="00361664" w:rsidRDefault="00233C12" w:rsidP="004D21B8">
      <w:pPr>
        <w:spacing w:after="0"/>
        <w:jc w:val="both"/>
        <w:rPr>
          <w:rFonts w:cs="Calibri"/>
          <w:sz w:val="20"/>
          <w:szCs w:val="20"/>
        </w:rPr>
      </w:pPr>
      <w:r w:rsidRPr="00361664">
        <w:rPr>
          <w:rFonts w:cs="Calibri"/>
          <w:sz w:val="20"/>
          <w:szCs w:val="20"/>
        </w:rPr>
        <w:t>NOP</w:t>
      </w:r>
      <w:r w:rsidRPr="00361664">
        <w:rPr>
          <w:rFonts w:cs="Calibri"/>
          <w:sz w:val="20"/>
          <w:szCs w:val="20"/>
        </w:rPr>
        <w:tab/>
      </w:r>
      <w:r w:rsidRPr="00361664">
        <w:rPr>
          <w:rFonts w:cs="Calibri"/>
          <w:sz w:val="20"/>
          <w:szCs w:val="20"/>
        </w:rPr>
        <w:tab/>
      </w:r>
      <w:r w:rsidRPr="00361664">
        <w:rPr>
          <w:rFonts w:asciiTheme="minorHAnsi" w:hAnsiTheme="minorHAnsi"/>
          <w:sz w:val="20"/>
          <w:szCs w:val="20"/>
        </w:rPr>
        <w:t>Nacionalni okvir politike za uspostavu infrastrukture za alternativna goriva</w:t>
      </w:r>
    </w:p>
    <w:p w:rsidR="004D21B8" w:rsidRPr="00361664" w:rsidRDefault="00233C12" w:rsidP="004D21B8">
      <w:pPr>
        <w:spacing w:after="0"/>
        <w:jc w:val="both"/>
        <w:rPr>
          <w:rFonts w:cs="Calibri"/>
          <w:sz w:val="20"/>
          <w:szCs w:val="20"/>
        </w:rPr>
      </w:pPr>
      <w:r w:rsidRPr="00361664">
        <w:rPr>
          <w:rFonts w:cs="Calibri"/>
          <w:sz w:val="20"/>
          <w:szCs w:val="20"/>
        </w:rPr>
        <w:t>OIE</w:t>
      </w:r>
      <w:r w:rsidRPr="00361664">
        <w:rPr>
          <w:rFonts w:cs="Calibri"/>
          <w:sz w:val="20"/>
          <w:szCs w:val="20"/>
        </w:rPr>
        <w:tab/>
      </w:r>
      <w:r w:rsidRPr="00361664">
        <w:rPr>
          <w:rFonts w:cs="Calibri"/>
          <w:sz w:val="20"/>
          <w:szCs w:val="20"/>
        </w:rPr>
        <w:tab/>
        <w:t>O</w:t>
      </w:r>
      <w:r w:rsidR="004D21B8" w:rsidRPr="00361664">
        <w:rPr>
          <w:rFonts w:cs="Calibri"/>
          <w:sz w:val="20"/>
          <w:szCs w:val="20"/>
        </w:rPr>
        <w:t>bnovljivi izvori energije</w:t>
      </w:r>
    </w:p>
    <w:p w:rsidR="004D21B8" w:rsidRPr="00361664" w:rsidRDefault="004D21B8" w:rsidP="004D21B8">
      <w:pPr>
        <w:spacing w:after="0"/>
        <w:jc w:val="both"/>
        <w:rPr>
          <w:rFonts w:cs="Calibri"/>
          <w:sz w:val="20"/>
          <w:szCs w:val="20"/>
        </w:rPr>
      </w:pPr>
      <w:r w:rsidRPr="00361664">
        <w:rPr>
          <w:rFonts w:cs="Calibri"/>
          <w:sz w:val="20"/>
          <w:szCs w:val="20"/>
        </w:rPr>
        <w:t>PBZ</w:t>
      </w:r>
      <w:r w:rsidRPr="00361664">
        <w:rPr>
          <w:rFonts w:cs="Calibri"/>
          <w:sz w:val="20"/>
          <w:szCs w:val="20"/>
        </w:rPr>
        <w:tab/>
      </w:r>
      <w:r w:rsidRPr="00361664">
        <w:rPr>
          <w:rFonts w:cs="Calibri"/>
          <w:sz w:val="20"/>
          <w:szCs w:val="20"/>
        </w:rPr>
        <w:tab/>
        <w:t>Privredna banka Zagreb</w:t>
      </w:r>
    </w:p>
    <w:p w:rsidR="00233C12" w:rsidRPr="00361664" w:rsidRDefault="00233C12" w:rsidP="004D21B8">
      <w:pPr>
        <w:spacing w:after="0"/>
        <w:jc w:val="both"/>
        <w:rPr>
          <w:rFonts w:cs="Calibri"/>
          <w:sz w:val="20"/>
          <w:szCs w:val="20"/>
        </w:rPr>
      </w:pPr>
      <w:r w:rsidRPr="00361664">
        <w:rPr>
          <w:rFonts w:cs="Calibri"/>
          <w:sz w:val="20"/>
          <w:szCs w:val="20"/>
        </w:rPr>
        <w:t>SGE</w:t>
      </w:r>
      <w:r w:rsidRPr="00361664">
        <w:rPr>
          <w:rFonts w:cs="Calibri"/>
          <w:sz w:val="20"/>
          <w:szCs w:val="20"/>
        </w:rPr>
        <w:tab/>
      </w:r>
      <w:r w:rsidRPr="00361664">
        <w:rPr>
          <w:rFonts w:cs="Calibri"/>
          <w:sz w:val="20"/>
          <w:szCs w:val="20"/>
        </w:rPr>
        <w:tab/>
        <w:t>Sustavno gospodarenje energijom</w:t>
      </w:r>
    </w:p>
    <w:p w:rsidR="00233C12" w:rsidRPr="00361664" w:rsidRDefault="00233C12" w:rsidP="004D21B8">
      <w:pPr>
        <w:spacing w:after="0"/>
        <w:jc w:val="both"/>
        <w:rPr>
          <w:rFonts w:cs="Calibri"/>
          <w:sz w:val="20"/>
          <w:szCs w:val="20"/>
        </w:rPr>
      </w:pPr>
      <w:r w:rsidRPr="00361664">
        <w:rPr>
          <w:rFonts w:cs="Calibri"/>
          <w:sz w:val="20"/>
          <w:szCs w:val="20"/>
        </w:rPr>
        <w:t>SMIV</w:t>
      </w:r>
      <w:r w:rsidRPr="00361664">
        <w:rPr>
          <w:rFonts w:cs="Calibri"/>
          <w:sz w:val="20"/>
          <w:szCs w:val="20"/>
        </w:rPr>
        <w:tab/>
      </w:r>
      <w:r w:rsidRPr="00361664">
        <w:rPr>
          <w:rFonts w:cs="Calibri"/>
          <w:sz w:val="20"/>
          <w:szCs w:val="20"/>
        </w:rPr>
        <w:tab/>
        <w:t>Sustav za praćenje, mjerenje i verifikaciju ušteda energije</w:t>
      </w:r>
    </w:p>
    <w:p w:rsidR="004D21B8" w:rsidRPr="00361664" w:rsidRDefault="004D21B8" w:rsidP="004D21B8">
      <w:pPr>
        <w:spacing w:after="0"/>
        <w:jc w:val="both"/>
        <w:rPr>
          <w:rFonts w:cs="Calibri"/>
          <w:sz w:val="20"/>
          <w:szCs w:val="20"/>
        </w:rPr>
      </w:pPr>
      <w:r w:rsidRPr="00361664">
        <w:rPr>
          <w:rFonts w:cs="Calibri"/>
          <w:sz w:val="20"/>
          <w:szCs w:val="20"/>
        </w:rPr>
        <w:t>UNDP</w:t>
      </w:r>
      <w:r w:rsidRPr="00361664">
        <w:rPr>
          <w:rFonts w:cs="Calibri"/>
          <w:sz w:val="20"/>
          <w:szCs w:val="20"/>
        </w:rPr>
        <w:tab/>
      </w:r>
      <w:r w:rsidRPr="00361664">
        <w:rPr>
          <w:rFonts w:cs="Calibri"/>
          <w:sz w:val="20"/>
          <w:szCs w:val="20"/>
        </w:rPr>
        <w:tab/>
        <w:t>Program Ujedinjenih naroda za razvoj</w:t>
      </w:r>
    </w:p>
    <w:p w:rsidR="004D21B8" w:rsidRPr="00361664" w:rsidRDefault="004D21B8" w:rsidP="004D21B8">
      <w:pPr>
        <w:spacing w:after="0"/>
        <w:jc w:val="both"/>
        <w:rPr>
          <w:rFonts w:cs="Calibri"/>
          <w:sz w:val="20"/>
          <w:szCs w:val="20"/>
        </w:rPr>
      </w:pPr>
      <w:r w:rsidRPr="00361664">
        <w:rPr>
          <w:rFonts w:cs="Calibri"/>
          <w:sz w:val="20"/>
          <w:szCs w:val="20"/>
        </w:rPr>
        <w:t>ZABA</w:t>
      </w:r>
      <w:r w:rsidRPr="00361664">
        <w:rPr>
          <w:rFonts w:cs="Calibri"/>
          <w:sz w:val="20"/>
          <w:szCs w:val="20"/>
        </w:rPr>
        <w:tab/>
      </w:r>
      <w:r w:rsidRPr="00361664">
        <w:rPr>
          <w:rFonts w:cs="Calibri"/>
          <w:sz w:val="20"/>
          <w:szCs w:val="20"/>
        </w:rPr>
        <w:tab/>
        <w:t>Zagrebačka banka</w:t>
      </w:r>
    </w:p>
    <w:p w:rsidR="004D21B8" w:rsidRPr="00361664" w:rsidRDefault="004D21B8" w:rsidP="00651BCA">
      <w:pPr>
        <w:spacing w:after="0"/>
        <w:jc w:val="both"/>
        <w:rPr>
          <w:rFonts w:cs="Calibri"/>
          <w:sz w:val="20"/>
          <w:szCs w:val="20"/>
        </w:rPr>
      </w:pPr>
    </w:p>
    <w:p w:rsidR="00944F9E" w:rsidRPr="00361664" w:rsidRDefault="00944F9E" w:rsidP="00651BCA">
      <w:pPr>
        <w:spacing w:after="0"/>
        <w:jc w:val="both"/>
        <w:rPr>
          <w:rStyle w:val="Jakoisticanje"/>
          <w:b w:val="0"/>
          <w:bCs w:val="0"/>
          <w:i w:val="0"/>
          <w:iCs w:val="0"/>
          <w:color w:val="365F91"/>
        </w:rPr>
      </w:pPr>
    </w:p>
    <w:p w:rsidR="00327C08" w:rsidRPr="00361664" w:rsidRDefault="00327C08" w:rsidP="00651BCA">
      <w:pPr>
        <w:shd w:val="clear" w:color="auto" w:fill="FFFFFF"/>
        <w:spacing w:after="120"/>
        <w:jc w:val="both"/>
        <w:rPr>
          <w:rFonts w:asciiTheme="minorHAnsi" w:hAnsiTheme="minorHAnsi" w:cs="Arial"/>
          <w:color w:val="222222"/>
          <w:sz w:val="20"/>
          <w:szCs w:val="20"/>
          <w:lang w:eastAsia="hr-HR"/>
        </w:rPr>
      </w:pPr>
    </w:p>
    <w:p w:rsidR="00327C08" w:rsidRPr="00361664" w:rsidRDefault="00327C08" w:rsidP="0003472E">
      <w:pPr>
        <w:rPr>
          <w:rFonts w:asciiTheme="minorHAnsi" w:hAnsiTheme="minorHAnsi" w:cs="Arial"/>
          <w:color w:val="222222"/>
          <w:sz w:val="20"/>
          <w:szCs w:val="20"/>
          <w:lang w:eastAsia="hr-HR"/>
        </w:rPr>
        <w:sectPr w:rsidR="00327C08" w:rsidRPr="00361664" w:rsidSect="00227C66">
          <w:headerReference w:type="default" r:id="rId13"/>
          <w:footerReference w:type="default" r:id="rId14"/>
          <w:headerReference w:type="first" r:id="rId15"/>
          <w:footerReference w:type="first" r:id="rId16"/>
          <w:type w:val="continuous"/>
          <w:pgSz w:w="11906" w:h="16838" w:code="9"/>
          <w:pgMar w:top="1701" w:right="851" w:bottom="1418" w:left="851" w:header="624" w:footer="624" w:gutter="851"/>
          <w:pgNumType w:start="0"/>
          <w:cols w:space="720"/>
          <w:titlePg/>
        </w:sectPr>
      </w:pPr>
    </w:p>
    <w:p w:rsidR="00981F92" w:rsidRPr="00361664" w:rsidRDefault="00981F92">
      <w:pPr>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lastRenderedPageBreak/>
        <w:br w:type="page"/>
      </w:r>
    </w:p>
    <w:p w:rsidR="003B7D52" w:rsidRPr="00361664" w:rsidRDefault="003B7D52" w:rsidP="003B7D52">
      <w:pPr>
        <w:pStyle w:val="Naslov1"/>
        <w:jc w:val="both"/>
        <w:rPr>
          <w:rStyle w:val="Neupadljivareferenca"/>
          <w:smallCaps/>
          <w:color w:val="365F91"/>
          <w:lang w:val="hr-HR"/>
        </w:rPr>
      </w:pPr>
      <w:bookmarkStart w:id="4" w:name="_Toc535245834"/>
      <w:r w:rsidRPr="00361664">
        <w:rPr>
          <w:rStyle w:val="Neupadljivareferenca"/>
          <w:smallCaps/>
          <w:color w:val="365F91"/>
          <w:lang w:val="hr-HR"/>
        </w:rPr>
        <w:lastRenderedPageBreak/>
        <w:t>SAŽETAK</w:t>
      </w:r>
      <w:bookmarkEnd w:id="4"/>
    </w:p>
    <w:p w:rsidR="003B7D52" w:rsidRPr="00361664" w:rsidRDefault="003B7D52" w:rsidP="003B7D52"/>
    <w:p w:rsidR="003B7D52" w:rsidRPr="00361664" w:rsidRDefault="003B7D52" w:rsidP="003B7D52">
      <w:pPr>
        <w:spacing w:line="300" w:lineRule="atLeast"/>
        <w:jc w:val="both"/>
        <w:rPr>
          <w:rFonts w:asciiTheme="minorHAnsi" w:hAnsiTheme="minorHAnsi"/>
          <w:sz w:val="20"/>
          <w:szCs w:val="20"/>
        </w:rPr>
      </w:pPr>
      <w:bookmarkStart w:id="5" w:name="_GoBack"/>
      <w:r w:rsidRPr="00361664">
        <w:rPr>
          <w:rFonts w:asciiTheme="minorHAnsi" w:hAnsiTheme="minorHAnsi"/>
          <w:sz w:val="20"/>
          <w:szCs w:val="20"/>
        </w:rPr>
        <w:t xml:space="preserve">Četvrti nacionalni akcijski plan energetske učinkovitosti Republike Hrvatske dokument je kojim se ispunjavaju obveze propisane direktivama EPBD recast (2010/31/EU), EED (2012/27/EU) i Direktive o uspostavi </w:t>
      </w:r>
      <w:r w:rsidR="00B51B6C" w:rsidRPr="00361664">
        <w:rPr>
          <w:rFonts w:asciiTheme="minorHAnsi" w:hAnsiTheme="minorHAnsi"/>
          <w:sz w:val="20"/>
          <w:szCs w:val="20"/>
        </w:rPr>
        <w:t>infrastrukture</w:t>
      </w:r>
      <w:r w:rsidRPr="00361664">
        <w:rPr>
          <w:rFonts w:asciiTheme="minorHAnsi" w:hAnsiTheme="minorHAnsi"/>
          <w:sz w:val="20"/>
          <w:szCs w:val="20"/>
        </w:rPr>
        <w:t xml:space="preserve"> za alternativna goriva (2014/94/EU). Sadržaj Četvrtog nacionalnog akcijskog plana (dalje u tekstu: 4. NAPEnU) odgovara 3. NAPEnU i izrađen je u skladu s uputama EK za izradu Nacionalnih akcijskih planova (Guidance for National Energy EfficiencyActionPlans) od 22.5.2013. NAPEnU kao sveobuhvatni provedbeni dokument definira politiku energetske učinkovitosti za</w:t>
      </w:r>
      <w:r w:rsidR="00015585" w:rsidRPr="00361664">
        <w:rPr>
          <w:rFonts w:asciiTheme="minorHAnsi" w:hAnsiTheme="minorHAnsi"/>
          <w:sz w:val="20"/>
          <w:szCs w:val="20"/>
        </w:rPr>
        <w:t xml:space="preserve"> trogodišnje</w:t>
      </w:r>
      <w:r w:rsidRPr="00361664">
        <w:rPr>
          <w:rFonts w:asciiTheme="minorHAnsi" w:hAnsiTheme="minorHAnsi"/>
          <w:sz w:val="20"/>
          <w:szCs w:val="20"/>
        </w:rPr>
        <w:t xml:space="preserve"> razdoblje </w:t>
      </w:r>
      <w:r w:rsidR="00F958EE" w:rsidRPr="00361664">
        <w:rPr>
          <w:rFonts w:asciiTheme="minorHAnsi" w:hAnsiTheme="minorHAnsi"/>
          <w:sz w:val="20"/>
          <w:szCs w:val="20"/>
        </w:rPr>
        <w:t xml:space="preserve">od 2017. </w:t>
      </w:r>
      <w:r w:rsidR="00C4577B" w:rsidRPr="00361664">
        <w:rPr>
          <w:rFonts w:asciiTheme="minorHAnsi" w:hAnsiTheme="minorHAnsi"/>
          <w:sz w:val="20"/>
          <w:szCs w:val="20"/>
        </w:rPr>
        <w:t>do kraja 2019. godine</w:t>
      </w:r>
      <w:r w:rsidRPr="00361664">
        <w:rPr>
          <w:rFonts w:asciiTheme="minorHAnsi" w:hAnsiTheme="minorHAnsi"/>
          <w:sz w:val="20"/>
          <w:szCs w:val="20"/>
        </w:rPr>
        <w:t xml:space="preserve"> te ujedno sadrži ocjenu </w:t>
      </w:r>
      <w:r w:rsidR="00015585" w:rsidRPr="00361664">
        <w:rPr>
          <w:rFonts w:asciiTheme="minorHAnsi" w:hAnsiTheme="minorHAnsi"/>
          <w:sz w:val="20"/>
          <w:szCs w:val="20"/>
        </w:rPr>
        <w:t xml:space="preserve">godišnje </w:t>
      </w:r>
      <w:r w:rsidRPr="00361664">
        <w:rPr>
          <w:rFonts w:asciiTheme="minorHAnsi" w:hAnsiTheme="minorHAnsi"/>
          <w:sz w:val="20"/>
          <w:szCs w:val="20"/>
        </w:rPr>
        <w:t>ostvarenih ušteda energije u odnosu na ciljeve postavljene u 3. NAPEnU Republike</w:t>
      </w:r>
      <w:r w:rsidR="00C91264" w:rsidRPr="00361664">
        <w:rPr>
          <w:rFonts w:asciiTheme="minorHAnsi" w:hAnsiTheme="minorHAnsi"/>
          <w:sz w:val="20"/>
          <w:szCs w:val="20"/>
        </w:rPr>
        <w:t xml:space="preserve"> Hrvatske do kraja 2015 godine.</w:t>
      </w:r>
      <w:r w:rsidRPr="00361664">
        <w:rPr>
          <w:rFonts w:asciiTheme="minorHAnsi" w:hAnsiTheme="minorHAnsi"/>
          <w:sz w:val="20"/>
          <w:szCs w:val="20"/>
        </w:rPr>
        <w:t xml:space="preserve"> Radi lakšeg snalaženja, u poglavlju 3., tablica 3-1. dan je pregled svih mjera te referenca na mjere iz 3. NAPEnU. </w:t>
      </w:r>
    </w:p>
    <w:bookmarkEnd w:id="5"/>
    <w:p w:rsidR="003B7D52" w:rsidRPr="00361664" w:rsidRDefault="003B7D52" w:rsidP="003B7D52">
      <w:pPr>
        <w:spacing w:line="300" w:lineRule="atLeast"/>
        <w:jc w:val="both"/>
        <w:rPr>
          <w:rFonts w:asciiTheme="minorHAnsi" w:hAnsiTheme="minorHAnsi"/>
          <w:sz w:val="20"/>
          <w:szCs w:val="20"/>
        </w:rPr>
      </w:pPr>
      <w:r w:rsidRPr="00361664">
        <w:rPr>
          <w:rFonts w:asciiTheme="minorHAnsi" w:hAnsiTheme="minorHAnsi"/>
          <w:sz w:val="20"/>
          <w:szCs w:val="20"/>
        </w:rPr>
        <w:t>Nacionalni akcijski plan izrađen je od strane Nacionalnog koordinacijskog tijela za en</w:t>
      </w:r>
      <w:r w:rsidR="00B2629D" w:rsidRPr="00361664">
        <w:rPr>
          <w:rFonts w:asciiTheme="minorHAnsi" w:hAnsiTheme="minorHAnsi"/>
          <w:sz w:val="20"/>
          <w:szCs w:val="20"/>
        </w:rPr>
        <w:t>ergetsku učinkovitost (NKT) koje je</w:t>
      </w:r>
      <w:r w:rsidR="00061E30" w:rsidRPr="00361664">
        <w:rPr>
          <w:rFonts w:asciiTheme="minorHAnsi" w:hAnsiTheme="minorHAnsi"/>
          <w:sz w:val="20"/>
          <w:szCs w:val="20"/>
        </w:rPr>
        <w:t xml:space="preserve"> </w:t>
      </w:r>
      <w:r w:rsidR="00B2629D" w:rsidRPr="00361664">
        <w:rPr>
          <w:rFonts w:asciiTheme="minorHAnsi" w:hAnsiTheme="minorHAnsi"/>
          <w:sz w:val="20"/>
          <w:szCs w:val="20"/>
        </w:rPr>
        <w:t>djelovalo</w:t>
      </w:r>
      <w:r w:rsidRPr="00361664">
        <w:rPr>
          <w:rFonts w:asciiTheme="minorHAnsi" w:hAnsiTheme="minorHAnsi"/>
          <w:sz w:val="20"/>
          <w:szCs w:val="20"/>
        </w:rPr>
        <w:t xml:space="preserve"> unutar Centra za praćenje poslovanja energetskog sektora i investicija (CEI) u koordinaciji s više ministarstava zaduženih za energetsku učinkovitost te nizom institucija i javnih tijela. CEI je prema Zakonu o energetskoj učinkovitosti (NN 127/14) imenovan Nacionalnim koordinacijskim tijelom za energetsku učinkovitost (NKT), ima</w:t>
      </w:r>
      <w:r w:rsidR="00B2629D" w:rsidRPr="00361664">
        <w:rPr>
          <w:rFonts w:asciiTheme="minorHAnsi" w:hAnsiTheme="minorHAnsi"/>
          <w:sz w:val="20"/>
          <w:szCs w:val="20"/>
        </w:rPr>
        <w:t>o je</w:t>
      </w:r>
      <w:r w:rsidRPr="00361664">
        <w:rPr>
          <w:rFonts w:asciiTheme="minorHAnsi" w:hAnsiTheme="minorHAnsi"/>
          <w:sz w:val="20"/>
          <w:szCs w:val="20"/>
        </w:rPr>
        <w:t xml:space="preserve"> ulogu nacionalne agencije za energetsku učinkovitost, a predstavlja</w:t>
      </w:r>
      <w:r w:rsidR="00B2629D" w:rsidRPr="00361664">
        <w:rPr>
          <w:rFonts w:asciiTheme="minorHAnsi" w:hAnsiTheme="minorHAnsi"/>
          <w:sz w:val="20"/>
          <w:szCs w:val="20"/>
        </w:rPr>
        <w:t>oje</w:t>
      </w:r>
      <w:r w:rsidRPr="00361664">
        <w:rPr>
          <w:rFonts w:asciiTheme="minorHAnsi" w:hAnsiTheme="minorHAnsi"/>
          <w:sz w:val="20"/>
          <w:szCs w:val="20"/>
        </w:rPr>
        <w:t xml:space="preserve"> tijelo zaduženo za planiranje, koordinaciju i provedbu politike energetske učinkovitosti u Republici Hrvatskoj. NKT raspolaže informacijama o svim aktivnostima iz područja energetske učinkovitosti u RH te </w:t>
      </w:r>
      <w:r w:rsidR="00015585" w:rsidRPr="00361664">
        <w:rPr>
          <w:rFonts w:asciiTheme="minorHAnsi" w:hAnsiTheme="minorHAnsi"/>
          <w:sz w:val="20"/>
          <w:szCs w:val="20"/>
        </w:rPr>
        <w:t xml:space="preserve">vodi </w:t>
      </w:r>
      <w:r w:rsidRPr="00361664">
        <w:rPr>
          <w:rFonts w:asciiTheme="minorHAnsi" w:hAnsiTheme="minorHAnsi"/>
          <w:sz w:val="20"/>
          <w:szCs w:val="20"/>
        </w:rPr>
        <w:t xml:space="preserve">bazu podataka s ostvarenim i verificiranim uštedama energije na nacionalnoj razini koja je ključan alat za izvještavanje EK i definiranje novog ciklusa mjera potrebnih za ostvarivanje nacionalnog cilja ušteda energije. Institucionalna struktura, koju čine ministarstva zadužena za definiranje politike energetske učinkovitosti, NKT </w:t>
      </w:r>
      <w:r w:rsidR="00061E30" w:rsidRPr="00361664">
        <w:rPr>
          <w:rFonts w:asciiTheme="minorHAnsi" w:hAnsiTheme="minorHAnsi"/>
          <w:sz w:val="20"/>
          <w:szCs w:val="20"/>
        </w:rPr>
        <w:t>zadužen</w:t>
      </w:r>
      <w:r w:rsidRPr="00361664">
        <w:rPr>
          <w:rFonts w:asciiTheme="minorHAnsi" w:hAnsiTheme="minorHAnsi"/>
          <w:sz w:val="20"/>
          <w:szCs w:val="20"/>
        </w:rPr>
        <w:t xml:space="preserve"> za provedbu i Fond za zaštitu okoliša i energetsku učinkovitost zadužen za </w:t>
      </w:r>
      <w:r w:rsidR="00C91264" w:rsidRPr="00361664">
        <w:rPr>
          <w:rFonts w:asciiTheme="minorHAnsi" w:hAnsiTheme="minorHAnsi"/>
          <w:sz w:val="20"/>
          <w:szCs w:val="20"/>
        </w:rPr>
        <w:t xml:space="preserve">financiranje, prepoznata je </w:t>
      </w:r>
      <w:r w:rsidRPr="00361664">
        <w:rPr>
          <w:rFonts w:asciiTheme="minorHAnsi" w:hAnsiTheme="minorHAnsi"/>
          <w:sz w:val="20"/>
          <w:szCs w:val="20"/>
        </w:rPr>
        <w:t xml:space="preserve">u svim državama članicama EU kao ključna i potrebna za ostvarenje ciljeva energetske učinkovitosti. Također, prema Zakonu o uspostavi infrastrukture za alternativna goriva (NN 120/16) NKT-u je dodijeljena je uloga nacionalnog provedbenog tijela pri potpori i praćenju politike alternativnih goriva. </w:t>
      </w:r>
    </w:p>
    <w:p w:rsidR="000D2E8B" w:rsidRPr="00361664" w:rsidRDefault="000D2E8B" w:rsidP="003B7D52">
      <w:pPr>
        <w:spacing w:line="300" w:lineRule="atLeast"/>
        <w:jc w:val="both"/>
        <w:rPr>
          <w:rFonts w:asciiTheme="minorHAnsi" w:hAnsiTheme="minorHAnsi"/>
          <w:sz w:val="20"/>
          <w:szCs w:val="20"/>
        </w:rPr>
      </w:pPr>
      <w:r w:rsidRPr="00361664">
        <w:rPr>
          <w:rFonts w:asciiTheme="minorHAnsi" w:hAnsiTheme="minorHAnsi"/>
          <w:sz w:val="20"/>
          <w:szCs w:val="20"/>
        </w:rPr>
        <w:t>Danom</w:t>
      </w:r>
      <w:r w:rsidR="00061E30" w:rsidRPr="00361664">
        <w:rPr>
          <w:rFonts w:asciiTheme="minorHAnsi" w:hAnsiTheme="minorHAnsi"/>
          <w:sz w:val="20"/>
          <w:szCs w:val="20"/>
        </w:rPr>
        <w:t xml:space="preserve"> </w:t>
      </w:r>
      <w:r w:rsidRPr="00361664">
        <w:rPr>
          <w:rFonts w:asciiTheme="minorHAnsi" w:hAnsiTheme="minorHAnsi"/>
          <w:sz w:val="20"/>
          <w:szCs w:val="20"/>
        </w:rPr>
        <w:t>stupanjana</w:t>
      </w:r>
      <w:r w:rsidR="00061E30" w:rsidRPr="00361664">
        <w:rPr>
          <w:rFonts w:asciiTheme="minorHAnsi" w:hAnsiTheme="minorHAnsi"/>
          <w:sz w:val="20"/>
          <w:szCs w:val="20"/>
        </w:rPr>
        <w:t xml:space="preserve"> </w:t>
      </w:r>
      <w:r w:rsidRPr="00361664">
        <w:rPr>
          <w:rFonts w:asciiTheme="minorHAnsi" w:hAnsiTheme="minorHAnsi"/>
          <w:sz w:val="20"/>
          <w:szCs w:val="20"/>
        </w:rPr>
        <w:t>snagu</w:t>
      </w:r>
      <w:r w:rsidR="00015585" w:rsidRPr="00361664">
        <w:rPr>
          <w:rFonts w:asciiTheme="minorHAnsi" w:hAnsiTheme="minorHAnsi"/>
          <w:sz w:val="20"/>
          <w:szCs w:val="20"/>
        </w:rPr>
        <w:t xml:space="preserve"> </w:t>
      </w:r>
      <w:r w:rsidRPr="00361664">
        <w:rPr>
          <w:rFonts w:asciiTheme="minorHAnsi" w:hAnsiTheme="minorHAnsi"/>
          <w:sz w:val="20"/>
          <w:szCs w:val="20"/>
        </w:rPr>
        <w:t>Zakona o prestanku</w:t>
      </w:r>
      <w:r w:rsidR="00061E30" w:rsidRPr="00361664">
        <w:rPr>
          <w:rFonts w:asciiTheme="minorHAnsi" w:hAnsiTheme="minorHAnsi"/>
          <w:sz w:val="20"/>
          <w:szCs w:val="20"/>
        </w:rPr>
        <w:t xml:space="preserve"> </w:t>
      </w:r>
      <w:r w:rsidRPr="00361664">
        <w:rPr>
          <w:rFonts w:asciiTheme="minorHAnsi" w:hAnsiTheme="minorHAnsi"/>
          <w:sz w:val="20"/>
          <w:szCs w:val="20"/>
        </w:rPr>
        <w:t>važenja</w:t>
      </w:r>
      <w:r w:rsidR="00061E30" w:rsidRPr="00361664">
        <w:rPr>
          <w:rFonts w:asciiTheme="minorHAnsi" w:hAnsiTheme="minorHAnsi"/>
          <w:sz w:val="20"/>
          <w:szCs w:val="20"/>
        </w:rPr>
        <w:t xml:space="preserve"> </w:t>
      </w:r>
      <w:r w:rsidRPr="00361664">
        <w:rPr>
          <w:rFonts w:asciiTheme="minorHAnsi" w:hAnsiTheme="minorHAnsi"/>
          <w:sz w:val="20"/>
          <w:szCs w:val="20"/>
        </w:rPr>
        <w:t>Zakona o centru</w:t>
      </w:r>
      <w:r w:rsidR="00061E30" w:rsidRPr="00361664">
        <w:rPr>
          <w:rFonts w:asciiTheme="minorHAnsi" w:hAnsiTheme="minorHAnsi"/>
          <w:sz w:val="20"/>
          <w:szCs w:val="20"/>
        </w:rPr>
        <w:t xml:space="preserve"> </w:t>
      </w:r>
      <w:r w:rsidRPr="00361664">
        <w:rPr>
          <w:rFonts w:asciiTheme="minorHAnsi" w:hAnsiTheme="minorHAnsi"/>
          <w:sz w:val="20"/>
          <w:szCs w:val="20"/>
        </w:rPr>
        <w:t>za</w:t>
      </w:r>
      <w:r w:rsidR="00061E30" w:rsidRPr="00361664">
        <w:rPr>
          <w:rFonts w:asciiTheme="minorHAnsi" w:hAnsiTheme="minorHAnsi"/>
          <w:sz w:val="20"/>
          <w:szCs w:val="20"/>
        </w:rPr>
        <w:t xml:space="preserve"> </w:t>
      </w:r>
      <w:r w:rsidRPr="00361664">
        <w:rPr>
          <w:rFonts w:asciiTheme="minorHAnsi" w:hAnsiTheme="minorHAnsi"/>
          <w:sz w:val="20"/>
          <w:szCs w:val="20"/>
        </w:rPr>
        <w:t>praćenje</w:t>
      </w:r>
      <w:r w:rsidR="00061E30" w:rsidRPr="00361664">
        <w:rPr>
          <w:rFonts w:asciiTheme="minorHAnsi" w:hAnsiTheme="minorHAnsi"/>
          <w:sz w:val="20"/>
          <w:szCs w:val="20"/>
        </w:rPr>
        <w:t xml:space="preserve"> </w:t>
      </w:r>
      <w:r w:rsidRPr="00361664">
        <w:rPr>
          <w:rFonts w:asciiTheme="minorHAnsi" w:hAnsiTheme="minorHAnsi"/>
          <w:sz w:val="20"/>
          <w:szCs w:val="20"/>
        </w:rPr>
        <w:t>poslovanja</w:t>
      </w:r>
      <w:r w:rsidR="00061E30" w:rsidRPr="00361664">
        <w:rPr>
          <w:rFonts w:asciiTheme="minorHAnsi" w:hAnsiTheme="minorHAnsi"/>
          <w:sz w:val="20"/>
          <w:szCs w:val="20"/>
        </w:rPr>
        <w:t xml:space="preserve"> </w:t>
      </w:r>
      <w:r w:rsidRPr="00361664">
        <w:rPr>
          <w:rFonts w:asciiTheme="minorHAnsi" w:hAnsiTheme="minorHAnsi"/>
          <w:sz w:val="20"/>
          <w:szCs w:val="20"/>
        </w:rPr>
        <w:t>energetskog</w:t>
      </w:r>
      <w:r w:rsidR="00061E30" w:rsidRPr="00361664">
        <w:rPr>
          <w:rFonts w:asciiTheme="minorHAnsi" w:hAnsiTheme="minorHAnsi"/>
          <w:sz w:val="20"/>
          <w:szCs w:val="20"/>
        </w:rPr>
        <w:t xml:space="preserve"> </w:t>
      </w:r>
      <w:r w:rsidRPr="00361664">
        <w:rPr>
          <w:rFonts w:asciiTheme="minorHAnsi" w:hAnsiTheme="minorHAnsi"/>
          <w:sz w:val="20"/>
          <w:szCs w:val="20"/>
        </w:rPr>
        <w:t>sektoraiinvesticija (Narodnenovine, br. 46/18 od 18. svibnja 2018.) za</w:t>
      </w:r>
      <w:r w:rsidR="00015585" w:rsidRPr="00361664">
        <w:rPr>
          <w:rFonts w:asciiTheme="minorHAnsi" w:hAnsiTheme="minorHAnsi"/>
          <w:sz w:val="20"/>
          <w:szCs w:val="20"/>
        </w:rPr>
        <w:t xml:space="preserve"> </w:t>
      </w:r>
      <w:r w:rsidRPr="00361664">
        <w:rPr>
          <w:rFonts w:asciiTheme="minorHAnsi" w:hAnsiTheme="minorHAnsi"/>
          <w:sz w:val="20"/>
          <w:szCs w:val="20"/>
        </w:rPr>
        <w:t>pravnog</w:t>
      </w:r>
      <w:r w:rsidR="00061E30" w:rsidRPr="00361664">
        <w:rPr>
          <w:rFonts w:asciiTheme="minorHAnsi" w:hAnsiTheme="minorHAnsi"/>
          <w:sz w:val="20"/>
          <w:szCs w:val="20"/>
        </w:rPr>
        <w:t xml:space="preserve"> </w:t>
      </w:r>
      <w:r w:rsidRPr="00361664">
        <w:rPr>
          <w:rFonts w:asciiTheme="minorHAnsi" w:hAnsiTheme="minorHAnsi"/>
          <w:sz w:val="20"/>
          <w:szCs w:val="20"/>
        </w:rPr>
        <w:t>nasljednika</w:t>
      </w:r>
      <w:r w:rsidR="00061E30" w:rsidRPr="00361664">
        <w:rPr>
          <w:rFonts w:asciiTheme="minorHAnsi" w:hAnsiTheme="minorHAnsi"/>
          <w:sz w:val="20"/>
          <w:szCs w:val="20"/>
        </w:rPr>
        <w:t xml:space="preserve"> </w:t>
      </w:r>
      <w:r w:rsidRPr="00361664">
        <w:rPr>
          <w:rFonts w:asciiTheme="minorHAnsi" w:hAnsiTheme="minorHAnsi"/>
          <w:sz w:val="20"/>
          <w:szCs w:val="20"/>
        </w:rPr>
        <w:t>određeno je Ministarstvuzaštite okoliša i energetik</w:t>
      </w:r>
      <w:r w:rsidR="00015585" w:rsidRPr="00361664">
        <w:rPr>
          <w:rFonts w:asciiTheme="minorHAnsi" w:hAnsiTheme="minorHAnsi"/>
          <w:sz w:val="20"/>
          <w:szCs w:val="20"/>
        </w:rPr>
        <w:t>e</w:t>
      </w:r>
      <w:r w:rsidRPr="00361664">
        <w:rPr>
          <w:rFonts w:asciiTheme="minorHAnsi" w:hAnsiTheme="minorHAnsi"/>
          <w:sz w:val="20"/>
          <w:szCs w:val="20"/>
        </w:rPr>
        <w:t xml:space="preserve"> tako da je NKT za</w:t>
      </w:r>
      <w:r w:rsidR="00061E30" w:rsidRPr="00361664">
        <w:rPr>
          <w:rFonts w:asciiTheme="minorHAnsi" w:hAnsiTheme="minorHAnsi"/>
          <w:sz w:val="20"/>
          <w:szCs w:val="20"/>
        </w:rPr>
        <w:t xml:space="preserve"> energetska </w:t>
      </w:r>
      <w:r w:rsidRPr="00361664">
        <w:rPr>
          <w:rFonts w:asciiTheme="minorHAnsi" w:hAnsiTheme="minorHAnsi"/>
          <w:sz w:val="20"/>
          <w:szCs w:val="20"/>
        </w:rPr>
        <w:t xml:space="preserve">učinkovitosti </w:t>
      </w:r>
      <w:r w:rsidR="00015585" w:rsidRPr="00361664">
        <w:rPr>
          <w:rFonts w:asciiTheme="minorHAnsi" w:hAnsiTheme="minorHAnsi"/>
          <w:sz w:val="20"/>
          <w:szCs w:val="20"/>
        </w:rPr>
        <w:t xml:space="preserve">i </w:t>
      </w:r>
      <w:r w:rsidRPr="00361664">
        <w:rPr>
          <w:rFonts w:asciiTheme="minorHAnsi" w:hAnsiTheme="minorHAnsi"/>
          <w:sz w:val="20"/>
          <w:szCs w:val="20"/>
        </w:rPr>
        <w:t>NKT za</w:t>
      </w:r>
      <w:r w:rsidR="00061E30" w:rsidRPr="00361664">
        <w:rPr>
          <w:rFonts w:asciiTheme="minorHAnsi" w:hAnsiTheme="minorHAnsi"/>
          <w:sz w:val="20"/>
          <w:szCs w:val="20"/>
        </w:rPr>
        <w:t xml:space="preserve"> </w:t>
      </w:r>
      <w:r w:rsidRPr="00361664">
        <w:rPr>
          <w:rFonts w:asciiTheme="minorHAnsi" w:hAnsiTheme="minorHAnsi"/>
          <w:sz w:val="20"/>
          <w:szCs w:val="20"/>
        </w:rPr>
        <w:t>alternativna</w:t>
      </w:r>
      <w:r w:rsidR="00061E30" w:rsidRPr="00361664">
        <w:rPr>
          <w:rFonts w:asciiTheme="minorHAnsi" w:hAnsiTheme="minorHAnsi"/>
          <w:sz w:val="20"/>
          <w:szCs w:val="20"/>
        </w:rPr>
        <w:t xml:space="preserve"> </w:t>
      </w:r>
      <w:r w:rsidRPr="00361664">
        <w:rPr>
          <w:rFonts w:asciiTheme="minorHAnsi" w:hAnsiTheme="minorHAnsi"/>
          <w:sz w:val="20"/>
          <w:szCs w:val="20"/>
        </w:rPr>
        <w:t>goriva</w:t>
      </w:r>
      <w:r w:rsidR="00061E30" w:rsidRPr="00361664">
        <w:rPr>
          <w:rFonts w:asciiTheme="minorHAnsi" w:hAnsiTheme="minorHAnsi"/>
          <w:sz w:val="20"/>
          <w:szCs w:val="20"/>
        </w:rPr>
        <w:t xml:space="preserve"> </w:t>
      </w:r>
      <w:r w:rsidRPr="00361664">
        <w:rPr>
          <w:rFonts w:asciiTheme="minorHAnsi" w:hAnsiTheme="minorHAnsi"/>
          <w:sz w:val="20"/>
          <w:szCs w:val="20"/>
        </w:rPr>
        <w:t>uspostavljeno u Upravi</w:t>
      </w:r>
      <w:r w:rsidR="00061E30" w:rsidRPr="00361664">
        <w:rPr>
          <w:rFonts w:asciiTheme="minorHAnsi" w:hAnsiTheme="minorHAnsi"/>
          <w:sz w:val="20"/>
          <w:szCs w:val="20"/>
        </w:rPr>
        <w:t xml:space="preserve"> </w:t>
      </w:r>
      <w:r w:rsidRPr="00361664">
        <w:rPr>
          <w:rFonts w:asciiTheme="minorHAnsi" w:hAnsiTheme="minorHAnsi"/>
          <w:sz w:val="20"/>
          <w:szCs w:val="20"/>
        </w:rPr>
        <w:t>za</w:t>
      </w:r>
      <w:r w:rsidR="00061E30" w:rsidRPr="00361664">
        <w:rPr>
          <w:rFonts w:asciiTheme="minorHAnsi" w:hAnsiTheme="minorHAnsi"/>
          <w:sz w:val="20"/>
          <w:szCs w:val="20"/>
        </w:rPr>
        <w:t xml:space="preserve"> energetik</w:t>
      </w:r>
      <w:r w:rsidR="00015585" w:rsidRPr="00361664">
        <w:rPr>
          <w:rFonts w:asciiTheme="minorHAnsi" w:hAnsiTheme="minorHAnsi"/>
          <w:sz w:val="20"/>
          <w:szCs w:val="20"/>
        </w:rPr>
        <w:t>u</w:t>
      </w:r>
      <w:r w:rsidR="00061E30" w:rsidRPr="00361664">
        <w:rPr>
          <w:rFonts w:asciiTheme="minorHAnsi" w:hAnsiTheme="minorHAnsi"/>
          <w:sz w:val="20"/>
          <w:szCs w:val="20"/>
        </w:rPr>
        <w:t xml:space="preserve"> </w:t>
      </w:r>
      <w:r w:rsidRPr="00361664">
        <w:rPr>
          <w:rFonts w:asciiTheme="minorHAnsi" w:hAnsiTheme="minorHAnsi"/>
          <w:sz w:val="20"/>
          <w:szCs w:val="20"/>
        </w:rPr>
        <w:t>pri</w:t>
      </w:r>
      <w:r w:rsidR="00061E30" w:rsidRPr="00361664">
        <w:rPr>
          <w:rFonts w:asciiTheme="minorHAnsi" w:hAnsiTheme="minorHAnsi"/>
          <w:sz w:val="20"/>
          <w:szCs w:val="20"/>
        </w:rPr>
        <w:t xml:space="preserve"> </w:t>
      </w:r>
      <w:r w:rsidRPr="00361664">
        <w:rPr>
          <w:rFonts w:asciiTheme="minorHAnsi" w:hAnsiTheme="minorHAnsi"/>
          <w:sz w:val="20"/>
          <w:szCs w:val="20"/>
        </w:rPr>
        <w:t>Ministarstvu</w:t>
      </w:r>
      <w:r w:rsidR="00061E30" w:rsidRPr="00361664">
        <w:rPr>
          <w:rFonts w:asciiTheme="minorHAnsi" w:hAnsiTheme="minorHAnsi"/>
          <w:sz w:val="20"/>
          <w:szCs w:val="20"/>
        </w:rPr>
        <w:t xml:space="preserve"> </w:t>
      </w:r>
      <w:r w:rsidRPr="00361664">
        <w:rPr>
          <w:rFonts w:asciiTheme="minorHAnsi" w:hAnsiTheme="minorHAnsi"/>
          <w:sz w:val="20"/>
          <w:szCs w:val="20"/>
        </w:rPr>
        <w:t>zaštite okoliša ienergetike, koje je ujedno</w:t>
      </w:r>
      <w:r w:rsidR="00061E30" w:rsidRPr="00361664">
        <w:rPr>
          <w:rFonts w:asciiTheme="minorHAnsi" w:hAnsiTheme="minorHAnsi"/>
          <w:sz w:val="20"/>
          <w:szCs w:val="20"/>
        </w:rPr>
        <w:t xml:space="preserve"> </w:t>
      </w:r>
      <w:r w:rsidRPr="00361664">
        <w:rPr>
          <w:rFonts w:asciiTheme="minorHAnsi" w:hAnsiTheme="minorHAnsi"/>
          <w:sz w:val="20"/>
          <w:szCs w:val="20"/>
        </w:rPr>
        <w:t>preuzelo</w:t>
      </w:r>
      <w:r w:rsidR="00061E30" w:rsidRPr="00361664">
        <w:rPr>
          <w:rFonts w:asciiTheme="minorHAnsi" w:hAnsiTheme="minorHAnsi"/>
          <w:sz w:val="20"/>
          <w:szCs w:val="20"/>
        </w:rPr>
        <w:t xml:space="preserve">  </w:t>
      </w:r>
      <w:r w:rsidRPr="00361664">
        <w:rPr>
          <w:rFonts w:asciiTheme="minorHAnsi" w:hAnsiTheme="minorHAnsi"/>
          <w:sz w:val="20"/>
          <w:szCs w:val="20"/>
        </w:rPr>
        <w:t>sve</w:t>
      </w:r>
      <w:r w:rsidR="00061E30" w:rsidRPr="00361664">
        <w:rPr>
          <w:rFonts w:asciiTheme="minorHAnsi" w:hAnsiTheme="minorHAnsi"/>
          <w:sz w:val="20"/>
          <w:szCs w:val="20"/>
        </w:rPr>
        <w:t xml:space="preserve"> </w:t>
      </w:r>
      <w:r w:rsidRPr="00361664">
        <w:rPr>
          <w:rFonts w:asciiTheme="minorHAnsi" w:hAnsiTheme="minorHAnsi"/>
          <w:sz w:val="20"/>
          <w:szCs w:val="20"/>
        </w:rPr>
        <w:t>poslove</w:t>
      </w:r>
      <w:r w:rsidR="00061E30" w:rsidRPr="00361664">
        <w:rPr>
          <w:rFonts w:asciiTheme="minorHAnsi" w:hAnsiTheme="minorHAnsi"/>
          <w:sz w:val="20"/>
          <w:szCs w:val="20"/>
        </w:rPr>
        <w:t xml:space="preserve"> </w:t>
      </w:r>
      <w:r w:rsidRPr="00361664">
        <w:rPr>
          <w:rFonts w:asciiTheme="minorHAnsi" w:hAnsiTheme="minorHAnsi"/>
          <w:sz w:val="20"/>
          <w:szCs w:val="20"/>
        </w:rPr>
        <w:t>koje je to tijelo</w:t>
      </w:r>
      <w:r w:rsidR="00061E30" w:rsidRPr="00361664">
        <w:rPr>
          <w:rFonts w:asciiTheme="minorHAnsi" w:hAnsiTheme="minorHAnsi"/>
          <w:sz w:val="20"/>
          <w:szCs w:val="20"/>
        </w:rPr>
        <w:t xml:space="preserve"> </w:t>
      </w:r>
      <w:r w:rsidRPr="00361664">
        <w:rPr>
          <w:rFonts w:asciiTheme="minorHAnsi" w:hAnsiTheme="minorHAnsi"/>
          <w:sz w:val="20"/>
          <w:szCs w:val="20"/>
        </w:rPr>
        <w:t>dužno</w:t>
      </w:r>
      <w:r w:rsidR="00061E30" w:rsidRPr="00361664">
        <w:rPr>
          <w:rFonts w:asciiTheme="minorHAnsi" w:hAnsiTheme="minorHAnsi"/>
          <w:sz w:val="20"/>
          <w:szCs w:val="20"/>
        </w:rPr>
        <w:t xml:space="preserve"> </w:t>
      </w:r>
      <w:r w:rsidRPr="00361664">
        <w:rPr>
          <w:rFonts w:asciiTheme="minorHAnsi" w:hAnsiTheme="minorHAnsi"/>
          <w:sz w:val="20"/>
          <w:szCs w:val="20"/>
        </w:rPr>
        <w:t>obavljati.</w:t>
      </w:r>
    </w:p>
    <w:p w:rsidR="003B7D52" w:rsidRPr="00361664" w:rsidRDefault="00015585" w:rsidP="003B7D52">
      <w:pPr>
        <w:spacing w:line="300" w:lineRule="atLeast"/>
        <w:jc w:val="both"/>
        <w:rPr>
          <w:rFonts w:asciiTheme="minorHAnsi" w:hAnsiTheme="minorHAnsi"/>
          <w:sz w:val="20"/>
          <w:szCs w:val="20"/>
        </w:rPr>
      </w:pPr>
      <w:r w:rsidRPr="00361664">
        <w:rPr>
          <w:rFonts w:asciiTheme="minorHAnsi" w:hAnsiTheme="minorHAnsi"/>
          <w:sz w:val="20"/>
          <w:szCs w:val="20"/>
        </w:rPr>
        <w:t xml:space="preserve">U </w:t>
      </w:r>
      <w:r w:rsidR="00563397" w:rsidRPr="00361664">
        <w:rPr>
          <w:rFonts w:asciiTheme="minorHAnsi" w:hAnsiTheme="minorHAnsi"/>
          <w:sz w:val="20"/>
          <w:szCs w:val="20"/>
        </w:rPr>
        <w:t>4. NAPEnU, n</w:t>
      </w:r>
      <w:r w:rsidR="00C91264" w:rsidRPr="00361664">
        <w:rPr>
          <w:rFonts w:asciiTheme="minorHAnsi" w:hAnsiTheme="minorHAnsi"/>
          <w:sz w:val="20"/>
          <w:szCs w:val="20"/>
        </w:rPr>
        <w:t xml:space="preserve">acionalni cilj </w:t>
      </w:r>
      <w:r w:rsidR="003B7D52" w:rsidRPr="00361664">
        <w:rPr>
          <w:rFonts w:asciiTheme="minorHAnsi" w:hAnsiTheme="minorHAnsi"/>
          <w:sz w:val="20"/>
          <w:szCs w:val="20"/>
        </w:rPr>
        <w:t xml:space="preserve">za 2020. je </w:t>
      </w:r>
      <w:r w:rsidRPr="00361664">
        <w:rPr>
          <w:rFonts w:asciiTheme="minorHAnsi" w:hAnsiTheme="minorHAnsi"/>
          <w:sz w:val="20"/>
          <w:szCs w:val="20"/>
        </w:rPr>
        <w:t xml:space="preserve">usklađen </w:t>
      </w:r>
      <w:r w:rsidR="00563397" w:rsidRPr="00361664">
        <w:rPr>
          <w:rFonts w:asciiTheme="minorHAnsi" w:hAnsiTheme="minorHAnsi"/>
          <w:sz w:val="20"/>
          <w:szCs w:val="20"/>
        </w:rPr>
        <w:t xml:space="preserve">s DEU, </w:t>
      </w:r>
      <w:r w:rsidR="003B7D52" w:rsidRPr="00361664">
        <w:rPr>
          <w:rFonts w:asciiTheme="minorHAnsi" w:hAnsiTheme="minorHAnsi"/>
          <w:sz w:val="20"/>
          <w:szCs w:val="20"/>
        </w:rPr>
        <w:t xml:space="preserve">te su revidirane projekcije tog cilja čime su se promijenile i uštede izražene u PJ [petajoule]. U drugom poglavlju dokumenta nalaze se podaci o nacionalnim ciljevima i postignutim uštedama </w:t>
      </w:r>
      <w:r w:rsidR="00563397" w:rsidRPr="00361664">
        <w:rPr>
          <w:rFonts w:asciiTheme="minorHAnsi" w:hAnsiTheme="minorHAnsi"/>
          <w:sz w:val="20"/>
          <w:szCs w:val="20"/>
        </w:rPr>
        <w:t xml:space="preserve">iz </w:t>
      </w:r>
      <w:r w:rsidR="003B7D52" w:rsidRPr="00361664">
        <w:rPr>
          <w:rFonts w:asciiTheme="minorHAnsi" w:hAnsiTheme="minorHAnsi"/>
          <w:sz w:val="20"/>
          <w:szCs w:val="20"/>
        </w:rPr>
        <w:t>3. NAPEnU. Okvirni nacionalni cilj prema članku 3. DEU, izražen kao očekivana neposredna i primarna potrošnja energije u 2020. godini, revidiran je sukladno posljednjim projekcijama neposredne i primarne potrošnje energije. Dan je pregled ostvarenih ušteda i napretka u ostvarenju nacionalnog cilja sukladno ESD prema kojem je potrebno ostvariti uštede od 19,77 PJ do 2016. godine u odnosu na 2007. godinu. Uz naveden</w:t>
      </w:r>
      <w:r w:rsidR="00563397" w:rsidRPr="00361664">
        <w:rPr>
          <w:rFonts w:asciiTheme="minorHAnsi" w:hAnsiTheme="minorHAnsi"/>
          <w:sz w:val="20"/>
          <w:szCs w:val="20"/>
        </w:rPr>
        <w:t>o</w:t>
      </w:r>
      <w:r w:rsidR="003B7D52" w:rsidRPr="00361664">
        <w:rPr>
          <w:rFonts w:asciiTheme="minorHAnsi" w:hAnsiTheme="minorHAnsi"/>
          <w:sz w:val="20"/>
          <w:szCs w:val="20"/>
        </w:rPr>
        <w:t xml:space="preserve">, važno je istaknuti nacionalni cilj povećanja energetske učinkovitosti prema članku 7. DEU koji je određen kao kumulativni cilj uštede energije u krajnjoj potrošnji u razdoblju od 2014. do 2020. godine i iznosi 54,250 PJ te nacionalni cilj povećanja </w:t>
      </w:r>
      <w:r w:rsidR="00711E33" w:rsidRPr="00361664">
        <w:rPr>
          <w:rFonts w:asciiTheme="minorHAnsi" w:hAnsiTheme="minorHAnsi"/>
          <w:sz w:val="20"/>
          <w:szCs w:val="20"/>
        </w:rPr>
        <w:t>energetske učinkovitosti prema č</w:t>
      </w:r>
      <w:r w:rsidR="003B7D52" w:rsidRPr="00361664">
        <w:rPr>
          <w:rFonts w:asciiTheme="minorHAnsi" w:hAnsiTheme="minorHAnsi"/>
          <w:sz w:val="20"/>
          <w:szCs w:val="20"/>
        </w:rPr>
        <w:t>lanku 5. DEU kojim je potrebno postići obnovu 3% ukupne površine poda grijanih i/ili hlađenih zgrada u vlasništvu i uporabi središnje vlasti i iznosi 0,00489 PJ godišnje.</w:t>
      </w:r>
    </w:p>
    <w:p w:rsidR="003B7D52" w:rsidRPr="00361664" w:rsidRDefault="003B7D52" w:rsidP="003B7D52">
      <w:pPr>
        <w:spacing w:line="300" w:lineRule="atLeast"/>
        <w:jc w:val="both"/>
        <w:rPr>
          <w:rFonts w:asciiTheme="minorHAnsi" w:hAnsiTheme="minorHAnsi"/>
          <w:sz w:val="20"/>
          <w:szCs w:val="20"/>
        </w:rPr>
      </w:pPr>
      <w:r w:rsidRPr="00361664">
        <w:rPr>
          <w:rFonts w:asciiTheme="minorHAnsi" w:hAnsiTheme="minorHAnsi"/>
          <w:sz w:val="20"/>
          <w:szCs w:val="20"/>
        </w:rPr>
        <w:lastRenderedPageBreak/>
        <w:t xml:space="preserve">Za razliku od metodologije korištene u 3. NAPEnU, metodologija korištena pri izračunu ušteda i projekcije ušteda u ovom dokumentu temelji se na novom Pravilniku o sustavu za praćenje, mjerenje i verifikaciju ušteda energije, iz lipnja 2015. godine, </w:t>
      </w:r>
      <w:r w:rsidR="00563397" w:rsidRPr="00361664">
        <w:rPr>
          <w:rFonts w:asciiTheme="minorHAnsi" w:hAnsiTheme="minorHAnsi"/>
          <w:sz w:val="20"/>
          <w:szCs w:val="20"/>
        </w:rPr>
        <w:t xml:space="preserve">donesenog </w:t>
      </w:r>
      <w:r w:rsidRPr="00361664">
        <w:rPr>
          <w:rFonts w:asciiTheme="minorHAnsi" w:hAnsiTheme="minorHAnsi"/>
          <w:sz w:val="20"/>
          <w:szCs w:val="20"/>
        </w:rPr>
        <w:t xml:space="preserve">na temelju članka 22. stavak 1. Zakona o energetskoj učinkovitosti (»Narodne novine«, broj 127/2014). Korištena metodologija usklađena je s međunarodnim EMEEES (engl. EvaluationandMonitoring for the EU Directive on Energy End-UseEfficiencyand Energy Services) smjernicama i međunarodnim protokolom IPMVP (engl. InternationalPerformanceMeasurementandVerificationProtocol). Također, korišteni su i bottom-up („odozdo prema gore“) i top-down („odozgo prema dolje“) izračuni no za službeni podatak uzeo se u obzir top-down izračun jer je bottom-up izračunom pokriven je samo manji dio ušteda. </w:t>
      </w:r>
    </w:p>
    <w:p w:rsidR="003B7D52" w:rsidRPr="00361664" w:rsidRDefault="003B7D52" w:rsidP="003B7D52">
      <w:pPr>
        <w:spacing w:line="300" w:lineRule="atLeast"/>
        <w:jc w:val="both"/>
        <w:rPr>
          <w:rFonts w:asciiTheme="minorHAnsi" w:hAnsiTheme="minorHAnsi"/>
          <w:sz w:val="20"/>
          <w:szCs w:val="20"/>
        </w:rPr>
      </w:pPr>
      <w:r w:rsidRPr="00361664">
        <w:rPr>
          <w:rFonts w:asciiTheme="minorHAnsi" w:hAnsiTheme="minorHAnsi"/>
          <w:sz w:val="20"/>
          <w:szCs w:val="20"/>
        </w:rPr>
        <w:t>Iako upute EK predviđaju posebno poglavlje za financiranje i uštede za svaki podskup mjera u 3. poglavlju, u ovom dokumentu svaka mjera zasebno ima detaljno opisano koji su izvori financiranja i projekcije uštede te se isto samo skraćeno i skupno navodilo pod za to predviđenim poglavljima nazvanim 'financiranje mjera' i 'uštede koje proizlaze iz mjera'.</w:t>
      </w:r>
    </w:p>
    <w:p w:rsidR="003B7D52" w:rsidRPr="00361664" w:rsidRDefault="003B7D52" w:rsidP="003B7D52">
      <w:pPr>
        <w:spacing w:line="300" w:lineRule="atLeast"/>
        <w:jc w:val="both"/>
        <w:rPr>
          <w:rFonts w:asciiTheme="minorHAnsi" w:hAnsiTheme="minorHAnsi"/>
          <w:sz w:val="20"/>
          <w:szCs w:val="20"/>
        </w:rPr>
      </w:pPr>
      <w:r w:rsidRPr="00361664">
        <w:rPr>
          <w:rFonts w:asciiTheme="minorHAnsi" w:hAnsiTheme="minorHAnsi"/>
          <w:sz w:val="20"/>
          <w:szCs w:val="20"/>
        </w:rPr>
        <w:t xml:space="preserve">U listopadu 2014. godine donesena je Direktiva 2014/94/EU </w:t>
      </w:r>
      <w:r w:rsidR="007C0841" w:rsidRPr="00361664">
        <w:rPr>
          <w:rFonts w:asciiTheme="minorHAnsi" w:hAnsiTheme="minorHAnsi"/>
          <w:sz w:val="20"/>
          <w:szCs w:val="20"/>
        </w:rPr>
        <w:t>Europskog parlamenta i Vijeća o</w:t>
      </w:r>
      <w:r w:rsidRPr="00361664">
        <w:rPr>
          <w:rFonts w:asciiTheme="minorHAnsi" w:hAnsiTheme="minorHAnsi"/>
          <w:sz w:val="20"/>
          <w:szCs w:val="20"/>
        </w:rPr>
        <w:t xml:space="preserve"> uspostavi infrastrukture za alternativna goriva. Sve države članice Europske unije dužne su donijeti zakone i druge propise potrebne za usklađivanje s Direktivom, Republika Hrvatska se odlučila na donošenje Zakona</w:t>
      </w:r>
      <w:r w:rsidR="00563397" w:rsidRPr="00361664">
        <w:rPr>
          <w:rFonts w:asciiTheme="minorHAnsi" w:hAnsiTheme="minorHAnsi"/>
          <w:sz w:val="20"/>
          <w:szCs w:val="20"/>
        </w:rPr>
        <w:t>kojim se uspostavilo NKT za alternativna goriva.</w:t>
      </w:r>
      <w:r w:rsidR="007C0841" w:rsidRPr="00361664">
        <w:rPr>
          <w:rFonts w:asciiTheme="minorHAnsi" w:hAnsiTheme="minorHAnsi"/>
          <w:sz w:val="20"/>
          <w:szCs w:val="20"/>
        </w:rPr>
        <w:t xml:space="preserve"> </w:t>
      </w:r>
      <w:r w:rsidRPr="00361664">
        <w:rPr>
          <w:rFonts w:asciiTheme="minorHAnsi" w:hAnsiTheme="minorHAnsi"/>
          <w:sz w:val="20"/>
          <w:szCs w:val="20"/>
        </w:rPr>
        <w:t>Zakonom se utvrđuje zajednički okvir mjera za uspostavljanje infrastrukture za alternativna goriva, kako bi se na najmanju moguću mjeru smanjila ovisnost o nafti i naftnim derivatima te ublažio nega</w:t>
      </w:r>
      <w:r w:rsidR="00061E30" w:rsidRPr="00361664">
        <w:rPr>
          <w:rFonts w:asciiTheme="minorHAnsi" w:hAnsiTheme="minorHAnsi"/>
          <w:sz w:val="20"/>
          <w:szCs w:val="20"/>
        </w:rPr>
        <w:t>tivan utjecaj prometa na okoliš.</w:t>
      </w:r>
    </w:p>
    <w:p w:rsidR="003B7D52" w:rsidRPr="00361664" w:rsidRDefault="003B7D52" w:rsidP="003B7D52">
      <w:pPr>
        <w:spacing w:after="0" w:line="300" w:lineRule="atLeast"/>
        <w:jc w:val="both"/>
        <w:rPr>
          <w:rFonts w:asciiTheme="minorHAnsi" w:hAnsiTheme="minorHAnsi"/>
          <w:sz w:val="20"/>
          <w:szCs w:val="20"/>
        </w:rPr>
      </w:pPr>
      <w:r w:rsidRPr="00361664">
        <w:rPr>
          <w:rFonts w:asciiTheme="minorHAnsi" w:hAnsiTheme="minorHAnsi"/>
          <w:sz w:val="20"/>
          <w:szCs w:val="20"/>
        </w:rPr>
        <w:t xml:space="preserve">Nacionalni okvir politike je strateški dokument kojim se određuje zajednički okvir mjera za razvoj tržišta u pogledu alternativnih goriva u sektoru prometa i za postavljanje odgovarajuće infrastrukture te kao takav daje općeniti prikaz mjera za uspostavu infrastrukturu za alternativna goriva, dok će se kompletan prikaz mjera na trogodišnjoj razini propisivati i revidirati u sklopu Nacionalnih akcijskih planova energetske učinkovitosti. Na ovaj način omogućeno je na provedbenoj razini propisivati mjere u kraćim vremenskim razdobljima od onih propisanih Direktivom te pratiti njihove učinke, revidirati ih i propisivati nove mjere ovisno o budućim potrebama RH što je viši zahtjev no što propisuje Direktiva o uspostavi infrastrukture za alternativna goriva. </w:t>
      </w:r>
    </w:p>
    <w:p w:rsidR="003B7D52" w:rsidRPr="00361664" w:rsidRDefault="003B7D52" w:rsidP="003B7D52">
      <w:pPr>
        <w:spacing w:after="0" w:line="300" w:lineRule="atLeast"/>
        <w:jc w:val="both"/>
        <w:rPr>
          <w:rFonts w:asciiTheme="minorHAnsi" w:hAnsiTheme="minorHAnsi"/>
          <w:sz w:val="20"/>
          <w:szCs w:val="20"/>
        </w:rPr>
      </w:pPr>
    </w:p>
    <w:p w:rsidR="003B7D52" w:rsidRPr="00361664" w:rsidRDefault="003B7D52" w:rsidP="003B7D52">
      <w:pPr>
        <w:spacing w:after="0" w:line="300" w:lineRule="atLeast"/>
        <w:jc w:val="both"/>
        <w:rPr>
          <w:rFonts w:asciiTheme="minorHAnsi" w:hAnsiTheme="minorHAnsi"/>
          <w:sz w:val="20"/>
          <w:szCs w:val="20"/>
        </w:rPr>
      </w:pPr>
      <w:r w:rsidRPr="00361664">
        <w:rPr>
          <w:rFonts w:asciiTheme="minorHAnsi" w:hAnsiTheme="minorHAnsi"/>
          <w:sz w:val="20"/>
          <w:szCs w:val="20"/>
        </w:rPr>
        <w:t>Mjere za uspostavu infrastrukture za alternativna goriva razvijene su u sklopu 4. NAPEnU te se na taj način usklađuju s provedbom politike energetske učinkovitosti i ublažavanja klimatskih promjena. Pregled navedenih mjera dan je u Dodatku 1.</w:t>
      </w:r>
    </w:p>
    <w:p w:rsidR="00BD4461" w:rsidRPr="00361664" w:rsidRDefault="00BD4461" w:rsidP="00651BCA">
      <w:pPr>
        <w:shd w:val="clear" w:color="auto" w:fill="FFFFFF"/>
        <w:spacing w:after="120"/>
        <w:jc w:val="both"/>
        <w:rPr>
          <w:rFonts w:asciiTheme="minorHAnsi" w:hAnsiTheme="minorHAnsi" w:cs="Arial"/>
          <w:color w:val="222222"/>
          <w:sz w:val="20"/>
          <w:szCs w:val="20"/>
          <w:lang w:eastAsia="hr-HR"/>
        </w:rPr>
      </w:pPr>
    </w:p>
    <w:p w:rsidR="003B7D52" w:rsidRPr="00361664" w:rsidRDefault="003B7D52" w:rsidP="00651BCA">
      <w:pPr>
        <w:shd w:val="clear" w:color="auto" w:fill="FFFFFF"/>
        <w:spacing w:after="120"/>
        <w:jc w:val="both"/>
        <w:rPr>
          <w:rFonts w:asciiTheme="minorHAnsi" w:hAnsiTheme="minorHAnsi" w:cs="Arial"/>
          <w:color w:val="222222"/>
          <w:sz w:val="20"/>
          <w:szCs w:val="20"/>
          <w:lang w:eastAsia="hr-HR"/>
        </w:rPr>
        <w:sectPr w:rsidR="003B7D52" w:rsidRPr="00361664" w:rsidSect="00981F92">
          <w:type w:val="continuous"/>
          <w:pgSz w:w="11906" w:h="16838" w:code="9"/>
          <w:pgMar w:top="1701" w:right="851" w:bottom="1418" w:left="851" w:header="624" w:footer="624" w:gutter="851"/>
          <w:cols w:space="720"/>
          <w:docGrid w:linePitch="299"/>
        </w:sectPr>
      </w:pPr>
    </w:p>
    <w:tbl>
      <w:tblPr>
        <w:tblW w:w="15027" w:type="dxa"/>
        <w:tblInd w:w="-318" w:type="dxa"/>
        <w:tblLayout w:type="fixed"/>
        <w:tblLook w:val="04A0" w:firstRow="1" w:lastRow="0" w:firstColumn="1" w:lastColumn="0" w:noHBand="0" w:noVBand="1"/>
      </w:tblPr>
      <w:tblGrid>
        <w:gridCol w:w="567"/>
        <w:gridCol w:w="1983"/>
        <w:gridCol w:w="1278"/>
        <w:gridCol w:w="993"/>
        <w:gridCol w:w="1275"/>
        <w:gridCol w:w="1273"/>
        <w:gridCol w:w="1418"/>
        <w:gridCol w:w="1418"/>
        <w:gridCol w:w="1418"/>
        <w:gridCol w:w="1418"/>
        <w:gridCol w:w="993"/>
        <w:gridCol w:w="993"/>
      </w:tblGrid>
      <w:tr w:rsidR="00417A9D" w:rsidRPr="00361664" w:rsidTr="00071B61">
        <w:trPr>
          <w:trHeight w:val="517"/>
          <w:tblHeader/>
        </w:trPr>
        <w:tc>
          <w:tcPr>
            <w:tcW w:w="15027" w:type="dxa"/>
            <w:gridSpan w:val="12"/>
            <w:tcBorders>
              <w:top w:val="single" w:sz="4" w:space="0" w:color="auto"/>
              <w:left w:val="single" w:sz="4" w:space="0" w:color="auto"/>
              <w:bottom w:val="single" w:sz="4" w:space="0" w:color="auto"/>
              <w:right w:val="single" w:sz="4" w:space="0" w:color="auto"/>
            </w:tcBorders>
            <w:shd w:val="clear" w:color="auto" w:fill="CCFFCC"/>
          </w:tcPr>
          <w:p w:rsidR="00417A9D" w:rsidRPr="00361664" w:rsidRDefault="00417A9D" w:rsidP="00D36D6F">
            <w:pPr>
              <w:spacing w:after="0"/>
              <w:rPr>
                <w:b/>
                <w:bCs/>
              </w:rPr>
            </w:pPr>
            <w:r w:rsidRPr="00361664">
              <w:rPr>
                <w:b/>
                <w:bCs/>
              </w:rPr>
              <w:lastRenderedPageBreak/>
              <w:t>Tablica 1-1. Pregled mjera u Četvrtom nacionalnom akcijskom planu energetske učinkovitosti</w:t>
            </w:r>
            <w:r w:rsidR="001F2780" w:rsidRPr="00361664">
              <w:rPr>
                <w:b/>
                <w:bCs/>
              </w:rPr>
              <w:t xml:space="preserve"> </w:t>
            </w:r>
          </w:p>
        </w:tc>
      </w:tr>
      <w:tr w:rsidR="00417A9D" w:rsidRPr="00361664" w:rsidTr="00361664">
        <w:trPr>
          <w:trHeight w:val="1806"/>
          <w:tblHeader/>
        </w:trPr>
        <w:tc>
          <w:tcPr>
            <w:tcW w:w="56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17A9D" w:rsidRPr="00361664" w:rsidRDefault="00417A9D" w:rsidP="00417A9D">
            <w:pPr>
              <w:spacing w:after="0"/>
              <w:jc w:val="center"/>
              <w:rPr>
                <w:b/>
                <w:bCs/>
                <w:sz w:val="20"/>
                <w:szCs w:val="20"/>
              </w:rPr>
            </w:pPr>
            <w:r w:rsidRPr="00361664">
              <w:rPr>
                <w:b/>
                <w:bCs/>
                <w:sz w:val="20"/>
                <w:szCs w:val="20"/>
              </w:rPr>
              <w:t>Br.</w:t>
            </w:r>
          </w:p>
        </w:tc>
        <w:tc>
          <w:tcPr>
            <w:tcW w:w="19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17A9D" w:rsidRPr="00361664" w:rsidRDefault="00417A9D" w:rsidP="00417A9D">
            <w:pPr>
              <w:spacing w:after="0"/>
              <w:jc w:val="center"/>
              <w:rPr>
                <w:b/>
                <w:bCs/>
                <w:sz w:val="20"/>
                <w:szCs w:val="20"/>
              </w:rPr>
            </w:pPr>
            <w:r w:rsidRPr="00361664">
              <w:rPr>
                <w:b/>
                <w:bCs/>
                <w:sz w:val="20"/>
                <w:szCs w:val="20"/>
              </w:rPr>
              <w:t>Naziv mjere</w:t>
            </w:r>
          </w:p>
        </w:tc>
        <w:tc>
          <w:tcPr>
            <w:tcW w:w="12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17A9D" w:rsidRPr="00361664" w:rsidRDefault="00417A9D" w:rsidP="00417A9D">
            <w:pPr>
              <w:spacing w:after="0"/>
              <w:jc w:val="center"/>
              <w:rPr>
                <w:b/>
                <w:bCs/>
                <w:sz w:val="20"/>
                <w:szCs w:val="20"/>
              </w:rPr>
            </w:pPr>
            <w:r w:rsidRPr="00361664">
              <w:rPr>
                <w:b/>
                <w:bCs/>
                <w:sz w:val="20"/>
                <w:szCs w:val="20"/>
              </w:rPr>
              <w:t>Izvršno tijelo</w:t>
            </w:r>
          </w:p>
        </w:tc>
        <w:tc>
          <w:tcPr>
            <w:tcW w:w="99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17A9D" w:rsidRPr="00361664" w:rsidRDefault="00417A9D" w:rsidP="00417A9D">
            <w:pPr>
              <w:spacing w:after="0"/>
              <w:jc w:val="center"/>
              <w:rPr>
                <w:b/>
                <w:bCs/>
                <w:sz w:val="20"/>
                <w:szCs w:val="20"/>
              </w:rPr>
            </w:pPr>
            <w:r w:rsidRPr="00361664">
              <w:rPr>
                <w:b/>
                <w:bCs/>
                <w:sz w:val="20"/>
                <w:szCs w:val="20"/>
              </w:rPr>
              <w:t>Sektor</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17A9D" w:rsidRPr="00361664" w:rsidRDefault="00417A9D" w:rsidP="00417A9D">
            <w:pPr>
              <w:spacing w:after="0"/>
              <w:jc w:val="center"/>
              <w:rPr>
                <w:b/>
                <w:bCs/>
                <w:sz w:val="20"/>
                <w:szCs w:val="20"/>
              </w:rPr>
            </w:pPr>
            <w:r w:rsidRPr="00361664">
              <w:rPr>
                <w:b/>
                <w:bCs/>
                <w:sz w:val="20"/>
                <w:szCs w:val="20"/>
              </w:rPr>
              <w:t>Financiranje iz Državnog proračuna (MZOE, MGIPU, APN, MINGO)</w:t>
            </w:r>
          </w:p>
          <w:p w:rsidR="00417A9D" w:rsidRPr="00361664" w:rsidRDefault="00417A9D" w:rsidP="00417A9D">
            <w:pPr>
              <w:spacing w:after="0"/>
              <w:jc w:val="center"/>
              <w:rPr>
                <w:b/>
                <w:bCs/>
                <w:sz w:val="20"/>
                <w:szCs w:val="20"/>
              </w:rPr>
            </w:pPr>
            <w:r w:rsidRPr="00361664">
              <w:rPr>
                <w:b/>
                <w:bCs/>
                <w:sz w:val="20"/>
                <w:szCs w:val="20"/>
              </w:rPr>
              <w:t>2017.-2019.</w:t>
            </w:r>
          </w:p>
        </w:tc>
        <w:tc>
          <w:tcPr>
            <w:tcW w:w="1273" w:type="dxa"/>
            <w:tcBorders>
              <w:top w:val="single" w:sz="4" w:space="0" w:color="auto"/>
              <w:left w:val="nil"/>
              <w:bottom w:val="single" w:sz="4" w:space="0" w:color="auto"/>
              <w:right w:val="single" w:sz="4" w:space="0" w:color="auto"/>
            </w:tcBorders>
            <w:shd w:val="clear" w:color="auto" w:fill="CCFFCC"/>
            <w:vAlign w:val="center"/>
            <w:hideMark/>
          </w:tcPr>
          <w:p w:rsidR="00417A9D" w:rsidRPr="00361664" w:rsidRDefault="00417A9D" w:rsidP="00417A9D">
            <w:pPr>
              <w:spacing w:after="0" w:line="240" w:lineRule="auto"/>
              <w:jc w:val="center"/>
              <w:rPr>
                <w:b/>
                <w:bCs/>
                <w:sz w:val="20"/>
                <w:szCs w:val="20"/>
                <w:lang w:eastAsia="hr-HR"/>
              </w:rPr>
            </w:pPr>
            <w:r w:rsidRPr="00361664">
              <w:rPr>
                <w:b/>
                <w:bCs/>
                <w:sz w:val="20"/>
                <w:szCs w:val="20"/>
                <w:lang w:eastAsia="hr-HR"/>
              </w:rPr>
              <w:t>Financiranje iz proračuna FZOEU</w:t>
            </w:r>
          </w:p>
          <w:p w:rsidR="00417A9D" w:rsidRPr="00361664" w:rsidRDefault="00417A9D" w:rsidP="00417A9D">
            <w:pPr>
              <w:spacing w:after="0" w:line="240" w:lineRule="auto"/>
              <w:jc w:val="center"/>
              <w:rPr>
                <w:b/>
                <w:bCs/>
                <w:sz w:val="20"/>
                <w:szCs w:val="20"/>
                <w:lang w:eastAsia="hr-HR"/>
              </w:rPr>
            </w:pPr>
            <w:r w:rsidRPr="00361664">
              <w:rPr>
                <w:b/>
                <w:bCs/>
                <w:sz w:val="20"/>
                <w:szCs w:val="20"/>
              </w:rPr>
              <w:t>2017.-2019.</w:t>
            </w:r>
          </w:p>
        </w:tc>
        <w:tc>
          <w:tcPr>
            <w:tcW w:w="1418" w:type="dxa"/>
            <w:tcBorders>
              <w:top w:val="single" w:sz="4" w:space="0" w:color="auto"/>
              <w:left w:val="nil"/>
              <w:bottom w:val="single" w:sz="4" w:space="0" w:color="auto"/>
              <w:right w:val="single" w:sz="4" w:space="0" w:color="auto"/>
            </w:tcBorders>
            <w:shd w:val="clear" w:color="auto" w:fill="CCFFCC"/>
            <w:vAlign w:val="center"/>
            <w:hideMark/>
          </w:tcPr>
          <w:p w:rsidR="00417A9D" w:rsidRPr="00361664" w:rsidRDefault="00417A9D" w:rsidP="00417A9D">
            <w:pPr>
              <w:spacing w:after="0" w:line="240" w:lineRule="auto"/>
              <w:jc w:val="center"/>
              <w:rPr>
                <w:b/>
                <w:bCs/>
                <w:sz w:val="20"/>
                <w:szCs w:val="20"/>
                <w:lang w:eastAsia="hr-HR"/>
              </w:rPr>
            </w:pPr>
            <w:r w:rsidRPr="00361664">
              <w:rPr>
                <w:b/>
                <w:bCs/>
                <w:sz w:val="20"/>
                <w:szCs w:val="20"/>
                <w:lang w:eastAsia="hr-HR"/>
              </w:rPr>
              <w:t>Financiranje iz drugih proračuna (HEP GRUPA, JANAF)</w:t>
            </w:r>
          </w:p>
          <w:p w:rsidR="00417A9D" w:rsidRPr="00361664" w:rsidRDefault="00417A9D" w:rsidP="00417A9D">
            <w:pPr>
              <w:spacing w:after="0" w:line="240" w:lineRule="auto"/>
              <w:jc w:val="center"/>
              <w:rPr>
                <w:b/>
                <w:bCs/>
                <w:sz w:val="20"/>
                <w:szCs w:val="20"/>
                <w:lang w:eastAsia="hr-HR"/>
              </w:rPr>
            </w:pPr>
            <w:r w:rsidRPr="00361664">
              <w:rPr>
                <w:b/>
                <w:bCs/>
                <w:sz w:val="20"/>
                <w:szCs w:val="20"/>
              </w:rPr>
              <w:t>2017.-2019.</w:t>
            </w:r>
          </w:p>
        </w:tc>
        <w:tc>
          <w:tcPr>
            <w:tcW w:w="1418" w:type="dxa"/>
            <w:tcBorders>
              <w:top w:val="single" w:sz="4" w:space="0" w:color="auto"/>
              <w:left w:val="nil"/>
              <w:bottom w:val="single" w:sz="4" w:space="0" w:color="auto"/>
              <w:right w:val="single" w:sz="4" w:space="0" w:color="auto"/>
            </w:tcBorders>
            <w:shd w:val="clear" w:color="auto" w:fill="CCFFCC"/>
            <w:vAlign w:val="center"/>
            <w:hideMark/>
          </w:tcPr>
          <w:p w:rsidR="00417A9D" w:rsidRPr="00361664" w:rsidRDefault="00417A9D" w:rsidP="001F2780">
            <w:pPr>
              <w:spacing w:after="0" w:line="240" w:lineRule="auto"/>
              <w:jc w:val="center"/>
              <w:rPr>
                <w:b/>
                <w:bCs/>
                <w:sz w:val="20"/>
                <w:szCs w:val="20"/>
                <w:lang w:eastAsia="hr-HR"/>
              </w:rPr>
            </w:pPr>
            <w:r w:rsidRPr="00361664">
              <w:rPr>
                <w:b/>
                <w:bCs/>
                <w:sz w:val="20"/>
                <w:szCs w:val="20"/>
                <w:lang w:eastAsia="hr-HR"/>
              </w:rPr>
              <w:t>Ukupno financiranje do kraja 2019.</w:t>
            </w:r>
          </w:p>
        </w:tc>
        <w:tc>
          <w:tcPr>
            <w:tcW w:w="1418" w:type="dxa"/>
            <w:tcBorders>
              <w:top w:val="single" w:sz="4" w:space="0" w:color="auto"/>
              <w:left w:val="single" w:sz="4" w:space="0" w:color="auto"/>
              <w:bottom w:val="single" w:sz="4" w:space="0" w:color="auto"/>
              <w:right w:val="single" w:sz="4" w:space="0" w:color="auto"/>
            </w:tcBorders>
            <w:shd w:val="clear" w:color="auto" w:fill="CCFFCC"/>
            <w:vAlign w:val="center"/>
          </w:tcPr>
          <w:p w:rsidR="00417A9D" w:rsidRPr="00361664" w:rsidRDefault="00417A9D" w:rsidP="00417A9D">
            <w:pPr>
              <w:spacing w:after="0"/>
              <w:jc w:val="center"/>
              <w:rPr>
                <w:b/>
                <w:bCs/>
                <w:sz w:val="20"/>
                <w:szCs w:val="20"/>
              </w:rPr>
            </w:pPr>
            <w:r w:rsidRPr="00361664">
              <w:rPr>
                <w:b/>
                <w:bCs/>
                <w:sz w:val="20"/>
                <w:szCs w:val="20"/>
              </w:rPr>
              <w:t>Financiranje iz Državnog proračuna  2019.</w:t>
            </w:r>
          </w:p>
        </w:tc>
        <w:tc>
          <w:tcPr>
            <w:tcW w:w="1418" w:type="dxa"/>
            <w:tcBorders>
              <w:top w:val="single" w:sz="4" w:space="0" w:color="auto"/>
              <w:left w:val="single" w:sz="4" w:space="0" w:color="auto"/>
              <w:bottom w:val="single" w:sz="4" w:space="0" w:color="auto"/>
              <w:right w:val="single" w:sz="4" w:space="0" w:color="auto"/>
            </w:tcBorders>
            <w:shd w:val="clear" w:color="auto" w:fill="CCFFCC"/>
            <w:vAlign w:val="center"/>
          </w:tcPr>
          <w:p w:rsidR="00417A9D" w:rsidRPr="00361664" w:rsidRDefault="00417A9D" w:rsidP="00417A9D">
            <w:pPr>
              <w:spacing w:after="0"/>
              <w:jc w:val="center"/>
              <w:rPr>
                <w:b/>
                <w:bCs/>
                <w:sz w:val="20"/>
                <w:szCs w:val="20"/>
              </w:rPr>
            </w:pPr>
            <w:r w:rsidRPr="00361664">
              <w:rPr>
                <w:b/>
                <w:bCs/>
                <w:sz w:val="20"/>
                <w:szCs w:val="20"/>
              </w:rPr>
              <w:t>Financijski plan</w:t>
            </w:r>
          </w:p>
          <w:p w:rsidR="00417A9D" w:rsidRPr="00361664" w:rsidRDefault="00417A9D" w:rsidP="00417A9D">
            <w:pPr>
              <w:spacing w:after="0"/>
              <w:jc w:val="center"/>
              <w:rPr>
                <w:b/>
                <w:bCs/>
                <w:sz w:val="20"/>
                <w:szCs w:val="20"/>
              </w:rPr>
            </w:pPr>
            <w:r w:rsidRPr="00361664">
              <w:rPr>
                <w:b/>
                <w:bCs/>
                <w:sz w:val="20"/>
                <w:szCs w:val="20"/>
              </w:rPr>
              <w:t>FZOEU</w:t>
            </w:r>
          </w:p>
          <w:p w:rsidR="00417A9D" w:rsidRPr="00361664" w:rsidRDefault="00417A9D" w:rsidP="00417A9D">
            <w:pPr>
              <w:spacing w:after="0"/>
              <w:jc w:val="center"/>
              <w:rPr>
                <w:b/>
                <w:bCs/>
                <w:sz w:val="20"/>
                <w:szCs w:val="20"/>
              </w:rPr>
            </w:pPr>
            <w:r w:rsidRPr="00361664">
              <w:rPr>
                <w:b/>
                <w:bCs/>
                <w:sz w:val="20"/>
                <w:szCs w:val="20"/>
              </w:rPr>
              <w:t>2019.</w:t>
            </w:r>
          </w:p>
        </w:tc>
        <w:tc>
          <w:tcPr>
            <w:tcW w:w="99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17A9D" w:rsidRPr="00361664" w:rsidRDefault="00417A9D" w:rsidP="00417A9D">
            <w:pPr>
              <w:spacing w:after="0"/>
              <w:jc w:val="center"/>
              <w:rPr>
                <w:b/>
                <w:bCs/>
                <w:sz w:val="16"/>
                <w:szCs w:val="20"/>
              </w:rPr>
            </w:pPr>
            <w:r w:rsidRPr="00361664">
              <w:rPr>
                <w:b/>
                <w:bCs/>
                <w:sz w:val="16"/>
                <w:szCs w:val="20"/>
              </w:rPr>
              <w:t>Očekivane uštede energije do kraja  2019. (TJ)</w:t>
            </w:r>
          </w:p>
        </w:tc>
        <w:tc>
          <w:tcPr>
            <w:tcW w:w="99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17A9D" w:rsidRPr="00361664" w:rsidRDefault="00417A9D" w:rsidP="00417A9D">
            <w:pPr>
              <w:spacing w:after="0"/>
              <w:jc w:val="center"/>
              <w:rPr>
                <w:b/>
                <w:bCs/>
                <w:sz w:val="16"/>
                <w:szCs w:val="20"/>
              </w:rPr>
            </w:pPr>
            <w:r w:rsidRPr="00361664">
              <w:rPr>
                <w:b/>
                <w:bCs/>
                <w:sz w:val="16"/>
                <w:szCs w:val="20"/>
              </w:rPr>
              <w:t>Očekivane uštede energije do kraja  2020. (TJ)</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H.1</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color w:val="FF0000"/>
                <w:sz w:val="16"/>
                <w:szCs w:val="16"/>
                <w:lang w:eastAsia="hr-HR"/>
              </w:rPr>
            </w:pPr>
            <w:r w:rsidRPr="00361664">
              <w:rPr>
                <w:rFonts w:asciiTheme="minorHAnsi" w:hAnsiTheme="minorHAnsi" w:cstheme="minorHAnsi"/>
                <w:sz w:val="16"/>
                <w:szCs w:val="16"/>
                <w:lang w:eastAsia="hr-HR"/>
              </w:rPr>
              <w:t>Informativni računi (Energetska dijagnoza)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Distributeri, opskrbljivači, HERA, MZOE</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BA520A">
            <w:pPr>
              <w:spacing w:after="0" w:line="240" w:lineRule="auto"/>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Kućanstvo, uslužni sektor,</w:t>
            </w:r>
          </w:p>
          <w:p w:rsidR="00417A9D" w:rsidRPr="00361664" w:rsidRDefault="00417A9D" w:rsidP="00BA520A">
            <w:pPr>
              <w:spacing w:after="0" w:line="240" w:lineRule="auto"/>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H.2</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Info kampanje i promocija energetskih usluga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NKT</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Svi sektori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H.3</w:t>
            </w:r>
          </w:p>
        </w:tc>
        <w:tc>
          <w:tcPr>
            <w:tcW w:w="1983" w:type="dxa"/>
            <w:tcBorders>
              <w:top w:val="nil"/>
              <w:left w:val="nil"/>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Izgradnja kapaciteta za suzbijanje energetskog siromaštva</w:t>
            </w:r>
          </w:p>
        </w:tc>
        <w:tc>
          <w:tcPr>
            <w:tcW w:w="1278" w:type="dxa"/>
            <w:tcBorders>
              <w:top w:val="nil"/>
              <w:left w:val="nil"/>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FZOEU</w:t>
            </w:r>
          </w:p>
        </w:tc>
        <w:tc>
          <w:tcPr>
            <w:tcW w:w="993" w:type="dxa"/>
            <w:tcBorders>
              <w:top w:val="nil"/>
              <w:left w:val="nil"/>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Svi sektori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500.000,00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500.000,00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500.000,00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H.4</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Obrazovanje u području energetske učinkovitosti</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MGIPU</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Svi sektori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sz w:val="16"/>
                <w:szCs w:val="16"/>
                <w:lang w:eastAsia="hr-HR"/>
              </w:rPr>
              <w:t>556.250,00</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sz w:val="16"/>
                <w:szCs w:val="16"/>
                <w:lang w:eastAsia="hr-HR"/>
              </w:rPr>
              <w:t>556.250,00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253.250,00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H.5</w:t>
            </w:r>
          </w:p>
        </w:tc>
        <w:tc>
          <w:tcPr>
            <w:tcW w:w="1983" w:type="dxa"/>
            <w:tcBorders>
              <w:top w:val="nil"/>
              <w:left w:val="nil"/>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Program za suzbijanje energetskog siromaštva</w:t>
            </w:r>
          </w:p>
        </w:tc>
        <w:tc>
          <w:tcPr>
            <w:tcW w:w="1278" w:type="dxa"/>
            <w:tcBorders>
              <w:top w:val="nil"/>
              <w:left w:val="nil"/>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MZOE, FZOEU</w:t>
            </w:r>
          </w:p>
        </w:tc>
        <w:tc>
          <w:tcPr>
            <w:tcW w:w="993" w:type="dxa"/>
            <w:tcBorders>
              <w:top w:val="nil"/>
              <w:left w:val="nil"/>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Kućanstvo</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650.000,00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strike/>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650.000,00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650.000,00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5,4</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H.6</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Uspostavljanje integriranog informacijskog sustava za praćenje provedbe energetske učinkovitosti</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MZOE</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Svi sektori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B.1</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Građevinska regulativa i provedba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MGIPU</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31110">
            <w:pPr>
              <w:spacing w:after="0" w:line="240" w:lineRule="auto"/>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Kućanstvo, uslužni sektor,</w:t>
            </w:r>
          </w:p>
          <w:p w:rsidR="00417A9D" w:rsidRPr="00361664" w:rsidRDefault="00417A9D" w:rsidP="00031110">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2.686.250,00</w:t>
            </w:r>
          </w:p>
        </w:tc>
        <w:tc>
          <w:tcPr>
            <w:tcW w:w="127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2.686.250,00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505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505</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B.2</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Povećanje broja zgrada s gotovo nultom potrošnjom energije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MGIPU</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31110">
            <w:pPr>
              <w:spacing w:after="0" w:line="240" w:lineRule="auto"/>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Kućanstvo, uslužni sektor,</w:t>
            </w:r>
          </w:p>
          <w:p w:rsidR="00417A9D" w:rsidRPr="00361664" w:rsidRDefault="00417A9D" w:rsidP="00031110">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107425">
            <w:pPr>
              <w:spacing w:after="0" w:line="240" w:lineRule="auto"/>
              <w:jc w:val="center"/>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78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lastRenderedPageBreak/>
              <w:t>B.3</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Poticanje integralne obnove višestambenih zgrada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MGIPU, upravitelji zgrada, dist</w:t>
            </w:r>
            <w:r w:rsidR="00361664">
              <w:rPr>
                <w:rFonts w:asciiTheme="minorHAnsi" w:hAnsiTheme="minorHAnsi" w:cstheme="minorHAnsi"/>
                <w:sz w:val="16"/>
                <w:szCs w:val="16"/>
                <w:lang w:eastAsia="hr-HR"/>
              </w:rPr>
              <w:t>ributeri i opskrbljivači topl. e</w:t>
            </w:r>
            <w:r w:rsidRPr="00361664">
              <w:rPr>
                <w:rFonts w:asciiTheme="minorHAnsi" w:hAnsiTheme="minorHAnsi" w:cstheme="minorHAnsi"/>
                <w:sz w:val="16"/>
                <w:szCs w:val="16"/>
                <w:lang w:eastAsia="hr-HR"/>
              </w:rPr>
              <w:t>n.</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Kućanstvo</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343.699.098,00</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343.699.098,00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137.000.000,00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1095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1460</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B.4</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Povećanje energetske učinkovitosti i korištenja OIE u privatnom uslužnom sektoru (turizam i trgovina)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MZOE i FZOEU</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Uslužni</w:t>
            </w:r>
          </w:p>
        </w:tc>
        <w:tc>
          <w:tcPr>
            <w:tcW w:w="1275"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strike/>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trike/>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5555E">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100</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B.5</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Program energetske obnove obiteljskih kuća 2014. - 2020.</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MGIPU i MRRFEU</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5555E">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color w:val="000000"/>
                <w:sz w:val="16"/>
                <w:szCs w:val="16"/>
                <w:lang w:eastAsia="hr-HR"/>
              </w:rPr>
              <w:t>Kućanstvo</w:t>
            </w:r>
          </w:p>
        </w:tc>
        <w:tc>
          <w:tcPr>
            <w:tcW w:w="1275"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sz w:val="16"/>
                <w:szCs w:val="16"/>
                <w:lang w:eastAsia="hr-HR"/>
              </w:rPr>
            </w:pPr>
            <w:r w:rsidRPr="00361664">
              <w:rPr>
                <w:rFonts w:asciiTheme="minorHAnsi" w:hAnsiTheme="minorHAnsi" w:cstheme="minorHAnsi"/>
                <w:sz w:val="16"/>
                <w:szCs w:val="16"/>
                <w:lang w:eastAsia="hr-HR"/>
              </w:rPr>
              <w:t>60.000.000,00</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60.000.000,00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60.000.000,00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36</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B.6</w:t>
            </w:r>
          </w:p>
        </w:tc>
        <w:tc>
          <w:tcPr>
            <w:tcW w:w="1983" w:type="dxa"/>
            <w:tcBorders>
              <w:top w:val="nil"/>
              <w:left w:val="nil"/>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Energetska obnova zgrada i zamjena rasvjete u sklopu HEP grupe</w:t>
            </w:r>
          </w:p>
        </w:tc>
        <w:tc>
          <w:tcPr>
            <w:tcW w:w="1278" w:type="dxa"/>
            <w:tcBorders>
              <w:top w:val="nil"/>
              <w:left w:val="nil"/>
              <w:bottom w:val="single" w:sz="4" w:space="0" w:color="auto"/>
              <w:right w:val="single" w:sz="4" w:space="0" w:color="auto"/>
            </w:tcBorders>
            <w:shd w:val="clear" w:color="auto" w:fill="auto"/>
            <w:vAlign w:val="center"/>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HEP-Proizvodnja d.o.o</w:t>
            </w:r>
          </w:p>
        </w:tc>
        <w:tc>
          <w:tcPr>
            <w:tcW w:w="993" w:type="dxa"/>
            <w:tcBorders>
              <w:top w:val="nil"/>
              <w:left w:val="nil"/>
              <w:bottom w:val="single" w:sz="4" w:space="0" w:color="auto"/>
              <w:right w:val="single" w:sz="4" w:space="0" w:color="auto"/>
            </w:tcBorders>
            <w:shd w:val="clear" w:color="auto" w:fill="auto"/>
            <w:vAlign w:val="center"/>
          </w:tcPr>
          <w:p w:rsidR="00417A9D" w:rsidRPr="00361664" w:rsidRDefault="00417A9D" w:rsidP="0005555E">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r w:rsidRPr="00361664">
              <w:rPr>
                <w:rFonts w:asciiTheme="minorHAnsi" w:hAnsiTheme="minorHAnsi" w:cstheme="minorHAnsi"/>
                <w:sz w:val="16"/>
                <w:szCs w:val="16"/>
                <w:lang w:eastAsia="hr-HR"/>
              </w:rPr>
              <w:t>27.672.859,00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27.672.859,00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strike/>
                <w:color w:val="000000"/>
                <w:sz w:val="16"/>
                <w:szCs w:val="16"/>
                <w:lang w:eastAsia="hr-HR"/>
              </w:rPr>
            </w:pPr>
            <w:r w:rsidRPr="00361664">
              <w:rPr>
                <w:rFonts w:asciiTheme="minorHAnsi" w:hAnsiTheme="minorHAnsi" w:cstheme="minorHAnsi"/>
                <w:sz w:val="16"/>
                <w:szCs w:val="16"/>
                <w:lang w:eastAsia="hr-HR"/>
              </w:rPr>
              <w:t>11,79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strike/>
                <w:color w:val="000000"/>
                <w:sz w:val="16"/>
                <w:szCs w:val="16"/>
                <w:lang w:eastAsia="hr-HR"/>
              </w:rPr>
            </w:pPr>
            <w:r w:rsidRPr="00361664">
              <w:rPr>
                <w:rFonts w:asciiTheme="minorHAnsi" w:hAnsiTheme="minorHAnsi" w:cstheme="minorHAnsi"/>
                <w:sz w:val="16"/>
                <w:szCs w:val="16"/>
                <w:lang w:eastAsia="hr-HR"/>
              </w:rPr>
              <w:t>21,53</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P.1</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Produžetak financiranja Programa energetske obnove zgrada javnog sektora 2014.-2015.</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51BCA">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MGIPU, FZOEU i APN</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Uslužni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sz w:val="16"/>
                <w:szCs w:val="16"/>
                <w:lang w:eastAsia="hr-HR"/>
              </w:rPr>
              <w:t>16.379.723,00</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r w:rsidRPr="00361664">
              <w:rPr>
                <w:rFonts w:asciiTheme="minorHAnsi" w:hAnsiTheme="minorHAnsi" w:cstheme="minorHAnsi"/>
                <w:sz w:val="16"/>
                <w:szCs w:val="16"/>
                <w:lang w:eastAsia="hr-HR"/>
              </w:rPr>
              <w:t>32.600.620,00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z w:val="16"/>
                <w:szCs w:val="16"/>
                <w:lang w:eastAsia="hr-HR"/>
              </w:rPr>
            </w:pPr>
            <w:r w:rsidRPr="00361664">
              <w:rPr>
                <w:rFonts w:asciiTheme="minorHAnsi" w:hAnsiTheme="minorHAnsi" w:cstheme="minorHAnsi"/>
                <w:sz w:val="16"/>
                <w:szCs w:val="16"/>
                <w:lang w:eastAsia="hr-HR"/>
              </w:rPr>
              <w:t>48.980.343,00</w:t>
            </w:r>
          </w:p>
        </w:tc>
        <w:tc>
          <w:tcPr>
            <w:tcW w:w="1418" w:type="dxa"/>
            <w:tcBorders>
              <w:top w:val="single" w:sz="4" w:space="0" w:color="auto"/>
              <w:left w:val="nil"/>
              <w:bottom w:val="single" w:sz="4" w:space="0" w:color="auto"/>
              <w:right w:val="single" w:sz="4" w:space="0" w:color="auto"/>
            </w:tcBorders>
            <w:vAlign w:val="center"/>
          </w:tcPr>
          <w:p w:rsidR="007E5E05" w:rsidRPr="00361664" w:rsidRDefault="007E5E05" w:rsidP="007E5E05">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4.100.000,00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110</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P.2</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Program energetske obnove zgrada javnog sektora 2016.-2020.</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MGIPU, FZOEU i APN</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color w:val="000000"/>
                <w:sz w:val="16"/>
                <w:szCs w:val="16"/>
                <w:lang w:eastAsia="hr-HR"/>
              </w:rPr>
              <w:t>Uslužni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r w:rsidRPr="00361664">
              <w:rPr>
                <w:rFonts w:asciiTheme="minorHAnsi" w:hAnsiTheme="minorHAnsi" w:cstheme="minorHAnsi"/>
                <w:sz w:val="16"/>
                <w:szCs w:val="16"/>
                <w:lang w:eastAsia="hr-HR"/>
              </w:rPr>
              <w:t>207.187.632,00</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r w:rsidRPr="00361664">
              <w:rPr>
                <w:rFonts w:asciiTheme="minorHAnsi" w:hAnsiTheme="minorHAnsi" w:cstheme="minorHAnsi"/>
                <w:sz w:val="16"/>
                <w:szCs w:val="16"/>
                <w:lang w:eastAsia="hr-HR"/>
              </w:rPr>
              <w:t>21.962.476,00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trike/>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z w:val="16"/>
                <w:szCs w:val="16"/>
                <w:lang w:eastAsia="hr-HR"/>
              </w:rPr>
            </w:pPr>
            <w:r w:rsidRPr="00361664">
              <w:rPr>
                <w:rFonts w:asciiTheme="minorHAnsi" w:hAnsiTheme="minorHAnsi" w:cstheme="minorHAnsi"/>
                <w:sz w:val="16"/>
                <w:szCs w:val="16"/>
                <w:lang w:eastAsia="hr-HR"/>
              </w:rPr>
              <w:t>229.150.108,00</w:t>
            </w:r>
          </w:p>
        </w:tc>
        <w:tc>
          <w:tcPr>
            <w:tcW w:w="1418" w:type="dxa"/>
            <w:tcBorders>
              <w:top w:val="single" w:sz="4" w:space="0" w:color="auto"/>
              <w:left w:val="nil"/>
              <w:bottom w:val="single" w:sz="4" w:space="0" w:color="auto"/>
              <w:right w:val="single" w:sz="4" w:space="0" w:color="auto"/>
            </w:tcBorders>
            <w:vAlign w:val="center"/>
          </w:tcPr>
          <w:p w:rsidR="007E5E05" w:rsidRPr="00361664" w:rsidRDefault="007E5E05" w:rsidP="007E5E05">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123.000.000,00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79,2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4B237D">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122,4</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P.3</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Sustavno gospodarenje energijom u javnom sektoru</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APN  i NKT</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Uslužni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sz w:val="16"/>
                <w:szCs w:val="16"/>
                <w:lang w:eastAsia="hr-HR"/>
              </w:rPr>
              <w:t>6.579.327,00</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sz w:val="16"/>
                <w:szCs w:val="16"/>
                <w:lang w:eastAsia="hr-HR"/>
              </w:rPr>
              <w:t>6.579.327,00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900.000,00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1052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1387</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P.4</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Program „Energetski učinkovita javna rasvjeta“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1A4DA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MZOE, NKT i FZOEU</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color w:val="000000"/>
                <w:sz w:val="16"/>
                <w:szCs w:val="16"/>
                <w:lang w:eastAsia="hr-HR"/>
              </w:rPr>
              <w:t>Uslužni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trike/>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181B67">
            <w:pPr>
              <w:spacing w:after="0" w:line="240" w:lineRule="auto"/>
              <w:jc w:val="center"/>
              <w:rPr>
                <w:rFonts w:asciiTheme="minorHAnsi" w:hAnsiTheme="minorHAnsi" w:cstheme="minorHAnsi"/>
                <w:strike/>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D208C4">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118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D208C4">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136</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lastRenderedPageBreak/>
              <w:t>P.5</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„Zelena“ javna nabava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MZOE, MINGO, Državni ured za javnu nabavu i NKT</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Uslužni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Definirano NAP ZeJN</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B95B98">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I.1</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Mreža industrijske energetske efikasnosti (MIEE)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FZOEU, NKT i HGK</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070682">
            <w:pPr>
              <w:spacing w:after="0" w:line="240" w:lineRule="auto"/>
              <w:jc w:val="both"/>
              <w:rPr>
                <w:rFonts w:asciiTheme="minorHAnsi" w:hAnsiTheme="minorHAnsi" w:cstheme="minorHAnsi"/>
                <w:strike/>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30.000,00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96B06">
            <w:pPr>
              <w:spacing w:after="0" w:line="240" w:lineRule="auto"/>
              <w:jc w:val="center"/>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6971FF">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 xml:space="preserve">30.000,00 </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30.000,00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B95B98">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I.2</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Poboljšanje energetske učinkovitosti u industrijskim proizvodnim postrojenjima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 xml:space="preserve">MZOE i FZOEU </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70682">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6971FF">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sz w:val="16"/>
                <w:szCs w:val="16"/>
                <w:lang w:eastAsia="hr-HR"/>
              </w:rPr>
              <w:t>27.684.396,00</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2.500.000,00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6971FF">
            <w:pPr>
              <w:spacing w:after="0" w:line="240" w:lineRule="auto"/>
              <w:jc w:val="right"/>
              <w:rPr>
                <w:rFonts w:asciiTheme="minorHAnsi" w:hAnsiTheme="minorHAnsi" w:cstheme="minorHAnsi"/>
                <w:sz w:val="16"/>
                <w:szCs w:val="16"/>
                <w:lang w:eastAsia="hr-HR"/>
              </w:rPr>
            </w:pPr>
            <w:r w:rsidRPr="00361664">
              <w:rPr>
                <w:rFonts w:asciiTheme="minorHAnsi" w:hAnsiTheme="minorHAnsi" w:cstheme="minorHAnsi"/>
                <w:sz w:val="16"/>
                <w:szCs w:val="16"/>
                <w:lang w:eastAsia="hr-HR"/>
              </w:rPr>
              <w:t>30.184.396,00</w:t>
            </w:r>
          </w:p>
        </w:tc>
        <w:tc>
          <w:tcPr>
            <w:tcW w:w="1418" w:type="dxa"/>
            <w:tcBorders>
              <w:top w:val="single" w:sz="4" w:space="0" w:color="auto"/>
              <w:left w:val="nil"/>
              <w:bottom w:val="single" w:sz="4" w:space="0" w:color="auto"/>
              <w:right w:val="single" w:sz="4" w:space="0" w:color="auto"/>
            </w:tcBorders>
            <w:vAlign w:val="center"/>
          </w:tcPr>
          <w:p w:rsidR="007E5E05" w:rsidRPr="00361664" w:rsidRDefault="007E5E05" w:rsidP="007E5E05">
            <w:pPr>
              <w:spacing w:after="0" w:line="240" w:lineRule="auto"/>
              <w:jc w:val="center"/>
              <w:rPr>
                <w:rFonts w:asciiTheme="minorHAnsi" w:hAnsiTheme="minorHAnsi" w:cstheme="minorHAnsi"/>
                <w:sz w:val="16"/>
                <w:szCs w:val="16"/>
                <w:lang w:eastAsia="hr-HR"/>
              </w:rPr>
            </w:pPr>
            <w:r w:rsidRPr="00361664">
              <w:rPr>
                <w:rFonts w:asciiTheme="minorHAnsi" w:hAnsiTheme="minorHAnsi" w:cstheme="minorHAnsi"/>
                <w:sz w:val="16"/>
                <w:szCs w:val="16"/>
                <w:lang w:eastAsia="hr-HR"/>
              </w:rPr>
              <w:t>12.039.018,00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D208C4">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D208C4">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110</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C604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T.1</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C604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Trening eko-vožnje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C604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FZOEU i NKT</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C604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Promet</w:t>
            </w:r>
          </w:p>
        </w:tc>
        <w:tc>
          <w:tcPr>
            <w:tcW w:w="1275"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1F2780"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860.000,00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1F2780" w:rsidP="006971FF">
            <w:pPr>
              <w:spacing w:after="0" w:line="240" w:lineRule="auto"/>
              <w:jc w:val="right"/>
              <w:rPr>
                <w:rFonts w:asciiTheme="minorHAnsi" w:hAnsiTheme="minorHAnsi" w:cstheme="minorHAnsi"/>
                <w:strike/>
                <w:color w:val="000000"/>
                <w:sz w:val="16"/>
                <w:szCs w:val="16"/>
                <w:lang w:eastAsia="hr-HR"/>
              </w:rPr>
            </w:pPr>
            <w:r w:rsidRPr="00361664">
              <w:rPr>
                <w:rFonts w:asciiTheme="minorHAnsi" w:hAnsiTheme="minorHAnsi" w:cstheme="minorHAnsi"/>
                <w:color w:val="000000"/>
                <w:sz w:val="16"/>
                <w:szCs w:val="16"/>
                <w:lang w:eastAsia="hr-HR"/>
              </w:rPr>
              <w:t>860.000,00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860.000,00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C604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30,97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0C604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46,45</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0C604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T.2</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C604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Zakonodavna prilagodba odredbi o uspostavi infrastrukture za alternativna goriva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C604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MMPI, MZOIE, MGIPU,  MINFIN, MUP</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0C604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Promet</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971FF">
            <w:pPr>
              <w:spacing w:after="0" w:line="240" w:lineRule="auto"/>
              <w:jc w:val="right"/>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C604F">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A9D" w:rsidRPr="00361664" w:rsidRDefault="00417A9D" w:rsidP="000C604F">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T.3</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Promicanje integriranog i inteligentnog prometa i razvoj infrastrukture za alternativna goriva na lokalnoj i područnoj razini</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FZOEU i JLP(R)S</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Promet</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21.242.900,00</w:t>
            </w: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971FF">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21.242.900,00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7E5E05"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16.803</w:t>
            </w:r>
            <w:r w:rsidR="009937BE" w:rsidRPr="00361664">
              <w:rPr>
                <w:rFonts w:asciiTheme="minorHAnsi" w:hAnsiTheme="minorHAnsi" w:cstheme="minorHAnsi"/>
                <w:color w:val="000000"/>
                <w:sz w:val="16"/>
                <w:szCs w:val="16"/>
                <w:lang w:eastAsia="hr-HR"/>
              </w:rPr>
              <w:t>.000,00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210,8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415,1</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T.4</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Financijski poticaji za energetski učinkovita vozila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FZOEU</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Promet</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17.386.200,00</w:t>
            </w: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6971FF">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17.386.200,00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9937BE"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12.042.000,00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7,71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12</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224926">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T.5</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24926">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Razvoj infrastrukture za alternativna goriva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FZOEU i JLP(R)S</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224926">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Promet</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484FA1">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21.268.900,00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1A5168" w:rsidP="006971FF">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21.268</w:t>
            </w:r>
            <w:r w:rsidR="00417A9D" w:rsidRPr="00361664">
              <w:rPr>
                <w:rFonts w:asciiTheme="minorHAnsi" w:hAnsiTheme="minorHAnsi" w:cstheme="minorHAnsi"/>
                <w:color w:val="000000"/>
                <w:sz w:val="16"/>
                <w:szCs w:val="16"/>
                <w:lang w:eastAsia="hr-HR"/>
              </w:rPr>
              <w:t>.900,00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9937BE" w:rsidP="007E5E05">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17.098.000,00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224926">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224926">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lastRenderedPageBreak/>
              <w:t>T.6</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Uspostava posebnog poreza na motorna vozila na temelju emisija CO</w:t>
            </w:r>
            <w:r w:rsidRPr="00361664">
              <w:rPr>
                <w:rFonts w:asciiTheme="minorHAnsi" w:hAnsiTheme="minorHAnsi" w:cstheme="minorHAnsi"/>
                <w:sz w:val="16"/>
                <w:szCs w:val="16"/>
                <w:vertAlign w:val="subscript"/>
                <w:lang w:eastAsia="hr-HR"/>
              </w:rPr>
              <w:t>2</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MZOE i CHV</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Promet</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6971FF">
            <w:pPr>
              <w:spacing w:after="0" w:line="240" w:lineRule="auto"/>
              <w:jc w:val="right"/>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176</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T.7</w:t>
            </w:r>
          </w:p>
        </w:tc>
        <w:tc>
          <w:tcPr>
            <w:tcW w:w="198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ELEN strateški projekt HEP grupe</w:t>
            </w:r>
          </w:p>
        </w:tc>
        <w:tc>
          <w:tcPr>
            <w:tcW w:w="1278"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HEP grupa</w:t>
            </w:r>
          </w:p>
        </w:tc>
        <w:tc>
          <w:tcPr>
            <w:tcW w:w="99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Promet</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sz w:val="16"/>
                <w:szCs w:val="16"/>
                <w:lang w:eastAsia="hr-HR"/>
              </w:rPr>
              <w:t>31.157.724,40</w:t>
            </w: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2E6754" w:rsidP="00251CB4">
            <w:pPr>
              <w:spacing w:after="0" w:line="240" w:lineRule="auto"/>
              <w:jc w:val="right"/>
              <w:rPr>
                <w:rFonts w:asciiTheme="minorHAnsi" w:hAnsiTheme="minorHAnsi" w:cstheme="minorHAnsi"/>
                <w:sz w:val="16"/>
                <w:szCs w:val="16"/>
                <w:lang w:eastAsia="hr-HR"/>
              </w:rPr>
            </w:pPr>
            <w:r>
              <w:rPr>
                <w:rFonts w:asciiTheme="minorHAnsi" w:hAnsiTheme="minorHAnsi" w:cstheme="minorHAnsi"/>
                <w:sz w:val="16"/>
                <w:szCs w:val="16"/>
                <w:lang w:eastAsia="hr-HR"/>
              </w:rPr>
              <w:t>20.000.000,00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2E6754" w:rsidP="006971FF">
            <w:pPr>
              <w:spacing w:after="0" w:line="240" w:lineRule="auto"/>
              <w:jc w:val="right"/>
              <w:rPr>
                <w:rFonts w:asciiTheme="minorHAnsi" w:hAnsiTheme="minorHAnsi" w:cstheme="minorHAnsi"/>
                <w:sz w:val="16"/>
                <w:szCs w:val="16"/>
                <w:lang w:eastAsia="hr-HR"/>
              </w:rPr>
            </w:pPr>
            <w:r>
              <w:rPr>
                <w:rFonts w:asciiTheme="minorHAnsi" w:hAnsiTheme="minorHAnsi" w:cstheme="minorHAnsi"/>
                <w:sz w:val="16"/>
                <w:szCs w:val="16"/>
                <w:lang w:eastAsia="hr-HR"/>
              </w:rPr>
              <w:t>51.157.724</w:t>
            </w:r>
            <w:r w:rsidR="00417A9D" w:rsidRPr="00361664">
              <w:rPr>
                <w:rFonts w:asciiTheme="minorHAnsi" w:hAnsiTheme="minorHAnsi" w:cstheme="minorHAnsi"/>
                <w:sz w:val="16"/>
                <w:szCs w:val="16"/>
                <w:lang w:eastAsia="hr-HR"/>
              </w:rPr>
              <w:t>,40</w:t>
            </w:r>
          </w:p>
        </w:tc>
        <w:tc>
          <w:tcPr>
            <w:tcW w:w="1418" w:type="dxa"/>
            <w:tcBorders>
              <w:top w:val="single" w:sz="4" w:space="0" w:color="auto"/>
              <w:left w:val="nil"/>
              <w:bottom w:val="single" w:sz="4" w:space="0" w:color="auto"/>
              <w:right w:val="single" w:sz="4" w:space="0" w:color="auto"/>
            </w:tcBorders>
            <w:vAlign w:val="center"/>
          </w:tcPr>
          <w:p w:rsidR="009937BE" w:rsidRPr="00361664" w:rsidRDefault="009937BE" w:rsidP="009937B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20.000.000,00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HC.1</w:t>
            </w:r>
          </w:p>
        </w:tc>
        <w:tc>
          <w:tcPr>
            <w:tcW w:w="198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Detaljno mapiranje energetskog sustava</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 xml:space="preserve"> MZOE, MGIPU, FSB, HGI i DGU</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Svi sektori</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1.100.000,00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 xml:space="preserve">1.100.000,00 </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9937BE" w:rsidP="009937BE">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1.000.000,00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6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E.1</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Poboljšanje učinkovitosti smanjenjem vlastite potrošnje u hidroelektranama (HE), termoelektranama (TE) i termoelektranama-toplanama  (TE-TO) unutar HEP grupe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HEP-Proizvodnja d.o.o. Sektori za hidroelektrane i termoelektrane</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82.095.721,00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82.095.721,00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162,5</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E.2</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Poboljšanje učinkovitosti revitalizacijom postojećih hidroelektrana u sklopu  HEP grupe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361664">
            <w:pPr>
              <w:spacing w:after="0" w:line="240" w:lineRule="auto"/>
              <w:rPr>
                <w:rFonts w:asciiTheme="minorHAnsi" w:hAnsiTheme="minorHAnsi" w:cstheme="minorHAnsi"/>
                <w:sz w:val="16"/>
                <w:szCs w:val="16"/>
                <w:lang w:eastAsia="hr-HR"/>
              </w:rPr>
            </w:pPr>
            <w:r w:rsidRPr="00361664">
              <w:rPr>
                <w:rFonts w:asciiTheme="minorHAnsi" w:hAnsiTheme="minorHAnsi" w:cstheme="minorHAnsi"/>
                <w:sz w:val="16"/>
                <w:szCs w:val="16"/>
                <w:lang w:eastAsia="hr-HR"/>
              </w:rPr>
              <w:t>HEP-Proizvodnja d.o.o. Sektor za hidroelektrane</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135.703.065,00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135.703.065,00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216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435,6</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E.3</w:t>
            </w:r>
          </w:p>
        </w:tc>
        <w:tc>
          <w:tcPr>
            <w:tcW w:w="198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Program „Smanjenje specifične potrošnje topline turbine 210 MW TE PLOMIN“</w:t>
            </w:r>
          </w:p>
        </w:tc>
        <w:tc>
          <w:tcPr>
            <w:tcW w:w="1278"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HEP-Proizvodnja d.o.o. Sektor za termoelektrane</w:t>
            </w:r>
          </w:p>
        </w:tc>
        <w:tc>
          <w:tcPr>
            <w:tcW w:w="99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40.396.869,00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40.396.869,00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E.4</w:t>
            </w:r>
          </w:p>
        </w:tc>
        <w:tc>
          <w:tcPr>
            <w:tcW w:w="198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 xml:space="preserve">Ugradnja novih mjerenja temperature i gubitaka energije </w:t>
            </w:r>
          </w:p>
        </w:tc>
        <w:tc>
          <w:tcPr>
            <w:tcW w:w="1278"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HEP-Proizvodnja d.o.o. Sektor za termoelektrane</w:t>
            </w:r>
          </w:p>
        </w:tc>
        <w:tc>
          <w:tcPr>
            <w:tcW w:w="99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982.648,00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982.648,00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lastRenderedPageBreak/>
              <w:t>E.5.</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Poboljšanje energetske učinkovitosti u istraživanju i proizvodnji nafte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INA d.d.</w:t>
            </w:r>
          </w:p>
        </w:tc>
        <w:tc>
          <w:tcPr>
            <w:tcW w:w="99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36,72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55,8</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E.6</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Poboljšanje energetske učinkovitosti u preradi nafte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INA d.d.</w:t>
            </w:r>
          </w:p>
        </w:tc>
        <w:tc>
          <w:tcPr>
            <w:tcW w:w="99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rFonts w:asciiTheme="minorHAnsi" w:hAnsiTheme="minorHAnsi" w:cstheme="minorHAnsi"/>
                <w:color w:val="000000"/>
                <w:sz w:val="16"/>
                <w:szCs w:val="16"/>
                <w:lang w:eastAsia="hr-HR"/>
              </w:rPr>
            </w:pP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1980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1980</w:t>
            </w:r>
          </w:p>
        </w:tc>
      </w:tr>
      <w:tr w:rsidR="00417A9D" w:rsidRPr="00361664" w:rsidTr="00361664">
        <w:trPr>
          <w:trHeight w:val="6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E.7</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Zamjene i rekonstrukcije vrelovodne i parovodne mreže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sz w:val="16"/>
                <w:szCs w:val="16"/>
                <w:lang w:eastAsia="hr-HR"/>
              </w:rPr>
            </w:pPr>
            <w:r w:rsidRPr="00361664">
              <w:rPr>
                <w:rFonts w:asciiTheme="minorHAnsi" w:hAnsiTheme="minorHAnsi" w:cstheme="minorHAnsi"/>
                <w:sz w:val="16"/>
                <w:szCs w:val="16"/>
                <w:lang w:eastAsia="hr-HR"/>
              </w:rPr>
              <w:t>HEP-Toplinarstvo d.o.o.</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rFonts w:asciiTheme="minorHAnsi" w:hAnsiTheme="minorHAnsi" w:cstheme="minorHAnsi"/>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rFonts w:asciiTheme="minorHAnsi" w:hAnsiTheme="minorHAnsi" w:cstheme="minorHAnsi"/>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2E6754" w:rsidP="00251CB4">
            <w:pPr>
              <w:spacing w:after="0" w:line="240" w:lineRule="auto"/>
              <w:jc w:val="right"/>
              <w:rPr>
                <w:rFonts w:asciiTheme="minorHAnsi" w:hAnsiTheme="minorHAnsi" w:cstheme="minorHAnsi"/>
                <w:strike/>
                <w:sz w:val="16"/>
                <w:szCs w:val="16"/>
                <w:lang w:eastAsia="hr-HR"/>
              </w:rPr>
            </w:pPr>
            <w:r>
              <w:rPr>
                <w:rFonts w:asciiTheme="minorHAnsi" w:hAnsiTheme="minorHAnsi" w:cstheme="minorHAnsi"/>
                <w:sz w:val="16"/>
                <w:szCs w:val="16"/>
                <w:lang w:eastAsia="hr-HR"/>
              </w:rPr>
              <w:t>77.934.637,00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2E6754" w:rsidP="00A50B4D">
            <w:pPr>
              <w:spacing w:after="0" w:line="240" w:lineRule="auto"/>
              <w:jc w:val="right"/>
              <w:rPr>
                <w:rFonts w:asciiTheme="minorHAnsi" w:hAnsiTheme="minorHAnsi" w:cstheme="minorHAnsi"/>
                <w:strike/>
                <w:sz w:val="16"/>
                <w:szCs w:val="16"/>
                <w:lang w:eastAsia="hr-HR"/>
              </w:rPr>
            </w:pPr>
            <w:r>
              <w:rPr>
                <w:rFonts w:asciiTheme="minorHAnsi" w:hAnsiTheme="minorHAnsi" w:cstheme="minorHAnsi"/>
                <w:sz w:val="16"/>
                <w:szCs w:val="16"/>
                <w:lang w:eastAsia="hr-HR"/>
              </w:rPr>
              <w:t>77.934.637,00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43,7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strike/>
                <w:sz w:val="16"/>
                <w:szCs w:val="16"/>
                <w:lang w:eastAsia="hr-HR"/>
              </w:rPr>
            </w:pPr>
            <w:r w:rsidRPr="00361664">
              <w:rPr>
                <w:rFonts w:asciiTheme="minorHAnsi" w:hAnsiTheme="minorHAnsi" w:cstheme="minorHAnsi"/>
                <w:sz w:val="16"/>
                <w:szCs w:val="16"/>
                <w:lang w:eastAsia="hr-HR"/>
              </w:rPr>
              <w:t>67,9</w:t>
            </w:r>
          </w:p>
        </w:tc>
      </w:tr>
      <w:tr w:rsidR="00417A9D" w:rsidRPr="00361664" w:rsidTr="00361664">
        <w:trPr>
          <w:trHeight w:val="46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sz w:val="16"/>
                <w:szCs w:val="16"/>
                <w:lang w:eastAsia="hr-HR"/>
              </w:rPr>
            </w:pPr>
            <w:r w:rsidRPr="00361664">
              <w:rPr>
                <w:sz w:val="16"/>
                <w:szCs w:val="16"/>
                <w:lang w:eastAsia="hr-HR"/>
              </w:rPr>
              <w:t>E.8</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sz w:val="16"/>
                <w:szCs w:val="16"/>
                <w:lang w:eastAsia="hr-HR"/>
              </w:rPr>
            </w:pPr>
            <w:r w:rsidRPr="00361664">
              <w:rPr>
                <w:sz w:val="16"/>
                <w:szCs w:val="16"/>
                <w:lang w:eastAsia="hr-HR"/>
              </w:rPr>
              <w:t>Mjere vezane za vođenje pogona elektroenergetskog sustava te kratkoročni i dugoročni razvoj prijenosne mreže</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sz w:val="16"/>
                <w:szCs w:val="16"/>
                <w:lang w:eastAsia="hr-HR"/>
              </w:rPr>
            </w:pPr>
            <w:r w:rsidRPr="00361664">
              <w:rPr>
                <w:sz w:val="16"/>
                <w:szCs w:val="16"/>
                <w:lang w:eastAsia="hr-HR"/>
              </w:rPr>
              <w:t>HOPS</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center"/>
              <w:rPr>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strike/>
                <w:color w:val="000000"/>
                <w:sz w:val="16"/>
                <w:szCs w:val="16"/>
                <w:lang w:eastAsia="hr-HR"/>
              </w:rPr>
            </w:pPr>
            <w:r w:rsidRPr="00361664">
              <w:rPr>
                <w:color w:val="000000"/>
                <w:sz w:val="16"/>
                <w:szCs w:val="16"/>
                <w:lang w:eastAsia="hr-HR"/>
              </w:rPr>
              <w:t>261.851.530,00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color w:val="000000"/>
                <w:sz w:val="16"/>
                <w:szCs w:val="16"/>
                <w:lang w:eastAsia="hr-HR"/>
              </w:rPr>
            </w:pPr>
            <w:r w:rsidRPr="00361664">
              <w:rPr>
                <w:color w:val="000000"/>
                <w:sz w:val="16"/>
                <w:szCs w:val="16"/>
                <w:lang w:eastAsia="hr-HR"/>
              </w:rPr>
              <w:t xml:space="preserve">261.851.530,00 </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rFonts w:asciiTheme="minorHAnsi" w:hAnsiTheme="minorHAnsi" w:cstheme="minorHAnsi"/>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174,96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rFonts w:asciiTheme="minorHAnsi" w:hAnsiTheme="minorHAnsi" w:cstheme="minorHAnsi"/>
                <w:color w:val="000000"/>
                <w:sz w:val="16"/>
                <w:szCs w:val="16"/>
                <w:lang w:eastAsia="hr-HR"/>
              </w:rPr>
            </w:pPr>
            <w:r w:rsidRPr="00361664">
              <w:rPr>
                <w:rFonts w:asciiTheme="minorHAnsi" w:hAnsiTheme="minorHAnsi" w:cstheme="minorHAnsi"/>
                <w:color w:val="000000"/>
                <w:sz w:val="16"/>
                <w:szCs w:val="16"/>
                <w:lang w:eastAsia="hr-HR"/>
              </w:rPr>
              <w:t>285,12</w:t>
            </w:r>
          </w:p>
        </w:tc>
      </w:tr>
      <w:tr w:rsidR="00417A9D" w:rsidRPr="00361664" w:rsidTr="00361664">
        <w:trPr>
          <w:trHeight w:val="49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sz w:val="16"/>
                <w:szCs w:val="16"/>
                <w:lang w:eastAsia="hr-HR"/>
              </w:rPr>
            </w:pPr>
            <w:r w:rsidRPr="00361664">
              <w:rPr>
                <w:sz w:val="16"/>
                <w:szCs w:val="16"/>
                <w:lang w:eastAsia="hr-HR"/>
              </w:rPr>
              <w:t>E.9</w:t>
            </w:r>
          </w:p>
        </w:tc>
        <w:tc>
          <w:tcPr>
            <w:tcW w:w="198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sz w:val="16"/>
                <w:szCs w:val="16"/>
                <w:lang w:eastAsia="hr-HR"/>
              </w:rPr>
            </w:pPr>
            <w:r w:rsidRPr="00361664">
              <w:rPr>
                <w:sz w:val="16"/>
                <w:szCs w:val="16"/>
                <w:lang w:eastAsia="hr-HR"/>
              </w:rPr>
              <w:t>Smanjenje gubitaka u distribucijskoj elektroenergetskoj mreži</w:t>
            </w:r>
          </w:p>
        </w:tc>
        <w:tc>
          <w:tcPr>
            <w:tcW w:w="1278"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sz w:val="16"/>
                <w:szCs w:val="16"/>
                <w:lang w:eastAsia="hr-HR"/>
              </w:rPr>
            </w:pPr>
            <w:r w:rsidRPr="00361664">
              <w:rPr>
                <w:sz w:val="16"/>
                <w:szCs w:val="16"/>
                <w:lang w:eastAsia="hr-HR"/>
              </w:rPr>
              <w:t>HEP ODS</w:t>
            </w:r>
          </w:p>
        </w:tc>
        <w:tc>
          <w:tcPr>
            <w:tcW w:w="993" w:type="dxa"/>
            <w:tcBorders>
              <w:top w:val="nil"/>
              <w:left w:val="nil"/>
              <w:bottom w:val="single" w:sz="4"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both"/>
              <w:rPr>
                <w:color w:val="000000"/>
                <w:sz w:val="16"/>
                <w:szCs w:val="16"/>
                <w:lang w:eastAsia="hr-HR"/>
              </w:rPr>
            </w:pPr>
          </w:p>
        </w:tc>
        <w:tc>
          <w:tcPr>
            <w:tcW w:w="1273" w:type="dxa"/>
            <w:tcBorders>
              <w:top w:val="nil"/>
              <w:left w:val="nil"/>
              <w:bottom w:val="single" w:sz="4" w:space="0" w:color="auto"/>
              <w:right w:val="single" w:sz="4" w:space="0" w:color="auto"/>
            </w:tcBorders>
            <w:shd w:val="clear" w:color="auto" w:fill="auto"/>
            <w:vAlign w:val="center"/>
          </w:tcPr>
          <w:p w:rsidR="00417A9D" w:rsidRPr="00361664" w:rsidRDefault="00417A9D" w:rsidP="00A03F6F">
            <w:pPr>
              <w:spacing w:after="0" w:line="240" w:lineRule="auto"/>
              <w:jc w:val="center"/>
              <w:rPr>
                <w:color w:val="000000"/>
                <w:sz w:val="16"/>
                <w:szCs w:val="16"/>
                <w:lang w:eastAsia="hr-HR"/>
              </w:rPr>
            </w:pP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251CB4">
            <w:pPr>
              <w:spacing w:after="0" w:line="240" w:lineRule="auto"/>
              <w:jc w:val="right"/>
              <w:rPr>
                <w:strike/>
                <w:color w:val="000000"/>
                <w:sz w:val="16"/>
                <w:szCs w:val="16"/>
                <w:lang w:eastAsia="hr-HR"/>
              </w:rPr>
            </w:pPr>
            <w:r w:rsidRPr="00361664">
              <w:rPr>
                <w:color w:val="000000"/>
                <w:sz w:val="16"/>
                <w:szCs w:val="16"/>
                <w:lang w:eastAsia="hr-HR"/>
              </w:rPr>
              <w:t>50.632.330,00</w:t>
            </w:r>
          </w:p>
        </w:tc>
        <w:tc>
          <w:tcPr>
            <w:tcW w:w="1418" w:type="dxa"/>
            <w:tcBorders>
              <w:top w:val="nil"/>
              <w:left w:val="nil"/>
              <w:bottom w:val="single" w:sz="4" w:space="0" w:color="auto"/>
              <w:right w:val="single" w:sz="4" w:space="0" w:color="auto"/>
            </w:tcBorders>
            <w:shd w:val="clear" w:color="auto" w:fill="auto"/>
            <w:vAlign w:val="center"/>
          </w:tcPr>
          <w:p w:rsidR="00417A9D" w:rsidRPr="00361664" w:rsidRDefault="00417A9D" w:rsidP="00A50B4D">
            <w:pPr>
              <w:spacing w:after="0" w:line="240" w:lineRule="auto"/>
              <w:jc w:val="right"/>
              <w:rPr>
                <w:color w:val="000000"/>
                <w:sz w:val="16"/>
                <w:szCs w:val="16"/>
                <w:lang w:eastAsia="hr-HR"/>
              </w:rPr>
            </w:pPr>
            <w:r w:rsidRPr="00361664">
              <w:rPr>
                <w:color w:val="000000"/>
                <w:sz w:val="16"/>
                <w:szCs w:val="16"/>
                <w:lang w:eastAsia="hr-HR"/>
              </w:rPr>
              <w:t>50.632.330,00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color w:val="000000"/>
                <w:sz w:val="16"/>
                <w:szCs w:val="16"/>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color w:val="000000"/>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color w:val="000000"/>
                <w:sz w:val="16"/>
                <w:szCs w:val="16"/>
                <w:lang w:eastAsia="hr-HR"/>
              </w:rPr>
            </w:pPr>
            <w:r w:rsidRPr="00361664">
              <w:rPr>
                <w:color w:val="000000"/>
                <w:sz w:val="16"/>
                <w:szCs w:val="16"/>
                <w:lang w:eastAsia="hr-HR"/>
              </w:rPr>
              <w:t>108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color w:val="000000"/>
                <w:sz w:val="16"/>
                <w:szCs w:val="16"/>
                <w:lang w:eastAsia="hr-HR"/>
              </w:rPr>
            </w:pPr>
            <w:r w:rsidRPr="00361664">
              <w:rPr>
                <w:color w:val="000000"/>
                <w:sz w:val="16"/>
                <w:szCs w:val="16"/>
                <w:lang w:eastAsia="hr-HR"/>
              </w:rPr>
              <w:t>144</w:t>
            </w:r>
          </w:p>
        </w:tc>
      </w:tr>
      <w:tr w:rsidR="00417A9D" w:rsidRPr="00361664" w:rsidTr="00361664">
        <w:trPr>
          <w:trHeight w:val="495"/>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417A9D" w:rsidRPr="00361664" w:rsidRDefault="00417A9D" w:rsidP="00A03F6F">
            <w:pPr>
              <w:spacing w:after="0" w:line="240" w:lineRule="auto"/>
              <w:jc w:val="both"/>
              <w:rPr>
                <w:sz w:val="16"/>
                <w:szCs w:val="16"/>
                <w:lang w:eastAsia="hr-HR"/>
              </w:rPr>
            </w:pPr>
            <w:r w:rsidRPr="00361664">
              <w:rPr>
                <w:sz w:val="16"/>
                <w:szCs w:val="16"/>
                <w:lang w:eastAsia="hr-HR"/>
              </w:rPr>
              <w:t>E.10</w:t>
            </w:r>
          </w:p>
        </w:tc>
        <w:tc>
          <w:tcPr>
            <w:tcW w:w="1983" w:type="dxa"/>
            <w:tcBorders>
              <w:top w:val="single" w:sz="4" w:space="0" w:color="auto"/>
              <w:left w:val="nil"/>
              <w:bottom w:val="single" w:sz="8" w:space="0" w:color="auto"/>
              <w:right w:val="single" w:sz="4" w:space="0" w:color="auto"/>
            </w:tcBorders>
            <w:shd w:val="clear" w:color="auto" w:fill="auto"/>
            <w:vAlign w:val="center"/>
          </w:tcPr>
          <w:p w:rsidR="00417A9D" w:rsidRPr="00361664" w:rsidRDefault="00417A9D" w:rsidP="00A03F6F">
            <w:pPr>
              <w:spacing w:after="0" w:line="240" w:lineRule="auto"/>
              <w:jc w:val="both"/>
              <w:rPr>
                <w:sz w:val="16"/>
                <w:szCs w:val="16"/>
                <w:lang w:eastAsia="hr-HR"/>
              </w:rPr>
            </w:pPr>
            <w:r w:rsidRPr="00361664">
              <w:rPr>
                <w:sz w:val="16"/>
                <w:szCs w:val="16"/>
                <w:lang w:eastAsia="hr-HR"/>
              </w:rPr>
              <w:t>Energetska učinkovitost u transportu nafte naftovodima</w:t>
            </w:r>
          </w:p>
        </w:tc>
        <w:tc>
          <w:tcPr>
            <w:tcW w:w="1278" w:type="dxa"/>
            <w:tcBorders>
              <w:top w:val="single" w:sz="4" w:space="0" w:color="auto"/>
              <w:left w:val="nil"/>
              <w:bottom w:val="single" w:sz="8" w:space="0" w:color="auto"/>
              <w:right w:val="single" w:sz="4" w:space="0" w:color="auto"/>
            </w:tcBorders>
            <w:shd w:val="clear" w:color="auto" w:fill="auto"/>
            <w:vAlign w:val="center"/>
          </w:tcPr>
          <w:p w:rsidR="00417A9D" w:rsidRPr="00361664" w:rsidRDefault="00417A9D" w:rsidP="00A03F6F">
            <w:pPr>
              <w:spacing w:after="0" w:line="240" w:lineRule="auto"/>
              <w:jc w:val="both"/>
              <w:rPr>
                <w:sz w:val="16"/>
                <w:szCs w:val="16"/>
                <w:lang w:eastAsia="hr-HR"/>
              </w:rPr>
            </w:pPr>
            <w:r w:rsidRPr="00361664">
              <w:rPr>
                <w:sz w:val="16"/>
                <w:szCs w:val="16"/>
                <w:lang w:eastAsia="hr-HR"/>
              </w:rPr>
              <w:t>JANAF</w:t>
            </w:r>
          </w:p>
        </w:tc>
        <w:tc>
          <w:tcPr>
            <w:tcW w:w="993" w:type="dxa"/>
            <w:tcBorders>
              <w:top w:val="single" w:sz="4" w:space="0" w:color="auto"/>
              <w:left w:val="nil"/>
              <w:bottom w:val="single" w:sz="8" w:space="0" w:color="auto"/>
              <w:right w:val="single" w:sz="4" w:space="0" w:color="auto"/>
            </w:tcBorders>
            <w:shd w:val="clear" w:color="auto" w:fill="auto"/>
            <w:vAlign w:val="center"/>
          </w:tcPr>
          <w:p w:rsidR="00417A9D" w:rsidRPr="00361664" w:rsidRDefault="00417A9D" w:rsidP="00A03F6F">
            <w:pPr>
              <w:spacing w:after="0" w:line="240" w:lineRule="auto"/>
              <w:jc w:val="both"/>
              <w:rPr>
                <w:color w:val="000000"/>
                <w:sz w:val="16"/>
                <w:szCs w:val="16"/>
                <w:lang w:eastAsia="hr-HR"/>
              </w:rPr>
            </w:pPr>
            <w:r w:rsidRPr="00361664">
              <w:rPr>
                <w:rFonts w:asciiTheme="minorHAnsi" w:hAnsiTheme="minorHAnsi" w:cstheme="minorHAnsi"/>
                <w:color w:val="000000"/>
                <w:sz w:val="16"/>
                <w:szCs w:val="16"/>
                <w:lang w:eastAsia="hr-HR"/>
              </w:rPr>
              <w:t>Industrija</w:t>
            </w:r>
          </w:p>
        </w:tc>
        <w:tc>
          <w:tcPr>
            <w:tcW w:w="1275" w:type="dxa"/>
            <w:tcBorders>
              <w:top w:val="single" w:sz="4" w:space="0" w:color="auto"/>
              <w:left w:val="nil"/>
              <w:bottom w:val="single" w:sz="8" w:space="0" w:color="auto"/>
              <w:right w:val="single" w:sz="4" w:space="0" w:color="auto"/>
            </w:tcBorders>
            <w:shd w:val="clear" w:color="auto" w:fill="auto"/>
            <w:vAlign w:val="center"/>
          </w:tcPr>
          <w:p w:rsidR="00417A9D" w:rsidRPr="00361664" w:rsidRDefault="00417A9D" w:rsidP="00A03F6F">
            <w:pPr>
              <w:spacing w:after="0" w:line="240" w:lineRule="auto"/>
              <w:jc w:val="both"/>
              <w:rPr>
                <w:color w:val="000000"/>
                <w:sz w:val="16"/>
                <w:szCs w:val="16"/>
                <w:lang w:eastAsia="hr-HR"/>
              </w:rPr>
            </w:pPr>
          </w:p>
        </w:tc>
        <w:tc>
          <w:tcPr>
            <w:tcW w:w="1273" w:type="dxa"/>
            <w:tcBorders>
              <w:top w:val="single" w:sz="4" w:space="0" w:color="auto"/>
              <w:left w:val="nil"/>
              <w:bottom w:val="single" w:sz="8" w:space="0" w:color="auto"/>
              <w:right w:val="single" w:sz="4" w:space="0" w:color="auto"/>
            </w:tcBorders>
            <w:shd w:val="clear" w:color="auto" w:fill="auto"/>
            <w:vAlign w:val="center"/>
          </w:tcPr>
          <w:p w:rsidR="00417A9D" w:rsidRPr="00361664" w:rsidRDefault="00417A9D" w:rsidP="00A03F6F">
            <w:pPr>
              <w:spacing w:after="0" w:line="240" w:lineRule="auto"/>
              <w:jc w:val="center"/>
              <w:rPr>
                <w:color w:val="000000"/>
                <w:sz w:val="16"/>
                <w:szCs w:val="16"/>
                <w:lang w:eastAsia="hr-HR"/>
              </w:rPr>
            </w:pPr>
          </w:p>
        </w:tc>
        <w:tc>
          <w:tcPr>
            <w:tcW w:w="1418" w:type="dxa"/>
            <w:tcBorders>
              <w:top w:val="single" w:sz="4" w:space="0" w:color="auto"/>
              <w:left w:val="nil"/>
              <w:bottom w:val="single" w:sz="8" w:space="0" w:color="auto"/>
              <w:right w:val="single" w:sz="4" w:space="0" w:color="auto"/>
            </w:tcBorders>
            <w:shd w:val="clear" w:color="auto" w:fill="auto"/>
            <w:vAlign w:val="center"/>
          </w:tcPr>
          <w:p w:rsidR="00417A9D" w:rsidRPr="00361664" w:rsidRDefault="00417A9D" w:rsidP="00251CB4">
            <w:pPr>
              <w:spacing w:after="0" w:line="240" w:lineRule="auto"/>
              <w:jc w:val="right"/>
              <w:rPr>
                <w:strike/>
                <w:color w:val="000000"/>
                <w:sz w:val="16"/>
                <w:szCs w:val="16"/>
                <w:lang w:eastAsia="hr-HR"/>
              </w:rPr>
            </w:pPr>
            <w:r w:rsidRPr="00361664">
              <w:rPr>
                <w:color w:val="000000"/>
                <w:sz w:val="16"/>
                <w:szCs w:val="16"/>
                <w:lang w:eastAsia="hr-HR"/>
              </w:rPr>
              <w:t>21.485.403,00</w:t>
            </w:r>
          </w:p>
        </w:tc>
        <w:tc>
          <w:tcPr>
            <w:tcW w:w="1418" w:type="dxa"/>
            <w:tcBorders>
              <w:top w:val="single" w:sz="4" w:space="0" w:color="auto"/>
              <w:left w:val="nil"/>
              <w:bottom w:val="single" w:sz="8" w:space="0" w:color="auto"/>
              <w:right w:val="single" w:sz="4" w:space="0" w:color="auto"/>
            </w:tcBorders>
            <w:shd w:val="clear" w:color="auto" w:fill="auto"/>
            <w:vAlign w:val="center"/>
          </w:tcPr>
          <w:p w:rsidR="00417A9D" w:rsidRPr="00361664" w:rsidRDefault="00417A9D" w:rsidP="00A50B4D">
            <w:pPr>
              <w:spacing w:after="0" w:line="240" w:lineRule="auto"/>
              <w:jc w:val="right"/>
              <w:rPr>
                <w:color w:val="000000"/>
                <w:sz w:val="16"/>
                <w:szCs w:val="16"/>
                <w:lang w:eastAsia="hr-HR"/>
              </w:rPr>
            </w:pPr>
            <w:r w:rsidRPr="00361664">
              <w:rPr>
                <w:color w:val="000000"/>
                <w:sz w:val="16"/>
                <w:szCs w:val="16"/>
                <w:lang w:eastAsia="hr-HR"/>
              </w:rPr>
              <w:t>21.485.403,00</w:t>
            </w:r>
          </w:p>
        </w:tc>
        <w:tc>
          <w:tcPr>
            <w:tcW w:w="1418" w:type="dxa"/>
            <w:tcBorders>
              <w:top w:val="single" w:sz="4" w:space="0" w:color="auto"/>
              <w:left w:val="nil"/>
              <w:bottom w:val="single" w:sz="4" w:space="0" w:color="auto"/>
              <w:right w:val="single" w:sz="4" w:space="0" w:color="auto"/>
            </w:tcBorders>
            <w:vAlign w:val="center"/>
          </w:tcPr>
          <w:p w:rsidR="00417A9D" w:rsidRPr="00361664" w:rsidRDefault="00417A9D" w:rsidP="007E5E05">
            <w:pPr>
              <w:spacing w:after="0" w:line="240" w:lineRule="auto"/>
              <w:jc w:val="center"/>
              <w:rPr>
                <w:color w:val="000000"/>
                <w:sz w:val="18"/>
                <w:szCs w:val="18"/>
                <w:lang w:eastAsia="hr-HR"/>
              </w:rPr>
            </w:pP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417A9D" w:rsidP="007E5E05">
            <w:pPr>
              <w:spacing w:after="0" w:line="240" w:lineRule="auto"/>
              <w:jc w:val="center"/>
              <w:rPr>
                <w:color w:val="000000"/>
                <w:sz w:val="18"/>
                <w:szCs w:val="18"/>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color w:val="000000"/>
                <w:sz w:val="18"/>
                <w:szCs w:val="18"/>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color w:val="000000"/>
                <w:sz w:val="18"/>
                <w:szCs w:val="18"/>
                <w:lang w:eastAsia="hr-HR"/>
              </w:rPr>
            </w:pPr>
          </w:p>
        </w:tc>
      </w:tr>
      <w:tr w:rsidR="00417A9D" w:rsidRPr="00361664" w:rsidTr="00361664">
        <w:trPr>
          <w:trHeight w:val="315"/>
        </w:trPr>
        <w:tc>
          <w:tcPr>
            <w:tcW w:w="255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17A9D" w:rsidRPr="00361664" w:rsidRDefault="00417A9D" w:rsidP="00417A9D">
            <w:pPr>
              <w:spacing w:after="0" w:line="240" w:lineRule="auto"/>
              <w:jc w:val="both"/>
              <w:rPr>
                <w:b/>
                <w:sz w:val="16"/>
                <w:szCs w:val="16"/>
                <w:lang w:eastAsia="hr-HR"/>
              </w:rPr>
            </w:pPr>
            <w:r w:rsidRPr="00361664">
              <w:rPr>
                <w:b/>
                <w:sz w:val="16"/>
                <w:szCs w:val="16"/>
                <w:lang w:eastAsia="hr-HR"/>
              </w:rPr>
              <w:t>Ukupno</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b/>
                <w:sz w:val="16"/>
                <w:szCs w:val="16"/>
                <w:lang w:eastAsia="hr-HR"/>
              </w:rPr>
            </w:pP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417A9D" w:rsidRPr="00361664" w:rsidRDefault="00417A9D" w:rsidP="00A03F6F">
            <w:pPr>
              <w:spacing w:after="0" w:line="240" w:lineRule="auto"/>
              <w:jc w:val="both"/>
              <w:rPr>
                <w:b/>
                <w:color w:val="000000"/>
                <w:sz w:val="16"/>
                <w:szCs w:val="16"/>
                <w:lang w:eastAsia="hr-HR"/>
              </w:rPr>
            </w:pP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417A9D" w:rsidRPr="00361664" w:rsidRDefault="00417A9D" w:rsidP="00A03F6F">
            <w:pPr>
              <w:spacing w:after="0" w:line="240" w:lineRule="auto"/>
              <w:jc w:val="center"/>
              <w:rPr>
                <w:rFonts w:asciiTheme="minorHAnsi" w:hAnsiTheme="minorHAnsi" w:cstheme="minorHAnsi"/>
                <w:b/>
                <w:color w:val="000000"/>
                <w:sz w:val="16"/>
                <w:szCs w:val="16"/>
                <w:lang w:eastAsia="hr-HR"/>
              </w:rPr>
            </w:pPr>
            <w:r w:rsidRPr="00361664">
              <w:rPr>
                <w:b/>
                <w:sz w:val="16"/>
                <w:szCs w:val="16"/>
                <w:lang w:eastAsia="hr-HR"/>
              </w:rPr>
              <w:t>695.930.400,40</w:t>
            </w:r>
          </w:p>
        </w:tc>
        <w:tc>
          <w:tcPr>
            <w:tcW w:w="1273" w:type="dxa"/>
            <w:tcBorders>
              <w:top w:val="single" w:sz="8" w:space="0" w:color="auto"/>
              <w:left w:val="nil"/>
              <w:bottom w:val="single" w:sz="8" w:space="0" w:color="auto"/>
              <w:right w:val="single" w:sz="4" w:space="0" w:color="auto"/>
            </w:tcBorders>
            <w:shd w:val="clear" w:color="auto" w:fill="auto"/>
            <w:vAlign w:val="center"/>
          </w:tcPr>
          <w:p w:rsidR="00417A9D" w:rsidRPr="00361664" w:rsidRDefault="001F2780" w:rsidP="00A03F6F">
            <w:pPr>
              <w:spacing w:after="0" w:line="240" w:lineRule="auto"/>
              <w:jc w:val="center"/>
              <w:rPr>
                <w:b/>
                <w:sz w:val="16"/>
                <w:szCs w:val="16"/>
                <w:lang w:eastAsia="hr-HR"/>
              </w:rPr>
            </w:pPr>
            <w:r w:rsidRPr="00361664">
              <w:rPr>
                <w:b/>
                <w:sz w:val="16"/>
                <w:szCs w:val="16"/>
                <w:lang w:eastAsia="hr-HR"/>
              </w:rPr>
              <w:t>120.101.096,00</w:t>
            </w:r>
          </w:p>
        </w:tc>
        <w:tc>
          <w:tcPr>
            <w:tcW w:w="1418" w:type="dxa"/>
            <w:tcBorders>
              <w:top w:val="single" w:sz="8" w:space="0" w:color="auto"/>
              <w:left w:val="nil"/>
              <w:bottom w:val="single" w:sz="8" w:space="0" w:color="auto"/>
              <w:right w:val="single" w:sz="4" w:space="0" w:color="auto"/>
            </w:tcBorders>
            <w:shd w:val="clear" w:color="auto" w:fill="auto"/>
            <w:vAlign w:val="center"/>
          </w:tcPr>
          <w:p w:rsidR="00417A9D" w:rsidRPr="00E946A6" w:rsidRDefault="00E946A6" w:rsidP="00251CB4">
            <w:pPr>
              <w:spacing w:after="0" w:line="240" w:lineRule="auto"/>
              <w:jc w:val="right"/>
              <w:rPr>
                <w:b/>
                <w:sz w:val="16"/>
                <w:szCs w:val="16"/>
                <w:lang w:eastAsia="hr-HR"/>
              </w:rPr>
            </w:pPr>
            <w:r w:rsidRPr="00E946A6">
              <w:rPr>
                <w:b/>
                <w:sz w:val="16"/>
                <w:szCs w:val="16"/>
                <w:lang w:eastAsia="hr-HR"/>
              </w:rPr>
              <w:t>718.755.062,00</w:t>
            </w:r>
          </w:p>
        </w:tc>
        <w:tc>
          <w:tcPr>
            <w:tcW w:w="1418" w:type="dxa"/>
            <w:tcBorders>
              <w:top w:val="single" w:sz="8" w:space="0" w:color="auto"/>
              <w:left w:val="nil"/>
              <w:bottom w:val="single" w:sz="8" w:space="0" w:color="auto"/>
              <w:right w:val="single" w:sz="4" w:space="0" w:color="auto"/>
            </w:tcBorders>
            <w:shd w:val="clear" w:color="auto" w:fill="auto"/>
            <w:vAlign w:val="center"/>
          </w:tcPr>
          <w:p w:rsidR="00417A9D" w:rsidRPr="00E946A6" w:rsidRDefault="00E946A6" w:rsidP="007C6CF5">
            <w:pPr>
              <w:spacing w:after="0" w:line="240" w:lineRule="auto"/>
              <w:rPr>
                <w:b/>
                <w:sz w:val="16"/>
                <w:szCs w:val="16"/>
                <w:lang w:eastAsia="hr-HR"/>
              </w:rPr>
            </w:pPr>
            <w:r w:rsidRPr="00E946A6">
              <w:rPr>
                <w:b/>
                <w:sz w:val="16"/>
                <w:szCs w:val="16"/>
                <w:lang w:eastAsia="hr-HR"/>
              </w:rPr>
              <w:t>1.534.786.558,40</w:t>
            </w:r>
          </w:p>
        </w:tc>
        <w:tc>
          <w:tcPr>
            <w:tcW w:w="1418" w:type="dxa"/>
            <w:tcBorders>
              <w:top w:val="single" w:sz="4" w:space="0" w:color="auto"/>
              <w:left w:val="nil"/>
              <w:bottom w:val="single" w:sz="4" w:space="0" w:color="auto"/>
              <w:right w:val="single" w:sz="4" w:space="0" w:color="auto"/>
            </w:tcBorders>
            <w:vAlign w:val="center"/>
          </w:tcPr>
          <w:p w:rsidR="00417A9D" w:rsidRPr="002E6754" w:rsidRDefault="007C6CF5" w:rsidP="001D3ADD">
            <w:pPr>
              <w:spacing w:after="0" w:line="240" w:lineRule="auto"/>
              <w:jc w:val="center"/>
              <w:rPr>
                <w:rFonts w:asciiTheme="minorHAnsi" w:hAnsiTheme="minorHAnsi" w:cstheme="minorHAnsi"/>
                <w:b/>
                <w:color w:val="000000" w:themeColor="text1"/>
                <w:sz w:val="16"/>
                <w:szCs w:val="16"/>
                <w:highlight w:val="yellow"/>
                <w:lang w:eastAsia="hr-HR"/>
              </w:rPr>
            </w:pPr>
            <w:r w:rsidRPr="00273460">
              <w:rPr>
                <w:rFonts w:asciiTheme="minorHAnsi" w:hAnsiTheme="minorHAnsi" w:cstheme="minorHAnsi"/>
                <w:b/>
                <w:color w:val="000000" w:themeColor="text1"/>
                <w:sz w:val="16"/>
                <w:szCs w:val="16"/>
                <w:lang w:eastAsia="hr-HR"/>
              </w:rPr>
              <w:t>357.292.</w:t>
            </w:r>
            <w:r w:rsidR="001D3ADD" w:rsidRPr="00273460">
              <w:rPr>
                <w:rFonts w:asciiTheme="minorHAnsi" w:hAnsiTheme="minorHAnsi" w:cstheme="minorHAnsi"/>
                <w:b/>
                <w:color w:val="000000" w:themeColor="text1"/>
                <w:sz w:val="16"/>
                <w:szCs w:val="16"/>
                <w:lang w:eastAsia="hr-HR"/>
              </w:rPr>
              <w:t>26</w:t>
            </w:r>
            <w:r w:rsidRPr="00273460">
              <w:rPr>
                <w:rFonts w:asciiTheme="minorHAnsi" w:hAnsiTheme="minorHAnsi" w:cstheme="minorHAnsi"/>
                <w:b/>
                <w:color w:val="000000" w:themeColor="text1"/>
                <w:sz w:val="16"/>
                <w:szCs w:val="16"/>
                <w:lang w:eastAsia="hr-HR"/>
              </w:rPr>
              <w:t>8,00</w:t>
            </w:r>
          </w:p>
        </w:tc>
        <w:tc>
          <w:tcPr>
            <w:tcW w:w="1418" w:type="dxa"/>
            <w:tcBorders>
              <w:top w:val="single" w:sz="4" w:space="0" w:color="auto"/>
              <w:left w:val="single" w:sz="4" w:space="0" w:color="auto"/>
              <w:bottom w:val="single" w:sz="4" w:space="0" w:color="auto"/>
              <w:right w:val="single" w:sz="4" w:space="0" w:color="auto"/>
            </w:tcBorders>
            <w:vAlign w:val="center"/>
          </w:tcPr>
          <w:p w:rsidR="00417A9D" w:rsidRPr="00361664" w:rsidRDefault="009937BE" w:rsidP="007E5E05">
            <w:pPr>
              <w:spacing w:after="0" w:line="240" w:lineRule="auto"/>
              <w:jc w:val="center"/>
              <w:rPr>
                <w:rFonts w:asciiTheme="minorHAnsi" w:hAnsiTheme="minorHAnsi" w:cstheme="minorHAnsi"/>
                <w:b/>
                <w:color w:val="000000" w:themeColor="text1"/>
                <w:sz w:val="16"/>
                <w:szCs w:val="16"/>
                <w:lang w:eastAsia="hr-HR"/>
              </w:rPr>
            </w:pPr>
            <w:r w:rsidRPr="00361664">
              <w:rPr>
                <w:rFonts w:asciiTheme="minorHAnsi" w:hAnsiTheme="minorHAnsi" w:cstheme="minorHAnsi"/>
                <w:b/>
                <w:color w:val="000000" w:themeColor="text1"/>
                <w:sz w:val="16"/>
                <w:szCs w:val="16"/>
                <w:lang w:eastAsia="hr-HR"/>
              </w:rPr>
              <w:t>48.983.000,00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strike/>
                <w:color w:val="000000" w:themeColor="text1"/>
                <w:sz w:val="16"/>
                <w:szCs w:val="16"/>
                <w:lang w:eastAsia="hr-HR"/>
              </w:rPr>
            </w:pPr>
            <w:r w:rsidRPr="00361664">
              <w:rPr>
                <w:rFonts w:asciiTheme="minorHAnsi" w:hAnsiTheme="minorHAnsi" w:cstheme="minorHAnsi"/>
                <w:color w:val="000000" w:themeColor="text1"/>
                <w:sz w:val="16"/>
                <w:szCs w:val="16"/>
                <w:lang w:eastAsia="hr-HR"/>
              </w:rPr>
              <w:t>4.528,85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A9D" w:rsidRPr="00361664" w:rsidRDefault="00417A9D" w:rsidP="00A03F6F">
            <w:pPr>
              <w:spacing w:after="0" w:line="240" w:lineRule="auto"/>
              <w:jc w:val="center"/>
              <w:rPr>
                <w:strike/>
                <w:color w:val="000000" w:themeColor="text1"/>
                <w:sz w:val="16"/>
                <w:szCs w:val="16"/>
                <w:lang w:eastAsia="hr-HR"/>
              </w:rPr>
            </w:pPr>
            <w:r w:rsidRPr="00361664">
              <w:rPr>
                <w:rFonts w:asciiTheme="minorHAnsi" w:hAnsiTheme="minorHAnsi" w:cstheme="minorHAnsi"/>
                <w:color w:val="000000" w:themeColor="text1"/>
                <w:sz w:val="16"/>
                <w:szCs w:val="16"/>
                <w:lang w:eastAsia="hr-HR"/>
              </w:rPr>
              <w:t>7.273,80</w:t>
            </w:r>
          </w:p>
        </w:tc>
      </w:tr>
    </w:tbl>
    <w:p w:rsidR="00BD4461" w:rsidRPr="00361664" w:rsidRDefault="00BD4461" w:rsidP="000B43FE">
      <w:pPr>
        <w:spacing w:after="0" w:line="240" w:lineRule="auto"/>
        <w:jc w:val="center"/>
        <w:rPr>
          <w:rFonts w:asciiTheme="minorHAnsi" w:hAnsiTheme="minorHAnsi" w:cs="Arial"/>
          <w:color w:val="222222"/>
          <w:sz w:val="20"/>
          <w:szCs w:val="20"/>
          <w:lang w:eastAsia="hr-HR"/>
        </w:rPr>
        <w:sectPr w:rsidR="00BD4461" w:rsidRPr="00361664" w:rsidSect="00BD4461">
          <w:pgSz w:w="16838" w:h="11906" w:orient="landscape"/>
          <w:pgMar w:top="851" w:right="1701" w:bottom="851" w:left="1418" w:header="624" w:footer="624" w:gutter="851"/>
          <w:cols w:space="720"/>
          <w:docGrid w:linePitch="299"/>
        </w:sectPr>
      </w:pPr>
    </w:p>
    <w:p w:rsidR="004C3801" w:rsidRPr="00361664" w:rsidRDefault="004C3801" w:rsidP="00651BCA">
      <w:pPr>
        <w:spacing w:line="300" w:lineRule="atLeast"/>
        <w:jc w:val="both"/>
        <w:rPr>
          <w:rFonts w:asciiTheme="minorHAnsi" w:hAnsiTheme="minorHAnsi"/>
          <w:sz w:val="20"/>
          <w:szCs w:val="20"/>
          <w:u w:val="single"/>
        </w:rPr>
      </w:pPr>
      <w:r w:rsidRPr="00361664">
        <w:rPr>
          <w:rFonts w:asciiTheme="minorHAnsi" w:hAnsiTheme="minorHAnsi"/>
          <w:sz w:val="20"/>
          <w:szCs w:val="20"/>
          <w:u w:val="single"/>
        </w:rPr>
        <w:lastRenderedPageBreak/>
        <w:t>Statistički pokazatelji</w:t>
      </w:r>
    </w:p>
    <w:p w:rsidR="004C3801" w:rsidRPr="00361664" w:rsidRDefault="004C3801" w:rsidP="00651BCA">
      <w:pPr>
        <w:spacing w:line="300" w:lineRule="atLeast"/>
        <w:jc w:val="both"/>
        <w:rPr>
          <w:rFonts w:asciiTheme="minorHAnsi" w:hAnsiTheme="minorHAnsi"/>
          <w:sz w:val="20"/>
          <w:szCs w:val="20"/>
        </w:rPr>
      </w:pPr>
      <w:r w:rsidRPr="00361664">
        <w:rPr>
          <w:rFonts w:asciiTheme="minorHAnsi" w:hAnsiTheme="minorHAnsi"/>
          <w:sz w:val="20"/>
          <w:szCs w:val="20"/>
        </w:rPr>
        <w:t>Posljednja godina za koju postoje nacionalni podaci u vrijeme izrade ovog Nacionalnog akcijskog plana je 2015. godina. Na temelju godišnjeg energetskog pregleda</w:t>
      </w:r>
      <w:r w:rsidRPr="00361664">
        <w:rPr>
          <w:rStyle w:val="Referencafusnote"/>
          <w:rFonts w:asciiTheme="minorHAnsi" w:hAnsiTheme="minorHAnsi"/>
          <w:sz w:val="20"/>
          <w:szCs w:val="20"/>
        </w:rPr>
        <w:footnoteReference w:id="2"/>
      </w:r>
      <w:r w:rsidRPr="00361664">
        <w:rPr>
          <w:rFonts w:asciiTheme="minorHAnsi" w:hAnsiTheme="minorHAnsi"/>
          <w:sz w:val="20"/>
          <w:szCs w:val="20"/>
        </w:rPr>
        <w:t xml:space="preserve"> vidljivo je kako je ukupna potrošnja energije u Hrvatskoj u 2015. godini smanjena je za 0,9 posto u odnosu na prethodnu godinu. Istodobno je bruto domaći proizvod povećan za 1,6 posto, što je rezultiralo smanjenjem energetske intenzivnosti ukupne potrošnje energije za 2,5 posto. U odnosu na prosječnu energetsku intenzivnost u Europskoj uniji (EU 28), energetska intenzivnost u Hrvatskoj bila je veća za 29,4 posto .</w:t>
      </w:r>
    </w:p>
    <w:p w:rsidR="004C3801" w:rsidRPr="00361664" w:rsidRDefault="004C3801" w:rsidP="00651BCA">
      <w:pPr>
        <w:spacing w:line="300" w:lineRule="atLeast"/>
        <w:jc w:val="both"/>
        <w:rPr>
          <w:rFonts w:asciiTheme="minorHAnsi" w:hAnsiTheme="minorHAnsi"/>
          <w:sz w:val="20"/>
          <w:szCs w:val="20"/>
        </w:rPr>
      </w:pPr>
      <w:r w:rsidRPr="00361664">
        <w:rPr>
          <w:rFonts w:asciiTheme="minorHAnsi" w:hAnsiTheme="minorHAnsi"/>
          <w:sz w:val="20"/>
          <w:szCs w:val="20"/>
        </w:rPr>
        <w:t>Ukupna proizvodnja primarne energije u 2015. godini smanjena je za 6,7 posto u odnosu na prethodnu godinu. Smanjenje je ostvareno u iskorištavanju vodnih snaga i to za 30,7 posto, dok je u proizvodnji svih ostalih primarnih energenata ostvareno povećanje. Povećanje proizvodnje ostvareno za ostale obnovljive izvore (energija vjetra, energija Sunca, bioplin, tekuća biogoriva i geotermalna energija) iznosilo je 3,4 posto, dok je proizvodnja ogrjevnog drva i ostale krute biomase povećana za 10,7 posto. Proizvodnja sirove nafte povećana je za 12,7 posto, a prirodnog plina za 1,8 posto. Također je povećana proizvodnja toplinske energije iz toplinskih crpki za 20,3 posto. Vlastita opskrbljenost energijom u 2015. godini iznosila je 57,1 posto, što je za 3,5 postotnih bodova manje u odnosu na prethodnu godinu.</w:t>
      </w:r>
    </w:p>
    <w:p w:rsidR="00554724" w:rsidRPr="00361664" w:rsidRDefault="00554724" w:rsidP="00554724">
      <w:pPr>
        <w:spacing w:line="300" w:lineRule="atLeast"/>
        <w:jc w:val="both"/>
        <w:rPr>
          <w:rFonts w:asciiTheme="minorHAnsi" w:hAnsiTheme="minorHAnsi"/>
          <w:sz w:val="20"/>
          <w:szCs w:val="20"/>
        </w:rPr>
      </w:pPr>
      <w:r w:rsidRPr="00361664">
        <w:rPr>
          <w:rFonts w:asciiTheme="minorHAnsi" w:hAnsiTheme="minorHAnsi"/>
          <w:sz w:val="20"/>
          <w:szCs w:val="20"/>
        </w:rPr>
        <w:t>Ukupna potrošnja energije u Hrvatskoj u 2015. godini smanjena je u odnosu na ostvarenu ukupnu potrošnju u prethodnoj godini za 0,9 posto. Smanjena je potrošnja ugljena i koksa za 5,5 posto, a energija vodnih snaga je zbog lošije hidrologije smanjena za 30,7 posto. U potrošnji svih ostalih oblika energije ostvaren je porast. Najveći porast ostvaren je u uvozu električne energije i to za 71,7 posto. Porast potrošnje toplinske energija iz toplinskih crpki iznosilo je 20,3 posto, ogrjevnog drva i biomase 14,2 posto, a ostalih obnovljivih izvora 7,4 posto. Također je povećana i potrošnja naftnih derivata za 4,1 posto te potrošnja prirodnog plina za 3 posto.</w:t>
      </w:r>
    </w:p>
    <w:p w:rsidR="005C03DC" w:rsidRPr="00361664" w:rsidRDefault="004C3801" w:rsidP="00651BCA">
      <w:pPr>
        <w:spacing w:line="300" w:lineRule="atLeast"/>
        <w:jc w:val="both"/>
        <w:rPr>
          <w:rFonts w:asciiTheme="minorHAnsi" w:hAnsiTheme="minorHAnsi"/>
          <w:sz w:val="20"/>
          <w:szCs w:val="20"/>
        </w:rPr>
      </w:pPr>
      <w:r w:rsidRPr="00361664">
        <w:rPr>
          <w:rFonts w:asciiTheme="minorHAnsi" w:hAnsiTheme="minorHAnsi"/>
          <w:sz w:val="20"/>
          <w:szCs w:val="20"/>
        </w:rPr>
        <w:t>U strukturi ukupne potrošnje energije, neposredna potrošnja energije povećana je za 5,5 posto, a gubici transporta i distribucije za 3,8 posto. Ostale potrebe za energijom u strukturi ukupne potrošnje su smanjene. Gubici energetskih transformacija smanjeni su za 19,5 posto, a potrošnja energije za pogon energetskih postrojenja za 6,5 posto. Neenergetska potrošnja energije smanjena je za 1,9 posto. Neposredna potrošnja energije u industriji u 2015. godini smanjena je za 0,5 posto u odnosu na potrošnju energije ostvarenu u prethodnoj godini. Istodobno je neposredna potrošnja energije u sektoru opće potrošnje povećana za 7,9 posto, a u prometu za 4,5 posto.</w:t>
      </w:r>
      <w:r w:rsidR="00361664">
        <w:rPr>
          <w:rFonts w:asciiTheme="minorHAnsi" w:hAnsiTheme="minorHAnsi"/>
          <w:sz w:val="20"/>
          <w:szCs w:val="20"/>
        </w:rPr>
        <w:t xml:space="preserve"> </w:t>
      </w:r>
      <w:r w:rsidRPr="00361664">
        <w:rPr>
          <w:rFonts w:asciiTheme="minorHAnsi" w:hAnsiTheme="minorHAnsi"/>
          <w:sz w:val="20"/>
          <w:szCs w:val="20"/>
        </w:rPr>
        <w:t>U 2015. godini učinkovitost potrošnje energije u Hrvatskoj nastavila se poboljšavati u odnosu na prethodno razdoblje. Energetska učinkovitost izražena indeksom poboljšanja energetske učinkovitosti povećana je za 0,5 indeksnih bodova za sve finalne potrošače energije promatrane zajedno. Spomenuti indeks smanjen je u industriji za 1,3 indeksna boda, a također je u prometu i kućanstvima nastavljen pozitivan trend njegovog smanjivanja. Tako je u prometu taj indeks smanjen za 0,3 indeksna boda, a u kućanstvima za 0,4 indeksna boda. Tijekom razdoblja od 1995. do 2015. godine ostvaren je pozitivan trend smanjivanja indeksa poboljšanja energetske učinkovitosti za 20,1 posto za sve finalne potrošače energije promatrane zajedno. Ovoj pozitivnoj promjeni pridonijeli su svi sektori, a najveći doprinos imala je industrija s poboljšanjem indeksa energetske učinkovitosti za 32,8 posto. Za kućanstva to je poboljšanje iznosilo 17,6 posto, a za promet 15,9 posto.</w:t>
      </w:r>
    </w:p>
    <w:p w:rsidR="00966A6A" w:rsidRPr="00361664" w:rsidRDefault="005C03DC" w:rsidP="005C03DC">
      <w:pPr>
        <w:rPr>
          <w:rFonts w:asciiTheme="minorHAnsi" w:hAnsiTheme="minorHAnsi"/>
          <w:sz w:val="20"/>
          <w:szCs w:val="20"/>
        </w:rPr>
      </w:pPr>
      <w:r w:rsidRPr="00361664">
        <w:rPr>
          <w:rFonts w:asciiTheme="minorHAnsi" w:hAnsiTheme="minorHAnsi"/>
          <w:sz w:val="20"/>
          <w:szCs w:val="20"/>
        </w:rPr>
        <w:br w:type="page"/>
      </w:r>
    </w:p>
    <w:p w:rsidR="004D21B8" w:rsidRPr="00361664" w:rsidRDefault="004D21B8" w:rsidP="004D21B8">
      <w:pPr>
        <w:shd w:val="clear" w:color="auto" w:fill="FFFFFF"/>
        <w:jc w:val="both"/>
        <w:rPr>
          <w:rFonts w:asciiTheme="minorHAnsi" w:hAnsiTheme="minorHAnsi"/>
          <w:b/>
          <w:sz w:val="20"/>
          <w:szCs w:val="20"/>
        </w:rPr>
      </w:pPr>
      <w:r w:rsidRPr="00361664">
        <w:rPr>
          <w:rFonts w:asciiTheme="minorHAnsi" w:hAnsiTheme="minorHAnsi"/>
          <w:b/>
          <w:sz w:val="20"/>
          <w:szCs w:val="20"/>
        </w:rPr>
        <w:lastRenderedPageBreak/>
        <w:t>U izradi ovog dokumenta kontaktirano je više od 180 različitih institucija, tvrtki odnosno javnih tijela: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b/>
          <w:color w:val="222222"/>
          <w:sz w:val="20"/>
          <w:szCs w:val="20"/>
          <w:lang w:eastAsia="hr-HR"/>
        </w:rPr>
      </w:pPr>
      <w:r w:rsidRPr="00361664">
        <w:rPr>
          <w:rFonts w:asciiTheme="minorHAnsi" w:hAnsiTheme="minorHAnsi" w:cs="Arial"/>
          <w:color w:val="222222"/>
          <w:sz w:val="20"/>
          <w:szCs w:val="20"/>
          <w:lang w:eastAsia="hr-HR"/>
        </w:rPr>
        <w:t>Sve županije:</w:t>
      </w:r>
      <w:r w:rsidRPr="00361664">
        <w:rPr>
          <w:rFonts w:asciiTheme="minorHAnsi" w:hAnsiTheme="minorHAnsi" w:cs="Arial"/>
          <w:b/>
          <w:color w:val="222222"/>
          <w:sz w:val="20"/>
          <w:szCs w:val="20"/>
          <w:lang w:eastAsia="hr-HR"/>
        </w:rPr>
        <w:t xml:space="preserve"> 21</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Gotovo svi gradovi:</w:t>
      </w:r>
      <w:r w:rsidRPr="00361664">
        <w:rPr>
          <w:rFonts w:asciiTheme="minorHAnsi" w:hAnsiTheme="minorHAnsi" w:cs="Arial"/>
          <w:b/>
          <w:color w:val="222222"/>
          <w:sz w:val="20"/>
          <w:szCs w:val="20"/>
          <w:lang w:eastAsia="hr-HR"/>
        </w:rPr>
        <w:t xml:space="preserve"> 116 </w:t>
      </w:r>
      <w:r w:rsidRPr="00361664">
        <w:rPr>
          <w:rFonts w:asciiTheme="minorHAnsi" w:hAnsiTheme="minorHAnsi" w:cs="Arial"/>
          <w:color w:val="222222"/>
          <w:sz w:val="20"/>
          <w:szCs w:val="20"/>
          <w:lang w:eastAsia="hr-HR"/>
        </w:rPr>
        <w:t>(od ukupno 127 gradova)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Ministarstvo zaštite okoliša i energetike</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Ministarstvo graditeljstva i prostornoga uređenja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cs="Calibri"/>
          <w:sz w:val="20"/>
          <w:szCs w:val="20"/>
        </w:rPr>
        <w:t>Ministarstvo mora, prometa i infrastrukture</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Ministarstvo turizma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Ministarstvo unutarnjih poslova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Ministarstvo poduzetništva i obrta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Ministarstvo financija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Ministarstvo vanjskih i europskih poslova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FZOEU – Fond za zaštitu okoliša i energetsku učinkovitost</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HERA – Hrvatska energetska regulatorna agencija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APN – Agencija za pravni promet i posredovanje nekretninama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Državni Ured za središnju javnu nabavu</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EIHP – Energetski institut Hrvoje Požar</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EKONERG – Institut za energetiku i zaštitu okoliša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ENERGO d.o.o. Rijeka - za proizvodnju i distribuciju toplinske energije i plina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FER – Fakultet elektrotehnike i računarstva, Sveučilište u Zagrebu</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FSB – Fakultet strojarstva i brodogradnje, Sveučilište u Zagrebu</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Arhitektonski fakultet, Sveučilište u Zagrebu</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Građevinski fakultet, Sveučilište u Zagrebu</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UNDP Hrvatska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sz w:val="20"/>
          <w:szCs w:val="20"/>
        </w:rPr>
        <w:t>HSZG</w:t>
      </w:r>
      <w:r w:rsidRPr="00361664">
        <w:rPr>
          <w:rFonts w:asciiTheme="minorHAnsi" w:hAnsiTheme="minorHAnsi" w:cs="Arial"/>
          <w:color w:val="222222"/>
          <w:sz w:val="20"/>
          <w:szCs w:val="20"/>
          <w:lang w:eastAsia="hr-HR"/>
        </w:rPr>
        <w:t xml:space="preserve"> – </w:t>
      </w:r>
      <w:r w:rsidRPr="00361664">
        <w:rPr>
          <w:sz w:val="20"/>
          <w:szCs w:val="20"/>
        </w:rPr>
        <w:t>Hrvatski savjet za zelenu gradnju</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Udruga za napredne energetske mreže</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DOOR – Društvo za oblikovanje održivog razvoja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IMO - Institut za međunarodne odnose</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HRPSOR – Hrvatski poslovni savjet za održivi razvoj</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HEP d.d.</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HEP-Proizvodnja d.o.o.</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HOPS – Hrvatski operator prijenosnog sustava d.o.o.</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HEP Operator distribucijskog sustava d.o.o.</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HEP-Toplinarstvo</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HEP ESCO,</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INA – Industrija nafte,</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JANAF – Jadranski naftovod</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PLINACRO</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IRENA – Istarska Regionalna Energetska Agencija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MENEA – Međimurska energetska agencija d.o.o.</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REA Kvarner – Regionalna energetska agencija Kvarner</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REA Sjever – Regionalna energetska agencija Sjever</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REGEA – Regionalna energetska agencija Sjeverozapadne Hrvatske</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HUB – Hrvatska udruga banaka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ZABA – Zagrebačka banka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PBZ – Privredna banka Zagreb</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HBOR – Hrvatska banka za obnovu i razvitak</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lastRenderedPageBreak/>
        <w:t>OTP banka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HGK – Hrvatska gospodarska komora</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EBRD – Europska banka za obnovu i razvitak</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 xml:space="preserve">velik broj privatnih poduzeća koja je bave ovim područjem </w:t>
      </w:r>
    </w:p>
    <w:p w:rsidR="004D21B8" w:rsidRPr="00361664" w:rsidRDefault="004D21B8"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t xml:space="preserve">konzorciji nekoliko regionalnih, nacionalnih i međunarodnih (EU) projekata </w:t>
      </w:r>
    </w:p>
    <w:p w:rsidR="004D21B8" w:rsidRPr="00361664" w:rsidRDefault="00524EAD" w:rsidP="00651BCA">
      <w:pPr>
        <w:shd w:val="clear" w:color="auto" w:fill="FFFFFF"/>
        <w:jc w:val="both"/>
        <w:rPr>
          <w:rFonts w:asciiTheme="minorHAnsi" w:hAnsiTheme="minorHAnsi" w:cs="Arial"/>
          <w:b/>
          <w:color w:val="222222"/>
          <w:sz w:val="20"/>
          <w:szCs w:val="20"/>
          <w:lang w:eastAsia="hr-HR"/>
        </w:rPr>
      </w:pPr>
      <w:r w:rsidRPr="00361664">
        <w:rPr>
          <w:rFonts w:asciiTheme="minorHAnsi" w:hAnsiTheme="minorHAnsi" w:cs="Arial"/>
          <w:b/>
          <w:color w:val="222222"/>
          <w:sz w:val="20"/>
          <w:szCs w:val="20"/>
          <w:lang w:eastAsia="hr-HR"/>
        </w:rPr>
        <w:t> </w:t>
      </w:r>
    </w:p>
    <w:p w:rsidR="00E1252B" w:rsidRPr="00361664" w:rsidRDefault="00E1252B" w:rsidP="00CD00FF">
      <w:pPr>
        <w:pStyle w:val="Odlomakpopisa"/>
        <w:numPr>
          <w:ilvl w:val="0"/>
          <w:numId w:val="8"/>
        </w:numPr>
        <w:shd w:val="clear" w:color="auto" w:fill="FFFFFF"/>
        <w:spacing w:after="0"/>
        <w:jc w:val="both"/>
        <w:rPr>
          <w:rFonts w:asciiTheme="minorHAnsi" w:hAnsiTheme="minorHAnsi" w:cs="Arial"/>
          <w:color w:val="222222"/>
          <w:sz w:val="20"/>
          <w:szCs w:val="20"/>
          <w:lang w:eastAsia="hr-HR"/>
        </w:rPr>
      </w:pPr>
      <w:r w:rsidRPr="00361664">
        <w:rPr>
          <w:rFonts w:asciiTheme="minorHAnsi" w:hAnsiTheme="minorHAnsi" w:cs="Arial"/>
          <w:color w:val="222222"/>
          <w:sz w:val="20"/>
          <w:szCs w:val="20"/>
          <w:lang w:eastAsia="hr-HR"/>
        </w:rPr>
        <w:br w:type="page"/>
      </w:r>
    </w:p>
    <w:p w:rsidR="00F74A91" w:rsidRPr="00361664" w:rsidRDefault="00F74A91" w:rsidP="004E4418">
      <w:pPr>
        <w:pStyle w:val="Naslov1"/>
        <w:rPr>
          <w:rStyle w:val="Jakoisticanje"/>
          <w:b/>
          <w:bCs/>
          <w:i w:val="0"/>
          <w:iCs w:val="0"/>
          <w:color w:val="365F91"/>
          <w:lang w:val="hr-HR"/>
        </w:rPr>
      </w:pPr>
      <w:bookmarkStart w:id="6" w:name="_Toc535245835"/>
      <w:r w:rsidRPr="00361664">
        <w:rPr>
          <w:lang w:val="hr-HR"/>
        </w:rPr>
        <w:lastRenderedPageBreak/>
        <w:t>P</w:t>
      </w:r>
      <w:r w:rsidR="004E4418" w:rsidRPr="00361664">
        <w:rPr>
          <w:rStyle w:val="Jakoisticanje"/>
          <w:b/>
          <w:bCs/>
          <w:i w:val="0"/>
          <w:iCs w:val="0"/>
          <w:color w:val="365F91"/>
          <w:lang w:val="hr-HR"/>
        </w:rPr>
        <w:t>REGLED NACIONALNIH CILJEVA I UŠTEDA</w:t>
      </w:r>
      <w:bookmarkEnd w:id="6"/>
      <w:r w:rsidRPr="00361664">
        <w:rPr>
          <w:rStyle w:val="Jakoisticanje"/>
          <w:b/>
          <w:bCs/>
          <w:i w:val="0"/>
          <w:iCs w:val="0"/>
          <w:color w:val="365F91"/>
          <w:lang w:val="hr-HR"/>
        </w:rPr>
        <w:br/>
      </w:r>
    </w:p>
    <w:p w:rsidR="00944F9E" w:rsidRPr="00361664" w:rsidRDefault="004E4418" w:rsidP="004724DF">
      <w:pPr>
        <w:pStyle w:val="Naslov2"/>
        <w:rPr>
          <w:rStyle w:val="Jakoisticanje"/>
          <w:b/>
          <w:bCs/>
          <w:i/>
          <w:iCs/>
          <w:color w:val="375F91"/>
        </w:rPr>
      </w:pPr>
      <w:bookmarkStart w:id="7" w:name="_Toc535245836"/>
      <w:r w:rsidRPr="00361664">
        <w:rPr>
          <w:rStyle w:val="Jakoisticanje"/>
          <w:b/>
          <w:bCs/>
          <w:i/>
          <w:iCs/>
          <w:color w:val="375F91"/>
        </w:rPr>
        <w:t>Nacionalni ciljevi energetske učinkovitosti  za</w:t>
      </w:r>
      <w:r w:rsidR="007871C0" w:rsidRPr="00361664">
        <w:rPr>
          <w:rStyle w:val="Jakoisticanje"/>
          <w:b/>
          <w:bCs/>
          <w:i/>
          <w:iCs/>
          <w:color w:val="375F91"/>
        </w:rPr>
        <w:t xml:space="preserve"> 2020</w:t>
      </w:r>
      <w:r w:rsidR="003412CD" w:rsidRPr="00361664">
        <w:rPr>
          <w:rStyle w:val="Jakoisticanje"/>
          <w:b/>
          <w:bCs/>
          <w:i/>
          <w:iCs/>
          <w:color w:val="375F91"/>
        </w:rPr>
        <w:t>.</w:t>
      </w:r>
      <w:bookmarkEnd w:id="7"/>
    </w:p>
    <w:p w:rsidR="007D720D" w:rsidRPr="00361664" w:rsidRDefault="007D720D" w:rsidP="007D720D">
      <w:pPr>
        <w:jc w:val="both"/>
        <w:rPr>
          <w:rFonts w:asciiTheme="minorHAnsi" w:hAnsiTheme="minorHAnsi" w:cs="Arial"/>
          <w:b/>
          <w:i/>
        </w:rPr>
      </w:pPr>
      <w:r w:rsidRPr="00361664">
        <w:rPr>
          <w:rFonts w:asciiTheme="minorHAnsi" w:hAnsiTheme="minorHAnsi" w:cs="Arial"/>
          <w:b/>
          <w:i/>
        </w:rPr>
        <w:t>Nacionalni ciljevi ušteda energije do 2016. i do 2020. godine prema zahtjevima Direktive 2006/32/EC o energetskoj učinkovitosti i energetskim uslugama (ESD)</w:t>
      </w:r>
    </w:p>
    <w:p w:rsidR="007D720D" w:rsidRPr="00361664" w:rsidRDefault="007D720D" w:rsidP="007D720D">
      <w:pPr>
        <w:autoSpaceDE w:val="0"/>
        <w:autoSpaceDN w:val="0"/>
        <w:adjustRightInd w:val="0"/>
        <w:jc w:val="both"/>
        <w:rPr>
          <w:rFonts w:asciiTheme="minorHAnsi" w:hAnsiTheme="minorHAnsi" w:cs="Arial"/>
          <w:sz w:val="20"/>
          <w:szCs w:val="20"/>
        </w:rPr>
      </w:pPr>
      <w:r w:rsidRPr="00361664">
        <w:rPr>
          <w:rFonts w:asciiTheme="minorHAnsi" w:hAnsiTheme="minorHAnsi" w:cs="Arial"/>
          <w:sz w:val="20"/>
          <w:szCs w:val="20"/>
        </w:rPr>
        <w:t>Strategijom energetskog razvoja, Nacionalnim programom energetske učinkovitosti i Prvim nacionalnim akcijskim planom za energetsku učinkovitost Republika Hrvatska postavila je za cilj smanjiti neposrednu potrošnju energije u 2016. godini za 19,77 PJ u skladu sa zahtjevima ESD. Cilj odgovara apsolutnom iznosu od 9% prosječne neposredne potrošnje u razdoblju od 2001. do 2005 godine.</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Sektorska raspodjela cilja revidirana je u 3. NAPEnU-u u skladu s noveliranim projekcijama neposredne potrošnje energije i potencijalima za uštede po sektorima. Međutim, sektorska raspodjela predstavlja samo okvirni  cilj. Cilj i sektorska raspodjela vidljivi su u Tablici 2-1.</w:t>
      </w:r>
    </w:p>
    <w:p w:rsidR="007D720D" w:rsidRPr="00361664" w:rsidRDefault="007D720D" w:rsidP="007D720D">
      <w:pPr>
        <w:spacing w:after="0"/>
        <w:jc w:val="both"/>
        <w:rPr>
          <w:rFonts w:asciiTheme="minorHAnsi" w:hAnsiTheme="minorHAnsi" w:cs="Arial"/>
          <w:sz w:val="20"/>
          <w:szCs w:val="20"/>
        </w:rPr>
      </w:pPr>
      <w:r w:rsidRPr="00361664">
        <w:rPr>
          <w:rFonts w:asciiTheme="minorHAnsi" w:hAnsiTheme="minorHAnsi" w:cs="Arial"/>
          <w:b/>
          <w:sz w:val="20"/>
          <w:szCs w:val="20"/>
        </w:rPr>
        <w:t>Tablica 2-1.</w:t>
      </w:r>
      <w:r w:rsidRPr="00361664">
        <w:rPr>
          <w:rFonts w:asciiTheme="minorHAnsi" w:hAnsiTheme="minorHAnsi" w:cs="Arial"/>
          <w:sz w:val="20"/>
          <w:szCs w:val="20"/>
        </w:rPr>
        <w:t xml:space="preserve"> Nacionalni cilj ušteda energije u neposrednoj potrošnji za 2016. godinu</w:t>
      </w:r>
    </w:p>
    <w:tbl>
      <w:tblPr>
        <w:tblW w:w="7536" w:type="dxa"/>
        <w:tblInd w:w="113" w:type="dxa"/>
        <w:tblLook w:val="04A0" w:firstRow="1" w:lastRow="0" w:firstColumn="1" w:lastColumn="0" w:noHBand="0" w:noVBand="1"/>
      </w:tblPr>
      <w:tblGrid>
        <w:gridCol w:w="4146"/>
        <w:gridCol w:w="1695"/>
        <w:gridCol w:w="1695"/>
      </w:tblGrid>
      <w:tr w:rsidR="007D720D" w:rsidRPr="00361664" w:rsidTr="007D720D">
        <w:trPr>
          <w:trHeight w:val="231"/>
        </w:trPr>
        <w:tc>
          <w:tcPr>
            <w:tcW w:w="414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Sektorska raspodjela ciljeva</w:t>
            </w:r>
          </w:p>
        </w:tc>
        <w:tc>
          <w:tcPr>
            <w:tcW w:w="3390" w:type="dxa"/>
            <w:gridSpan w:val="2"/>
            <w:tcBorders>
              <w:top w:val="single" w:sz="4" w:space="0" w:color="auto"/>
              <w:left w:val="nil"/>
              <w:bottom w:val="single" w:sz="4" w:space="0" w:color="auto"/>
              <w:right w:val="single" w:sz="4" w:space="0" w:color="auto"/>
            </w:tcBorders>
            <w:shd w:val="clear" w:color="auto" w:fill="CCFFCC"/>
            <w:noWrap/>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2016.</w:t>
            </w:r>
          </w:p>
        </w:tc>
      </w:tr>
      <w:tr w:rsidR="007D720D" w:rsidRPr="00361664" w:rsidTr="007D720D">
        <w:trPr>
          <w:trHeight w:val="307"/>
        </w:trPr>
        <w:tc>
          <w:tcPr>
            <w:tcW w:w="414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p>
        </w:tc>
        <w:tc>
          <w:tcPr>
            <w:tcW w:w="1695"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Sektorski ciljevi (PJ)</w:t>
            </w:r>
          </w:p>
        </w:tc>
        <w:tc>
          <w:tcPr>
            <w:tcW w:w="1695"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Udio u ukupnom cilju (%)</w:t>
            </w:r>
          </w:p>
        </w:tc>
      </w:tr>
      <w:tr w:rsidR="007D720D" w:rsidRPr="00361664" w:rsidTr="007D720D">
        <w:trPr>
          <w:trHeight w:val="231"/>
        </w:trPr>
        <w:tc>
          <w:tcPr>
            <w:tcW w:w="4146"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Kućanstava</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6,70</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34%</w:t>
            </w:r>
          </w:p>
        </w:tc>
      </w:tr>
      <w:tr w:rsidR="007D720D" w:rsidRPr="00361664" w:rsidTr="007D720D">
        <w:trPr>
          <w:trHeight w:val="231"/>
        </w:trPr>
        <w:tc>
          <w:tcPr>
            <w:tcW w:w="4146"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Usluge</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3,64</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18%</w:t>
            </w:r>
          </w:p>
        </w:tc>
      </w:tr>
      <w:tr w:rsidR="007D720D" w:rsidRPr="00361664" w:rsidTr="007D720D">
        <w:trPr>
          <w:trHeight w:val="231"/>
        </w:trPr>
        <w:tc>
          <w:tcPr>
            <w:tcW w:w="4146"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Industrija (ne ETS)</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3,40</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17%</w:t>
            </w:r>
          </w:p>
        </w:tc>
      </w:tr>
      <w:tr w:rsidR="007D720D" w:rsidRPr="00361664" w:rsidTr="007D720D">
        <w:trPr>
          <w:trHeight w:val="231"/>
        </w:trPr>
        <w:tc>
          <w:tcPr>
            <w:tcW w:w="4146"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Promet</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6,03</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31%</w:t>
            </w:r>
          </w:p>
        </w:tc>
      </w:tr>
      <w:tr w:rsidR="007D720D" w:rsidRPr="00361664" w:rsidTr="007D720D">
        <w:trPr>
          <w:trHeight w:val="231"/>
        </w:trPr>
        <w:tc>
          <w:tcPr>
            <w:tcW w:w="4146"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UKUPNO</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19,77</w:t>
            </w:r>
          </w:p>
        </w:tc>
        <w:tc>
          <w:tcPr>
            <w:tcW w:w="1695"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100%</w:t>
            </w:r>
          </w:p>
        </w:tc>
      </w:tr>
    </w:tbl>
    <w:p w:rsidR="007D720D" w:rsidRPr="00361664" w:rsidRDefault="007D720D" w:rsidP="007D720D">
      <w:pPr>
        <w:jc w:val="both"/>
        <w:rPr>
          <w:rFonts w:asciiTheme="minorHAnsi" w:hAnsiTheme="minorHAnsi" w:cs="Arial"/>
          <w:sz w:val="20"/>
          <w:szCs w:val="20"/>
        </w:rPr>
      </w:pP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 xml:space="preserve">Za 2020. godinu postavljen je cilj ušteda energije od 22,76 PJ. Cilj odgovara apsolutnom iznosu od 10% prosječne neposredne potrošnje energije u razdoblju od 2001. do 2005. godine. </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Ostvarenje ovih ciljeva prati se sukladno zahtjevima ESD i prema Pravilniku o sustavu za praćenje, mjerenje i verifikaciju ušteda energije (NN 71/2015), metodama odozgo-prema-dolje (engl. top-down, TD) i odozdo-prema-gore (engl. bottom-up, BU).</w:t>
      </w:r>
    </w:p>
    <w:p w:rsidR="007D720D" w:rsidRPr="00361664" w:rsidRDefault="007D720D" w:rsidP="007D720D">
      <w:pPr>
        <w:jc w:val="both"/>
        <w:rPr>
          <w:rFonts w:asciiTheme="minorHAnsi" w:hAnsiTheme="minorHAnsi" w:cs="Arial"/>
          <w:b/>
          <w:i/>
        </w:rPr>
      </w:pP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b/>
          <w:i/>
        </w:rPr>
        <w:t>Projekcije potrošnje energije</w:t>
      </w:r>
    </w:p>
    <w:p w:rsidR="007D720D" w:rsidRPr="00361664" w:rsidRDefault="007D720D" w:rsidP="007D720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Arial"/>
          <w:sz w:val="20"/>
          <w:szCs w:val="20"/>
        </w:rPr>
      </w:pPr>
      <w:r w:rsidRPr="00361664">
        <w:rPr>
          <w:rFonts w:asciiTheme="minorHAnsi" w:hAnsiTheme="minorHAnsi" w:cs="Arial"/>
          <w:sz w:val="20"/>
          <w:szCs w:val="20"/>
        </w:rPr>
        <w:t>Promjena u povijesnom nizu potrošnje energije</w:t>
      </w:r>
    </w:p>
    <w:p w:rsidR="007D720D" w:rsidRPr="00361664" w:rsidRDefault="007D720D" w:rsidP="007D720D">
      <w:pPr>
        <w:pBdr>
          <w:top w:val="single" w:sz="4" w:space="1" w:color="auto"/>
          <w:left w:val="single" w:sz="4" w:space="4" w:color="auto"/>
          <w:bottom w:val="single" w:sz="4" w:space="1" w:color="auto"/>
          <w:right w:val="single" w:sz="4" w:space="4" w:color="auto"/>
        </w:pBdr>
        <w:jc w:val="both"/>
        <w:rPr>
          <w:rFonts w:asciiTheme="minorHAnsi" w:hAnsiTheme="minorHAnsi" w:cs="Arial"/>
          <w:sz w:val="20"/>
          <w:szCs w:val="20"/>
        </w:rPr>
      </w:pPr>
      <w:r w:rsidRPr="00361664">
        <w:rPr>
          <w:rFonts w:asciiTheme="minorHAnsi" w:hAnsiTheme="minorHAnsi" w:cs="Arial"/>
          <w:sz w:val="20"/>
          <w:szCs w:val="20"/>
        </w:rPr>
        <w:t xml:space="preserve">U 2015. godini u okviru IPA programa EU provedeno je istraživanje o energetskoj potrošnji u kućanstvima i uslugama za 2012. godinu (Podaci o energetskoj učinkovitosti u kućanstvima i uslugama u 2012., DZS, 2015.). </w:t>
      </w:r>
    </w:p>
    <w:p w:rsidR="007D720D" w:rsidRPr="00361664" w:rsidRDefault="007D720D" w:rsidP="007D720D">
      <w:pPr>
        <w:pBdr>
          <w:top w:val="single" w:sz="4" w:space="1" w:color="auto"/>
          <w:left w:val="single" w:sz="4" w:space="4" w:color="auto"/>
          <w:bottom w:val="single" w:sz="4" w:space="1" w:color="auto"/>
          <w:right w:val="single" w:sz="4" w:space="4" w:color="auto"/>
        </w:pBdr>
        <w:jc w:val="both"/>
        <w:rPr>
          <w:rFonts w:asciiTheme="minorHAnsi" w:hAnsiTheme="minorHAnsi" w:cs="Arial"/>
          <w:sz w:val="20"/>
          <w:szCs w:val="20"/>
        </w:rPr>
      </w:pPr>
      <w:r w:rsidRPr="00361664">
        <w:rPr>
          <w:rFonts w:asciiTheme="minorHAnsi" w:hAnsiTheme="minorHAnsi" w:cs="Arial"/>
          <w:sz w:val="20"/>
          <w:szCs w:val="20"/>
        </w:rPr>
        <w:t xml:space="preserve">Na temelju istraživanja ustanovljena je značajno veća potrošnja energije biomase u odnosu na prijašnje podatke u energetskoj bilanci. Potrošnja </w:t>
      </w:r>
      <w:r w:rsidRPr="00361664">
        <w:rPr>
          <w:rFonts w:asciiTheme="minorHAnsi" w:hAnsiTheme="minorHAnsi" w:cs="Arial"/>
          <w:b/>
          <w:sz w:val="20"/>
          <w:szCs w:val="20"/>
        </w:rPr>
        <w:t>ogrjevnog drva u sektoru kućanstva</w:t>
      </w:r>
      <w:r w:rsidRPr="00361664">
        <w:rPr>
          <w:rFonts w:asciiTheme="minorHAnsi" w:hAnsiTheme="minorHAnsi" w:cs="Arial"/>
          <w:sz w:val="20"/>
          <w:szCs w:val="20"/>
        </w:rPr>
        <w:t xml:space="preserve"> u 2012. godini </w:t>
      </w:r>
      <w:r w:rsidRPr="00361664">
        <w:rPr>
          <w:rFonts w:asciiTheme="minorHAnsi" w:hAnsiTheme="minorHAnsi" w:cs="Arial"/>
          <w:b/>
          <w:sz w:val="20"/>
          <w:szCs w:val="20"/>
        </w:rPr>
        <w:t>povećana je</w:t>
      </w:r>
      <w:r w:rsidRPr="00361664">
        <w:rPr>
          <w:rFonts w:asciiTheme="minorHAnsi" w:hAnsiTheme="minorHAnsi" w:cs="Arial"/>
          <w:sz w:val="20"/>
          <w:szCs w:val="20"/>
        </w:rPr>
        <w:t xml:space="preserve"> s 21,43 PJ na 47,96 PJ, odnosno </w:t>
      </w:r>
      <w:r w:rsidRPr="00361664">
        <w:rPr>
          <w:rFonts w:asciiTheme="minorHAnsi" w:hAnsiTheme="minorHAnsi" w:cs="Arial"/>
          <w:b/>
          <w:sz w:val="20"/>
          <w:szCs w:val="20"/>
        </w:rPr>
        <w:t>za 31,22 PJ</w:t>
      </w:r>
      <w:r w:rsidRPr="00361664">
        <w:rPr>
          <w:rFonts w:asciiTheme="minorHAnsi" w:hAnsiTheme="minorHAnsi" w:cs="Arial"/>
          <w:sz w:val="20"/>
          <w:szCs w:val="20"/>
        </w:rPr>
        <w:t xml:space="preserve"> ili 123,8%. Time je neposredna potrošnja energije u sektorima opće potrošnje povećana za 24,7%, neposredna potrošnja energije u svim sektorima za 12,2% te ukupna potrošnja energije za 8,6% u odnosu na podatke prije istraživanja. Temeljem tih podataka, 2016. godine napravljena je korekcija potrošnje energije biomase i za ostale povijesne godine (za razdoblje od 1990. do 2015. godine). </w:t>
      </w:r>
    </w:p>
    <w:p w:rsidR="007D720D" w:rsidRPr="00361664" w:rsidRDefault="007D720D" w:rsidP="007D720D">
      <w:pPr>
        <w:keepNext/>
        <w:keepLines/>
        <w:jc w:val="both"/>
        <w:rPr>
          <w:rFonts w:asciiTheme="minorHAnsi" w:hAnsiTheme="minorHAnsi" w:cs="Arial"/>
          <w:sz w:val="20"/>
          <w:szCs w:val="20"/>
        </w:rPr>
      </w:pPr>
      <w:r w:rsidRPr="00361664">
        <w:rPr>
          <w:rFonts w:asciiTheme="minorHAnsi" w:hAnsiTheme="minorHAnsi" w:cs="Arial"/>
          <w:sz w:val="20"/>
          <w:szCs w:val="20"/>
        </w:rPr>
        <w:lastRenderedPageBreak/>
        <w:t xml:space="preserve">Tijekom 2016. godine izrađene su nove projekcije neposredne i primarne potrošnje energije koje uključuju podatke o potrošnji energije iz revidiranih energetskih bilanci. Nove projekcije usklađene su sa Strategijom niskougljičnog razvoja Republike Hrvatske za razdoblje do 2030. godine s pogledom na 2050. godinu. Strategija niskougljičnog razvoja se odnosi na sve sektore gospodarstva te ima horizontalno djelovanje, što znači da se sektorski razvojni i strateški dokumenti moraju uskladiti s načelima, osnovnim ciljevima, prioritetima i mjerama niskougljičnog razvoja, a što se odnosi i na Strategiju energetskog razvoja. </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U tablici 2-2. i na slici 2-1. prikazana je povijesna potrošnja i projekcije potrošnje energije do 2020. godine.</w:t>
      </w:r>
    </w:p>
    <w:p w:rsidR="007D720D" w:rsidRPr="00361664" w:rsidRDefault="007D720D" w:rsidP="007D720D">
      <w:pPr>
        <w:spacing w:after="0"/>
        <w:jc w:val="both"/>
        <w:rPr>
          <w:rFonts w:asciiTheme="minorHAnsi" w:hAnsiTheme="minorHAnsi" w:cs="Arial"/>
          <w:sz w:val="20"/>
          <w:szCs w:val="20"/>
        </w:rPr>
      </w:pPr>
      <w:r w:rsidRPr="00361664">
        <w:rPr>
          <w:rFonts w:asciiTheme="minorHAnsi" w:hAnsiTheme="minorHAnsi" w:cs="Arial"/>
          <w:b/>
          <w:sz w:val="20"/>
          <w:szCs w:val="20"/>
        </w:rPr>
        <w:t>Tablica 2-2.</w:t>
      </w:r>
      <w:r w:rsidRPr="00361664">
        <w:rPr>
          <w:rFonts w:asciiTheme="minorHAnsi" w:hAnsiTheme="minorHAnsi" w:cs="Arial"/>
          <w:sz w:val="20"/>
          <w:szCs w:val="20"/>
        </w:rPr>
        <w:t xml:space="preserve"> Ostvarena potrošnja i projekcije potrošnje energije </w:t>
      </w:r>
    </w:p>
    <w:tbl>
      <w:tblPr>
        <w:tblStyle w:val="Reetkatablice"/>
        <w:tblW w:w="0" w:type="auto"/>
        <w:tblInd w:w="113" w:type="dxa"/>
        <w:tblLook w:val="04A0" w:firstRow="1" w:lastRow="0" w:firstColumn="1" w:lastColumn="0" w:noHBand="0" w:noVBand="1"/>
      </w:tblPr>
      <w:tblGrid>
        <w:gridCol w:w="2835"/>
        <w:gridCol w:w="1531"/>
        <w:gridCol w:w="1531"/>
        <w:gridCol w:w="1531"/>
        <w:gridCol w:w="1531"/>
      </w:tblGrid>
      <w:tr w:rsidR="007D720D" w:rsidRPr="00361664" w:rsidTr="007D720D">
        <w:trPr>
          <w:trHeight w:val="359"/>
        </w:trPr>
        <w:tc>
          <w:tcPr>
            <w:tcW w:w="2835" w:type="dxa"/>
            <w:vMerge w:val="restart"/>
            <w:shd w:val="clear" w:color="auto" w:fill="CCFFCC"/>
            <w:vAlign w:val="center"/>
          </w:tcPr>
          <w:p w:rsidR="007D720D" w:rsidRPr="00361664" w:rsidRDefault="007D720D" w:rsidP="007D720D">
            <w:pPr>
              <w:jc w:val="center"/>
              <w:rPr>
                <w:rFonts w:asciiTheme="minorHAnsi" w:hAnsiTheme="minorHAnsi" w:cs="Arial"/>
                <w:b/>
                <w:lang w:eastAsia="en-US"/>
              </w:rPr>
            </w:pPr>
            <w:r w:rsidRPr="00361664">
              <w:rPr>
                <w:rFonts w:asciiTheme="minorHAnsi" w:hAnsiTheme="minorHAnsi" w:cs="Arial"/>
                <w:b/>
              </w:rPr>
              <w:t>PJ</w:t>
            </w:r>
          </w:p>
        </w:tc>
        <w:tc>
          <w:tcPr>
            <w:tcW w:w="4593" w:type="dxa"/>
            <w:gridSpan w:val="3"/>
            <w:shd w:val="clear" w:color="auto" w:fill="CCFFCC"/>
            <w:vAlign w:val="center"/>
          </w:tcPr>
          <w:p w:rsidR="007D720D" w:rsidRPr="00361664" w:rsidRDefault="007D720D" w:rsidP="007D720D">
            <w:pPr>
              <w:jc w:val="center"/>
              <w:rPr>
                <w:rFonts w:asciiTheme="minorHAnsi" w:hAnsiTheme="minorHAnsi" w:cs="Arial"/>
                <w:b/>
                <w:lang w:eastAsia="en-US"/>
              </w:rPr>
            </w:pPr>
            <w:r w:rsidRPr="00361664">
              <w:rPr>
                <w:rFonts w:asciiTheme="minorHAnsi" w:hAnsiTheme="minorHAnsi" w:cs="Arial"/>
                <w:b/>
              </w:rPr>
              <w:t>Ostvareno</w:t>
            </w:r>
          </w:p>
        </w:tc>
        <w:tc>
          <w:tcPr>
            <w:tcW w:w="1531" w:type="dxa"/>
            <w:shd w:val="clear" w:color="auto" w:fill="CCFFCC"/>
            <w:vAlign w:val="center"/>
          </w:tcPr>
          <w:p w:rsidR="007D720D" w:rsidRPr="00361664" w:rsidRDefault="007D720D" w:rsidP="007D720D">
            <w:pPr>
              <w:jc w:val="center"/>
              <w:rPr>
                <w:rFonts w:asciiTheme="minorHAnsi" w:hAnsiTheme="minorHAnsi" w:cs="Arial"/>
                <w:b/>
                <w:lang w:eastAsia="en-US"/>
              </w:rPr>
            </w:pPr>
            <w:r w:rsidRPr="00361664">
              <w:rPr>
                <w:rFonts w:asciiTheme="minorHAnsi" w:hAnsiTheme="minorHAnsi" w:cs="Arial"/>
                <w:b/>
              </w:rPr>
              <w:t>Projekcija</w:t>
            </w:r>
          </w:p>
        </w:tc>
      </w:tr>
      <w:tr w:rsidR="007D720D" w:rsidRPr="00361664" w:rsidTr="007D720D">
        <w:trPr>
          <w:trHeight w:val="359"/>
        </w:trPr>
        <w:tc>
          <w:tcPr>
            <w:tcW w:w="2835" w:type="dxa"/>
            <w:vMerge/>
            <w:tcBorders>
              <w:bottom w:val="single" w:sz="4" w:space="0" w:color="auto"/>
            </w:tcBorders>
            <w:shd w:val="clear" w:color="auto" w:fill="CCFFCC"/>
            <w:vAlign w:val="center"/>
          </w:tcPr>
          <w:p w:rsidR="007D720D" w:rsidRPr="00361664" w:rsidRDefault="007D720D" w:rsidP="007D720D">
            <w:pPr>
              <w:jc w:val="center"/>
              <w:rPr>
                <w:rFonts w:asciiTheme="minorHAnsi" w:hAnsiTheme="minorHAnsi" w:cs="Arial"/>
                <w:b/>
              </w:rPr>
            </w:pPr>
          </w:p>
        </w:tc>
        <w:tc>
          <w:tcPr>
            <w:tcW w:w="1531" w:type="dxa"/>
            <w:shd w:val="clear" w:color="auto" w:fill="CCFFCC"/>
            <w:vAlign w:val="center"/>
          </w:tcPr>
          <w:p w:rsidR="007D720D" w:rsidRPr="00361664" w:rsidRDefault="007D720D" w:rsidP="007D720D">
            <w:pPr>
              <w:jc w:val="center"/>
              <w:rPr>
                <w:rFonts w:asciiTheme="minorHAnsi" w:hAnsiTheme="minorHAnsi" w:cs="Arial"/>
                <w:b/>
                <w:sz w:val="22"/>
                <w:szCs w:val="22"/>
                <w:lang w:eastAsia="en-US"/>
              </w:rPr>
            </w:pPr>
            <w:r w:rsidRPr="00361664">
              <w:rPr>
                <w:rFonts w:asciiTheme="minorHAnsi" w:hAnsiTheme="minorHAnsi" w:cs="Arial"/>
                <w:b/>
              </w:rPr>
              <w:t>2007.</w:t>
            </w:r>
          </w:p>
        </w:tc>
        <w:tc>
          <w:tcPr>
            <w:tcW w:w="1531" w:type="dxa"/>
            <w:shd w:val="clear" w:color="auto" w:fill="CCFFCC"/>
            <w:vAlign w:val="center"/>
          </w:tcPr>
          <w:p w:rsidR="007D720D" w:rsidRPr="00361664" w:rsidRDefault="007D720D" w:rsidP="007D720D">
            <w:pPr>
              <w:jc w:val="center"/>
              <w:rPr>
                <w:rFonts w:asciiTheme="minorHAnsi" w:hAnsiTheme="minorHAnsi" w:cs="Arial"/>
                <w:b/>
              </w:rPr>
            </w:pPr>
            <w:r w:rsidRPr="00361664">
              <w:rPr>
                <w:rFonts w:asciiTheme="minorHAnsi" w:hAnsiTheme="minorHAnsi" w:cs="Arial"/>
                <w:b/>
              </w:rPr>
              <w:t>2010.</w:t>
            </w:r>
          </w:p>
        </w:tc>
        <w:tc>
          <w:tcPr>
            <w:tcW w:w="1531" w:type="dxa"/>
            <w:shd w:val="clear" w:color="auto" w:fill="CCFFCC"/>
            <w:vAlign w:val="center"/>
          </w:tcPr>
          <w:p w:rsidR="007D720D" w:rsidRPr="00361664" w:rsidRDefault="007D720D" w:rsidP="007D720D">
            <w:pPr>
              <w:jc w:val="center"/>
              <w:rPr>
                <w:rFonts w:asciiTheme="minorHAnsi" w:hAnsiTheme="minorHAnsi" w:cs="Arial"/>
                <w:b/>
              </w:rPr>
            </w:pPr>
            <w:r w:rsidRPr="00361664">
              <w:rPr>
                <w:rFonts w:asciiTheme="minorHAnsi" w:hAnsiTheme="minorHAnsi" w:cs="Arial"/>
                <w:b/>
              </w:rPr>
              <w:t>2015.</w:t>
            </w:r>
          </w:p>
        </w:tc>
        <w:tc>
          <w:tcPr>
            <w:tcW w:w="1531" w:type="dxa"/>
            <w:shd w:val="clear" w:color="auto" w:fill="CCFFCC"/>
            <w:vAlign w:val="center"/>
          </w:tcPr>
          <w:p w:rsidR="007D720D" w:rsidRPr="00361664" w:rsidRDefault="007D720D" w:rsidP="007D720D">
            <w:pPr>
              <w:jc w:val="center"/>
              <w:rPr>
                <w:rFonts w:asciiTheme="minorHAnsi" w:hAnsiTheme="minorHAnsi" w:cs="Arial"/>
                <w:b/>
              </w:rPr>
            </w:pPr>
            <w:r w:rsidRPr="00361664">
              <w:rPr>
                <w:rFonts w:asciiTheme="minorHAnsi" w:hAnsiTheme="minorHAnsi" w:cs="Arial"/>
                <w:b/>
              </w:rPr>
              <w:t>2020.</w:t>
            </w:r>
          </w:p>
        </w:tc>
      </w:tr>
      <w:tr w:rsidR="007D720D" w:rsidRPr="00361664" w:rsidTr="007D720D">
        <w:trPr>
          <w:trHeight w:val="359"/>
        </w:trPr>
        <w:tc>
          <w:tcPr>
            <w:tcW w:w="2835" w:type="dxa"/>
            <w:shd w:val="clear" w:color="auto" w:fill="auto"/>
            <w:vAlign w:val="center"/>
          </w:tcPr>
          <w:p w:rsidR="007D720D" w:rsidRPr="00361664" w:rsidRDefault="007D720D" w:rsidP="007D720D">
            <w:pPr>
              <w:rPr>
                <w:rFonts w:asciiTheme="minorHAnsi" w:hAnsiTheme="minorHAnsi" w:cs="Arial"/>
                <w:lang w:eastAsia="en-US"/>
              </w:rPr>
            </w:pPr>
            <w:r w:rsidRPr="00361664">
              <w:rPr>
                <w:rFonts w:asciiTheme="minorHAnsi" w:hAnsiTheme="minorHAnsi" w:cs="Arial"/>
              </w:rPr>
              <w:t>Potrošnja primarne energije</w:t>
            </w:r>
          </w:p>
        </w:tc>
        <w:tc>
          <w:tcPr>
            <w:tcW w:w="1531" w:type="dxa"/>
            <w:vAlign w:val="center"/>
          </w:tcPr>
          <w:p w:rsidR="007D720D" w:rsidRPr="00361664" w:rsidRDefault="007D720D" w:rsidP="007D720D">
            <w:pPr>
              <w:jc w:val="center"/>
              <w:rPr>
                <w:rFonts w:asciiTheme="minorHAnsi" w:hAnsiTheme="minorHAnsi" w:cs="Arial"/>
              </w:rPr>
            </w:pPr>
            <w:r w:rsidRPr="00361664">
              <w:rPr>
                <w:rFonts w:asciiTheme="minorHAnsi" w:hAnsiTheme="minorHAnsi" w:cs="Arial"/>
              </w:rPr>
              <w:t>453,9</w:t>
            </w:r>
          </w:p>
        </w:tc>
        <w:tc>
          <w:tcPr>
            <w:tcW w:w="1531" w:type="dxa"/>
            <w:vAlign w:val="center"/>
          </w:tcPr>
          <w:p w:rsidR="007D720D" w:rsidRPr="00361664" w:rsidRDefault="007D720D" w:rsidP="007D720D">
            <w:pPr>
              <w:jc w:val="center"/>
              <w:rPr>
                <w:rFonts w:asciiTheme="minorHAnsi" w:hAnsiTheme="minorHAnsi" w:cs="Arial"/>
                <w:color w:val="000000"/>
                <w:lang w:eastAsia="en-US"/>
              </w:rPr>
            </w:pPr>
            <w:r w:rsidRPr="00361664">
              <w:rPr>
                <w:rFonts w:asciiTheme="minorHAnsi" w:hAnsiTheme="minorHAnsi" w:cs="Arial"/>
                <w:color w:val="000000"/>
              </w:rPr>
              <w:t>451,5</w:t>
            </w:r>
          </w:p>
        </w:tc>
        <w:tc>
          <w:tcPr>
            <w:tcW w:w="1531" w:type="dxa"/>
            <w:vAlign w:val="center"/>
          </w:tcPr>
          <w:p w:rsidR="007D720D" w:rsidRPr="00361664" w:rsidRDefault="007D720D" w:rsidP="007D720D">
            <w:pPr>
              <w:jc w:val="center"/>
              <w:rPr>
                <w:rFonts w:asciiTheme="minorHAnsi" w:hAnsiTheme="minorHAnsi" w:cs="Arial"/>
                <w:bCs/>
                <w:lang w:eastAsia="en-US"/>
              </w:rPr>
            </w:pPr>
            <w:r w:rsidRPr="00361664">
              <w:rPr>
                <w:rFonts w:asciiTheme="minorHAnsi" w:hAnsiTheme="minorHAnsi" w:cs="Arial"/>
                <w:bCs/>
              </w:rPr>
              <w:t>398,8</w:t>
            </w:r>
          </w:p>
        </w:tc>
        <w:tc>
          <w:tcPr>
            <w:tcW w:w="1531" w:type="dxa"/>
            <w:vAlign w:val="center"/>
          </w:tcPr>
          <w:p w:rsidR="007D720D" w:rsidRPr="00361664" w:rsidRDefault="007D720D" w:rsidP="007D720D">
            <w:pPr>
              <w:jc w:val="center"/>
              <w:rPr>
                <w:rFonts w:asciiTheme="minorHAnsi" w:hAnsiTheme="minorHAnsi" w:cs="Arial"/>
                <w:bCs/>
                <w:lang w:eastAsia="en-US"/>
              </w:rPr>
            </w:pPr>
            <w:r w:rsidRPr="00361664">
              <w:rPr>
                <w:rFonts w:asciiTheme="minorHAnsi" w:hAnsiTheme="minorHAnsi" w:cs="Arial"/>
                <w:bCs/>
              </w:rPr>
              <w:t>448,5</w:t>
            </w:r>
          </w:p>
        </w:tc>
      </w:tr>
      <w:tr w:rsidR="007D720D" w:rsidRPr="00361664" w:rsidTr="007D720D">
        <w:trPr>
          <w:trHeight w:val="359"/>
        </w:trPr>
        <w:tc>
          <w:tcPr>
            <w:tcW w:w="2835" w:type="dxa"/>
            <w:shd w:val="clear" w:color="auto" w:fill="auto"/>
            <w:vAlign w:val="center"/>
          </w:tcPr>
          <w:p w:rsidR="007D720D" w:rsidRPr="00361664" w:rsidRDefault="007D720D" w:rsidP="007D720D">
            <w:pPr>
              <w:rPr>
                <w:rFonts w:asciiTheme="minorHAnsi" w:hAnsiTheme="minorHAnsi" w:cs="Arial"/>
                <w:lang w:eastAsia="en-US"/>
              </w:rPr>
            </w:pPr>
            <w:r w:rsidRPr="00361664">
              <w:rPr>
                <w:rFonts w:asciiTheme="minorHAnsi" w:hAnsiTheme="minorHAnsi" w:cs="Arial"/>
              </w:rPr>
              <w:t>Neposredna potrošnja energije</w:t>
            </w:r>
          </w:p>
        </w:tc>
        <w:tc>
          <w:tcPr>
            <w:tcW w:w="1531" w:type="dxa"/>
            <w:vAlign w:val="center"/>
          </w:tcPr>
          <w:p w:rsidR="007D720D" w:rsidRPr="00361664" w:rsidRDefault="007D720D" w:rsidP="007D720D">
            <w:pPr>
              <w:jc w:val="center"/>
              <w:rPr>
                <w:rFonts w:asciiTheme="minorHAnsi" w:hAnsiTheme="minorHAnsi" w:cs="Arial"/>
              </w:rPr>
            </w:pPr>
            <w:r w:rsidRPr="00361664">
              <w:rPr>
                <w:rFonts w:asciiTheme="minorHAnsi" w:hAnsiTheme="minorHAnsi" w:cs="Arial"/>
              </w:rPr>
              <w:t>303,4</w:t>
            </w:r>
          </w:p>
        </w:tc>
        <w:tc>
          <w:tcPr>
            <w:tcW w:w="1531" w:type="dxa"/>
            <w:vAlign w:val="center"/>
          </w:tcPr>
          <w:p w:rsidR="007D720D" w:rsidRPr="00361664" w:rsidRDefault="007D720D" w:rsidP="007D720D">
            <w:pPr>
              <w:jc w:val="center"/>
              <w:rPr>
                <w:rFonts w:asciiTheme="minorHAnsi" w:hAnsiTheme="minorHAnsi" w:cs="Arial"/>
                <w:color w:val="000000"/>
                <w:lang w:eastAsia="en-US"/>
              </w:rPr>
            </w:pPr>
            <w:r w:rsidRPr="00361664">
              <w:rPr>
                <w:rFonts w:asciiTheme="minorHAnsi" w:hAnsiTheme="minorHAnsi" w:cs="Arial"/>
                <w:color w:val="000000"/>
              </w:rPr>
              <w:t>300,9</w:t>
            </w:r>
          </w:p>
        </w:tc>
        <w:tc>
          <w:tcPr>
            <w:tcW w:w="1531" w:type="dxa"/>
            <w:vAlign w:val="center"/>
          </w:tcPr>
          <w:p w:rsidR="007D720D" w:rsidRPr="00361664" w:rsidRDefault="007D720D" w:rsidP="007D720D">
            <w:pPr>
              <w:jc w:val="center"/>
              <w:rPr>
                <w:rFonts w:asciiTheme="minorHAnsi" w:hAnsiTheme="minorHAnsi" w:cs="Arial"/>
                <w:bCs/>
                <w:lang w:eastAsia="en-US"/>
              </w:rPr>
            </w:pPr>
            <w:r w:rsidRPr="00361664">
              <w:rPr>
                <w:rFonts w:asciiTheme="minorHAnsi" w:hAnsiTheme="minorHAnsi" w:cs="Arial"/>
                <w:bCs/>
              </w:rPr>
              <w:t>275,2</w:t>
            </w:r>
          </w:p>
        </w:tc>
        <w:tc>
          <w:tcPr>
            <w:tcW w:w="1531" w:type="dxa"/>
            <w:vAlign w:val="center"/>
          </w:tcPr>
          <w:p w:rsidR="007D720D" w:rsidRPr="00361664" w:rsidRDefault="007D720D" w:rsidP="007D720D">
            <w:pPr>
              <w:jc w:val="center"/>
              <w:rPr>
                <w:rFonts w:asciiTheme="minorHAnsi" w:hAnsiTheme="minorHAnsi" w:cs="Arial"/>
                <w:bCs/>
                <w:lang w:eastAsia="en-US"/>
              </w:rPr>
            </w:pPr>
            <w:r w:rsidRPr="00361664">
              <w:rPr>
                <w:rFonts w:asciiTheme="minorHAnsi" w:hAnsiTheme="minorHAnsi" w:cs="Arial"/>
                <w:bCs/>
              </w:rPr>
              <w:t>291,3</w:t>
            </w:r>
          </w:p>
        </w:tc>
      </w:tr>
    </w:tbl>
    <w:p w:rsidR="007D720D" w:rsidRPr="00361664" w:rsidRDefault="007D720D" w:rsidP="007D720D">
      <w:pPr>
        <w:spacing w:after="0"/>
        <w:rPr>
          <w:rFonts w:asciiTheme="minorHAnsi" w:hAnsiTheme="minorHAnsi" w:cs="Arial"/>
          <w:sz w:val="20"/>
          <w:szCs w:val="20"/>
        </w:rPr>
      </w:pPr>
      <w:r w:rsidRPr="00361664">
        <w:rPr>
          <w:rFonts w:asciiTheme="minorHAnsi" w:hAnsiTheme="minorHAnsi" w:cs="Arial"/>
          <w:sz w:val="20"/>
          <w:szCs w:val="20"/>
        </w:rPr>
        <w:t>Izvor: EIHP, EKONERG</w:t>
      </w:r>
    </w:p>
    <w:p w:rsidR="007D720D" w:rsidRPr="00361664" w:rsidRDefault="007D720D" w:rsidP="007D720D">
      <w:pPr>
        <w:spacing w:after="0"/>
        <w:rPr>
          <w:rFonts w:asciiTheme="minorHAnsi" w:hAnsiTheme="minorHAnsi" w:cs="Arial"/>
          <w:sz w:val="20"/>
          <w:szCs w:val="20"/>
        </w:rPr>
      </w:pPr>
    </w:p>
    <w:p w:rsidR="007D720D" w:rsidRPr="00361664" w:rsidRDefault="007D720D" w:rsidP="007D720D">
      <w:pPr>
        <w:jc w:val="both"/>
        <w:rPr>
          <w:rFonts w:asciiTheme="minorHAnsi" w:hAnsiTheme="minorHAnsi" w:cs="Arial"/>
          <w:b/>
          <w:i/>
        </w:rPr>
      </w:pPr>
      <w:r w:rsidRPr="00361664">
        <w:rPr>
          <w:rFonts w:asciiTheme="minorHAnsi" w:hAnsiTheme="minorHAnsi" w:cs="Arial"/>
          <w:b/>
          <w:i/>
        </w:rPr>
        <w:t xml:space="preserve">Okvirni nacionalni cilj povećanja energetske učinkovitosti prema Članku 3. DEU  </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Sukladno novim projekcijama potrošnje energije revidirani su okvirni nacionalni ciljevi povećanja energetske učinkovitosti:</w:t>
      </w:r>
    </w:p>
    <w:p w:rsidR="007D720D" w:rsidRPr="00361664" w:rsidRDefault="007D720D" w:rsidP="00CD00FF">
      <w:pPr>
        <w:numPr>
          <w:ilvl w:val="0"/>
          <w:numId w:val="59"/>
        </w:numPr>
        <w:ind w:left="714" w:hanging="357"/>
        <w:contextualSpacing/>
        <w:jc w:val="both"/>
        <w:rPr>
          <w:rFonts w:asciiTheme="minorHAnsi" w:eastAsia="Calibri" w:hAnsiTheme="minorHAnsi" w:cs="Arial"/>
          <w:sz w:val="20"/>
          <w:szCs w:val="20"/>
        </w:rPr>
      </w:pPr>
      <w:r w:rsidRPr="00361664">
        <w:rPr>
          <w:rFonts w:asciiTheme="minorHAnsi" w:eastAsia="Calibri" w:hAnsiTheme="minorHAnsi" w:cs="Arial"/>
          <w:sz w:val="20"/>
          <w:szCs w:val="20"/>
        </w:rPr>
        <w:t xml:space="preserve">okvirni nacionalni cilj povećanja energetske učinkovitosti, izražen kao apsolutni iznos neposredne potrošnje energije u 2020. godini iznosi </w:t>
      </w:r>
      <w:r w:rsidRPr="00361664">
        <w:rPr>
          <w:rFonts w:asciiTheme="minorHAnsi" w:eastAsia="Calibri" w:hAnsiTheme="minorHAnsi" w:cs="Arial"/>
          <w:b/>
          <w:sz w:val="20"/>
          <w:szCs w:val="20"/>
        </w:rPr>
        <w:t>291,3 PJ (6,96 Mtoe)</w:t>
      </w:r>
      <w:r w:rsidRPr="00361664">
        <w:rPr>
          <w:rFonts w:asciiTheme="minorHAnsi" w:eastAsia="Calibri" w:hAnsiTheme="minorHAnsi" w:cs="Arial"/>
          <w:sz w:val="20"/>
          <w:szCs w:val="20"/>
        </w:rPr>
        <w:t xml:space="preserve">, </w:t>
      </w:r>
    </w:p>
    <w:p w:rsidR="007D720D" w:rsidRPr="00361664" w:rsidRDefault="007D720D" w:rsidP="00CD00FF">
      <w:pPr>
        <w:numPr>
          <w:ilvl w:val="0"/>
          <w:numId w:val="59"/>
        </w:numPr>
        <w:contextualSpacing/>
        <w:jc w:val="both"/>
        <w:rPr>
          <w:rFonts w:asciiTheme="minorHAnsi" w:eastAsia="Calibri" w:hAnsiTheme="minorHAnsi" w:cs="Arial"/>
          <w:sz w:val="20"/>
          <w:szCs w:val="20"/>
        </w:rPr>
      </w:pPr>
      <w:r w:rsidRPr="00361664">
        <w:rPr>
          <w:rFonts w:asciiTheme="minorHAnsi" w:eastAsia="Calibri" w:hAnsiTheme="minorHAnsi" w:cs="Arial"/>
          <w:sz w:val="20"/>
          <w:szCs w:val="20"/>
        </w:rPr>
        <w:t xml:space="preserve">cilj izražen kao apsolutni iznos primarne energije u 2020. godini iznosi </w:t>
      </w:r>
      <w:r w:rsidRPr="00361664">
        <w:rPr>
          <w:rFonts w:asciiTheme="minorHAnsi" w:eastAsia="Calibri" w:hAnsiTheme="minorHAnsi" w:cs="Arial"/>
          <w:b/>
          <w:sz w:val="20"/>
          <w:szCs w:val="20"/>
        </w:rPr>
        <w:t>448,5PJ (10,71 Mtoe)</w:t>
      </w:r>
      <w:r w:rsidRPr="00361664">
        <w:rPr>
          <w:rFonts w:asciiTheme="minorHAnsi" w:eastAsia="Calibri" w:hAnsiTheme="minorHAnsi" w:cs="Arial"/>
          <w:sz w:val="20"/>
          <w:szCs w:val="20"/>
        </w:rPr>
        <w:t xml:space="preserve">. </w:t>
      </w:r>
    </w:p>
    <w:p w:rsidR="007D720D" w:rsidRPr="00361664" w:rsidRDefault="007D720D" w:rsidP="007D720D">
      <w:pPr>
        <w:keepNext/>
        <w:spacing w:after="100"/>
        <w:jc w:val="center"/>
        <w:rPr>
          <w:rFonts w:asciiTheme="minorHAnsi" w:hAnsiTheme="minorHAnsi" w:cs="Arial"/>
          <w:sz w:val="20"/>
          <w:szCs w:val="20"/>
        </w:rPr>
      </w:pPr>
      <w:r w:rsidRPr="00361664">
        <w:rPr>
          <w:rFonts w:asciiTheme="minorHAnsi" w:hAnsiTheme="minorHAnsi" w:cs="Arial"/>
          <w:noProof/>
          <w:sz w:val="20"/>
          <w:szCs w:val="20"/>
          <w:lang w:eastAsia="hr-HR"/>
        </w:rPr>
        <w:drawing>
          <wp:inline distT="0" distB="0" distL="0" distR="0" wp14:anchorId="64D68093" wp14:editId="140F625E">
            <wp:extent cx="4500000" cy="29029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0000" cy="2902978"/>
                    </a:xfrm>
                    <a:prstGeom prst="rect">
                      <a:avLst/>
                    </a:prstGeom>
                    <a:noFill/>
                  </pic:spPr>
                </pic:pic>
              </a:graphicData>
            </a:graphic>
          </wp:inline>
        </w:drawing>
      </w:r>
    </w:p>
    <w:p w:rsidR="007D720D" w:rsidRPr="00361664" w:rsidRDefault="007D720D" w:rsidP="007D720D">
      <w:pPr>
        <w:spacing w:after="0"/>
        <w:jc w:val="center"/>
        <w:rPr>
          <w:rFonts w:asciiTheme="minorHAnsi" w:hAnsiTheme="minorHAnsi" w:cs="Arial"/>
          <w:sz w:val="20"/>
          <w:szCs w:val="20"/>
        </w:rPr>
      </w:pPr>
      <w:bookmarkStart w:id="8" w:name="_Toc360442669"/>
      <w:r w:rsidRPr="00361664">
        <w:rPr>
          <w:rFonts w:asciiTheme="minorHAnsi" w:hAnsiTheme="minorHAnsi" w:cs="Arial"/>
          <w:b/>
          <w:sz w:val="20"/>
          <w:szCs w:val="20"/>
        </w:rPr>
        <w:t>Slika 2-1.</w:t>
      </w:r>
      <w:r w:rsidRPr="00361664">
        <w:rPr>
          <w:rFonts w:asciiTheme="minorHAnsi" w:hAnsiTheme="minorHAnsi" w:cs="Arial"/>
          <w:sz w:val="20"/>
          <w:szCs w:val="20"/>
        </w:rPr>
        <w:t>Primarna energija i neposredna potrošnja energije</w:t>
      </w:r>
    </w:p>
    <w:bookmarkEnd w:id="8"/>
    <w:p w:rsidR="007D720D" w:rsidRPr="00361664" w:rsidRDefault="007D720D" w:rsidP="007D720D">
      <w:pPr>
        <w:jc w:val="both"/>
        <w:rPr>
          <w:rFonts w:asciiTheme="minorHAnsi" w:hAnsiTheme="minorHAnsi" w:cs="Arial"/>
          <w:sz w:val="20"/>
          <w:szCs w:val="20"/>
        </w:rPr>
      </w:pPr>
    </w:p>
    <w:p w:rsidR="007D720D" w:rsidRDefault="007D720D" w:rsidP="007D720D">
      <w:pPr>
        <w:jc w:val="both"/>
        <w:rPr>
          <w:rFonts w:asciiTheme="minorHAnsi" w:hAnsiTheme="minorHAnsi" w:cs="Arial"/>
          <w:sz w:val="20"/>
          <w:szCs w:val="20"/>
        </w:rPr>
      </w:pPr>
      <w:r w:rsidRPr="00361664">
        <w:rPr>
          <w:rFonts w:asciiTheme="minorHAnsi" w:hAnsiTheme="minorHAnsi" w:cs="Arial"/>
          <w:sz w:val="20"/>
          <w:szCs w:val="20"/>
        </w:rPr>
        <w:t>Procjena potrošnje primarne energije te potrošnje energije po sektorima neposredne potrošnje u 2020. godini,  prikazana je u Tablici 2-3.</w:t>
      </w:r>
    </w:p>
    <w:p w:rsidR="00361664" w:rsidRPr="00361664" w:rsidRDefault="00361664" w:rsidP="007D720D">
      <w:pPr>
        <w:jc w:val="both"/>
        <w:rPr>
          <w:rFonts w:asciiTheme="minorHAnsi" w:hAnsiTheme="minorHAnsi" w:cs="Arial"/>
          <w:sz w:val="20"/>
          <w:szCs w:val="20"/>
        </w:rPr>
      </w:pPr>
    </w:p>
    <w:p w:rsidR="007D720D" w:rsidRPr="00361664" w:rsidRDefault="007D720D" w:rsidP="007D720D">
      <w:pPr>
        <w:spacing w:after="0"/>
        <w:jc w:val="both"/>
        <w:rPr>
          <w:rFonts w:asciiTheme="minorHAnsi" w:hAnsiTheme="minorHAnsi" w:cs="Arial"/>
          <w:b/>
          <w:sz w:val="20"/>
          <w:szCs w:val="20"/>
        </w:rPr>
      </w:pPr>
    </w:p>
    <w:p w:rsidR="007D720D" w:rsidRPr="00361664" w:rsidRDefault="007D720D" w:rsidP="007D720D">
      <w:pPr>
        <w:spacing w:after="0"/>
        <w:jc w:val="both"/>
        <w:rPr>
          <w:rFonts w:asciiTheme="minorHAnsi" w:hAnsiTheme="minorHAnsi" w:cs="Arial"/>
          <w:sz w:val="20"/>
          <w:szCs w:val="20"/>
        </w:rPr>
      </w:pPr>
      <w:r w:rsidRPr="00361664">
        <w:rPr>
          <w:rFonts w:asciiTheme="minorHAnsi" w:hAnsiTheme="minorHAnsi" w:cs="Arial"/>
          <w:b/>
          <w:sz w:val="20"/>
          <w:szCs w:val="20"/>
        </w:rPr>
        <w:t>Tablica 2-3.</w:t>
      </w:r>
      <w:r w:rsidRPr="00361664">
        <w:rPr>
          <w:rFonts w:asciiTheme="minorHAnsi" w:hAnsiTheme="minorHAnsi" w:cs="Arial"/>
          <w:sz w:val="20"/>
          <w:szCs w:val="20"/>
        </w:rPr>
        <w:t xml:space="preserve"> Procjena potrošnje i proizvodnje energije u 2020. godini </w:t>
      </w:r>
    </w:p>
    <w:tbl>
      <w:tblPr>
        <w:tblW w:w="0" w:type="auto"/>
        <w:tblLayout w:type="fixed"/>
        <w:tblCellMar>
          <w:left w:w="0" w:type="dxa"/>
          <w:right w:w="0" w:type="dxa"/>
        </w:tblCellMar>
        <w:tblLook w:val="0000" w:firstRow="0" w:lastRow="0" w:firstColumn="0" w:lastColumn="0" w:noHBand="0" w:noVBand="0"/>
      </w:tblPr>
      <w:tblGrid>
        <w:gridCol w:w="5670"/>
        <w:gridCol w:w="1418"/>
        <w:gridCol w:w="1418"/>
      </w:tblGrid>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b/>
                <w:bCs/>
                <w:iCs/>
                <w:sz w:val="20"/>
                <w:szCs w:val="20"/>
              </w:rPr>
              <w:t>Procjena energetske potrošnje u 2020. godini</w:t>
            </w:r>
          </w:p>
        </w:tc>
        <w:tc>
          <w:tcPr>
            <w:tcW w:w="141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D720D" w:rsidRPr="00361664" w:rsidRDefault="007D720D" w:rsidP="007D720D">
            <w:pPr>
              <w:kinsoku w:val="0"/>
              <w:overflowPunct w:val="0"/>
              <w:autoSpaceDE w:val="0"/>
              <w:autoSpaceDN w:val="0"/>
              <w:adjustRightInd w:val="0"/>
              <w:spacing w:after="0" w:line="240" w:lineRule="auto"/>
              <w:ind w:left="129"/>
              <w:jc w:val="center"/>
              <w:rPr>
                <w:rFonts w:asciiTheme="minorHAnsi" w:hAnsiTheme="minorHAnsi" w:cs="Arial"/>
                <w:b/>
                <w:sz w:val="20"/>
                <w:szCs w:val="20"/>
              </w:rPr>
            </w:pPr>
            <w:r w:rsidRPr="00361664">
              <w:rPr>
                <w:rFonts w:asciiTheme="minorHAnsi" w:hAnsiTheme="minorHAnsi" w:cs="Arial"/>
                <w:b/>
                <w:sz w:val="20"/>
                <w:szCs w:val="20"/>
              </w:rPr>
              <w:t>Iznos</w:t>
            </w:r>
          </w:p>
        </w:tc>
        <w:tc>
          <w:tcPr>
            <w:tcW w:w="141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D720D" w:rsidRPr="00361664" w:rsidRDefault="007D720D" w:rsidP="007D720D">
            <w:pPr>
              <w:kinsoku w:val="0"/>
              <w:overflowPunct w:val="0"/>
              <w:autoSpaceDE w:val="0"/>
              <w:autoSpaceDN w:val="0"/>
              <w:adjustRightInd w:val="0"/>
              <w:spacing w:after="0" w:line="240" w:lineRule="auto"/>
              <w:ind w:left="129"/>
              <w:jc w:val="center"/>
              <w:rPr>
                <w:rFonts w:asciiTheme="minorHAnsi" w:hAnsiTheme="minorHAnsi" w:cs="Arial"/>
                <w:sz w:val="20"/>
                <w:szCs w:val="20"/>
              </w:rPr>
            </w:pPr>
            <w:r w:rsidRPr="00361664">
              <w:rPr>
                <w:rFonts w:asciiTheme="minorHAnsi" w:hAnsiTheme="minorHAnsi" w:cs="Arial"/>
                <w:b/>
                <w:bCs/>
                <w:iCs/>
                <w:sz w:val="20"/>
                <w:szCs w:val="20"/>
              </w:rPr>
              <w:t>Jedinica</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 xml:space="preserve">Ukupna potrošnja primarne energije </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448,5</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Potrošnja goriva u kondenzacijskim elektranama</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11,0</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 xml:space="preserve">Proizvodnja električne energije iz kondenzacijskih elektrana </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3,7</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Potrošnja goriva u kogeneraciji</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42,3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Proizvodnja električne energije i topline iz kogeneracija</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22,0</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Gubici prijenosa i distribucije (svi oblici energije)</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9,9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Ukupna neposredna potrošnja energije</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291,3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 xml:space="preserve">Neposredna potrošnja energije </w:t>
            </w:r>
            <w:r w:rsidRPr="00361664">
              <w:rPr>
                <w:rFonts w:asciiTheme="minorHAnsi" w:hAnsiTheme="minorHAnsi" w:cs="Arial"/>
                <w:sz w:val="20"/>
                <w:szCs w:val="20"/>
              </w:rPr>
              <w:t xml:space="preserve">- Industrija </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44,9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 xml:space="preserve">Neposredna potrošnja energije </w:t>
            </w:r>
            <w:r w:rsidRPr="00361664">
              <w:rPr>
                <w:rFonts w:asciiTheme="minorHAnsi" w:hAnsiTheme="minorHAnsi" w:cs="Arial"/>
                <w:sz w:val="20"/>
                <w:szCs w:val="20"/>
              </w:rPr>
              <w:t>- Promet</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87,3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Neposredna potrošnja energije - Kućanstva</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111,9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z w:val="20"/>
                <w:szCs w:val="20"/>
              </w:rPr>
            </w:pPr>
            <w:r w:rsidRPr="00361664">
              <w:rPr>
                <w:rFonts w:asciiTheme="minorHAnsi" w:hAnsiTheme="minorHAnsi" w:cs="Arial"/>
                <w:spacing w:val="-1"/>
                <w:sz w:val="20"/>
                <w:szCs w:val="20"/>
              </w:rPr>
              <w:t>Neposredna potrošnja energije - Usluge</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33,1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pacing w:val="-1"/>
                <w:sz w:val="20"/>
                <w:szCs w:val="20"/>
              </w:rPr>
            </w:pPr>
            <w:r w:rsidRPr="00361664">
              <w:rPr>
                <w:rFonts w:asciiTheme="minorHAnsi" w:hAnsiTheme="minorHAnsi" w:cs="Arial"/>
                <w:spacing w:val="-1"/>
                <w:sz w:val="20"/>
                <w:szCs w:val="20"/>
              </w:rPr>
              <w:t>Neposredna potrošnja energije - Graditeljstvo</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4,7</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r w:rsidR="007D720D" w:rsidRPr="00361664" w:rsidTr="007D720D">
        <w:trPr>
          <w:trHeight w:hRule="exact" w:val="340"/>
        </w:trPr>
        <w:tc>
          <w:tcPr>
            <w:tcW w:w="567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kinsoku w:val="0"/>
              <w:overflowPunct w:val="0"/>
              <w:autoSpaceDE w:val="0"/>
              <w:autoSpaceDN w:val="0"/>
              <w:adjustRightInd w:val="0"/>
              <w:spacing w:after="0" w:line="240" w:lineRule="auto"/>
              <w:ind w:left="133"/>
              <w:jc w:val="both"/>
              <w:rPr>
                <w:rFonts w:asciiTheme="minorHAnsi" w:hAnsiTheme="minorHAnsi" w:cs="Arial"/>
                <w:spacing w:val="-1"/>
                <w:sz w:val="20"/>
                <w:szCs w:val="20"/>
              </w:rPr>
            </w:pPr>
            <w:r w:rsidRPr="00361664">
              <w:rPr>
                <w:rFonts w:asciiTheme="minorHAnsi" w:hAnsiTheme="minorHAnsi" w:cs="Arial"/>
                <w:spacing w:val="-1"/>
                <w:sz w:val="20"/>
                <w:szCs w:val="20"/>
              </w:rPr>
              <w:t>Neposredna potrošnja energije - Poljoprivreda</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autoSpaceDE w:val="0"/>
              <w:autoSpaceDN w:val="0"/>
              <w:adjustRightInd w:val="0"/>
              <w:spacing w:after="0" w:line="240" w:lineRule="auto"/>
              <w:jc w:val="center"/>
              <w:rPr>
                <w:rFonts w:asciiTheme="minorHAnsi" w:hAnsiTheme="minorHAnsi" w:cs="Arial"/>
                <w:sz w:val="20"/>
                <w:szCs w:val="20"/>
              </w:rPr>
            </w:pPr>
            <w:r w:rsidRPr="00361664">
              <w:rPr>
                <w:rFonts w:asciiTheme="minorHAnsi" w:hAnsiTheme="minorHAnsi" w:cs="Arial"/>
                <w:sz w:val="20"/>
                <w:szCs w:val="20"/>
              </w:rPr>
              <w:t>9,5</w:t>
            </w:r>
          </w:p>
        </w:tc>
        <w:tc>
          <w:tcPr>
            <w:tcW w:w="1418"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spacing w:after="0" w:line="240" w:lineRule="auto"/>
              <w:jc w:val="center"/>
              <w:rPr>
                <w:rFonts w:asciiTheme="minorHAnsi" w:hAnsiTheme="minorHAnsi"/>
                <w:sz w:val="20"/>
                <w:szCs w:val="20"/>
              </w:rPr>
            </w:pPr>
            <w:r w:rsidRPr="00361664">
              <w:rPr>
                <w:rFonts w:asciiTheme="minorHAnsi" w:hAnsiTheme="minorHAnsi" w:cs="Arial"/>
                <w:sz w:val="20"/>
                <w:szCs w:val="20"/>
              </w:rPr>
              <w:t>PJ</w:t>
            </w:r>
          </w:p>
        </w:tc>
      </w:tr>
    </w:tbl>
    <w:p w:rsidR="007D720D" w:rsidRPr="00361664" w:rsidRDefault="007D720D" w:rsidP="007D720D">
      <w:pPr>
        <w:spacing w:after="0" w:line="240" w:lineRule="auto"/>
        <w:jc w:val="both"/>
        <w:rPr>
          <w:rFonts w:asciiTheme="minorHAnsi" w:hAnsiTheme="minorHAnsi" w:cs="Arial"/>
          <w:sz w:val="20"/>
          <w:szCs w:val="20"/>
        </w:rPr>
      </w:pPr>
    </w:p>
    <w:p w:rsidR="007D720D" w:rsidRPr="00361664" w:rsidRDefault="007D720D" w:rsidP="004724DF">
      <w:pPr>
        <w:pStyle w:val="Naslov2"/>
      </w:pPr>
      <w:bookmarkStart w:id="9" w:name="_Toc535245837"/>
      <w:r w:rsidRPr="00361664">
        <w:t>Dodatni ciljevi energetske učinkovitosti</w:t>
      </w:r>
      <w:bookmarkEnd w:id="9"/>
      <w:r w:rsidRPr="00361664">
        <w:tab/>
      </w:r>
    </w:p>
    <w:p w:rsidR="007D720D" w:rsidRPr="00361664" w:rsidRDefault="007D720D" w:rsidP="007D720D">
      <w:pPr>
        <w:spacing w:after="0"/>
      </w:pPr>
    </w:p>
    <w:p w:rsidR="007D720D" w:rsidRPr="00361664" w:rsidRDefault="007D720D" w:rsidP="007D720D">
      <w:pPr>
        <w:jc w:val="both"/>
        <w:rPr>
          <w:rFonts w:asciiTheme="minorHAnsi" w:hAnsiTheme="minorHAnsi" w:cs="Arial"/>
          <w:b/>
          <w:i/>
        </w:rPr>
      </w:pPr>
      <w:r w:rsidRPr="00361664">
        <w:rPr>
          <w:rFonts w:asciiTheme="minorHAnsi" w:hAnsiTheme="minorHAnsi" w:cs="Arial"/>
          <w:b/>
          <w:i/>
        </w:rPr>
        <w:t>Nacionalni cilj povećanja energetske učinkovitosti prema Članku 7. DEU</w:t>
      </w:r>
    </w:p>
    <w:p w:rsidR="007D720D" w:rsidRPr="00361664" w:rsidRDefault="007D720D" w:rsidP="007D720D">
      <w:pPr>
        <w:jc w:val="both"/>
        <w:rPr>
          <w:rFonts w:asciiTheme="minorHAnsi" w:hAnsiTheme="minorHAnsi"/>
          <w:b/>
          <w:sz w:val="20"/>
          <w:szCs w:val="20"/>
        </w:rPr>
      </w:pPr>
      <w:r w:rsidRPr="00361664">
        <w:rPr>
          <w:rFonts w:asciiTheme="minorHAnsi" w:hAnsiTheme="minorHAnsi"/>
          <w:sz w:val="20"/>
          <w:szCs w:val="20"/>
        </w:rPr>
        <w:t xml:space="preserve">Kumulativni cilj uštede energije u krajnjoj potrošnji u razdoblju od 1. siječnja 2014. do 31. prosinca 2020. godine iznosi </w:t>
      </w:r>
      <w:r w:rsidRPr="00361664">
        <w:rPr>
          <w:rFonts w:asciiTheme="minorHAnsi" w:hAnsiTheme="minorHAnsi"/>
          <w:b/>
          <w:sz w:val="20"/>
          <w:szCs w:val="20"/>
        </w:rPr>
        <w:t>54,250 PJ</w:t>
      </w:r>
      <w:r w:rsidRPr="00361664">
        <w:rPr>
          <w:rFonts w:asciiTheme="minorHAnsi" w:hAnsiTheme="minorHAnsi"/>
          <w:sz w:val="20"/>
          <w:szCs w:val="20"/>
        </w:rPr>
        <w:t>.</w:t>
      </w:r>
    </w:p>
    <w:p w:rsidR="007D720D" w:rsidRPr="00361664" w:rsidRDefault="007D720D" w:rsidP="007D720D">
      <w:pPr>
        <w:jc w:val="both"/>
        <w:rPr>
          <w:rFonts w:asciiTheme="minorHAnsi" w:hAnsiTheme="minorHAnsi"/>
          <w:sz w:val="20"/>
          <w:szCs w:val="20"/>
        </w:rPr>
      </w:pPr>
      <w:r w:rsidRPr="00361664">
        <w:rPr>
          <w:rFonts w:asciiTheme="minorHAnsi" w:hAnsiTheme="minorHAnsi"/>
          <w:sz w:val="20"/>
          <w:szCs w:val="20"/>
        </w:rPr>
        <w:t>Detaljan opis metodologije izračuna cilja i način ostvarenja cilja dan je u Poglavlju 3.1.1.</w:t>
      </w:r>
    </w:p>
    <w:p w:rsidR="007D720D" w:rsidRPr="00361664" w:rsidRDefault="007D720D" w:rsidP="007D720D">
      <w:pPr>
        <w:rPr>
          <w:highlight w:val="yellow"/>
        </w:rPr>
      </w:pPr>
    </w:p>
    <w:p w:rsidR="007D720D" w:rsidRPr="00361664" w:rsidRDefault="007D720D" w:rsidP="007D720D">
      <w:pPr>
        <w:jc w:val="both"/>
        <w:rPr>
          <w:rFonts w:asciiTheme="minorHAnsi" w:hAnsiTheme="minorHAnsi" w:cs="Arial"/>
          <w:b/>
          <w:i/>
        </w:rPr>
      </w:pPr>
      <w:r w:rsidRPr="00361664">
        <w:rPr>
          <w:rFonts w:asciiTheme="minorHAnsi" w:hAnsiTheme="minorHAnsi" w:cs="Arial"/>
          <w:b/>
          <w:i/>
        </w:rPr>
        <w:t>Nacionalni cilj povećanja energetske učinkovitosti prema Članku 5. DEU</w:t>
      </w:r>
    </w:p>
    <w:p w:rsidR="007D720D" w:rsidRPr="00361664" w:rsidRDefault="007D720D" w:rsidP="007D720D">
      <w:pPr>
        <w:jc w:val="both"/>
        <w:rPr>
          <w:rFonts w:asciiTheme="minorHAnsi" w:hAnsiTheme="minorHAnsi"/>
          <w:sz w:val="20"/>
          <w:szCs w:val="20"/>
        </w:rPr>
      </w:pPr>
      <w:r w:rsidRPr="00361664">
        <w:rPr>
          <w:rFonts w:asciiTheme="minorHAnsi" w:hAnsiTheme="minorHAnsi"/>
          <w:sz w:val="20"/>
          <w:szCs w:val="20"/>
        </w:rPr>
        <w:t xml:space="preserve">Nacionalni cilj obnove 3% ukupne površine poda grijanih i/ili hlađenih zgrada u vlasništvu i uporabi središnje vlasti iznosi </w:t>
      </w:r>
      <w:r w:rsidRPr="00361664">
        <w:rPr>
          <w:rFonts w:asciiTheme="minorHAnsi" w:hAnsiTheme="minorHAnsi"/>
          <w:b/>
          <w:sz w:val="20"/>
          <w:szCs w:val="20"/>
        </w:rPr>
        <w:t>0,00489 PJ</w:t>
      </w:r>
      <w:r w:rsidRPr="00361664">
        <w:rPr>
          <w:rFonts w:asciiTheme="minorHAnsi" w:hAnsiTheme="minorHAnsi"/>
          <w:sz w:val="20"/>
          <w:szCs w:val="20"/>
        </w:rPr>
        <w:t xml:space="preserve"> godišnje.</w:t>
      </w:r>
    </w:p>
    <w:p w:rsidR="007D720D" w:rsidRPr="00361664" w:rsidRDefault="007D720D" w:rsidP="007D720D">
      <w:pPr>
        <w:jc w:val="both"/>
        <w:rPr>
          <w:rFonts w:asciiTheme="minorHAnsi" w:hAnsiTheme="minorHAnsi"/>
          <w:sz w:val="20"/>
          <w:szCs w:val="20"/>
        </w:rPr>
      </w:pPr>
      <w:r w:rsidRPr="00361664">
        <w:rPr>
          <w:rFonts w:asciiTheme="minorHAnsi" w:hAnsiTheme="minorHAnsi"/>
          <w:sz w:val="20"/>
          <w:szCs w:val="20"/>
        </w:rPr>
        <w:t>Detaljan opis mjera za postizanje cilja dan je u Poglavlju 3.3.1.</w:t>
      </w:r>
    </w:p>
    <w:p w:rsidR="007D720D" w:rsidRPr="00361664" w:rsidRDefault="007D720D" w:rsidP="007D720D">
      <w:pPr>
        <w:rPr>
          <w:rFonts w:ascii="Cambria" w:hAnsi="Cambria" w:cs="Arial"/>
          <w:b/>
          <w:bCs/>
          <w:i/>
          <w:iCs/>
          <w:color w:val="375F91"/>
          <w:szCs w:val="28"/>
          <w:highlight w:val="yellow"/>
        </w:rPr>
      </w:pPr>
      <w:r w:rsidRPr="00361664">
        <w:rPr>
          <w:color w:val="375F91"/>
          <w:highlight w:val="yellow"/>
        </w:rPr>
        <w:br w:type="page"/>
      </w:r>
    </w:p>
    <w:p w:rsidR="007D720D" w:rsidRPr="00361664" w:rsidRDefault="007D720D" w:rsidP="004724DF">
      <w:pPr>
        <w:pStyle w:val="Naslov2"/>
      </w:pPr>
      <w:bookmarkStart w:id="10" w:name="_Toc535245838"/>
      <w:r w:rsidRPr="00361664">
        <w:lastRenderedPageBreak/>
        <w:t>Uštede primarne energije</w:t>
      </w:r>
      <w:bookmarkEnd w:id="10"/>
    </w:p>
    <w:p w:rsidR="007D720D" w:rsidRPr="00361664" w:rsidRDefault="007D720D" w:rsidP="007D720D">
      <w:pPr>
        <w:spacing w:after="0"/>
        <w:jc w:val="both"/>
        <w:rPr>
          <w:rFonts w:asciiTheme="minorHAnsi" w:hAnsiTheme="minorHAnsi" w:cs="Arial"/>
          <w:sz w:val="20"/>
          <w:szCs w:val="20"/>
        </w:rPr>
      </w:pPr>
      <w:bookmarkStart w:id="11" w:name="_Toc382820340"/>
    </w:p>
    <w:p w:rsidR="007D720D" w:rsidRPr="00361664" w:rsidRDefault="007D720D" w:rsidP="007D720D">
      <w:pPr>
        <w:jc w:val="both"/>
        <w:rPr>
          <w:sz w:val="20"/>
          <w:szCs w:val="20"/>
        </w:rPr>
      </w:pPr>
      <w:r w:rsidRPr="00361664">
        <w:rPr>
          <w:rFonts w:asciiTheme="minorHAnsi" w:hAnsiTheme="minorHAnsi" w:cs="Arial"/>
          <w:sz w:val="20"/>
          <w:szCs w:val="20"/>
        </w:rPr>
        <w:t xml:space="preserve">Za procjenu ušteda potrošnje primarne energije zbog primjene mjera energetske učinkovitosti nije propisana metodologija. </w:t>
      </w:r>
      <w:r w:rsidRPr="00361664">
        <w:rPr>
          <w:sz w:val="20"/>
          <w:szCs w:val="20"/>
        </w:rPr>
        <w:t>U ovom NAPEnU uštede primarne energije razmatrane su kao posljedica dva osnovna uzroka:</w:t>
      </w:r>
    </w:p>
    <w:p w:rsidR="007D720D" w:rsidRPr="00361664" w:rsidRDefault="007D720D" w:rsidP="00CD00FF">
      <w:pPr>
        <w:numPr>
          <w:ilvl w:val="0"/>
          <w:numId w:val="60"/>
        </w:numPr>
        <w:contextualSpacing/>
        <w:rPr>
          <w:rFonts w:eastAsia="Calibri"/>
        </w:rPr>
      </w:pPr>
      <w:r w:rsidRPr="00361664">
        <w:rPr>
          <w:rFonts w:eastAsia="Calibri"/>
          <w:sz w:val="20"/>
          <w:szCs w:val="20"/>
        </w:rPr>
        <w:t>uštede primarne energije zbog mjera za povećanje učinkovitosti transformacija i smanjenje gubitaka u prijenosu i distribuciji</w:t>
      </w:r>
      <w:r w:rsidRPr="00361664">
        <w:rPr>
          <w:rFonts w:eastAsia="Calibri"/>
        </w:rPr>
        <w:t>,</w:t>
      </w:r>
    </w:p>
    <w:p w:rsidR="007D720D" w:rsidRPr="00361664" w:rsidDel="009D0659" w:rsidRDefault="007D720D" w:rsidP="00CD00FF">
      <w:pPr>
        <w:numPr>
          <w:ilvl w:val="0"/>
          <w:numId w:val="60"/>
        </w:numPr>
        <w:contextualSpacing/>
        <w:rPr>
          <w:rFonts w:eastAsia="Calibri"/>
          <w:sz w:val="20"/>
          <w:szCs w:val="20"/>
        </w:rPr>
      </w:pPr>
      <w:r w:rsidRPr="00361664" w:rsidDel="009D0659">
        <w:rPr>
          <w:rFonts w:eastAsia="Calibri"/>
          <w:sz w:val="20"/>
          <w:szCs w:val="20"/>
        </w:rPr>
        <w:t xml:space="preserve">uštede primarne energije zbog ušteda energije u neposrednoj potrošnji. </w:t>
      </w:r>
    </w:p>
    <w:p w:rsidR="007D720D" w:rsidRPr="00361664" w:rsidRDefault="007D720D" w:rsidP="007D720D">
      <w:pPr>
        <w:jc w:val="both"/>
        <w:rPr>
          <w:rFonts w:asciiTheme="minorHAnsi" w:hAnsiTheme="minorHAnsi" w:cs="Arial"/>
          <w:sz w:val="20"/>
          <w:szCs w:val="20"/>
          <w:lang w:eastAsia="hr-HR"/>
        </w:rPr>
      </w:pPr>
      <w:r w:rsidRPr="00361664">
        <w:rPr>
          <w:rFonts w:asciiTheme="minorHAnsi" w:hAnsiTheme="minorHAnsi" w:cs="Arial"/>
          <w:sz w:val="20"/>
          <w:szCs w:val="20"/>
          <w:lang w:eastAsia="hr-HR"/>
        </w:rPr>
        <w:t xml:space="preserve">Procjena ostvarenih ušteda </w:t>
      </w:r>
      <w:r w:rsidRPr="00361664">
        <w:rPr>
          <w:rFonts w:asciiTheme="minorHAnsi" w:hAnsiTheme="minorHAnsi" w:cs="Arial"/>
          <w:sz w:val="20"/>
          <w:szCs w:val="20"/>
        </w:rPr>
        <w:t xml:space="preserve">zbog mjera povećanja </w:t>
      </w:r>
      <w:r w:rsidRPr="00361664">
        <w:rPr>
          <w:rFonts w:asciiTheme="minorHAnsi" w:hAnsiTheme="minorHAnsi" w:cs="Arial"/>
          <w:sz w:val="20"/>
          <w:szCs w:val="20"/>
          <w:lang w:eastAsia="hr-HR"/>
        </w:rPr>
        <w:t xml:space="preserve">učinkovitosti transformacija, prijenosa i distribucije energije u prethodnom razdoblju preuzeta je od poduzeća koja su provodila mjere u ovim sektorima, a </w:t>
      </w:r>
      <w:r w:rsidRPr="00361664">
        <w:rPr>
          <w:rFonts w:asciiTheme="minorHAnsi" w:hAnsiTheme="minorHAnsi" w:cs="Arial"/>
          <w:sz w:val="20"/>
          <w:szCs w:val="20"/>
        </w:rPr>
        <w:t xml:space="preserve">procjena ušteda primarne energije u 2016. i 2020. godini </w:t>
      </w:r>
      <w:r w:rsidRPr="00361664">
        <w:rPr>
          <w:rFonts w:asciiTheme="minorHAnsi" w:hAnsiTheme="minorHAnsi" w:cs="Arial"/>
          <w:sz w:val="20"/>
          <w:szCs w:val="20"/>
          <w:lang w:eastAsia="hr-HR"/>
        </w:rPr>
        <w:t>opisana je u poglavlju 3.6.</w:t>
      </w:r>
    </w:p>
    <w:p w:rsidR="007D720D" w:rsidRPr="00361664" w:rsidRDefault="007D720D" w:rsidP="007D720D">
      <w:pPr>
        <w:jc w:val="both"/>
        <w:rPr>
          <w:sz w:val="20"/>
          <w:szCs w:val="20"/>
        </w:rPr>
      </w:pPr>
      <w:r w:rsidRPr="00361664">
        <w:rPr>
          <w:sz w:val="20"/>
          <w:szCs w:val="20"/>
        </w:rPr>
        <w:t xml:space="preserve">Polazište za procjenu ušteda primarne energije zbog ušteda u neposrednoj potrošnji su izračunate uštede po TD metodi. Ovisno o vrsti ušteđene energije u neposrednoj potrošnji različite su posljedice na uštede primarne energije, stoga je svaka vrsta ušteđene energije pomnožena s odgovarajućim </w:t>
      </w:r>
      <w:r w:rsidRPr="00361664">
        <w:rPr>
          <w:i/>
          <w:sz w:val="20"/>
          <w:szCs w:val="20"/>
        </w:rPr>
        <w:t xml:space="preserve">faktorom primarne energije </w:t>
      </w:r>
      <w:r w:rsidRPr="00361664">
        <w:rPr>
          <w:sz w:val="20"/>
          <w:szCs w:val="20"/>
        </w:rPr>
        <w:t>(MGIPU, 2014.)</w:t>
      </w:r>
      <w:r w:rsidR="00C1783D" w:rsidRPr="00361664">
        <w:rPr>
          <w:sz w:val="20"/>
          <w:szCs w:val="20"/>
        </w:rPr>
        <w:t xml:space="preserve"> </w:t>
      </w:r>
      <w:r w:rsidRPr="00361664">
        <w:rPr>
          <w:sz w:val="20"/>
          <w:szCs w:val="20"/>
        </w:rPr>
        <w:t>kako bi se izračunao utjecaj na uštede primarne energije.</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 xml:space="preserve">Uštede su razmatrane u odnosu na 2007. godinu. </w:t>
      </w:r>
    </w:p>
    <w:p w:rsidR="007D720D" w:rsidRPr="00361664" w:rsidRDefault="007D720D" w:rsidP="007D720D">
      <w:pPr>
        <w:jc w:val="both"/>
        <w:rPr>
          <w:rFonts w:asciiTheme="minorHAnsi" w:hAnsiTheme="minorHAnsi" w:cs="Arial"/>
          <w:sz w:val="20"/>
          <w:szCs w:val="20"/>
          <w:lang w:eastAsia="hr-HR"/>
        </w:rPr>
      </w:pPr>
      <w:r w:rsidRPr="00361664">
        <w:rPr>
          <w:rFonts w:asciiTheme="minorHAnsi" w:hAnsiTheme="minorHAnsi" w:cs="Arial"/>
          <w:sz w:val="20"/>
          <w:szCs w:val="20"/>
          <w:lang w:eastAsia="hr-HR"/>
        </w:rPr>
        <w:t>U Tablici 2-4. nalazi se pregled ostvarenih i očekivanih ušteda primarne energije.</w:t>
      </w:r>
    </w:p>
    <w:p w:rsidR="007D720D" w:rsidRPr="00361664" w:rsidRDefault="007D720D" w:rsidP="007D720D">
      <w:pPr>
        <w:keepNext/>
        <w:spacing w:after="0"/>
        <w:jc w:val="both"/>
        <w:rPr>
          <w:rFonts w:asciiTheme="minorHAnsi" w:hAnsiTheme="minorHAnsi" w:cs="Arial"/>
          <w:sz w:val="20"/>
          <w:szCs w:val="20"/>
        </w:rPr>
      </w:pPr>
      <w:r w:rsidRPr="00361664">
        <w:rPr>
          <w:rFonts w:asciiTheme="minorHAnsi" w:hAnsiTheme="minorHAnsi" w:cs="Arial"/>
          <w:b/>
          <w:color w:val="000000"/>
          <w:sz w:val="20"/>
          <w:szCs w:val="20"/>
          <w:lang w:eastAsia="hr-HR"/>
        </w:rPr>
        <w:t>Tablica 2-4.</w:t>
      </w:r>
      <w:r w:rsidRPr="00361664">
        <w:rPr>
          <w:rFonts w:asciiTheme="minorHAnsi" w:hAnsiTheme="minorHAnsi" w:cs="Arial"/>
          <w:color w:val="000000"/>
          <w:sz w:val="20"/>
          <w:szCs w:val="20"/>
          <w:lang w:eastAsia="hr-HR"/>
        </w:rPr>
        <w:t xml:space="preserve"> Ostvarene i procijenjene uštede primarne energije</w:t>
      </w:r>
    </w:p>
    <w:tbl>
      <w:tblPr>
        <w:tblW w:w="0" w:type="auto"/>
        <w:tblInd w:w="113" w:type="dxa"/>
        <w:tblLayout w:type="fixed"/>
        <w:tblLook w:val="04A0" w:firstRow="1" w:lastRow="0" w:firstColumn="1" w:lastColumn="0" w:noHBand="0" w:noVBand="1"/>
      </w:tblPr>
      <w:tblGrid>
        <w:gridCol w:w="3883"/>
        <w:gridCol w:w="1296"/>
        <w:gridCol w:w="1296"/>
        <w:gridCol w:w="1296"/>
        <w:gridCol w:w="1237"/>
      </w:tblGrid>
      <w:tr w:rsidR="007D720D" w:rsidRPr="00361664" w:rsidTr="007D720D">
        <w:trPr>
          <w:trHeight w:val="282"/>
        </w:trPr>
        <w:tc>
          <w:tcPr>
            <w:tcW w:w="38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PJ/god</w:t>
            </w:r>
          </w:p>
        </w:tc>
        <w:tc>
          <w:tcPr>
            <w:tcW w:w="1296" w:type="dxa"/>
            <w:tcBorders>
              <w:top w:val="single" w:sz="4" w:space="0" w:color="auto"/>
              <w:left w:val="nil"/>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ind w:left="95"/>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2010. - ostvareno</w:t>
            </w:r>
          </w:p>
        </w:tc>
        <w:tc>
          <w:tcPr>
            <w:tcW w:w="1296" w:type="dxa"/>
            <w:tcBorders>
              <w:top w:val="single" w:sz="4" w:space="0" w:color="auto"/>
              <w:left w:val="nil"/>
              <w:bottom w:val="single" w:sz="4" w:space="0" w:color="auto"/>
              <w:right w:val="single" w:sz="4" w:space="0" w:color="auto"/>
            </w:tcBorders>
            <w:shd w:val="clear" w:color="auto" w:fill="CCFFCC"/>
          </w:tcPr>
          <w:p w:rsidR="007D720D" w:rsidRPr="00361664" w:rsidRDefault="007D720D" w:rsidP="007D720D">
            <w:pPr>
              <w:keepNext/>
              <w:spacing w:after="0" w:line="240" w:lineRule="auto"/>
              <w:ind w:left="-4"/>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2015. - ostvareno</w:t>
            </w:r>
          </w:p>
        </w:tc>
        <w:tc>
          <w:tcPr>
            <w:tcW w:w="129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ind w:left="106"/>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2016. - procjena</w:t>
            </w:r>
          </w:p>
        </w:tc>
        <w:tc>
          <w:tcPr>
            <w:tcW w:w="1237" w:type="dxa"/>
            <w:tcBorders>
              <w:top w:val="single" w:sz="4" w:space="0" w:color="auto"/>
              <w:left w:val="nil"/>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ind w:left="17"/>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2020. - procjena</w:t>
            </w:r>
          </w:p>
        </w:tc>
      </w:tr>
      <w:tr w:rsidR="007D720D" w:rsidRPr="00361664" w:rsidTr="007D720D">
        <w:trPr>
          <w:trHeight w:val="282"/>
        </w:trPr>
        <w:tc>
          <w:tcPr>
            <w:tcW w:w="3883"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keepNext/>
              <w:spacing w:after="0" w:line="240" w:lineRule="auto"/>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Uštede zbog mjera za povećanje učinkovitosti transformacija, prijenosa i distribucije energije u odnosu na 2007. godinu</w:t>
            </w:r>
          </w:p>
        </w:tc>
        <w:tc>
          <w:tcPr>
            <w:tcW w:w="1296" w:type="dxa"/>
            <w:tcBorders>
              <w:top w:val="nil"/>
              <w:left w:val="nil"/>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95"/>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2,14</w:t>
            </w:r>
          </w:p>
        </w:tc>
        <w:tc>
          <w:tcPr>
            <w:tcW w:w="1296" w:type="dxa"/>
            <w:tcBorders>
              <w:top w:val="nil"/>
              <w:left w:val="nil"/>
              <w:bottom w:val="single" w:sz="4" w:space="0" w:color="auto"/>
              <w:right w:val="single" w:sz="4" w:space="0" w:color="auto"/>
            </w:tcBorders>
            <w:vAlign w:val="center"/>
          </w:tcPr>
          <w:p w:rsidR="007D720D" w:rsidRPr="00361664" w:rsidRDefault="007D720D" w:rsidP="007D720D">
            <w:pPr>
              <w:keepNext/>
              <w:spacing w:after="0" w:line="240" w:lineRule="auto"/>
              <w:ind w:left="176" w:hanging="1"/>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7,91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247"/>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9,79</w:t>
            </w:r>
          </w:p>
        </w:tc>
        <w:tc>
          <w:tcPr>
            <w:tcW w:w="1237" w:type="dxa"/>
            <w:tcBorders>
              <w:top w:val="nil"/>
              <w:left w:val="nil"/>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17"/>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13,23</w:t>
            </w:r>
          </w:p>
        </w:tc>
      </w:tr>
      <w:tr w:rsidR="007D720D" w:rsidRPr="00361664" w:rsidTr="007D720D">
        <w:trPr>
          <w:trHeight w:val="282"/>
        </w:trPr>
        <w:tc>
          <w:tcPr>
            <w:tcW w:w="3883"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keepNext/>
              <w:spacing w:after="0" w:line="240" w:lineRule="auto"/>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Uštede u potrošnji primarne energije zbog veće učinkovitosti u neposrednoj potrošnji u odnosu na 2007. godinu (TD metoda)*</w:t>
            </w:r>
          </w:p>
        </w:tc>
        <w:tc>
          <w:tcPr>
            <w:tcW w:w="1296" w:type="dxa"/>
            <w:tcBorders>
              <w:top w:val="nil"/>
              <w:left w:val="nil"/>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95"/>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15,62</w:t>
            </w:r>
          </w:p>
        </w:tc>
        <w:tc>
          <w:tcPr>
            <w:tcW w:w="1296" w:type="dxa"/>
            <w:tcBorders>
              <w:top w:val="nil"/>
              <w:left w:val="nil"/>
              <w:bottom w:val="single" w:sz="4" w:space="0" w:color="auto"/>
              <w:right w:val="single" w:sz="4" w:space="0" w:color="auto"/>
            </w:tcBorders>
            <w:vAlign w:val="center"/>
          </w:tcPr>
          <w:p w:rsidR="007D720D" w:rsidRPr="00361664" w:rsidRDefault="007D720D" w:rsidP="007D720D">
            <w:pPr>
              <w:keepNext/>
              <w:spacing w:after="0" w:line="240" w:lineRule="auto"/>
              <w:ind w:left="176" w:hanging="1"/>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39,60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247"/>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32,85</w:t>
            </w:r>
          </w:p>
        </w:tc>
        <w:tc>
          <w:tcPr>
            <w:tcW w:w="1237" w:type="dxa"/>
            <w:tcBorders>
              <w:top w:val="nil"/>
              <w:left w:val="nil"/>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17"/>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42,03</w:t>
            </w:r>
          </w:p>
        </w:tc>
      </w:tr>
      <w:tr w:rsidR="007D720D" w:rsidRPr="00361664" w:rsidTr="007D720D">
        <w:trPr>
          <w:trHeight w:val="282"/>
        </w:trPr>
        <w:tc>
          <w:tcPr>
            <w:tcW w:w="3883"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keepNext/>
              <w:spacing w:after="0" w:line="240" w:lineRule="auto"/>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Ukupne uštede primarne energije u odnosu na 2007. godinu</w:t>
            </w:r>
          </w:p>
        </w:tc>
        <w:tc>
          <w:tcPr>
            <w:tcW w:w="1296" w:type="dxa"/>
            <w:tcBorders>
              <w:top w:val="nil"/>
              <w:left w:val="nil"/>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95"/>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17,76</w:t>
            </w:r>
          </w:p>
        </w:tc>
        <w:tc>
          <w:tcPr>
            <w:tcW w:w="1296" w:type="dxa"/>
            <w:tcBorders>
              <w:top w:val="nil"/>
              <w:left w:val="nil"/>
              <w:bottom w:val="single" w:sz="4" w:space="0" w:color="auto"/>
              <w:right w:val="single" w:sz="4" w:space="0" w:color="auto"/>
            </w:tcBorders>
            <w:vAlign w:val="center"/>
          </w:tcPr>
          <w:p w:rsidR="007D720D" w:rsidRPr="00361664" w:rsidRDefault="007D720D" w:rsidP="007D720D">
            <w:pPr>
              <w:keepNext/>
              <w:spacing w:after="0" w:line="240" w:lineRule="auto"/>
              <w:ind w:left="176" w:hanging="1"/>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47,51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247"/>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42,63</w:t>
            </w:r>
          </w:p>
        </w:tc>
        <w:tc>
          <w:tcPr>
            <w:tcW w:w="1237" w:type="dxa"/>
            <w:tcBorders>
              <w:top w:val="nil"/>
              <w:left w:val="nil"/>
              <w:bottom w:val="single" w:sz="4" w:space="0" w:color="auto"/>
              <w:right w:val="single" w:sz="4" w:space="0" w:color="auto"/>
            </w:tcBorders>
            <w:shd w:val="clear" w:color="auto" w:fill="auto"/>
            <w:noWrap/>
            <w:vAlign w:val="center"/>
          </w:tcPr>
          <w:p w:rsidR="007D720D" w:rsidRPr="00361664" w:rsidRDefault="007D720D" w:rsidP="007D720D">
            <w:pPr>
              <w:keepNext/>
              <w:spacing w:after="0" w:line="240" w:lineRule="auto"/>
              <w:ind w:left="17"/>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55,26</w:t>
            </w:r>
          </w:p>
        </w:tc>
      </w:tr>
    </w:tbl>
    <w:p w:rsidR="007D720D" w:rsidRPr="00361664" w:rsidRDefault="007D720D" w:rsidP="007D720D">
      <w:pPr>
        <w:spacing w:before="60"/>
        <w:jc w:val="both"/>
        <w:rPr>
          <w:rFonts w:asciiTheme="minorHAnsi" w:hAnsiTheme="minorHAnsi" w:cs="Arial"/>
          <w:sz w:val="18"/>
          <w:szCs w:val="18"/>
        </w:rPr>
      </w:pPr>
      <w:r w:rsidRPr="00361664">
        <w:rPr>
          <w:rFonts w:asciiTheme="minorHAnsi" w:hAnsiTheme="minorHAnsi" w:cs="Arial"/>
          <w:sz w:val="18"/>
          <w:szCs w:val="18"/>
        </w:rPr>
        <w:t>* Opisano u sljedećem Poglavlju 2.4.</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 xml:space="preserve">Prema opisanoj metodologiji za procjenu ostvarenih ušteda energije, slijedi da ostvarene uštede primarne energije iznose </w:t>
      </w:r>
      <w:r w:rsidR="002866DA" w:rsidRPr="00361664">
        <w:rPr>
          <w:rFonts w:asciiTheme="minorHAnsi" w:hAnsiTheme="minorHAnsi" w:cs="Arial"/>
          <w:sz w:val="20"/>
          <w:szCs w:val="20"/>
        </w:rPr>
        <w:t>47,51</w:t>
      </w:r>
      <w:r w:rsidRPr="00361664">
        <w:rPr>
          <w:rFonts w:asciiTheme="minorHAnsi" w:hAnsiTheme="minorHAnsi" w:cs="Arial"/>
          <w:sz w:val="20"/>
          <w:szCs w:val="20"/>
        </w:rPr>
        <w:t xml:space="preserve"> PJ u 2015. godini u odnosu na 2007. godinu. Prema energetskoj bilanci (MZOE, 2016.), u Hrvatskoj je u 2015. godini zabilježena potrošnja primarne energije od 398,8 PJ, što je za 55,1 PJ manje od potrošnje u 2007. godini, koja je iznosila 453,9 PJ. Navedene metodologije ne utvrđuju stvarne uzroke ušteda i manje potrošnje energije koji su različiti; npr. primjena mjera energetske učinkovitosti, demografska kretanja ili promjene u gospodarskim aktivnostima.</w:t>
      </w:r>
    </w:p>
    <w:bookmarkEnd w:id="11"/>
    <w:p w:rsidR="007D720D" w:rsidRPr="00361664" w:rsidRDefault="007D720D" w:rsidP="007D720D">
      <w:pPr>
        <w:rPr>
          <w:rFonts w:ascii="Cambria" w:hAnsi="Cambria" w:cs="Arial"/>
          <w:b/>
          <w:bCs/>
          <w:i/>
          <w:iCs/>
          <w:color w:val="375F91"/>
          <w:szCs w:val="28"/>
        </w:rPr>
      </w:pPr>
      <w:r w:rsidRPr="00361664">
        <w:rPr>
          <w:color w:val="375F91"/>
        </w:rPr>
        <w:br w:type="page"/>
      </w:r>
    </w:p>
    <w:p w:rsidR="007D720D" w:rsidRPr="00361664" w:rsidRDefault="007D720D" w:rsidP="004724DF">
      <w:pPr>
        <w:pStyle w:val="Naslov2"/>
      </w:pPr>
      <w:bookmarkStart w:id="12" w:name="_Toc535245839"/>
      <w:r w:rsidRPr="00361664">
        <w:lastRenderedPageBreak/>
        <w:t>Uštede energije u neposrednoj potrošnji</w:t>
      </w:r>
      <w:bookmarkEnd w:id="12"/>
    </w:p>
    <w:p w:rsidR="007D720D" w:rsidRPr="00361664" w:rsidRDefault="007D720D" w:rsidP="007D720D">
      <w:pPr>
        <w:spacing w:after="0"/>
      </w:pPr>
    </w:p>
    <w:p w:rsidR="007D720D" w:rsidRPr="00361664" w:rsidRDefault="007D720D" w:rsidP="007D720D">
      <w:pPr>
        <w:rPr>
          <w:rFonts w:asciiTheme="minorHAnsi" w:hAnsiTheme="minorHAnsi" w:cs="Arial"/>
          <w:color w:val="000000"/>
          <w:sz w:val="20"/>
          <w:szCs w:val="20"/>
          <w:lang w:eastAsia="hr-HR"/>
        </w:rPr>
      </w:pPr>
      <w:bookmarkStart w:id="13" w:name="_Toc382820342"/>
      <w:r w:rsidRPr="00361664">
        <w:rPr>
          <w:b/>
          <w:i/>
        </w:rPr>
        <w:t>Izračun metodom odozgo-prema-dolje</w:t>
      </w:r>
      <w:bookmarkEnd w:id="13"/>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Ostvarene uštede u 2010. i 2015. godini izračunate su primjenom pokazatelja odozgo-prema-dolje (</w:t>
      </w:r>
      <w:r w:rsidR="00B51B6C" w:rsidRPr="00361664">
        <w:rPr>
          <w:rFonts w:asciiTheme="minorHAnsi" w:hAnsiTheme="minorHAnsi" w:cs="Arial"/>
          <w:sz w:val="20"/>
          <w:szCs w:val="20"/>
        </w:rPr>
        <w:t>engl.</w:t>
      </w:r>
      <w:r w:rsidRPr="00361664">
        <w:rPr>
          <w:rFonts w:asciiTheme="minorHAnsi" w:hAnsiTheme="minorHAnsi" w:cs="Arial"/>
          <w:sz w:val="20"/>
          <w:szCs w:val="20"/>
        </w:rPr>
        <w:t xml:space="preserve"> top-down; TD) u skladu s Pravilnikom o sustavu za praćenje, mjerenje i verifikaciju ušteda energije (NN 71/15). Ukupno ostvarene uštede i sektorska raspodjela u 2010. i 2015. godini vidljivi su u Tablici 2-5. Također, prikazan je stupanj ostvarenja cilja za 2016. godinu prema ESD.</w:t>
      </w:r>
    </w:p>
    <w:p w:rsidR="007D720D" w:rsidRPr="00361664" w:rsidRDefault="007D720D" w:rsidP="007D720D">
      <w:pPr>
        <w:spacing w:after="0"/>
        <w:jc w:val="both"/>
        <w:rPr>
          <w:rFonts w:asciiTheme="minorHAnsi" w:hAnsiTheme="minorHAnsi" w:cs="Arial"/>
          <w:sz w:val="20"/>
          <w:szCs w:val="20"/>
        </w:rPr>
      </w:pPr>
      <w:r w:rsidRPr="00361664">
        <w:rPr>
          <w:rFonts w:asciiTheme="minorHAnsi" w:hAnsiTheme="minorHAnsi" w:cs="Arial"/>
          <w:b/>
          <w:sz w:val="20"/>
          <w:szCs w:val="20"/>
        </w:rPr>
        <w:t>Tablica 2-5.</w:t>
      </w:r>
      <w:r w:rsidRPr="00361664">
        <w:rPr>
          <w:rFonts w:asciiTheme="minorHAnsi" w:hAnsiTheme="minorHAnsi" w:cs="Arial"/>
          <w:sz w:val="20"/>
          <w:szCs w:val="20"/>
        </w:rPr>
        <w:t xml:space="preserve"> Pregled napretka u ostvarenju cilja, procijenjeno TD metodom</w:t>
      </w:r>
    </w:p>
    <w:tbl>
      <w:tblPr>
        <w:tblW w:w="8949" w:type="dxa"/>
        <w:tblInd w:w="113" w:type="dxa"/>
        <w:tblLook w:val="04A0" w:firstRow="1" w:lastRow="0" w:firstColumn="1" w:lastColumn="0" w:noHBand="0" w:noVBand="1"/>
      </w:tblPr>
      <w:tblGrid>
        <w:gridCol w:w="2504"/>
        <w:gridCol w:w="1104"/>
        <w:gridCol w:w="1059"/>
        <w:gridCol w:w="1104"/>
        <w:gridCol w:w="1059"/>
        <w:gridCol w:w="1059"/>
        <w:gridCol w:w="1060"/>
      </w:tblGrid>
      <w:tr w:rsidR="007D720D" w:rsidRPr="00361664" w:rsidTr="007D720D">
        <w:trPr>
          <w:trHeight w:val="210"/>
        </w:trPr>
        <w:tc>
          <w:tcPr>
            <w:tcW w:w="2504"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Sektorska raspodjela ciljeva</w:t>
            </w:r>
          </w:p>
        </w:tc>
        <w:tc>
          <w:tcPr>
            <w:tcW w:w="2163" w:type="dxa"/>
            <w:gridSpan w:val="2"/>
            <w:tcBorders>
              <w:top w:val="single" w:sz="4" w:space="0" w:color="auto"/>
              <w:left w:val="nil"/>
              <w:bottom w:val="single" w:sz="4" w:space="0" w:color="auto"/>
              <w:right w:val="single" w:sz="4" w:space="0" w:color="auto"/>
            </w:tcBorders>
            <w:shd w:val="clear" w:color="auto" w:fill="CCFFCC"/>
            <w:noWrap/>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2010.</w:t>
            </w:r>
          </w:p>
        </w:tc>
        <w:tc>
          <w:tcPr>
            <w:tcW w:w="2163" w:type="dxa"/>
            <w:gridSpan w:val="2"/>
            <w:tcBorders>
              <w:top w:val="single" w:sz="4" w:space="0" w:color="auto"/>
              <w:left w:val="nil"/>
              <w:bottom w:val="single" w:sz="4" w:space="0" w:color="auto"/>
              <w:right w:val="single" w:sz="12" w:space="0" w:color="auto"/>
            </w:tcBorders>
            <w:shd w:val="clear" w:color="auto" w:fill="CCFFCC"/>
            <w:noWrap/>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2015.</w:t>
            </w:r>
          </w:p>
        </w:tc>
        <w:tc>
          <w:tcPr>
            <w:tcW w:w="2119" w:type="dxa"/>
            <w:gridSpan w:val="2"/>
            <w:tcBorders>
              <w:top w:val="single" w:sz="4" w:space="0" w:color="auto"/>
              <w:left w:val="single" w:sz="12" w:space="0" w:color="auto"/>
              <w:bottom w:val="single" w:sz="4" w:space="0" w:color="auto"/>
              <w:right w:val="single" w:sz="4" w:space="0" w:color="auto"/>
            </w:tcBorders>
            <w:shd w:val="clear" w:color="auto" w:fill="CCFFCC"/>
            <w:noWrap/>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2016.</w:t>
            </w:r>
          </w:p>
        </w:tc>
      </w:tr>
      <w:tr w:rsidR="007D720D" w:rsidRPr="00361664" w:rsidTr="007D720D">
        <w:trPr>
          <w:trHeight w:val="629"/>
        </w:trPr>
        <w:tc>
          <w:tcPr>
            <w:tcW w:w="2504"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p>
        </w:tc>
        <w:tc>
          <w:tcPr>
            <w:tcW w:w="1104"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Ostvarene uštede (PJ)</w:t>
            </w:r>
          </w:p>
        </w:tc>
        <w:tc>
          <w:tcPr>
            <w:tcW w:w="1059"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Udio (%)</w:t>
            </w:r>
          </w:p>
        </w:tc>
        <w:tc>
          <w:tcPr>
            <w:tcW w:w="1104"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Ostvarene uštede (PJ)</w:t>
            </w:r>
          </w:p>
        </w:tc>
        <w:tc>
          <w:tcPr>
            <w:tcW w:w="1059" w:type="dxa"/>
            <w:tcBorders>
              <w:top w:val="nil"/>
              <w:left w:val="nil"/>
              <w:bottom w:val="single" w:sz="4" w:space="0" w:color="auto"/>
              <w:right w:val="single" w:sz="12"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Udio (%)</w:t>
            </w:r>
          </w:p>
        </w:tc>
        <w:tc>
          <w:tcPr>
            <w:tcW w:w="1059" w:type="dxa"/>
            <w:tcBorders>
              <w:top w:val="nil"/>
              <w:left w:val="single" w:sz="12"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Sektorski ciljevi prema ESD (PJ)</w:t>
            </w:r>
          </w:p>
        </w:tc>
        <w:tc>
          <w:tcPr>
            <w:tcW w:w="1060"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Udio u ukupnom cilju (%)</w:t>
            </w:r>
          </w:p>
        </w:tc>
      </w:tr>
      <w:tr w:rsidR="007D720D" w:rsidRPr="00361664" w:rsidTr="007D720D">
        <w:trPr>
          <w:trHeight w:val="210"/>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Kućanstava</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9,74</w:t>
            </w:r>
          </w:p>
        </w:tc>
        <w:tc>
          <w:tcPr>
            <w:tcW w:w="1059"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73%</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20,23</w:t>
            </w:r>
          </w:p>
        </w:tc>
        <w:tc>
          <w:tcPr>
            <w:tcW w:w="1059" w:type="dxa"/>
            <w:tcBorders>
              <w:top w:val="nil"/>
              <w:left w:val="nil"/>
              <w:bottom w:val="single" w:sz="4" w:space="0" w:color="auto"/>
              <w:right w:val="single" w:sz="12"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60%</w:t>
            </w:r>
          </w:p>
        </w:tc>
        <w:tc>
          <w:tcPr>
            <w:tcW w:w="1059" w:type="dxa"/>
            <w:tcBorders>
              <w:top w:val="single" w:sz="4" w:space="0" w:color="auto"/>
              <w:left w:val="single" w:sz="12" w:space="0" w:color="auto"/>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6,70</w:t>
            </w:r>
          </w:p>
        </w:tc>
        <w:tc>
          <w:tcPr>
            <w:tcW w:w="1060" w:type="dxa"/>
            <w:tcBorders>
              <w:top w:val="single" w:sz="4" w:space="0" w:color="auto"/>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34%</w:t>
            </w:r>
          </w:p>
        </w:tc>
      </w:tr>
      <w:tr w:rsidR="007D720D" w:rsidRPr="00361664" w:rsidTr="007D720D">
        <w:trPr>
          <w:trHeight w:val="210"/>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Usluge</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0,00</w:t>
            </w:r>
          </w:p>
        </w:tc>
        <w:tc>
          <w:tcPr>
            <w:tcW w:w="1059"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0,00</w:t>
            </w:r>
          </w:p>
        </w:tc>
        <w:tc>
          <w:tcPr>
            <w:tcW w:w="1059" w:type="dxa"/>
            <w:tcBorders>
              <w:top w:val="nil"/>
              <w:left w:val="nil"/>
              <w:bottom w:val="single" w:sz="4" w:space="0" w:color="auto"/>
              <w:right w:val="single" w:sz="12"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w:t>
            </w:r>
          </w:p>
        </w:tc>
        <w:tc>
          <w:tcPr>
            <w:tcW w:w="1059" w:type="dxa"/>
            <w:tcBorders>
              <w:top w:val="single" w:sz="4" w:space="0" w:color="auto"/>
              <w:left w:val="single" w:sz="12" w:space="0" w:color="auto"/>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3,64</w:t>
            </w:r>
          </w:p>
        </w:tc>
        <w:tc>
          <w:tcPr>
            <w:tcW w:w="1060"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18%</w:t>
            </w:r>
          </w:p>
        </w:tc>
      </w:tr>
      <w:tr w:rsidR="007D720D" w:rsidRPr="00361664" w:rsidTr="007D720D">
        <w:trPr>
          <w:trHeight w:val="210"/>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Industrija (ne ETS)</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2,32</w:t>
            </w:r>
          </w:p>
        </w:tc>
        <w:tc>
          <w:tcPr>
            <w:tcW w:w="1059"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17%</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6,48</w:t>
            </w:r>
          </w:p>
        </w:tc>
        <w:tc>
          <w:tcPr>
            <w:tcW w:w="1059" w:type="dxa"/>
            <w:tcBorders>
              <w:top w:val="nil"/>
              <w:left w:val="nil"/>
              <w:bottom w:val="single" w:sz="4" w:space="0" w:color="auto"/>
              <w:right w:val="single" w:sz="12"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19%</w:t>
            </w:r>
          </w:p>
        </w:tc>
        <w:tc>
          <w:tcPr>
            <w:tcW w:w="1059" w:type="dxa"/>
            <w:tcBorders>
              <w:top w:val="single" w:sz="4" w:space="0" w:color="auto"/>
              <w:left w:val="single" w:sz="12" w:space="0" w:color="auto"/>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3,40</w:t>
            </w:r>
          </w:p>
        </w:tc>
        <w:tc>
          <w:tcPr>
            <w:tcW w:w="1060"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17%</w:t>
            </w:r>
          </w:p>
        </w:tc>
      </w:tr>
      <w:tr w:rsidR="007D720D" w:rsidRPr="00361664" w:rsidTr="007D720D">
        <w:trPr>
          <w:trHeight w:val="210"/>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Promet</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1,36</w:t>
            </w:r>
          </w:p>
        </w:tc>
        <w:tc>
          <w:tcPr>
            <w:tcW w:w="1059"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10%</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6,86</w:t>
            </w:r>
          </w:p>
        </w:tc>
        <w:tc>
          <w:tcPr>
            <w:tcW w:w="1059" w:type="dxa"/>
            <w:tcBorders>
              <w:top w:val="nil"/>
              <w:left w:val="nil"/>
              <w:bottom w:val="single" w:sz="4" w:space="0" w:color="auto"/>
              <w:right w:val="single" w:sz="12"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21%</w:t>
            </w:r>
          </w:p>
        </w:tc>
        <w:tc>
          <w:tcPr>
            <w:tcW w:w="1059" w:type="dxa"/>
            <w:tcBorders>
              <w:top w:val="single" w:sz="4" w:space="0" w:color="auto"/>
              <w:left w:val="single" w:sz="12" w:space="0" w:color="auto"/>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6,03</w:t>
            </w:r>
          </w:p>
        </w:tc>
        <w:tc>
          <w:tcPr>
            <w:tcW w:w="1060"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31%</w:t>
            </w:r>
          </w:p>
        </w:tc>
      </w:tr>
      <w:tr w:rsidR="007D720D" w:rsidRPr="00361664" w:rsidTr="007D720D">
        <w:trPr>
          <w:trHeight w:val="210"/>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UKUPNO</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13,42</w:t>
            </w:r>
          </w:p>
        </w:tc>
        <w:tc>
          <w:tcPr>
            <w:tcW w:w="1059"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100%</w:t>
            </w:r>
          </w:p>
        </w:tc>
        <w:tc>
          <w:tcPr>
            <w:tcW w:w="1104"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33,57</w:t>
            </w:r>
          </w:p>
        </w:tc>
        <w:tc>
          <w:tcPr>
            <w:tcW w:w="1059" w:type="dxa"/>
            <w:tcBorders>
              <w:top w:val="nil"/>
              <w:left w:val="nil"/>
              <w:bottom w:val="single" w:sz="4" w:space="0" w:color="auto"/>
              <w:right w:val="single" w:sz="12"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100%</w:t>
            </w:r>
          </w:p>
        </w:tc>
        <w:tc>
          <w:tcPr>
            <w:tcW w:w="1059" w:type="dxa"/>
            <w:tcBorders>
              <w:top w:val="single" w:sz="4" w:space="0" w:color="auto"/>
              <w:left w:val="single" w:sz="12" w:space="0" w:color="auto"/>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19,77</w:t>
            </w:r>
          </w:p>
        </w:tc>
        <w:tc>
          <w:tcPr>
            <w:tcW w:w="1060" w:type="dxa"/>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100%</w:t>
            </w:r>
          </w:p>
        </w:tc>
      </w:tr>
      <w:tr w:rsidR="007D720D" w:rsidRPr="00361664" w:rsidTr="007D720D">
        <w:trPr>
          <w:trHeight w:val="61"/>
        </w:trPr>
        <w:tc>
          <w:tcPr>
            <w:tcW w:w="2504" w:type="dxa"/>
            <w:tcBorders>
              <w:top w:val="nil"/>
              <w:left w:val="single" w:sz="4" w:space="0" w:color="auto"/>
              <w:bottom w:val="single" w:sz="4" w:space="0" w:color="auto"/>
              <w:right w:val="single" w:sz="4" w:space="0" w:color="auto"/>
            </w:tcBorders>
            <w:shd w:val="clear" w:color="auto" w:fill="auto"/>
            <w:vAlign w:val="center"/>
            <w:hideMark/>
          </w:tcPr>
          <w:p w:rsidR="007D720D" w:rsidRPr="00361664" w:rsidRDefault="007D720D" w:rsidP="007D720D">
            <w:pPr>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Stupanj ostvarenja cilja za 2016. godinu (%)</w:t>
            </w:r>
          </w:p>
        </w:tc>
        <w:tc>
          <w:tcPr>
            <w:tcW w:w="2163" w:type="dxa"/>
            <w:gridSpan w:val="2"/>
            <w:tcBorders>
              <w:top w:val="nil"/>
              <w:left w:val="nil"/>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68%</w:t>
            </w:r>
          </w:p>
        </w:tc>
        <w:tc>
          <w:tcPr>
            <w:tcW w:w="2163" w:type="dxa"/>
            <w:gridSpan w:val="2"/>
            <w:tcBorders>
              <w:top w:val="nil"/>
              <w:left w:val="nil"/>
              <w:bottom w:val="single" w:sz="4" w:space="0" w:color="auto"/>
              <w:right w:val="single" w:sz="12"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170%</w:t>
            </w:r>
          </w:p>
        </w:tc>
        <w:tc>
          <w:tcPr>
            <w:tcW w:w="2119" w:type="dxa"/>
            <w:gridSpan w:val="2"/>
            <w:tcBorders>
              <w:top w:val="nil"/>
              <w:left w:val="single" w:sz="12" w:space="0" w:color="auto"/>
              <w:bottom w:val="single" w:sz="4" w:space="0" w:color="auto"/>
              <w:right w:val="single" w:sz="4" w:space="0" w:color="auto"/>
            </w:tcBorders>
            <w:shd w:val="clear" w:color="auto" w:fill="auto"/>
            <w:vAlign w:val="center"/>
          </w:tcPr>
          <w:p w:rsidR="007D720D" w:rsidRPr="00361664" w:rsidRDefault="007D720D" w:rsidP="007D720D">
            <w:pPr>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100%</w:t>
            </w:r>
          </w:p>
        </w:tc>
      </w:tr>
    </w:tbl>
    <w:p w:rsidR="007D720D" w:rsidRPr="00361664" w:rsidRDefault="007D720D" w:rsidP="007D720D">
      <w:pPr>
        <w:jc w:val="both"/>
        <w:rPr>
          <w:rFonts w:asciiTheme="minorHAnsi" w:hAnsiTheme="minorHAnsi" w:cs="Arial"/>
          <w:sz w:val="20"/>
          <w:szCs w:val="20"/>
        </w:rPr>
      </w:pP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 xml:space="preserve">Vidljivo je kako su primjenom TD metode ostvarene uštede u 2015. godini na razini od 170% cilja za 2016. godinu, što znači da su ostvarene uštede veće od cilja za 2016. godinu. To je u skladu s procjenama iz prethodnih Nacionalnih akcijskih planova, koje su ukazivale na to da će cilj za 2016. godinu biti značajno premašen u 2016. godini. </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U odnosu na 2010. godinu, povećane su uštede u svim sektorima osim u sektoru usluga, od čega je najveći porast u sektoru kućanstava. Međutim treba istaknuti kako se prilikom izračuna ušteda u skladu s Pravilnikom o sustavu za praćenje, mjerenje i verifikaciju ušteda energije (NN 71/15) promatraju samo aktivnosti s ostvarenim uštedama. Aktivnosti u kojima je došlo do manje učinkovitosti u odnosu na baznu godinu, tj. gdje je došlo do porasta potrošnje energije po izlaznoj jedinici proizvoda, ne umanjuju ostvarene uštede energije. Dodatno, TD metodom određuju se uštede s obzirom na potrošnju energije po jedinici aktivnosti. U sektoru usluga promatra se potrošnja energije po broju zaposlenih. S obzirom da u sektoru usluga, prvenstveno u turizmu, potrošnja energije ovisi o mnogo faktora, od kojih se može istaknuti rast broja gostiju, rast broja klima uređaja itd., moguće je objasniti zašto je u ovom sektoru, procijenjeno da nisu ostvarene uštede. Ujedno je sektor usluga jedini sektor u kojem su za izračun korišteni minimalni pokazatelji zbog nedostatka podataka za izračun preferiranih pokazatelja (pisano ispod).</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 xml:space="preserve">U svrhu izračuna ušteda energije ostvarenih u 2015. godini korišteni su TD pokazatelji prema s Pravilniku o sustavu za praćenje, mjerenje i verifikaciju ušteda energije (NN 71/15). Metodologija propisana Pravilnikom u skladu je s DEU. Kao izvori podataka korišteni su podaci Državnog zavoda za statistiku, Državnog hidrometeorološkog zavoda, podaci iz energetske bilance za Republiku Hrvatsku (MZOE), podaci iz ODYSSEE baze, podaci od Ministarstva unutarnjih poslova, podaci Centra za vozila kao i podaci dobiveni modeliranjem (EIHP, EKONERG). </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 xml:space="preserve">U skladu s preporučenom metodologijom, kao početna (referentna) godina korištena je 2007. godina, a zadnja godina s poznatom energetskom bilancom je 2015. godina. U svim sektorima potrošnje izračun ušteda i pokazatelja napravljen je korištenjem minimalnih (M) i preferiranih (P) pokazatelja, osim u sektoru usluga gdje, </w:t>
      </w:r>
      <w:r w:rsidRPr="00361664">
        <w:rPr>
          <w:rFonts w:asciiTheme="minorHAnsi" w:hAnsiTheme="minorHAnsi" w:cs="Arial"/>
          <w:sz w:val="20"/>
          <w:szCs w:val="20"/>
        </w:rPr>
        <w:lastRenderedPageBreak/>
        <w:t>zbog nedostatka podataka, izračun preferiranih pokazatelja nije bio moguć. Relevantnima se smatraju uštede energije određene izračunom P pokazatelja, osim u sektoru usluga. Pregled korištenih TD pokazatelja dan je u Tablici 2-6.</w:t>
      </w:r>
    </w:p>
    <w:p w:rsidR="007D720D" w:rsidRPr="00361664" w:rsidRDefault="007D720D" w:rsidP="007D720D">
      <w:pPr>
        <w:keepNext/>
        <w:spacing w:after="0"/>
        <w:jc w:val="both"/>
        <w:rPr>
          <w:rFonts w:asciiTheme="minorHAnsi" w:hAnsiTheme="minorHAnsi" w:cs="Arial"/>
          <w:sz w:val="20"/>
          <w:szCs w:val="20"/>
        </w:rPr>
      </w:pPr>
      <w:r w:rsidRPr="00361664">
        <w:rPr>
          <w:rFonts w:asciiTheme="minorHAnsi" w:hAnsiTheme="minorHAnsi" w:cs="Arial"/>
          <w:b/>
          <w:sz w:val="20"/>
          <w:szCs w:val="20"/>
        </w:rPr>
        <w:t>Tablica 2-6.</w:t>
      </w:r>
      <w:r w:rsidRPr="00361664">
        <w:rPr>
          <w:rFonts w:asciiTheme="minorHAnsi" w:hAnsiTheme="minorHAnsi" w:cs="Arial"/>
          <w:sz w:val="20"/>
          <w:szCs w:val="20"/>
        </w:rPr>
        <w:t xml:space="preserve"> Prikaz korištenih TD pokazatelja za izračun i izvješćivanje o ostvarenim uštedama energije </w:t>
      </w:r>
    </w:p>
    <w:tbl>
      <w:tblPr>
        <w:tblW w:w="0" w:type="auto"/>
        <w:tblLayout w:type="fixed"/>
        <w:tblCellMar>
          <w:left w:w="0" w:type="dxa"/>
          <w:right w:w="0" w:type="dxa"/>
        </w:tblCellMar>
        <w:tblLook w:val="0000" w:firstRow="0" w:lastRow="0" w:firstColumn="0" w:lastColumn="0" w:noHBand="0" w:noVBand="0"/>
      </w:tblPr>
      <w:tblGrid>
        <w:gridCol w:w="1678"/>
        <w:gridCol w:w="1367"/>
        <w:gridCol w:w="2300"/>
        <w:gridCol w:w="3353"/>
      </w:tblGrid>
      <w:tr w:rsidR="007D720D" w:rsidRPr="00361664" w:rsidTr="007D720D">
        <w:trPr>
          <w:trHeight w:hRule="exact" w:val="446"/>
        </w:trPr>
        <w:tc>
          <w:tcPr>
            <w:tcW w:w="167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D720D" w:rsidRPr="00361664" w:rsidRDefault="007D720D" w:rsidP="007D720D">
            <w:pPr>
              <w:keepNext/>
              <w:tabs>
                <w:tab w:val="left" w:pos="678"/>
              </w:tabs>
              <w:kinsoku w:val="0"/>
              <w:overflowPunct w:val="0"/>
              <w:autoSpaceDE w:val="0"/>
              <w:autoSpaceDN w:val="0"/>
              <w:adjustRightInd w:val="0"/>
              <w:spacing w:after="0" w:line="195" w:lineRule="exact"/>
              <w:jc w:val="center"/>
              <w:rPr>
                <w:rFonts w:eastAsiaTheme="minorEastAsia" w:cs="Arial"/>
                <w:b/>
                <w:sz w:val="20"/>
                <w:szCs w:val="20"/>
                <w:lang w:eastAsia="hr-HR"/>
              </w:rPr>
            </w:pPr>
            <w:r w:rsidRPr="00361664">
              <w:rPr>
                <w:rFonts w:eastAsiaTheme="minorEastAsia" w:cs="Arial"/>
                <w:b/>
                <w:sz w:val="20"/>
                <w:szCs w:val="20"/>
                <w:lang w:eastAsia="hr-HR"/>
              </w:rPr>
              <w:t>TD</w:t>
            </w:r>
            <w:r w:rsidRPr="00361664">
              <w:rPr>
                <w:rFonts w:eastAsiaTheme="minorEastAsia" w:cs="Arial"/>
                <w:b/>
                <w:spacing w:val="-1"/>
                <w:sz w:val="20"/>
                <w:szCs w:val="20"/>
                <w:lang w:eastAsia="hr-HR"/>
              </w:rPr>
              <w:t xml:space="preserve"> po</w:t>
            </w:r>
            <w:r w:rsidRPr="00361664">
              <w:rPr>
                <w:rFonts w:eastAsiaTheme="minorEastAsia" w:cs="Arial"/>
                <w:b/>
                <w:spacing w:val="-2"/>
                <w:sz w:val="20"/>
                <w:szCs w:val="20"/>
                <w:lang w:eastAsia="hr-HR"/>
              </w:rPr>
              <w:t>k</w:t>
            </w:r>
            <w:r w:rsidRPr="00361664">
              <w:rPr>
                <w:rFonts w:eastAsiaTheme="minorEastAsia" w:cs="Arial"/>
                <w:b/>
                <w:sz w:val="20"/>
                <w:szCs w:val="20"/>
                <w:lang w:eastAsia="hr-HR"/>
              </w:rPr>
              <w:t>a</w:t>
            </w:r>
            <w:r w:rsidRPr="00361664">
              <w:rPr>
                <w:rFonts w:eastAsiaTheme="minorEastAsia" w:cs="Arial"/>
                <w:b/>
                <w:spacing w:val="-2"/>
                <w:sz w:val="20"/>
                <w:szCs w:val="20"/>
                <w:lang w:eastAsia="hr-HR"/>
              </w:rPr>
              <w:t>z</w:t>
            </w:r>
            <w:r w:rsidRPr="00361664">
              <w:rPr>
                <w:rFonts w:eastAsiaTheme="minorEastAsia" w:cs="Arial"/>
                <w:b/>
                <w:sz w:val="20"/>
                <w:szCs w:val="20"/>
                <w:lang w:eastAsia="hr-HR"/>
              </w:rPr>
              <w:t>a</w:t>
            </w:r>
            <w:r w:rsidRPr="00361664">
              <w:rPr>
                <w:rFonts w:eastAsiaTheme="minorEastAsia" w:cs="Arial"/>
                <w:b/>
                <w:spacing w:val="-2"/>
                <w:sz w:val="20"/>
                <w:szCs w:val="20"/>
                <w:lang w:eastAsia="hr-HR"/>
              </w:rPr>
              <w:t>t</w:t>
            </w:r>
            <w:r w:rsidRPr="00361664">
              <w:rPr>
                <w:rFonts w:eastAsiaTheme="minorEastAsia" w:cs="Arial"/>
                <w:b/>
                <w:spacing w:val="-1"/>
                <w:sz w:val="20"/>
                <w:szCs w:val="20"/>
                <w:lang w:eastAsia="hr-HR"/>
              </w:rPr>
              <w:t>el</w:t>
            </w:r>
            <w:r w:rsidRPr="00361664">
              <w:rPr>
                <w:rFonts w:eastAsiaTheme="minorEastAsia" w:cs="Arial"/>
                <w:b/>
                <w:sz w:val="20"/>
                <w:szCs w:val="20"/>
                <w:lang w:eastAsia="hr-HR"/>
              </w:rPr>
              <w:t>j</w:t>
            </w:r>
          </w:p>
        </w:tc>
        <w:tc>
          <w:tcPr>
            <w:tcW w:w="136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D720D" w:rsidRPr="00361664" w:rsidRDefault="007D720D" w:rsidP="007D720D">
            <w:pPr>
              <w:keepNext/>
              <w:tabs>
                <w:tab w:val="left" w:pos="678"/>
              </w:tabs>
              <w:kinsoku w:val="0"/>
              <w:overflowPunct w:val="0"/>
              <w:autoSpaceDE w:val="0"/>
              <w:autoSpaceDN w:val="0"/>
              <w:adjustRightInd w:val="0"/>
              <w:spacing w:after="0" w:line="195" w:lineRule="exact"/>
              <w:jc w:val="center"/>
              <w:rPr>
                <w:rFonts w:eastAsiaTheme="minorEastAsia" w:cs="Arial"/>
                <w:b/>
                <w:sz w:val="20"/>
                <w:szCs w:val="20"/>
                <w:lang w:eastAsia="hr-HR"/>
              </w:rPr>
            </w:pPr>
            <w:r w:rsidRPr="00361664">
              <w:rPr>
                <w:rFonts w:eastAsiaTheme="minorEastAsia" w:cs="Arial"/>
                <w:b/>
                <w:sz w:val="20"/>
                <w:szCs w:val="20"/>
                <w:lang w:eastAsia="hr-HR"/>
              </w:rPr>
              <w:t>S</w:t>
            </w:r>
            <w:r w:rsidRPr="00361664">
              <w:rPr>
                <w:rFonts w:eastAsiaTheme="minorEastAsia" w:cs="Arial"/>
                <w:b/>
                <w:spacing w:val="-1"/>
                <w:sz w:val="20"/>
                <w:szCs w:val="20"/>
                <w:lang w:eastAsia="hr-HR"/>
              </w:rPr>
              <w:t>e</w:t>
            </w:r>
            <w:r w:rsidRPr="00361664">
              <w:rPr>
                <w:rFonts w:eastAsiaTheme="minorEastAsia" w:cs="Arial"/>
                <w:b/>
                <w:spacing w:val="-2"/>
                <w:sz w:val="20"/>
                <w:szCs w:val="20"/>
                <w:lang w:eastAsia="hr-HR"/>
              </w:rPr>
              <w:t>kt</w:t>
            </w:r>
            <w:r w:rsidRPr="00361664">
              <w:rPr>
                <w:rFonts w:eastAsiaTheme="minorEastAsia" w:cs="Arial"/>
                <w:b/>
                <w:spacing w:val="-1"/>
                <w:sz w:val="20"/>
                <w:szCs w:val="20"/>
                <w:lang w:eastAsia="hr-HR"/>
              </w:rPr>
              <w:t>o</w:t>
            </w:r>
            <w:r w:rsidRPr="00361664">
              <w:rPr>
                <w:rFonts w:eastAsiaTheme="minorEastAsia" w:cs="Arial"/>
                <w:b/>
                <w:sz w:val="20"/>
                <w:szCs w:val="20"/>
                <w:lang w:eastAsia="hr-HR"/>
              </w:rPr>
              <w:t>r</w:t>
            </w:r>
          </w:p>
        </w:tc>
        <w:tc>
          <w:tcPr>
            <w:tcW w:w="23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D720D" w:rsidRPr="00361664" w:rsidRDefault="007D720D" w:rsidP="007D720D">
            <w:pPr>
              <w:keepNext/>
              <w:tabs>
                <w:tab w:val="left" w:pos="678"/>
              </w:tabs>
              <w:kinsoku w:val="0"/>
              <w:overflowPunct w:val="0"/>
              <w:autoSpaceDE w:val="0"/>
              <w:autoSpaceDN w:val="0"/>
              <w:adjustRightInd w:val="0"/>
              <w:spacing w:after="0" w:line="195" w:lineRule="exact"/>
              <w:jc w:val="center"/>
              <w:rPr>
                <w:rFonts w:eastAsiaTheme="minorEastAsia" w:cs="Arial"/>
                <w:b/>
                <w:sz w:val="20"/>
                <w:szCs w:val="20"/>
                <w:lang w:eastAsia="hr-HR"/>
              </w:rPr>
            </w:pPr>
            <w:r w:rsidRPr="00361664">
              <w:rPr>
                <w:rFonts w:eastAsiaTheme="minorEastAsia" w:cs="Arial"/>
                <w:b/>
                <w:spacing w:val="-1"/>
                <w:sz w:val="20"/>
                <w:szCs w:val="20"/>
                <w:lang w:eastAsia="hr-HR"/>
              </w:rPr>
              <w:t>Mo</w:t>
            </w:r>
            <w:r w:rsidRPr="00361664">
              <w:rPr>
                <w:rFonts w:eastAsiaTheme="minorEastAsia" w:cs="Arial"/>
                <w:b/>
                <w:sz w:val="20"/>
                <w:szCs w:val="20"/>
                <w:lang w:eastAsia="hr-HR"/>
              </w:rPr>
              <w:t>gu</w:t>
            </w:r>
            <w:r w:rsidRPr="00361664">
              <w:rPr>
                <w:rFonts w:eastAsiaTheme="minorEastAsia" w:cs="Arial"/>
                <w:b/>
                <w:spacing w:val="-2"/>
                <w:sz w:val="20"/>
                <w:szCs w:val="20"/>
                <w:lang w:eastAsia="hr-HR"/>
              </w:rPr>
              <w:t>ć</w:t>
            </w:r>
            <w:r w:rsidRPr="00361664">
              <w:rPr>
                <w:rFonts w:eastAsiaTheme="minorEastAsia" w:cs="Arial"/>
                <w:b/>
                <w:sz w:val="20"/>
                <w:szCs w:val="20"/>
                <w:lang w:eastAsia="hr-HR"/>
              </w:rPr>
              <w:t>n</w:t>
            </w:r>
            <w:r w:rsidRPr="00361664">
              <w:rPr>
                <w:rFonts w:eastAsiaTheme="minorEastAsia" w:cs="Arial"/>
                <w:b/>
                <w:spacing w:val="-2"/>
                <w:sz w:val="20"/>
                <w:szCs w:val="20"/>
                <w:lang w:eastAsia="hr-HR"/>
              </w:rPr>
              <w:t>o</w:t>
            </w:r>
            <w:r w:rsidRPr="00361664">
              <w:rPr>
                <w:rFonts w:eastAsiaTheme="minorEastAsia" w:cs="Arial"/>
                <w:b/>
                <w:sz w:val="20"/>
                <w:szCs w:val="20"/>
                <w:lang w:eastAsia="hr-HR"/>
              </w:rPr>
              <w:t>st</w:t>
            </w:r>
            <w:r w:rsidRPr="00361664">
              <w:rPr>
                <w:rFonts w:eastAsiaTheme="minorEastAsia" w:cs="Arial"/>
                <w:b/>
                <w:spacing w:val="-2"/>
                <w:sz w:val="20"/>
                <w:szCs w:val="20"/>
                <w:lang w:eastAsia="hr-HR"/>
              </w:rPr>
              <w:t xml:space="preserve"> iz</w:t>
            </w:r>
            <w:r w:rsidRPr="00361664">
              <w:rPr>
                <w:rFonts w:eastAsiaTheme="minorEastAsia" w:cs="Arial"/>
                <w:b/>
                <w:spacing w:val="-1"/>
                <w:sz w:val="20"/>
                <w:szCs w:val="20"/>
                <w:lang w:eastAsia="hr-HR"/>
              </w:rPr>
              <w:t>r</w:t>
            </w:r>
            <w:r w:rsidRPr="00361664">
              <w:rPr>
                <w:rFonts w:eastAsiaTheme="minorEastAsia" w:cs="Arial"/>
                <w:b/>
                <w:sz w:val="20"/>
                <w:szCs w:val="20"/>
                <w:lang w:eastAsia="hr-HR"/>
              </w:rPr>
              <w:t>a</w:t>
            </w:r>
            <w:r w:rsidRPr="00361664">
              <w:rPr>
                <w:rFonts w:eastAsiaTheme="minorEastAsia" w:cs="Arial"/>
                <w:b/>
                <w:spacing w:val="-1"/>
                <w:sz w:val="20"/>
                <w:szCs w:val="20"/>
                <w:lang w:eastAsia="hr-HR"/>
              </w:rPr>
              <w:t>č</w:t>
            </w:r>
            <w:r w:rsidRPr="00361664">
              <w:rPr>
                <w:rFonts w:eastAsiaTheme="minorEastAsia" w:cs="Arial"/>
                <w:b/>
                <w:spacing w:val="1"/>
                <w:sz w:val="20"/>
                <w:szCs w:val="20"/>
                <w:lang w:eastAsia="hr-HR"/>
              </w:rPr>
              <w:t>u</w:t>
            </w:r>
            <w:r w:rsidRPr="00361664">
              <w:rPr>
                <w:rFonts w:eastAsiaTheme="minorEastAsia" w:cs="Arial"/>
                <w:b/>
                <w:sz w:val="20"/>
                <w:szCs w:val="20"/>
                <w:lang w:eastAsia="hr-HR"/>
              </w:rPr>
              <w:t>na</w:t>
            </w:r>
          </w:p>
        </w:tc>
        <w:tc>
          <w:tcPr>
            <w:tcW w:w="33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D720D" w:rsidRPr="00361664" w:rsidRDefault="007D720D" w:rsidP="007D720D">
            <w:pPr>
              <w:keepNext/>
              <w:tabs>
                <w:tab w:val="left" w:pos="680"/>
              </w:tabs>
              <w:kinsoku w:val="0"/>
              <w:overflowPunct w:val="0"/>
              <w:autoSpaceDE w:val="0"/>
              <w:autoSpaceDN w:val="0"/>
              <w:adjustRightInd w:val="0"/>
              <w:spacing w:after="0" w:line="195" w:lineRule="exact"/>
              <w:jc w:val="center"/>
              <w:rPr>
                <w:rFonts w:eastAsiaTheme="minorEastAsia" w:cs="Arial"/>
                <w:b/>
                <w:sz w:val="20"/>
                <w:szCs w:val="20"/>
                <w:lang w:eastAsia="hr-HR"/>
              </w:rPr>
            </w:pPr>
            <w:r w:rsidRPr="00361664">
              <w:rPr>
                <w:rFonts w:eastAsiaTheme="minorEastAsia" w:cs="Arial"/>
                <w:b/>
                <w:sz w:val="20"/>
                <w:szCs w:val="20"/>
                <w:lang w:eastAsia="hr-HR"/>
              </w:rPr>
              <w:t>I</w:t>
            </w:r>
            <w:r w:rsidRPr="00361664">
              <w:rPr>
                <w:rFonts w:eastAsiaTheme="minorEastAsia" w:cs="Arial"/>
                <w:b/>
                <w:spacing w:val="-1"/>
                <w:sz w:val="20"/>
                <w:szCs w:val="20"/>
                <w:lang w:eastAsia="hr-HR"/>
              </w:rPr>
              <w:t>zv</w:t>
            </w:r>
            <w:r w:rsidRPr="00361664">
              <w:rPr>
                <w:rFonts w:eastAsiaTheme="minorEastAsia" w:cs="Arial"/>
                <w:b/>
                <w:sz w:val="20"/>
                <w:szCs w:val="20"/>
                <w:lang w:eastAsia="hr-HR"/>
              </w:rPr>
              <w:t>j</w:t>
            </w:r>
            <w:r w:rsidRPr="00361664">
              <w:rPr>
                <w:rFonts w:eastAsiaTheme="minorEastAsia" w:cs="Arial"/>
                <w:b/>
                <w:spacing w:val="-1"/>
                <w:sz w:val="20"/>
                <w:szCs w:val="20"/>
                <w:lang w:eastAsia="hr-HR"/>
              </w:rPr>
              <w:t>e</w:t>
            </w:r>
            <w:r w:rsidRPr="00361664">
              <w:rPr>
                <w:rFonts w:eastAsiaTheme="minorEastAsia" w:cs="Arial"/>
                <w:b/>
                <w:sz w:val="20"/>
                <w:szCs w:val="20"/>
                <w:lang w:eastAsia="hr-HR"/>
              </w:rPr>
              <w:t>š</w:t>
            </w:r>
            <w:r w:rsidRPr="00361664">
              <w:rPr>
                <w:rFonts w:eastAsiaTheme="minorEastAsia" w:cs="Arial"/>
                <w:b/>
                <w:spacing w:val="-2"/>
                <w:sz w:val="20"/>
                <w:szCs w:val="20"/>
                <w:lang w:eastAsia="hr-HR"/>
              </w:rPr>
              <w:t>ć</w:t>
            </w:r>
            <w:r w:rsidRPr="00361664">
              <w:rPr>
                <w:rFonts w:eastAsiaTheme="minorEastAsia" w:cs="Arial"/>
                <w:b/>
                <w:spacing w:val="-1"/>
                <w:sz w:val="20"/>
                <w:szCs w:val="20"/>
                <w:lang w:eastAsia="hr-HR"/>
              </w:rPr>
              <w:t>iv</w:t>
            </w:r>
            <w:r w:rsidRPr="00361664">
              <w:rPr>
                <w:rFonts w:eastAsiaTheme="minorEastAsia" w:cs="Arial"/>
                <w:b/>
                <w:sz w:val="20"/>
                <w:szCs w:val="20"/>
                <w:lang w:eastAsia="hr-HR"/>
              </w:rPr>
              <w:t>a</w:t>
            </w:r>
            <w:r w:rsidRPr="00361664">
              <w:rPr>
                <w:rFonts w:eastAsiaTheme="minorEastAsia" w:cs="Arial"/>
                <w:b/>
                <w:spacing w:val="-1"/>
                <w:sz w:val="20"/>
                <w:szCs w:val="20"/>
                <w:lang w:eastAsia="hr-HR"/>
              </w:rPr>
              <w:t>n</w:t>
            </w:r>
            <w:r w:rsidRPr="00361664">
              <w:rPr>
                <w:rFonts w:eastAsiaTheme="minorEastAsia" w:cs="Arial"/>
                <w:b/>
                <w:sz w:val="20"/>
                <w:szCs w:val="20"/>
                <w:lang w:eastAsia="hr-HR"/>
              </w:rPr>
              <w:t>je</w:t>
            </w:r>
            <w:r w:rsidRPr="00361664">
              <w:rPr>
                <w:rFonts w:eastAsiaTheme="minorEastAsia" w:cs="Arial"/>
                <w:b/>
                <w:spacing w:val="-2"/>
                <w:sz w:val="20"/>
                <w:szCs w:val="20"/>
                <w:lang w:eastAsia="hr-HR"/>
              </w:rPr>
              <w:t>o</w:t>
            </w:r>
            <w:r w:rsidRPr="00361664">
              <w:rPr>
                <w:rFonts w:eastAsiaTheme="minorEastAsia" w:cs="Arial"/>
                <w:b/>
                <w:spacing w:val="1"/>
                <w:sz w:val="20"/>
                <w:szCs w:val="20"/>
                <w:lang w:eastAsia="hr-HR"/>
              </w:rPr>
              <w:t>s</w:t>
            </w:r>
            <w:r w:rsidRPr="00361664">
              <w:rPr>
                <w:rFonts w:eastAsiaTheme="minorEastAsia" w:cs="Arial"/>
                <w:b/>
                <w:spacing w:val="-2"/>
                <w:sz w:val="20"/>
                <w:szCs w:val="20"/>
                <w:lang w:eastAsia="hr-HR"/>
              </w:rPr>
              <w:t>t</w:t>
            </w:r>
            <w:r w:rsidRPr="00361664">
              <w:rPr>
                <w:rFonts w:eastAsiaTheme="minorEastAsia" w:cs="Arial"/>
                <w:b/>
                <w:spacing w:val="-1"/>
                <w:sz w:val="20"/>
                <w:szCs w:val="20"/>
                <w:lang w:eastAsia="hr-HR"/>
              </w:rPr>
              <w:t>v</w:t>
            </w:r>
            <w:r w:rsidRPr="00361664">
              <w:rPr>
                <w:rFonts w:eastAsiaTheme="minorEastAsia" w:cs="Arial"/>
                <w:b/>
                <w:sz w:val="20"/>
                <w:szCs w:val="20"/>
                <w:lang w:eastAsia="hr-HR"/>
              </w:rPr>
              <w:t>a</w:t>
            </w:r>
            <w:r w:rsidRPr="00361664">
              <w:rPr>
                <w:rFonts w:eastAsiaTheme="minorEastAsia" w:cs="Arial"/>
                <w:b/>
                <w:spacing w:val="-2"/>
                <w:sz w:val="20"/>
                <w:szCs w:val="20"/>
                <w:lang w:eastAsia="hr-HR"/>
              </w:rPr>
              <w:t>r</w:t>
            </w:r>
            <w:r w:rsidRPr="00361664">
              <w:rPr>
                <w:rFonts w:eastAsiaTheme="minorEastAsia" w:cs="Arial"/>
                <w:b/>
                <w:spacing w:val="-1"/>
                <w:sz w:val="20"/>
                <w:szCs w:val="20"/>
                <w:lang w:eastAsia="hr-HR"/>
              </w:rPr>
              <w:t>e</w:t>
            </w:r>
            <w:r w:rsidRPr="00361664">
              <w:rPr>
                <w:rFonts w:eastAsiaTheme="minorEastAsia" w:cs="Arial"/>
                <w:b/>
                <w:spacing w:val="1"/>
                <w:sz w:val="20"/>
                <w:szCs w:val="20"/>
                <w:lang w:eastAsia="hr-HR"/>
              </w:rPr>
              <w:t>n</w:t>
            </w:r>
            <w:r w:rsidRPr="00361664">
              <w:rPr>
                <w:rFonts w:eastAsiaTheme="minorEastAsia" w:cs="Arial"/>
                <w:b/>
                <w:spacing w:val="-1"/>
                <w:sz w:val="20"/>
                <w:szCs w:val="20"/>
                <w:lang w:eastAsia="hr-HR"/>
              </w:rPr>
              <w:t>i</w:t>
            </w:r>
            <w:r w:rsidRPr="00361664">
              <w:rPr>
                <w:rFonts w:eastAsiaTheme="minorEastAsia" w:cs="Arial"/>
                <w:b/>
                <w:sz w:val="20"/>
                <w:szCs w:val="20"/>
                <w:lang w:eastAsia="hr-HR"/>
              </w:rPr>
              <w:t>hu</w:t>
            </w:r>
            <w:r w:rsidRPr="00361664">
              <w:rPr>
                <w:rFonts w:eastAsiaTheme="minorEastAsia" w:cs="Arial"/>
                <w:b/>
                <w:spacing w:val="-1"/>
                <w:sz w:val="20"/>
                <w:szCs w:val="20"/>
                <w:lang w:eastAsia="hr-HR"/>
              </w:rPr>
              <w:t>š</w:t>
            </w:r>
            <w:r w:rsidRPr="00361664">
              <w:rPr>
                <w:rFonts w:eastAsiaTheme="minorEastAsia" w:cs="Arial"/>
                <w:b/>
                <w:spacing w:val="-2"/>
                <w:sz w:val="20"/>
                <w:szCs w:val="20"/>
                <w:lang w:eastAsia="hr-HR"/>
              </w:rPr>
              <w:t>t</w:t>
            </w:r>
            <w:r w:rsidRPr="00361664">
              <w:rPr>
                <w:rFonts w:eastAsiaTheme="minorEastAsia" w:cs="Arial"/>
                <w:b/>
                <w:spacing w:val="-1"/>
                <w:sz w:val="20"/>
                <w:szCs w:val="20"/>
                <w:lang w:eastAsia="hr-HR"/>
              </w:rPr>
              <w:t>e</w:t>
            </w:r>
            <w:r w:rsidRPr="00361664">
              <w:rPr>
                <w:rFonts w:eastAsiaTheme="minorEastAsia" w:cs="Arial"/>
                <w:b/>
                <w:sz w:val="20"/>
                <w:szCs w:val="20"/>
                <w:lang w:eastAsia="hr-HR"/>
              </w:rPr>
              <w:t>da</w:t>
            </w: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r w:rsidRPr="00361664">
              <w:rPr>
                <w:rFonts w:eastAsiaTheme="minorEastAsia" w:cs="Arial"/>
                <w:sz w:val="20"/>
                <w:szCs w:val="20"/>
                <w:lang w:eastAsia="hr-HR"/>
              </w:rPr>
              <w:t>P1</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240" w:lineRule="auto"/>
              <w:jc w:val="center"/>
              <w:rPr>
                <w:rFonts w:eastAsiaTheme="minorEastAsia" w:cs="Arial"/>
                <w:sz w:val="20"/>
                <w:szCs w:val="20"/>
                <w:lang w:eastAsia="hr-HR"/>
              </w:rPr>
            </w:pPr>
            <w:r w:rsidRPr="00361664">
              <w:rPr>
                <w:rFonts w:eastAsiaTheme="minorEastAsia" w:cs="Arial"/>
                <w:sz w:val="20"/>
                <w:szCs w:val="20"/>
                <w:lang w:eastAsia="hr-HR"/>
              </w:rPr>
              <w:t>Ku</w:t>
            </w:r>
            <w:r w:rsidRPr="00361664">
              <w:rPr>
                <w:rFonts w:eastAsiaTheme="minorEastAsia" w:cs="Arial"/>
                <w:spacing w:val="-1"/>
                <w:sz w:val="20"/>
                <w:szCs w:val="20"/>
                <w:lang w:eastAsia="hr-HR"/>
              </w:rPr>
              <w:t>ć</w:t>
            </w:r>
            <w:r w:rsidRPr="00361664">
              <w:rPr>
                <w:rFonts w:eastAsiaTheme="minorEastAsia" w:cs="Arial"/>
                <w:sz w:val="20"/>
                <w:szCs w:val="20"/>
                <w:lang w:eastAsia="hr-HR"/>
              </w:rPr>
              <w:t>a</w:t>
            </w:r>
            <w:r w:rsidRPr="00361664">
              <w:rPr>
                <w:rFonts w:eastAsiaTheme="minorEastAsia" w:cs="Arial"/>
                <w:spacing w:val="-1"/>
                <w:sz w:val="20"/>
                <w:szCs w:val="20"/>
                <w:lang w:eastAsia="hr-HR"/>
              </w:rPr>
              <w:t>n</w:t>
            </w:r>
            <w:r w:rsidRPr="00361664">
              <w:rPr>
                <w:rFonts w:eastAsiaTheme="minorEastAsia" w:cs="Arial"/>
                <w:sz w:val="20"/>
                <w:szCs w:val="20"/>
                <w:lang w:eastAsia="hr-HR"/>
              </w:rPr>
              <w:t>s</w:t>
            </w:r>
            <w:r w:rsidRPr="00361664">
              <w:rPr>
                <w:rFonts w:eastAsiaTheme="minorEastAsia" w:cs="Arial"/>
                <w:spacing w:val="-2"/>
                <w:sz w:val="20"/>
                <w:szCs w:val="20"/>
                <w:lang w:eastAsia="hr-HR"/>
              </w:rPr>
              <w:t>t</w:t>
            </w:r>
            <w:r w:rsidRPr="00361664">
              <w:rPr>
                <w:rFonts w:eastAsiaTheme="minorEastAsia" w:cs="Arial"/>
                <w:spacing w:val="-1"/>
                <w:sz w:val="20"/>
                <w:szCs w:val="20"/>
                <w:lang w:eastAsia="hr-HR"/>
              </w:rPr>
              <w:t>v</w:t>
            </w:r>
            <w:r w:rsidRPr="00361664">
              <w:rPr>
                <w:rFonts w:eastAsiaTheme="minorEastAsia" w:cs="Arial"/>
                <w:sz w:val="20"/>
                <w:szCs w:val="20"/>
                <w:lang w:eastAsia="hr-HR"/>
              </w:rPr>
              <w:t>a</w:t>
            </w:r>
          </w:p>
        </w:tc>
        <w:tc>
          <w:tcPr>
            <w:tcW w:w="2300"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jc w:val="center"/>
              <w:rPr>
                <w:rFonts w:eastAsiaTheme="minorEastAsia" w:cs="Arial"/>
                <w:sz w:val="20"/>
                <w:szCs w:val="20"/>
                <w:lang w:eastAsia="hr-HR"/>
              </w:rPr>
            </w:pPr>
            <w:r w:rsidRPr="00361664">
              <w:rPr>
                <w:rFonts w:eastAsiaTheme="minorEastAsia" w:cs="Arial"/>
                <w:sz w:val="20"/>
                <w:szCs w:val="20"/>
                <w:lang w:eastAsia="hr-HR"/>
              </w:rPr>
              <w:t>+</w:t>
            </w:r>
          </w:p>
        </w:tc>
        <w:tc>
          <w:tcPr>
            <w:tcW w:w="3353"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240" w:lineRule="auto"/>
              <w:jc w:val="center"/>
              <w:rPr>
                <w:rFonts w:eastAsiaTheme="minorEastAsia" w:cs="Arial"/>
                <w:sz w:val="20"/>
                <w:szCs w:val="20"/>
                <w:lang w:eastAsia="hr-HR"/>
              </w:rPr>
            </w:pPr>
            <w:r w:rsidRPr="00361664">
              <w:rPr>
                <w:rFonts w:eastAsiaTheme="minorEastAsia" w:cs="Arial"/>
                <w:sz w:val="20"/>
                <w:szCs w:val="20"/>
                <w:lang w:eastAsia="hr-HR"/>
              </w:rPr>
              <w:t>P1,P2,P3,</w:t>
            </w:r>
            <w:r w:rsidRPr="00361664">
              <w:rPr>
                <w:rFonts w:eastAsiaTheme="minorEastAsia" w:cs="Arial"/>
                <w:spacing w:val="-2"/>
                <w:sz w:val="20"/>
                <w:szCs w:val="20"/>
                <w:lang w:eastAsia="hr-HR"/>
              </w:rPr>
              <w:t xml:space="preserve"> P4, </w:t>
            </w:r>
            <w:r w:rsidRPr="00361664">
              <w:rPr>
                <w:rFonts w:eastAsiaTheme="minorEastAsia" w:cs="Arial"/>
                <w:sz w:val="20"/>
                <w:szCs w:val="20"/>
                <w:lang w:eastAsia="hr-HR"/>
              </w:rPr>
              <w:t>P5</w:t>
            </w: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z w:val="20"/>
                <w:szCs w:val="20"/>
                <w:lang w:eastAsia="hr-HR"/>
              </w:rPr>
              <w:t>P2</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r w:rsidRPr="00361664">
              <w:rPr>
                <w:rFonts w:eastAsiaTheme="minorEastAsia" w:cs="Arial"/>
                <w:sz w:val="20"/>
                <w:szCs w:val="20"/>
                <w:lang w:eastAsia="hr-HR"/>
              </w:rPr>
              <w:t>P3</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z w:val="20"/>
                <w:szCs w:val="20"/>
                <w:lang w:eastAsia="hr-HR"/>
              </w:rPr>
              <w:t>P4</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5" w:lineRule="exact"/>
              <w:ind w:left="102"/>
              <w:jc w:val="center"/>
              <w:rPr>
                <w:rFonts w:eastAsiaTheme="minorEastAsia" w:cs="Arial"/>
                <w:sz w:val="20"/>
                <w:szCs w:val="20"/>
                <w:lang w:eastAsia="hr-HR"/>
              </w:rPr>
            </w:pPr>
            <w:r w:rsidRPr="00361664">
              <w:rPr>
                <w:rFonts w:eastAsiaTheme="minorEastAsia" w:cs="Arial"/>
                <w:sz w:val="20"/>
                <w:szCs w:val="20"/>
                <w:lang w:eastAsia="hr-HR"/>
              </w:rPr>
              <w:t>P5</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5"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8" w:after="0" w:line="240" w:lineRule="auto"/>
              <w:ind w:left="663"/>
              <w:jc w:val="center"/>
              <w:rPr>
                <w:rFonts w:eastAsiaTheme="minorEastAsia" w:cs="Arial"/>
                <w:sz w:val="20"/>
                <w:szCs w:val="20"/>
                <w:lang w:eastAsia="hr-HR"/>
              </w:rPr>
            </w:pP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pacing w:val="-1"/>
                <w:sz w:val="20"/>
                <w:szCs w:val="20"/>
                <w:lang w:eastAsia="hr-HR"/>
              </w:rPr>
              <w:t>M1</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3" w:lineRule="exact"/>
              <w:ind w:left="1743" w:right="1738"/>
              <w:jc w:val="center"/>
              <w:rPr>
                <w:rFonts w:eastAsiaTheme="minorEastAsia" w:cs="Arial"/>
                <w:sz w:val="20"/>
                <w:szCs w:val="20"/>
                <w:lang w:eastAsia="hr-HR"/>
              </w:rPr>
            </w:pPr>
            <w:r w:rsidRPr="00361664">
              <w:rPr>
                <w:rFonts w:eastAsiaTheme="minorEastAsia" w:cs="Arial"/>
                <w:sz w:val="20"/>
                <w:szCs w:val="20"/>
                <w:lang w:eastAsia="hr-HR"/>
              </w:rPr>
              <w:t>-</w:t>
            </w: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5" w:lineRule="exact"/>
              <w:ind w:left="102"/>
              <w:jc w:val="center"/>
              <w:rPr>
                <w:rFonts w:eastAsiaTheme="minorEastAsia" w:cs="Arial"/>
                <w:sz w:val="20"/>
                <w:szCs w:val="20"/>
                <w:lang w:eastAsia="hr-HR"/>
              </w:rPr>
            </w:pPr>
            <w:r w:rsidRPr="00361664">
              <w:rPr>
                <w:rFonts w:eastAsiaTheme="minorEastAsia" w:cs="Arial"/>
                <w:spacing w:val="-1"/>
                <w:sz w:val="20"/>
                <w:szCs w:val="20"/>
                <w:lang w:eastAsia="hr-HR"/>
              </w:rPr>
              <w:t>M2</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5"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8" w:after="0" w:line="240" w:lineRule="auto"/>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r w:rsidRPr="00361664">
              <w:rPr>
                <w:rFonts w:eastAsiaTheme="minorEastAsia" w:cs="Arial"/>
                <w:sz w:val="20"/>
                <w:szCs w:val="20"/>
                <w:lang w:eastAsia="hr-HR"/>
              </w:rPr>
              <w:t>P6</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5" w:after="0" w:line="100" w:lineRule="exact"/>
              <w:jc w:val="center"/>
              <w:rPr>
                <w:rFonts w:eastAsiaTheme="minorEastAsia" w:cs="Arial"/>
                <w:sz w:val="20"/>
                <w:szCs w:val="20"/>
                <w:lang w:eastAsia="hr-HR"/>
              </w:rPr>
            </w:pPr>
          </w:p>
          <w:p w:rsidR="007D720D" w:rsidRPr="00361664" w:rsidRDefault="007D720D" w:rsidP="007D720D">
            <w:pPr>
              <w:widowControl w:val="0"/>
              <w:kinsoku w:val="0"/>
              <w:overflowPunct w:val="0"/>
              <w:autoSpaceDE w:val="0"/>
              <w:autoSpaceDN w:val="0"/>
              <w:adjustRightInd w:val="0"/>
              <w:spacing w:after="0" w:line="240" w:lineRule="auto"/>
              <w:jc w:val="center"/>
              <w:rPr>
                <w:rFonts w:eastAsiaTheme="minorEastAsia" w:cs="Arial"/>
                <w:sz w:val="20"/>
                <w:szCs w:val="20"/>
                <w:lang w:eastAsia="hr-HR"/>
              </w:rPr>
            </w:pPr>
            <w:r w:rsidRPr="00361664">
              <w:rPr>
                <w:rFonts w:eastAsiaTheme="minorEastAsia" w:cs="Arial"/>
                <w:sz w:val="20"/>
                <w:szCs w:val="20"/>
                <w:lang w:eastAsia="hr-HR"/>
              </w:rPr>
              <w:t>U</w:t>
            </w:r>
            <w:r w:rsidRPr="00361664">
              <w:rPr>
                <w:rFonts w:eastAsiaTheme="minorEastAsia" w:cs="Arial"/>
                <w:spacing w:val="-1"/>
                <w:sz w:val="20"/>
                <w:szCs w:val="20"/>
                <w:lang w:eastAsia="hr-HR"/>
              </w:rPr>
              <w:t>sl</w:t>
            </w:r>
            <w:r w:rsidRPr="00361664">
              <w:rPr>
                <w:rFonts w:eastAsiaTheme="minorEastAsia" w:cs="Arial"/>
                <w:sz w:val="20"/>
                <w:szCs w:val="20"/>
                <w:lang w:eastAsia="hr-HR"/>
              </w:rPr>
              <w:t>uge</w:t>
            </w: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3" w:lineRule="exact"/>
              <w:ind w:left="1743" w:right="1738"/>
              <w:jc w:val="center"/>
              <w:rPr>
                <w:rFonts w:eastAsiaTheme="minorEastAsia" w:cs="Arial"/>
                <w:sz w:val="20"/>
                <w:szCs w:val="20"/>
                <w:lang w:eastAsia="hr-HR"/>
              </w:rPr>
            </w:pPr>
            <w:r w:rsidRPr="00361664">
              <w:rPr>
                <w:rFonts w:eastAsiaTheme="minorEastAsia" w:cs="Arial"/>
                <w:sz w:val="20"/>
                <w:szCs w:val="20"/>
                <w:lang w:eastAsia="hr-HR"/>
              </w:rPr>
              <w:t>-</w:t>
            </w: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z w:val="20"/>
                <w:szCs w:val="20"/>
                <w:lang w:eastAsia="hr-HR"/>
              </w:rPr>
              <w:t>P7</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r w:rsidRPr="00361664">
              <w:rPr>
                <w:rFonts w:eastAsiaTheme="minorEastAsia" w:cs="Arial"/>
                <w:spacing w:val="-1"/>
                <w:sz w:val="20"/>
                <w:szCs w:val="20"/>
                <w:lang w:eastAsia="hr-HR"/>
              </w:rPr>
              <w:t>M3</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1" w:after="0" w:line="100" w:lineRule="exact"/>
              <w:jc w:val="center"/>
              <w:rPr>
                <w:rFonts w:eastAsiaTheme="minorEastAsia" w:cs="Arial"/>
                <w:sz w:val="20"/>
                <w:szCs w:val="20"/>
                <w:lang w:eastAsia="hr-HR"/>
              </w:rPr>
            </w:pPr>
          </w:p>
          <w:p w:rsidR="007D720D" w:rsidRPr="00361664" w:rsidRDefault="007D720D" w:rsidP="007D720D">
            <w:pPr>
              <w:widowControl w:val="0"/>
              <w:kinsoku w:val="0"/>
              <w:overflowPunct w:val="0"/>
              <w:autoSpaceDE w:val="0"/>
              <w:autoSpaceDN w:val="0"/>
              <w:adjustRightInd w:val="0"/>
              <w:spacing w:after="0" w:line="240" w:lineRule="auto"/>
              <w:ind w:left="4"/>
              <w:jc w:val="center"/>
              <w:rPr>
                <w:rFonts w:eastAsiaTheme="minorEastAsia" w:cs="Arial"/>
                <w:sz w:val="20"/>
                <w:szCs w:val="20"/>
                <w:lang w:eastAsia="hr-HR"/>
              </w:rPr>
            </w:pPr>
            <w:r w:rsidRPr="00361664">
              <w:rPr>
                <w:rFonts w:eastAsiaTheme="minorEastAsia" w:cs="Arial"/>
                <w:spacing w:val="-1"/>
                <w:sz w:val="20"/>
                <w:szCs w:val="20"/>
                <w:lang w:eastAsia="hr-HR"/>
              </w:rPr>
              <w:t>M</w:t>
            </w:r>
            <w:r w:rsidRPr="00361664">
              <w:rPr>
                <w:rFonts w:eastAsiaTheme="minorEastAsia" w:cs="Arial"/>
                <w:sz w:val="20"/>
                <w:szCs w:val="20"/>
                <w:lang w:eastAsia="hr-HR"/>
              </w:rPr>
              <w:t xml:space="preserve">3, </w:t>
            </w:r>
            <w:r w:rsidRPr="00361664">
              <w:rPr>
                <w:rFonts w:eastAsiaTheme="minorEastAsia" w:cs="Arial"/>
                <w:spacing w:val="-1"/>
                <w:sz w:val="20"/>
                <w:szCs w:val="20"/>
                <w:lang w:eastAsia="hr-HR"/>
              </w:rPr>
              <w:t>M</w:t>
            </w:r>
            <w:r w:rsidRPr="00361664">
              <w:rPr>
                <w:rFonts w:eastAsiaTheme="minorEastAsia" w:cs="Arial"/>
                <w:sz w:val="20"/>
                <w:szCs w:val="20"/>
                <w:lang w:eastAsia="hr-HR"/>
              </w:rPr>
              <w:t>4</w:t>
            </w: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pacing w:val="-1"/>
                <w:sz w:val="20"/>
                <w:szCs w:val="20"/>
                <w:lang w:eastAsia="hr-HR"/>
              </w:rPr>
              <w:t>M4</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r w:rsidRPr="00361664">
              <w:rPr>
                <w:rFonts w:eastAsiaTheme="minorEastAsia" w:cs="Arial"/>
                <w:sz w:val="20"/>
                <w:szCs w:val="20"/>
                <w:lang w:eastAsia="hr-HR"/>
              </w:rPr>
              <w:t>P8</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240" w:lineRule="auto"/>
              <w:jc w:val="center"/>
              <w:rPr>
                <w:rFonts w:eastAsiaTheme="minorEastAsia" w:cs="Arial"/>
                <w:sz w:val="20"/>
                <w:szCs w:val="20"/>
                <w:lang w:eastAsia="hr-HR"/>
              </w:rPr>
            </w:pPr>
            <w:r w:rsidRPr="00361664">
              <w:rPr>
                <w:rFonts w:eastAsiaTheme="minorEastAsia" w:cs="Arial"/>
                <w:sz w:val="20"/>
                <w:szCs w:val="20"/>
                <w:lang w:eastAsia="hr-HR"/>
              </w:rPr>
              <w:t>P</w:t>
            </w:r>
            <w:r w:rsidRPr="00361664">
              <w:rPr>
                <w:rFonts w:eastAsiaTheme="minorEastAsia" w:cs="Arial"/>
                <w:spacing w:val="-1"/>
                <w:sz w:val="20"/>
                <w:szCs w:val="20"/>
                <w:lang w:eastAsia="hr-HR"/>
              </w:rPr>
              <w:t>ro</w:t>
            </w:r>
            <w:r w:rsidRPr="00361664">
              <w:rPr>
                <w:rFonts w:eastAsiaTheme="minorEastAsia" w:cs="Arial"/>
                <w:spacing w:val="1"/>
                <w:sz w:val="20"/>
                <w:szCs w:val="20"/>
                <w:lang w:eastAsia="hr-HR"/>
              </w:rPr>
              <w:t>m</w:t>
            </w:r>
            <w:r w:rsidRPr="00361664">
              <w:rPr>
                <w:rFonts w:eastAsiaTheme="minorEastAsia" w:cs="Arial"/>
                <w:spacing w:val="-1"/>
                <w:sz w:val="20"/>
                <w:szCs w:val="20"/>
                <w:lang w:eastAsia="hr-HR"/>
              </w:rPr>
              <w:t>e</w:t>
            </w:r>
            <w:r w:rsidRPr="00361664">
              <w:rPr>
                <w:rFonts w:eastAsiaTheme="minorEastAsia" w:cs="Arial"/>
                <w:sz w:val="20"/>
                <w:szCs w:val="20"/>
                <w:lang w:eastAsia="hr-HR"/>
              </w:rPr>
              <w:t>t</w:t>
            </w: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240" w:lineRule="auto"/>
              <w:jc w:val="center"/>
              <w:rPr>
                <w:rFonts w:eastAsiaTheme="minorEastAsia" w:cs="Arial"/>
                <w:sz w:val="20"/>
                <w:szCs w:val="20"/>
                <w:lang w:eastAsia="hr-HR"/>
              </w:rPr>
            </w:pPr>
            <w:r w:rsidRPr="00361664">
              <w:rPr>
                <w:rFonts w:eastAsiaTheme="minorEastAsia" w:cs="Arial"/>
                <w:sz w:val="20"/>
                <w:szCs w:val="20"/>
                <w:lang w:eastAsia="hr-HR"/>
              </w:rPr>
              <w:t>P8,P9,P10,P1</w:t>
            </w:r>
            <w:r w:rsidRPr="00361664">
              <w:rPr>
                <w:rFonts w:eastAsiaTheme="minorEastAsia" w:cs="Arial"/>
                <w:spacing w:val="-3"/>
                <w:sz w:val="20"/>
                <w:szCs w:val="20"/>
                <w:lang w:eastAsia="hr-HR"/>
              </w:rPr>
              <w:t>1</w:t>
            </w:r>
            <w:r w:rsidRPr="00361664">
              <w:rPr>
                <w:rFonts w:eastAsiaTheme="minorEastAsia" w:cs="Arial"/>
                <w:sz w:val="20"/>
                <w:szCs w:val="20"/>
                <w:lang w:eastAsia="hr-HR"/>
              </w:rPr>
              <w:t>, P</w:t>
            </w:r>
            <w:r w:rsidRPr="00361664">
              <w:rPr>
                <w:rFonts w:eastAsiaTheme="minorEastAsia" w:cs="Arial"/>
                <w:spacing w:val="-3"/>
                <w:sz w:val="20"/>
                <w:szCs w:val="20"/>
                <w:lang w:eastAsia="hr-HR"/>
              </w:rPr>
              <w:t>1</w:t>
            </w:r>
            <w:r w:rsidRPr="00361664">
              <w:rPr>
                <w:rFonts w:eastAsiaTheme="minorEastAsia" w:cs="Arial"/>
                <w:sz w:val="20"/>
                <w:szCs w:val="20"/>
                <w:lang w:eastAsia="hr-HR"/>
              </w:rPr>
              <w:t xml:space="preserve">2, </w:t>
            </w:r>
            <w:r w:rsidRPr="00361664">
              <w:rPr>
                <w:rFonts w:eastAsiaTheme="minorEastAsia" w:cs="Arial"/>
                <w:spacing w:val="-2"/>
                <w:sz w:val="20"/>
                <w:szCs w:val="20"/>
                <w:lang w:eastAsia="hr-HR"/>
              </w:rPr>
              <w:t>P</w:t>
            </w:r>
            <w:r w:rsidRPr="00361664">
              <w:rPr>
                <w:rFonts w:eastAsiaTheme="minorEastAsia" w:cs="Arial"/>
                <w:sz w:val="20"/>
                <w:szCs w:val="20"/>
                <w:lang w:eastAsia="hr-HR"/>
              </w:rPr>
              <w:t>13</w:t>
            </w: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z w:val="20"/>
                <w:szCs w:val="20"/>
                <w:lang w:eastAsia="hr-HR"/>
              </w:rPr>
              <w:t xml:space="preserve">A1 </w:t>
            </w:r>
            <w:r w:rsidRPr="00361664">
              <w:rPr>
                <w:rFonts w:eastAsiaTheme="minorEastAsia" w:cs="Arial"/>
                <w:spacing w:val="-2"/>
                <w:sz w:val="20"/>
                <w:szCs w:val="20"/>
                <w:lang w:eastAsia="hr-HR"/>
              </w:rPr>
              <w:t>z</w:t>
            </w:r>
            <w:r w:rsidRPr="00361664">
              <w:rPr>
                <w:rFonts w:eastAsiaTheme="minorEastAsia" w:cs="Arial"/>
                <w:sz w:val="20"/>
                <w:szCs w:val="20"/>
                <w:lang w:eastAsia="hr-HR"/>
              </w:rPr>
              <w:t>aP8</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8"/>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4" w:lineRule="exact"/>
              <w:ind w:left="102"/>
              <w:jc w:val="center"/>
              <w:rPr>
                <w:rFonts w:eastAsiaTheme="minorEastAsia" w:cs="Arial"/>
                <w:sz w:val="20"/>
                <w:szCs w:val="20"/>
                <w:lang w:eastAsia="hr-HR"/>
              </w:rPr>
            </w:pPr>
            <w:r w:rsidRPr="00361664">
              <w:rPr>
                <w:rFonts w:eastAsiaTheme="minorEastAsia" w:cs="Arial"/>
                <w:sz w:val="20"/>
                <w:szCs w:val="20"/>
                <w:lang w:eastAsia="hr-HR"/>
              </w:rPr>
              <w:t>P9</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4"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7" w:after="0" w:line="240" w:lineRule="auto"/>
              <w:ind w:left="663"/>
              <w:jc w:val="center"/>
              <w:rPr>
                <w:rFonts w:eastAsiaTheme="minorEastAsia" w:cs="Arial"/>
                <w:sz w:val="20"/>
                <w:szCs w:val="20"/>
                <w:lang w:eastAsia="hr-HR"/>
              </w:rPr>
            </w:pP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z w:val="20"/>
                <w:szCs w:val="20"/>
                <w:lang w:eastAsia="hr-HR"/>
              </w:rPr>
              <w:t xml:space="preserve">A2 </w:t>
            </w:r>
            <w:r w:rsidRPr="00361664">
              <w:rPr>
                <w:rFonts w:eastAsiaTheme="minorEastAsia" w:cs="Arial"/>
                <w:spacing w:val="-2"/>
                <w:sz w:val="20"/>
                <w:szCs w:val="20"/>
                <w:lang w:eastAsia="hr-HR"/>
              </w:rPr>
              <w:t>z</w:t>
            </w:r>
            <w:r w:rsidRPr="00361664">
              <w:rPr>
                <w:rFonts w:eastAsiaTheme="minorEastAsia" w:cs="Arial"/>
                <w:sz w:val="20"/>
                <w:szCs w:val="20"/>
                <w:lang w:eastAsia="hr-HR"/>
              </w:rPr>
              <w:t>aP9</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5" w:lineRule="exact"/>
              <w:ind w:left="102"/>
              <w:jc w:val="center"/>
              <w:rPr>
                <w:rFonts w:eastAsiaTheme="minorEastAsia" w:cs="Arial"/>
                <w:sz w:val="20"/>
                <w:szCs w:val="20"/>
                <w:lang w:eastAsia="hr-HR"/>
              </w:rPr>
            </w:pPr>
            <w:r w:rsidRPr="00361664">
              <w:rPr>
                <w:rFonts w:eastAsiaTheme="minorEastAsia" w:cs="Arial"/>
                <w:sz w:val="20"/>
                <w:szCs w:val="20"/>
                <w:lang w:eastAsia="hr-HR"/>
              </w:rPr>
              <w:t>P10</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5"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8" w:after="0" w:line="240" w:lineRule="auto"/>
              <w:ind w:left="663"/>
              <w:jc w:val="center"/>
              <w:rPr>
                <w:rFonts w:eastAsiaTheme="minorEastAsia" w:cs="Arial"/>
                <w:sz w:val="20"/>
                <w:szCs w:val="20"/>
                <w:lang w:eastAsia="hr-HR"/>
              </w:rPr>
            </w:pP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z w:val="20"/>
                <w:szCs w:val="20"/>
                <w:lang w:eastAsia="hr-HR"/>
              </w:rPr>
              <w:t>P11</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5" w:lineRule="exact"/>
              <w:ind w:left="102"/>
              <w:jc w:val="center"/>
              <w:rPr>
                <w:rFonts w:eastAsiaTheme="minorEastAsia" w:cs="Arial"/>
                <w:sz w:val="20"/>
                <w:szCs w:val="20"/>
                <w:lang w:eastAsia="hr-HR"/>
              </w:rPr>
            </w:pPr>
            <w:r w:rsidRPr="00361664">
              <w:rPr>
                <w:rFonts w:eastAsiaTheme="minorEastAsia" w:cs="Arial"/>
                <w:sz w:val="20"/>
                <w:szCs w:val="20"/>
                <w:lang w:eastAsia="hr-HR"/>
              </w:rPr>
              <w:t>P12</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5"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8" w:after="0" w:line="240" w:lineRule="auto"/>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r w:rsidRPr="00361664">
              <w:rPr>
                <w:rFonts w:eastAsiaTheme="minorEastAsia" w:cs="Arial"/>
                <w:sz w:val="20"/>
                <w:szCs w:val="20"/>
                <w:lang w:eastAsia="hr-HR"/>
              </w:rPr>
              <w:t>P13</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pacing w:val="-1"/>
                <w:sz w:val="20"/>
                <w:szCs w:val="20"/>
                <w:lang w:eastAsia="hr-HR"/>
              </w:rPr>
              <w:t>M5</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2" w:after="0" w:line="200" w:lineRule="exact"/>
              <w:jc w:val="center"/>
              <w:rPr>
                <w:rFonts w:eastAsiaTheme="minorEastAsia" w:cs="Arial"/>
                <w:sz w:val="20"/>
                <w:szCs w:val="20"/>
                <w:lang w:eastAsia="hr-HR"/>
              </w:rPr>
            </w:pPr>
          </w:p>
          <w:p w:rsidR="007D720D" w:rsidRPr="00361664" w:rsidRDefault="007D720D" w:rsidP="007D720D">
            <w:pPr>
              <w:widowControl w:val="0"/>
              <w:kinsoku w:val="0"/>
              <w:overflowPunct w:val="0"/>
              <w:autoSpaceDE w:val="0"/>
              <w:autoSpaceDN w:val="0"/>
              <w:adjustRightInd w:val="0"/>
              <w:spacing w:after="0" w:line="240" w:lineRule="auto"/>
              <w:ind w:left="1743" w:right="1738"/>
              <w:jc w:val="center"/>
              <w:rPr>
                <w:rFonts w:eastAsiaTheme="minorEastAsia" w:cs="Arial"/>
                <w:sz w:val="20"/>
                <w:szCs w:val="20"/>
                <w:lang w:eastAsia="hr-HR"/>
              </w:rPr>
            </w:pPr>
            <w:r w:rsidRPr="00361664">
              <w:rPr>
                <w:rFonts w:eastAsiaTheme="minorEastAsia" w:cs="Arial"/>
                <w:sz w:val="20"/>
                <w:szCs w:val="20"/>
                <w:lang w:eastAsia="hr-HR"/>
              </w:rPr>
              <w:t>-</w:t>
            </w: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r w:rsidRPr="00361664">
              <w:rPr>
                <w:rFonts w:eastAsiaTheme="minorEastAsia" w:cs="Arial"/>
                <w:spacing w:val="-1"/>
                <w:sz w:val="20"/>
                <w:szCs w:val="20"/>
                <w:lang w:eastAsia="hr-HR"/>
              </w:rPr>
              <w:t>M6</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pacing w:val="-1"/>
                <w:sz w:val="20"/>
                <w:szCs w:val="20"/>
                <w:lang w:eastAsia="hr-HR"/>
              </w:rPr>
              <w:t>M7</w:t>
            </w: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vMerge/>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before="6" w:after="0" w:line="240" w:lineRule="auto"/>
              <w:ind w:left="663"/>
              <w:jc w:val="center"/>
              <w:rPr>
                <w:rFonts w:eastAsiaTheme="minorEastAsia" w:cs="Arial"/>
                <w:sz w:val="20"/>
                <w:szCs w:val="20"/>
                <w:lang w:eastAsia="hr-HR"/>
              </w:rPr>
            </w:pPr>
          </w:p>
        </w:tc>
      </w:tr>
      <w:tr w:rsidR="007D720D" w:rsidRPr="00361664" w:rsidTr="007D720D">
        <w:trPr>
          <w:trHeight w:hRule="exact" w:val="207"/>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3" w:lineRule="exact"/>
              <w:ind w:left="102"/>
              <w:jc w:val="center"/>
              <w:rPr>
                <w:rFonts w:eastAsiaTheme="minorEastAsia" w:cs="Arial"/>
                <w:sz w:val="20"/>
                <w:szCs w:val="20"/>
                <w:lang w:eastAsia="hr-HR"/>
              </w:rPr>
            </w:pPr>
            <w:r w:rsidRPr="00361664">
              <w:rPr>
                <w:rFonts w:eastAsiaTheme="minorEastAsia" w:cs="Arial"/>
                <w:sz w:val="20"/>
                <w:szCs w:val="20"/>
                <w:lang w:eastAsia="hr-HR"/>
              </w:rPr>
              <w:t>P14</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240" w:lineRule="auto"/>
              <w:jc w:val="center"/>
              <w:rPr>
                <w:rFonts w:eastAsiaTheme="minorEastAsia" w:cs="Arial"/>
                <w:sz w:val="20"/>
                <w:szCs w:val="20"/>
                <w:lang w:eastAsia="hr-HR"/>
              </w:rPr>
            </w:pPr>
            <w:r w:rsidRPr="00361664">
              <w:rPr>
                <w:rFonts w:eastAsiaTheme="minorEastAsia" w:cs="Arial"/>
                <w:sz w:val="20"/>
                <w:szCs w:val="20"/>
                <w:lang w:eastAsia="hr-HR"/>
              </w:rPr>
              <w:t>In</w:t>
            </w:r>
            <w:r w:rsidRPr="00361664">
              <w:rPr>
                <w:rFonts w:eastAsiaTheme="minorEastAsia" w:cs="Arial"/>
                <w:spacing w:val="-1"/>
                <w:sz w:val="20"/>
                <w:szCs w:val="20"/>
                <w:lang w:eastAsia="hr-HR"/>
              </w:rPr>
              <w:t>d</w:t>
            </w:r>
            <w:r w:rsidRPr="00361664">
              <w:rPr>
                <w:rFonts w:eastAsiaTheme="minorEastAsia" w:cs="Arial"/>
                <w:sz w:val="20"/>
                <w:szCs w:val="20"/>
                <w:lang w:eastAsia="hr-HR"/>
              </w:rPr>
              <w:t>u</w:t>
            </w:r>
            <w:r w:rsidRPr="00361664">
              <w:rPr>
                <w:rFonts w:eastAsiaTheme="minorEastAsia" w:cs="Arial"/>
                <w:spacing w:val="-2"/>
                <w:sz w:val="20"/>
                <w:szCs w:val="20"/>
                <w:lang w:eastAsia="hr-HR"/>
              </w:rPr>
              <w:t>st</w:t>
            </w:r>
            <w:r w:rsidRPr="00361664">
              <w:rPr>
                <w:rFonts w:eastAsiaTheme="minorEastAsia" w:cs="Arial"/>
                <w:spacing w:val="-1"/>
                <w:sz w:val="20"/>
                <w:szCs w:val="20"/>
                <w:lang w:eastAsia="hr-HR"/>
              </w:rPr>
              <w:t>ri</w:t>
            </w:r>
            <w:r w:rsidRPr="00361664">
              <w:rPr>
                <w:rFonts w:eastAsiaTheme="minorEastAsia" w:cs="Arial"/>
                <w:sz w:val="20"/>
                <w:szCs w:val="20"/>
                <w:lang w:eastAsia="hr-HR"/>
              </w:rPr>
              <w:t>ja</w:t>
            </w: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3" w:lineRule="exact"/>
              <w:ind w:left="6"/>
              <w:jc w:val="center"/>
              <w:rPr>
                <w:rFonts w:eastAsiaTheme="minorEastAsia" w:cs="Arial"/>
                <w:sz w:val="20"/>
                <w:szCs w:val="20"/>
                <w:lang w:eastAsia="hr-HR"/>
              </w:rPr>
            </w:pPr>
            <w:r w:rsidRPr="00361664">
              <w:rPr>
                <w:rFonts w:eastAsiaTheme="minorEastAsia" w:cs="Arial"/>
                <w:sz w:val="20"/>
                <w:szCs w:val="20"/>
                <w:lang w:eastAsia="hr-HR"/>
              </w:rPr>
              <w:t>P14</w:t>
            </w:r>
          </w:p>
        </w:tc>
      </w:tr>
      <w:tr w:rsidR="007D720D" w:rsidRPr="00361664" w:rsidTr="007D720D">
        <w:trPr>
          <w:trHeight w:hRule="exact" w:val="205"/>
        </w:trPr>
        <w:tc>
          <w:tcPr>
            <w:tcW w:w="1678"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r w:rsidRPr="00361664">
              <w:rPr>
                <w:rFonts w:eastAsiaTheme="minorEastAsia" w:cs="Arial"/>
                <w:spacing w:val="-1"/>
                <w:sz w:val="20"/>
                <w:szCs w:val="20"/>
                <w:lang w:eastAsia="hr-HR"/>
              </w:rPr>
              <w:t>M8</w:t>
            </w:r>
          </w:p>
        </w:tc>
        <w:tc>
          <w:tcPr>
            <w:tcW w:w="1367" w:type="dxa"/>
            <w:vMerge/>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widowControl w:val="0"/>
              <w:kinsoku w:val="0"/>
              <w:overflowPunct w:val="0"/>
              <w:autoSpaceDE w:val="0"/>
              <w:autoSpaceDN w:val="0"/>
              <w:adjustRightInd w:val="0"/>
              <w:spacing w:after="0" w:line="192" w:lineRule="exact"/>
              <w:ind w:left="102"/>
              <w:jc w:val="center"/>
              <w:rPr>
                <w:rFonts w:eastAsiaTheme="minorEastAsia" w:cs="Arial"/>
                <w:sz w:val="20"/>
                <w:szCs w:val="20"/>
                <w:lang w:eastAsia="hr-HR"/>
              </w:rPr>
            </w:pPr>
          </w:p>
        </w:tc>
        <w:tc>
          <w:tcPr>
            <w:tcW w:w="2300" w:type="dxa"/>
            <w:tcBorders>
              <w:top w:val="single" w:sz="4" w:space="0" w:color="000000"/>
              <w:left w:val="single" w:sz="4" w:space="0" w:color="000000"/>
              <w:bottom w:val="single" w:sz="4" w:space="0" w:color="000000"/>
              <w:right w:val="single" w:sz="4" w:space="0" w:color="000000"/>
            </w:tcBorders>
          </w:tcPr>
          <w:p w:rsidR="007D720D" w:rsidRPr="00361664" w:rsidRDefault="007D720D" w:rsidP="007D720D">
            <w:pPr>
              <w:jc w:val="center"/>
              <w:rPr>
                <w:sz w:val="20"/>
                <w:szCs w:val="20"/>
              </w:rPr>
            </w:pPr>
            <w:r w:rsidRPr="00361664">
              <w:rPr>
                <w:rFonts w:cs="Arial"/>
                <w:sz w:val="20"/>
                <w:szCs w:val="20"/>
              </w:rPr>
              <w:t>+</w:t>
            </w:r>
          </w:p>
        </w:tc>
        <w:tc>
          <w:tcPr>
            <w:tcW w:w="3353" w:type="dxa"/>
            <w:tcBorders>
              <w:top w:val="single" w:sz="4" w:space="0" w:color="000000"/>
              <w:left w:val="single" w:sz="4" w:space="0" w:color="000000"/>
              <w:bottom w:val="single" w:sz="4" w:space="0" w:color="000000"/>
              <w:right w:val="single" w:sz="4" w:space="0" w:color="000000"/>
            </w:tcBorders>
            <w:vAlign w:val="center"/>
          </w:tcPr>
          <w:p w:rsidR="007D720D" w:rsidRPr="00361664" w:rsidRDefault="007D720D" w:rsidP="007D720D">
            <w:pPr>
              <w:widowControl w:val="0"/>
              <w:kinsoku w:val="0"/>
              <w:overflowPunct w:val="0"/>
              <w:autoSpaceDE w:val="0"/>
              <w:autoSpaceDN w:val="0"/>
              <w:adjustRightInd w:val="0"/>
              <w:spacing w:after="0" w:line="192" w:lineRule="exact"/>
              <w:ind w:left="1743" w:right="1738"/>
              <w:jc w:val="center"/>
              <w:rPr>
                <w:rFonts w:eastAsiaTheme="minorEastAsia" w:cs="Arial"/>
                <w:sz w:val="20"/>
                <w:szCs w:val="20"/>
                <w:lang w:eastAsia="hr-HR"/>
              </w:rPr>
            </w:pPr>
            <w:r w:rsidRPr="00361664">
              <w:rPr>
                <w:rFonts w:eastAsiaTheme="minorEastAsia" w:cs="Arial"/>
                <w:sz w:val="20"/>
                <w:szCs w:val="20"/>
                <w:lang w:eastAsia="hr-HR"/>
              </w:rPr>
              <w:t>-</w:t>
            </w:r>
          </w:p>
        </w:tc>
      </w:tr>
    </w:tbl>
    <w:p w:rsidR="007D720D" w:rsidRPr="00361664" w:rsidRDefault="007D720D" w:rsidP="007D720D">
      <w:pPr>
        <w:widowControl w:val="0"/>
        <w:autoSpaceDE w:val="0"/>
        <w:autoSpaceDN w:val="0"/>
        <w:adjustRightInd w:val="0"/>
        <w:spacing w:after="0" w:line="160" w:lineRule="exact"/>
        <w:jc w:val="both"/>
        <w:rPr>
          <w:rFonts w:asciiTheme="minorHAnsi" w:hAnsiTheme="minorHAnsi" w:cs="Arial"/>
          <w:sz w:val="20"/>
          <w:szCs w:val="20"/>
        </w:rPr>
      </w:pPr>
    </w:p>
    <w:p w:rsidR="007D720D" w:rsidRPr="00361664" w:rsidRDefault="007D720D" w:rsidP="007D720D"/>
    <w:p w:rsidR="007D720D" w:rsidRPr="00361664" w:rsidRDefault="007D720D" w:rsidP="007D720D">
      <w:pPr>
        <w:rPr>
          <w:b/>
          <w:i/>
        </w:rPr>
      </w:pPr>
      <w:r w:rsidRPr="00361664">
        <w:rPr>
          <w:b/>
          <w:i/>
        </w:rPr>
        <w:t>Izračun metodom odozdo-prema-gore</w:t>
      </w:r>
    </w:p>
    <w:p w:rsidR="007D720D" w:rsidRPr="00361664" w:rsidRDefault="007D720D" w:rsidP="007D720D">
      <w:pPr>
        <w:jc w:val="both"/>
        <w:rPr>
          <w:rFonts w:asciiTheme="minorHAnsi" w:hAnsiTheme="minorHAnsi" w:cs="Arial"/>
          <w:sz w:val="20"/>
          <w:szCs w:val="20"/>
        </w:rPr>
      </w:pPr>
      <w:r w:rsidRPr="00361664">
        <w:rPr>
          <w:rFonts w:asciiTheme="minorHAnsi" w:hAnsiTheme="minorHAnsi" w:cs="Arial"/>
          <w:sz w:val="20"/>
          <w:szCs w:val="20"/>
        </w:rPr>
        <w:t>U Tablici 2-7. prikazane su ostvarene uštede procijenjene odozdo prema gore (</w:t>
      </w:r>
      <w:r w:rsidR="00B51B6C" w:rsidRPr="00361664">
        <w:rPr>
          <w:rFonts w:asciiTheme="minorHAnsi" w:hAnsiTheme="minorHAnsi" w:cs="Arial"/>
          <w:sz w:val="20"/>
          <w:szCs w:val="20"/>
        </w:rPr>
        <w:t>engl.</w:t>
      </w:r>
      <w:r w:rsidRPr="00361664">
        <w:rPr>
          <w:rFonts w:asciiTheme="minorHAnsi" w:hAnsiTheme="minorHAnsi" w:cs="Arial"/>
          <w:sz w:val="20"/>
          <w:szCs w:val="20"/>
        </w:rPr>
        <w:t xml:space="preserve">bottom-up; BU). BU metodom procjene su određene izravno iz provedenih mjera. Iako izračun ovim pristupom ne obuhvaća sve uštede zbog nedostatka detaljnih informacija o provedenim aktivnostima i mjerama, ovakav izračun ukazuje na uštede ostvarene upravo poticajnom politikom energetske učinkovitosti. Ukupno ostvarene uštede i sektorska raspodjela u 2010. i 2015. godini vidljivi su u Tablici 2-7. Također, prikazan je stupanj ostvarenja cilja za 2016. godinu mjeren BU metodom. Pregled ušteda po mjerama i po izvoru financiranja vidljiv je u Tablicama 2-8. i 2-9. </w:t>
      </w:r>
    </w:p>
    <w:p w:rsidR="007D720D" w:rsidRPr="00361664" w:rsidRDefault="007D720D" w:rsidP="007D720D">
      <w:pPr>
        <w:keepNext/>
        <w:spacing w:after="0"/>
        <w:jc w:val="both"/>
        <w:rPr>
          <w:rFonts w:asciiTheme="minorHAnsi" w:hAnsiTheme="minorHAnsi" w:cs="Arial"/>
          <w:sz w:val="20"/>
          <w:szCs w:val="20"/>
        </w:rPr>
      </w:pPr>
      <w:r w:rsidRPr="00361664">
        <w:rPr>
          <w:rFonts w:asciiTheme="minorHAnsi" w:hAnsiTheme="minorHAnsi" w:cs="Arial"/>
          <w:b/>
          <w:sz w:val="20"/>
          <w:szCs w:val="20"/>
        </w:rPr>
        <w:lastRenderedPageBreak/>
        <w:t>Tablica 2-7.</w:t>
      </w:r>
      <w:r w:rsidRPr="00361664">
        <w:rPr>
          <w:rFonts w:asciiTheme="minorHAnsi" w:hAnsiTheme="minorHAnsi" w:cs="Arial"/>
          <w:sz w:val="20"/>
          <w:szCs w:val="20"/>
        </w:rPr>
        <w:t xml:space="preserve"> Pregled napretka u ostvarenju cilja, procijenjeno BU metodom u skladu s ESD</w:t>
      </w:r>
    </w:p>
    <w:tbl>
      <w:tblPr>
        <w:tblW w:w="9116" w:type="dxa"/>
        <w:jc w:val="center"/>
        <w:tblLook w:val="04A0" w:firstRow="1" w:lastRow="0" w:firstColumn="1" w:lastColumn="0" w:noHBand="0" w:noVBand="1"/>
      </w:tblPr>
      <w:tblGrid>
        <w:gridCol w:w="2193"/>
        <w:gridCol w:w="1245"/>
        <w:gridCol w:w="1082"/>
        <w:gridCol w:w="1245"/>
        <w:gridCol w:w="1082"/>
        <w:gridCol w:w="1134"/>
        <w:gridCol w:w="1135"/>
      </w:tblGrid>
      <w:tr w:rsidR="007D720D" w:rsidRPr="00361664" w:rsidTr="007D720D">
        <w:trPr>
          <w:trHeight w:val="261"/>
          <w:jc w:val="center"/>
        </w:trPr>
        <w:tc>
          <w:tcPr>
            <w:tcW w:w="2193"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Sektorska raspodjela ciljeva</w:t>
            </w:r>
          </w:p>
        </w:tc>
        <w:tc>
          <w:tcPr>
            <w:tcW w:w="2327" w:type="dxa"/>
            <w:gridSpan w:val="2"/>
            <w:tcBorders>
              <w:top w:val="single" w:sz="4" w:space="0" w:color="auto"/>
              <w:left w:val="nil"/>
              <w:bottom w:val="single" w:sz="4" w:space="0" w:color="auto"/>
              <w:right w:val="single" w:sz="4" w:space="0" w:color="auto"/>
            </w:tcBorders>
            <w:shd w:val="clear" w:color="auto" w:fill="CCFFCC"/>
            <w:noWrap/>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2010.</w:t>
            </w:r>
          </w:p>
        </w:tc>
        <w:tc>
          <w:tcPr>
            <w:tcW w:w="2327" w:type="dxa"/>
            <w:gridSpan w:val="2"/>
            <w:tcBorders>
              <w:top w:val="single" w:sz="4" w:space="0" w:color="auto"/>
              <w:left w:val="nil"/>
              <w:bottom w:val="single" w:sz="4" w:space="0" w:color="auto"/>
              <w:right w:val="single" w:sz="12" w:space="0" w:color="auto"/>
            </w:tcBorders>
            <w:shd w:val="clear" w:color="auto" w:fill="CCFFCC"/>
            <w:noWrap/>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2015.</w:t>
            </w:r>
          </w:p>
        </w:tc>
        <w:tc>
          <w:tcPr>
            <w:tcW w:w="2269" w:type="dxa"/>
            <w:gridSpan w:val="2"/>
            <w:tcBorders>
              <w:top w:val="single" w:sz="4" w:space="0" w:color="auto"/>
              <w:left w:val="single" w:sz="12" w:space="0" w:color="auto"/>
              <w:bottom w:val="single" w:sz="4" w:space="0" w:color="auto"/>
              <w:right w:val="single" w:sz="4" w:space="0" w:color="auto"/>
            </w:tcBorders>
            <w:shd w:val="clear" w:color="auto" w:fill="CCFFCC"/>
            <w:noWrap/>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2016.</w:t>
            </w:r>
          </w:p>
        </w:tc>
      </w:tr>
      <w:tr w:rsidR="007D720D" w:rsidRPr="00361664" w:rsidTr="007D720D">
        <w:trPr>
          <w:trHeight w:val="784"/>
          <w:jc w:val="center"/>
        </w:trPr>
        <w:tc>
          <w:tcPr>
            <w:tcW w:w="219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p>
        </w:tc>
        <w:tc>
          <w:tcPr>
            <w:tcW w:w="1245"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Ostvarene uštede (PJ)</w:t>
            </w:r>
          </w:p>
        </w:tc>
        <w:tc>
          <w:tcPr>
            <w:tcW w:w="1082"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Udio (%)</w:t>
            </w:r>
          </w:p>
        </w:tc>
        <w:tc>
          <w:tcPr>
            <w:tcW w:w="1245"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Ostvarene uštede (PJ)</w:t>
            </w:r>
          </w:p>
        </w:tc>
        <w:tc>
          <w:tcPr>
            <w:tcW w:w="1082" w:type="dxa"/>
            <w:tcBorders>
              <w:top w:val="nil"/>
              <w:left w:val="nil"/>
              <w:bottom w:val="single" w:sz="4" w:space="0" w:color="auto"/>
              <w:right w:val="single" w:sz="12"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Udio (%)</w:t>
            </w:r>
          </w:p>
        </w:tc>
        <w:tc>
          <w:tcPr>
            <w:tcW w:w="1134" w:type="dxa"/>
            <w:tcBorders>
              <w:top w:val="nil"/>
              <w:left w:val="single" w:sz="12" w:space="0" w:color="auto"/>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Sektorski ciljevi (PJ)</w:t>
            </w:r>
          </w:p>
        </w:tc>
        <w:tc>
          <w:tcPr>
            <w:tcW w:w="1135"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Udio u ukupnom cilju (%)</w:t>
            </w:r>
          </w:p>
        </w:tc>
      </w:tr>
      <w:tr w:rsidR="005A5031" w:rsidRPr="00361664" w:rsidTr="007D720D">
        <w:trPr>
          <w:trHeight w:val="261"/>
          <w:jc w:val="center"/>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Kućanstava</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1,53</w:t>
            </w:r>
          </w:p>
        </w:tc>
        <w:tc>
          <w:tcPr>
            <w:tcW w:w="1082"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43%</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2,25757</w:t>
            </w:r>
          </w:p>
        </w:tc>
        <w:tc>
          <w:tcPr>
            <w:tcW w:w="1082" w:type="dxa"/>
            <w:tcBorders>
              <w:top w:val="nil"/>
              <w:left w:val="nil"/>
              <w:bottom w:val="single" w:sz="4" w:space="0" w:color="auto"/>
              <w:right w:val="single" w:sz="12"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41%</w:t>
            </w:r>
          </w:p>
        </w:tc>
        <w:tc>
          <w:tcPr>
            <w:tcW w:w="1134" w:type="dxa"/>
            <w:tcBorders>
              <w:top w:val="nil"/>
              <w:left w:val="single" w:sz="12"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6,70</w:t>
            </w:r>
          </w:p>
        </w:tc>
        <w:tc>
          <w:tcPr>
            <w:tcW w:w="113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34%</w:t>
            </w:r>
          </w:p>
        </w:tc>
      </w:tr>
      <w:tr w:rsidR="005A5031" w:rsidRPr="00361664" w:rsidTr="007D720D">
        <w:trPr>
          <w:trHeight w:val="261"/>
          <w:jc w:val="center"/>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Usluge</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1,32</w:t>
            </w:r>
          </w:p>
        </w:tc>
        <w:tc>
          <w:tcPr>
            <w:tcW w:w="1082"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37%</w:t>
            </w:r>
          </w:p>
        </w:tc>
        <w:tc>
          <w:tcPr>
            <w:tcW w:w="1245" w:type="dxa"/>
            <w:tcBorders>
              <w:top w:val="nil"/>
              <w:left w:val="nil"/>
              <w:bottom w:val="single" w:sz="4" w:space="0" w:color="auto"/>
              <w:right w:val="single" w:sz="4" w:space="0" w:color="auto"/>
            </w:tcBorders>
            <w:shd w:val="clear" w:color="auto" w:fill="auto"/>
            <w:vAlign w:val="center"/>
          </w:tcPr>
          <w:p w:rsidR="00F53F98" w:rsidRPr="00361664" w:rsidRDefault="00D55C71" w:rsidP="00F53F98">
            <w:pPr>
              <w:keepNext/>
              <w:spacing w:after="0" w:line="240" w:lineRule="auto"/>
              <w:jc w:val="center"/>
              <w:rPr>
                <w:rFonts w:cs="Calibri"/>
                <w:color w:val="000000"/>
                <w:sz w:val="20"/>
                <w:szCs w:val="20"/>
              </w:rPr>
            </w:pPr>
            <w:r w:rsidRPr="00361664">
              <w:rPr>
                <w:rFonts w:cs="Calibri"/>
                <w:color w:val="000000"/>
                <w:sz w:val="20"/>
                <w:szCs w:val="20"/>
              </w:rPr>
              <w:t>2,43853</w:t>
            </w:r>
          </w:p>
        </w:tc>
        <w:tc>
          <w:tcPr>
            <w:tcW w:w="1082" w:type="dxa"/>
            <w:tcBorders>
              <w:top w:val="nil"/>
              <w:left w:val="nil"/>
              <w:bottom w:val="single" w:sz="4" w:space="0" w:color="auto"/>
              <w:right w:val="single" w:sz="12"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45%</w:t>
            </w:r>
          </w:p>
        </w:tc>
        <w:tc>
          <w:tcPr>
            <w:tcW w:w="1134" w:type="dxa"/>
            <w:tcBorders>
              <w:top w:val="nil"/>
              <w:left w:val="single" w:sz="12"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3,64</w:t>
            </w:r>
          </w:p>
        </w:tc>
        <w:tc>
          <w:tcPr>
            <w:tcW w:w="113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18%</w:t>
            </w:r>
          </w:p>
        </w:tc>
      </w:tr>
      <w:tr w:rsidR="005A5031" w:rsidRPr="00361664" w:rsidTr="007D720D">
        <w:trPr>
          <w:trHeight w:val="261"/>
          <w:jc w:val="center"/>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Industrija (ne ETS)</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0,6</w:t>
            </w:r>
          </w:p>
        </w:tc>
        <w:tc>
          <w:tcPr>
            <w:tcW w:w="1082"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17%</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0,60620</w:t>
            </w:r>
          </w:p>
        </w:tc>
        <w:tc>
          <w:tcPr>
            <w:tcW w:w="1082" w:type="dxa"/>
            <w:tcBorders>
              <w:top w:val="nil"/>
              <w:left w:val="nil"/>
              <w:bottom w:val="single" w:sz="4" w:space="0" w:color="auto"/>
              <w:right w:val="single" w:sz="12"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11%</w:t>
            </w:r>
          </w:p>
        </w:tc>
        <w:tc>
          <w:tcPr>
            <w:tcW w:w="1134" w:type="dxa"/>
            <w:tcBorders>
              <w:top w:val="nil"/>
              <w:left w:val="single" w:sz="12"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3,40</w:t>
            </w:r>
          </w:p>
        </w:tc>
        <w:tc>
          <w:tcPr>
            <w:tcW w:w="113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17%</w:t>
            </w:r>
          </w:p>
        </w:tc>
      </w:tr>
      <w:tr w:rsidR="005A5031" w:rsidRPr="00361664" w:rsidTr="007D720D">
        <w:trPr>
          <w:trHeight w:val="261"/>
          <w:jc w:val="center"/>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Promet</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0,08</w:t>
            </w:r>
          </w:p>
        </w:tc>
        <w:tc>
          <w:tcPr>
            <w:tcW w:w="1082"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2%</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0,14535</w:t>
            </w:r>
          </w:p>
        </w:tc>
        <w:tc>
          <w:tcPr>
            <w:tcW w:w="1082" w:type="dxa"/>
            <w:tcBorders>
              <w:top w:val="nil"/>
              <w:left w:val="nil"/>
              <w:bottom w:val="single" w:sz="4" w:space="0" w:color="auto"/>
              <w:right w:val="single" w:sz="12"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3%</w:t>
            </w:r>
          </w:p>
        </w:tc>
        <w:tc>
          <w:tcPr>
            <w:tcW w:w="1134" w:type="dxa"/>
            <w:tcBorders>
              <w:top w:val="nil"/>
              <w:left w:val="single" w:sz="12"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6,03</w:t>
            </w:r>
          </w:p>
        </w:tc>
        <w:tc>
          <w:tcPr>
            <w:tcW w:w="113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31%</w:t>
            </w:r>
          </w:p>
        </w:tc>
      </w:tr>
      <w:tr w:rsidR="005A5031" w:rsidRPr="00361664" w:rsidTr="007D720D">
        <w:trPr>
          <w:trHeight w:val="261"/>
          <w:jc w:val="center"/>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UKUPNO</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3,53</w:t>
            </w:r>
          </w:p>
        </w:tc>
        <w:tc>
          <w:tcPr>
            <w:tcW w:w="1082"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100%</w:t>
            </w:r>
          </w:p>
        </w:tc>
        <w:tc>
          <w:tcPr>
            <w:tcW w:w="1245" w:type="dxa"/>
            <w:tcBorders>
              <w:top w:val="nil"/>
              <w:left w:val="nil"/>
              <w:bottom w:val="single" w:sz="4" w:space="0" w:color="auto"/>
              <w:right w:val="single" w:sz="4" w:space="0" w:color="auto"/>
            </w:tcBorders>
            <w:shd w:val="clear" w:color="auto" w:fill="auto"/>
            <w:vAlign w:val="center"/>
          </w:tcPr>
          <w:p w:rsidR="005A5031" w:rsidRPr="00361664" w:rsidRDefault="005A5031" w:rsidP="00F53F98">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5,447</w:t>
            </w:r>
            <w:r w:rsidR="00F53F98" w:rsidRPr="00361664">
              <w:rPr>
                <w:rFonts w:cs="Calibri"/>
                <w:color w:val="000000"/>
                <w:sz w:val="20"/>
                <w:szCs w:val="20"/>
              </w:rPr>
              <w:t>65</w:t>
            </w:r>
          </w:p>
        </w:tc>
        <w:tc>
          <w:tcPr>
            <w:tcW w:w="1082" w:type="dxa"/>
            <w:tcBorders>
              <w:top w:val="nil"/>
              <w:left w:val="nil"/>
              <w:bottom w:val="single" w:sz="4" w:space="0" w:color="auto"/>
              <w:right w:val="single" w:sz="12"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cs="Calibri"/>
                <w:color w:val="000000"/>
                <w:sz w:val="20"/>
                <w:szCs w:val="20"/>
              </w:rPr>
              <w:t>100%</w:t>
            </w:r>
          </w:p>
        </w:tc>
        <w:tc>
          <w:tcPr>
            <w:tcW w:w="1134" w:type="dxa"/>
            <w:tcBorders>
              <w:top w:val="nil"/>
              <w:left w:val="single" w:sz="12"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19,77</w:t>
            </w:r>
          </w:p>
        </w:tc>
        <w:tc>
          <w:tcPr>
            <w:tcW w:w="1135"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100%</w:t>
            </w:r>
          </w:p>
        </w:tc>
      </w:tr>
      <w:tr w:rsidR="005A5031" w:rsidRPr="00361664" w:rsidTr="007D720D">
        <w:trPr>
          <w:trHeight w:val="523"/>
          <w:jc w:val="center"/>
        </w:trPr>
        <w:tc>
          <w:tcPr>
            <w:tcW w:w="2193"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 xml:space="preserve">Prikaz stupanja ostvarenja cilja za 2016. godinu (%) </w:t>
            </w:r>
          </w:p>
        </w:tc>
        <w:tc>
          <w:tcPr>
            <w:tcW w:w="2327" w:type="dxa"/>
            <w:gridSpan w:val="2"/>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18%</w:t>
            </w:r>
          </w:p>
        </w:tc>
        <w:tc>
          <w:tcPr>
            <w:tcW w:w="2327" w:type="dxa"/>
            <w:gridSpan w:val="2"/>
            <w:tcBorders>
              <w:top w:val="nil"/>
              <w:left w:val="nil"/>
              <w:bottom w:val="single" w:sz="4" w:space="0" w:color="auto"/>
              <w:right w:val="single" w:sz="12"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28%</w:t>
            </w:r>
          </w:p>
        </w:tc>
        <w:tc>
          <w:tcPr>
            <w:tcW w:w="2269" w:type="dxa"/>
            <w:gridSpan w:val="2"/>
            <w:tcBorders>
              <w:top w:val="nil"/>
              <w:left w:val="single" w:sz="12"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100%</w:t>
            </w:r>
          </w:p>
        </w:tc>
      </w:tr>
    </w:tbl>
    <w:p w:rsidR="007D720D" w:rsidRPr="00361664" w:rsidRDefault="007D720D" w:rsidP="007D720D">
      <w:pPr>
        <w:jc w:val="both"/>
        <w:rPr>
          <w:rFonts w:asciiTheme="minorHAnsi" w:hAnsiTheme="minorHAnsi" w:cs="Arial"/>
          <w:sz w:val="20"/>
          <w:szCs w:val="20"/>
        </w:rPr>
      </w:pPr>
    </w:p>
    <w:p w:rsidR="005A5031" w:rsidRPr="00361664" w:rsidRDefault="005A5031" w:rsidP="005A5031">
      <w:pPr>
        <w:jc w:val="both"/>
        <w:rPr>
          <w:rFonts w:asciiTheme="minorHAnsi" w:hAnsiTheme="minorHAnsi" w:cs="Arial"/>
          <w:sz w:val="20"/>
          <w:szCs w:val="20"/>
        </w:rPr>
      </w:pPr>
      <w:r w:rsidRPr="00361664">
        <w:rPr>
          <w:rFonts w:asciiTheme="minorHAnsi" w:hAnsiTheme="minorHAnsi" w:cs="Arial"/>
          <w:sz w:val="20"/>
          <w:szCs w:val="20"/>
        </w:rPr>
        <w:t>Procjena BU metodom pokazuje da je ostvarenje ciljanih ušteda u 2010. godini 18% u odnosu na cilj za 2016. godinu, dok je u 2015. godini procjena na razini 28% cilja. Tablica 2-7. služi kao usporedba prikaza ostvarenja cilja BU metodom koja ne obuhvaća sve provedene mjere poput TD metode ali prikazuje da se i pojedinačnim prikupljanjem podataka o svakom projektu navedeni cilj ispunjava približno 30%.</w:t>
      </w:r>
    </w:p>
    <w:p w:rsidR="007D720D" w:rsidRPr="00361664" w:rsidRDefault="005A5031" w:rsidP="005A5031">
      <w:pPr>
        <w:jc w:val="both"/>
        <w:rPr>
          <w:rFonts w:asciiTheme="minorHAnsi" w:hAnsiTheme="minorHAnsi" w:cs="Arial"/>
          <w:sz w:val="20"/>
          <w:szCs w:val="20"/>
        </w:rPr>
      </w:pPr>
      <w:r w:rsidRPr="00361664">
        <w:rPr>
          <w:rFonts w:asciiTheme="minorHAnsi" w:hAnsiTheme="minorHAnsi" w:cs="Arial"/>
          <w:sz w:val="20"/>
          <w:szCs w:val="20"/>
        </w:rPr>
        <w:t>Tablica 2-8. prikazuje pregled ostvarenih ušteda svih mjera iz 3. NAPEnU koje su praćene i verificirane kroz Sustav za praćenje, mjerenje i verifikaciju ušteda energije. Potrebno je napomenuti kako se ovdje nalaze samo verificirane mjere koje su bile subvencionirane od strane Republike Hrvatske</w:t>
      </w:r>
      <w:r w:rsidR="00843996" w:rsidRPr="00361664">
        <w:rPr>
          <w:rFonts w:asciiTheme="minorHAnsi" w:hAnsiTheme="minorHAnsi" w:cs="Arial"/>
          <w:sz w:val="20"/>
          <w:szCs w:val="20"/>
        </w:rPr>
        <w:t>.</w:t>
      </w:r>
      <w:r w:rsidRPr="00361664">
        <w:rPr>
          <w:rFonts w:asciiTheme="minorHAnsi" w:hAnsiTheme="minorHAnsi" w:cs="Arial"/>
          <w:sz w:val="20"/>
          <w:szCs w:val="20"/>
        </w:rPr>
        <w:t xml:space="preserve"> </w:t>
      </w:r>
      <w:r w:rsidR="00843996" w:rsidRPr="00361664">
        <w:rPr>
          <w:rFonts w:asciiTheme="minorHAnsi" w:hAnsiTheme="minorHAnsi" w:cs="Arial"/>
          <w:sz w:val="20"/>
          <w:szCs w:val="20"/>
        </w:rPr>
        <w:t>Z</w:t>
      </w:r>
      <w:r w:rsidRPr="00361664">
        <w:rPr>
          <w:rFonts w:asciiTheme="minorHAnsi" w:hAnsiTheme="minorHAnsi" w:cs="Arial"/>
          <w:sz w:val="20"/>
          <w:szCs w:val="20"/>
        </w:rPr>
        <w:t>a ostale mjere koje su upisane u Sustav za praćenje, mjerenje</w:t>
      </w:r>
      <w:r w:rsidR="00843996" w:rsidRPr="00361664">
        <w:rPr>
          <w:rFonts w:asciiTheme="minorHAnsi" w:hAnsiTheme="minorHAnsi" w:cs="Arial"/>
          <w:sz w:val="20"/>
          <w:szCs w:val="20"/>
        </w:rPr>
        <w:t xml:space="preserve"> i verifikaciju ušteda energije, </w:t>
      </w:r>
      <w:r w:rsidR="00726C67" w:rsidRPr="00361664">
        <w:rPr>
          <w:rFonts w:asciiTheme="minorHAnsi" w:hAnsiTheme="minorHAnsi" w:cs="Arial"/>
          <w:sz w:val="20"/>
          <w:szCs w:val="20"/>
        </w:rPr>
        <w:t xml:space="preserve">kao i </w:t>
      </w:r>
      <w:r w:rsidRPr="00361664">
        <w:rPr>
          <w:rFonts w:asciiTheme="minorHAnsi" w:hAnsiTheme="minorHAnsi" w:cs="Arial"/>
          <w:sz w:val="20"/>
          <w:szCs w:val="20"/>
        </w:rPr>
        <w:t xml:space="preserve">podatak </w:t>
      </w:r>
      <w:r w:rsidR="00843996" w:rsidRPr="00361664">
        <w:rPr>
          <w:rFonts w:asciiTheme="minorHAnsi" w:hAnsiTheme="minorHAnsi" w:cs="Arial"/>
          <w:sz w:val="20"/>
          <w:szCs w:val="20"/>
        </w:rPr>
        <w:t>za 2017. godin</w:t>
      </w:r>
      <w:r w:rsidR="00726C67" w:rsidRPr="00361664">
        <w:rPr>
          <w:rFonts w:asciiTheme="minorHAnsi" w:hAnsiTheme="minorHAnsi" w:cs="Arial"/>
          <w:sz w:val="20"/>
          <w:szCs w:val="20"/>
        </w:rPr>
        <w:t>u, prikazat će su</w:t>
      </w:r>
      <w:r w:rsidR="00843996" w:rsidRPr="00361664">
        <w:rPr>
          <w:rFonts w:asciiTheme="minorHAnsi" w:hAnsiTheme="minorHAnsi" w:cs="Arial"/>
          <w:sz w:val="20"/>
          <w:szCs w:val="20"/>
        </w:rPr>
        <w:t xml:space="preserve"> u </w:t>
      </w:r>
      <w:r w:rsidR="00726C67" w:rsidRPr="00361664">
        <w:rPr>
          <w:rFonts w:asciiTheme="minorHAnsi" w:hAnsiTheme="minorHAnsi" w:cs="Arial"/>
          <w:sz w:val="20"/>
          <w:szCs w:val="20"/>
        </w:rPr>
        <w:t>godišnjem izvješću</w:t>
      </w:r>
      <w:r w:rsidR="00843996" w:rsidRPr="00361664">
        <w:rPr>
          <w:rFonts w:asciiTheme="minorHAnsi" w:hAnsiTheme="minorHAnsi" w:cs="Arial"/>
          <w:sz w:val="20"/>
          <w:szCs w:val="20"/>
        </w:rPr>
        <w:t xml:space="preserve">., čime </w:t>
      </w:r>
      <w:r w:rsidR="00726C67" w:rsidRPr="00361664">
        <w:rPr>
          <w:rFonts w:asciiTheme="minorHAnsi" w:hAnsiTheme="minorHAnsi" w:cs="Arial"/>
          <w:sz w:val="20"/>
          <w:szCs w:val="20"/>
        </w:rPr>
        <w:t>ć</w:t>
      </w:r>
      <w:r w:rsidRPr="00361664">
        <w:rPr>
          <w:rFonts w:asciiTheme="minorHAnsi" w:hAnsiTheme="minorHAnsi" w:cs="Arial"/>
          <w:sz w:val="20"/>
          <w:szCs w:val="20"/>
        </w:rPr>
        <w:t xml:space="preserve">e ukupni iznosi ušteda BU metodom </w:t>
      </w:r>
      <w:r w:rsidR="00843996" w:rsidRPr="00361664">
        <w:rPr>
          <w:rFonts w:asciiTheme="minorHAnsi" w:hAnsiTheme="minorHAnsi" w:cs="Arial"/>
          <w:sz w:val="20"/>
          <w:szCs w:val="20"/>
        </w:rPr>
        <w:t>porast</w:t>
      </w:r>
      <w:r w:rsidR="00726C67" w:rsidRPr="00361664">
        <w:rPr>
          <w:rFonts w:asciiTheme="minorHAnsi" w:hAnsiTheme="minorHAnsi" w:cs="Arial"/>
          <w:sz w:val="20"/>
          <w:szCs w:val="20"/>
        </w:rPr>
        <w:t>i</w:t>
      </w:r>
      <w:r w:rsidRPr="00361664">
        <w:rPr>
          <w:rFonts w:asciiTheme="minorHAnsi" w:hAnsiTheme="minorHAnsi" w:cs="Arial"/>
          <w:sz w:val="20"/>
          <w:szCs w:val="20"/>
        </w:rPr>
        <w:t>.</w:t>
      </w:r>
    </w:p>
    <w:p w:rsidR="005A5031" w:rsidRPr="00361664" w:rsidRDefault="005A5031" w:rsidP="005A5031">
      <w:pPr>
        <w:keepNext/>
        <w:spacing w:after="0"/>
        <w:jc w:val="both"/>
        <w:rPr>
          <w:rFonts w:asciiTheme="minorHAnsi" w:hAnsiTheme="minorHAnsi" w:cs="Arial"/>
          <w:sz w:val="20"/>
          <w:szCs w:val="20"/>
        </w:rPr>
      </w:pPr>
      <w:r w:rsidRPr="00361664">
        <w:rPr>
          <w:rFonts w:asciiTheme="minorHAnsi" w:hAnsiTheme="minorHAnsi" w:cs="Arial"/>
          <w:b/>
          <w:sz w:val="20"/>
          <w:szCs w:val="20"/>
        </w:rPr>
        <w:t>Tablica 2-8.</w:t>
      </w:r>
      <w:r w:rsidRPr="00361664">
        <w:rPr>
          <w:rFonts w:asciiTheme="minorHAnsi" w:hAnsiTheme="minorHAnsi" w:cs="Arial"/>
          <w:sz w:val="20"/>
          <w:szCs w:val="20"/>
        </w:rPr>
        <w:t xml:space="preserve"> Pregled ostvarenih godišnjih ušteda BU metodom u periodu 3.NAPEnU (2014.-2016. godina)</w:t>
      </w:r>
    </w:p>
    <w:tbl>
      <w:tblPr>
        <w:tblStyle w:val="Reetkatablice"/>
        <w:tblW w:w="8924" w:type="dxa"/>
        <w:tblInd w:w="-5" w:type="dxa"/>
        <w:tblLook w:val="04A0" w:firstRow="1" w:lastRow="0" w:firstColumn="1" w:lastColumn="0" w:noHBand="0" w:noVBand="1"/>
      </w:tblPr>
      <w:tblGrid>
        <w:gridCol w:w="911"/>
        <w:gridCol w:w="2895"/>
        <w:gridCol w:w="976"/>
        <w:gridCol w:w="1026"/>
        <w:gridCol w:w="1634"/>
        <w:gridCol w:w="1482"/>
      </w:tblGrid>
      <w:tr w:rsidR="005A5031" w:rsidRPr="00361664" w:rsidTr="00D55C71">
        <w:trPr>
          <w:trHeight w:val="580"/>
        </w:trPr>
        <w:tc>
          <w:tcPr>
            <w:tcW w:w="911" w:type="dxa"/>
            <w:shd w:val="clear" w:color="auto" w:fill="CCFFCC"/>
            <w:noWrap/>
            <w:hideMark/>
          </w:tcPr>
          <w:p w:rsidR="005A5031" w:rsidRPr="00361664" w:rsidRDefault="005A5031" w:rsidP="005A5031">
            <w:pPr>
              <w:keepNext/>
              <w:jc w:val="center"/>
              <w:rPr>
                <w:rFonts w:asciiTheme="minorHAnsi" w:hAnsiTheme="minorHAnsi" w:cs="Arial"/>
                <w:b/>
                <w:color w:val="000000"/>
              </w:rPr>
            </w:pPr>
            <w:r w:rsidRPr="00361664">
              <w:rPr>
                <w:rFonts w:asciiTheme="minorHAnsi" w:hAnsiTheme="minorHAnsi" w:cs="Arial"/>
                <w:b/>
                <w:color w:val="000000"/>
              </w:rPr>
              <w:t>INDEKS na mjere iz 3. NAPEnU</w:t>
            </w:r>
          </w:p>
        </w:tc>
        <w:tc>
          <w:tcPr>
            <w:tcW w:w="2895" w:type="dxa"/>
            <w:shd w:val="clear" w:color="auto" w:fill="CCFFCC"/>
            <w:noWrap/>
            <w:hideMark/>
          </w:tcPr>
          <w:p w:rsidR="005A5031" w:rsidRPr="00361664" w:rsidRDefault="005A5031" w:rsidP="005A5031">
            <w:pPr>
              <w:keepNext/>
              <w:jc w:val="center"/>
              <w:rPr>
                <w:rFonts w:asciiTheme="minorHAnsi" w:hAnsiTheme="minorHAnsi" w:cs="Arial"/>
                <w:b/>
                <w:color w:val="000000"/>
              </w:rPr>
            </w:pPr>
            <w:r w:rsidRPr="00361664">
              <w:rPr>
                <w:rFonts w:asciiTheme="minorHAnsi" w:hAnsiTheme="minorHAnsi" w:cs="Arial"/>
                <w:b/>
                <w:color w:val="000000"/>
              </w:rPr>
              <w:t>Naziv mjere</w:t>
            </w:r>
          </w:p>
        </w:tc>
        <w:tc>
          <w:tcPr>
            <w:tcW w:w="976" w:type="dxa"/>
            <w:shd w:val="clear" w:color="auto" w:fill="CCFFCC"/>
            <w:hideMark/>
          </w:tcPr>
          <w:p w:rsidR="005A5031" w:rsidRPr="00361664" w:rsidRDefault="005A5031" w:rsidP="005A5031">
            <w:pPr>
              <w:keepNext/>
              <w:jc w:val="center"/>
              <w:rPr>
                <w:rFonts w:asciiTheme="minorHAnsi" w:hAnsiTheme="minorHAnsi" w:cs="Arial"/>
                <w:b/>
                <w:color w:val="000000"/>
              </w:rPr>
            </w:pPr>
            <w:r w:rsidRPr="00361664">
              <w:rPr>
                <w:rFonts w:asciiTheme="minorHAnsi" w:hAnsiTheme="minorHAnsi" w:cs="Arial"/>
                <w:b/>
                <w:color w:val="000000"/>
              </w:rPr>
              <w:t>Ušteda [PJ]</w:t>
            </w:r>
          </w:p>
        </w:tc>
        <w:tc>
          <w:tcPr>
            <w:tcW w:w="1026" w:type="dxa"/>
            <w:shd w:val="clear" w:color="auto" w:fill="CCFFCC"/>
            <w:hideMark/>
          </w:tcPr>
          <w:p w:rsidR="005A5031" w:rsidRPr="00361664" w:rsidRDefault="005A5031" w:rsidP="005A5031">
            <w:pPr>
              <w:keepNext/>
              <w:jc w:val="center"/>
              <w:rPr>
                <w:rFonts w:asciiTheme="minorHAnsi" w:hAnsiTheme="minorHAnsi" w:cs="Arial"/>
                <w:b/>
                <w:color w:val="000000"/>
              </w:rPr>
            </w:pPr>
            <w:r w:rsidRPr="00361664">
              <w:rPr>
                <w:rFonts w:asciiTheme="minorHAnsi" w:hAnsiTheme="minorHAnsi" w:cs="Arial"/>
                <w:b/>
                <w:color w:val="000000"/>
              </w:rPr>
              <w:t>Ušteda [tCO2]</w:t>
            </w:r>
          </w:p>
        </w:tc>
        <w:tc>
          <w:tcPr>
            <w:tcW w:w="1634" w:type="dxa"/>
            <w:shd w:val="clear" w:color="auto" w:fill="CCFFCC"/>
            <w:hideMark/>
          </w:tcPr>
          <w:p w:rsidR="005A5031" w:rsidRPr="00361664" w:rsidRDefault="005A5031" w:rsidP="005A5031">
            <w:pPr>
              <w:keepNext/>
              <w:jc w:val="center"/>
              <w:rPr>
                <w:rFonts w:asciiTheme="minorHAnsi" w:hAnsiTheme="minorHAnsi" w:cs="Arial"/>
                <w:b/>
                <w:color w:val="000000"/>
              </w:rPr>
            </w:pPr>
            <w:r w:rsidRPr="00361664">
              <w:rPr>
                <w:rFonts w:asciiTheme="minorHAnsi" w:hAnsiTheme="minorHAnsi" w:cs="Arial"/>
                <w:b/>
                <w:color w:val="000000"/>
              </w:rPr>
              <w:t>Ukupni iznos investicije [kn]</w:t>
            </w:r>
          </w:p>
        </w:tc>
        <w:tc>
          <w:tcPr>
            <w:tcW w:w="1482" w:type="dxa"/>
            <w:shd w:val="clear" w:color="auto" w:fill="CCFFCC"/>
            <w:hideMark/>
          </w:tcPr>
          <w:p w:rsidR="005A5031" w:rsidRPr="00361664" w:rsidRDefault="005A5031" w:rsidP="005A5031">
            <w:pPr>
              <w:keepNext/>
              <w:jc w:val="center"/>
              <w:rPr>
                <w:rFonts w:asciiTheme="minorHAnsi" w:hAnsiTheme="minorHAnsi" w:cs="Arial"/>
                <w:b/>
                <w:color w:val="000000"/>
              </w:rPr>
            </w:pPr>
            <w:r w:rsidRPr="00361664">
              <w:rPr>
                <w:rFonts w:asciiTheme="minorHAnsi" w:hAnsiTheme="minorHAnsi" w:cs="Arial"/>
                <w:b/>
                <w:color w:val="000000"/>
              </w:rPr>
              <w:t>Ukupno isplaćena sredstva Fonda [kn]</w:t>
            </w:r>
          </w:p>
        </w:tc>
      </w:tr>
      <w:tr w:rsidR="005A5031" w:rsidRPr="00361664" w:rsidTr="00D55C71">
        <w:trPr>
          <w:trHeight w:val="300"/>
        </w:trPr>
        <w:tc>
          <w:tcPr>
            <w:tcW w:w="911"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 </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STAMBENE ZGRADE</w:t>
            </w:r>
          </w:p>
        </w:tc>
        <w:tc>
          <w:tcPr>
            <w:tcW w:w="97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02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634"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482"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 </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B.6.</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Program energetske obnove obiteljskih kuća 2014. - 2016.</w:t>
            </w:r>
          </w:p>
        </w:tc>
        <w:tc>
          <w:tcPr>
            <w:tcW w:w="97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0,70014</w:t>
            </w:r>
          </w:p>
        </w:tc>
        <w:tc>
          <w:tcPr>
            <w:tcW w:w="102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28.591,66</w:t>
            </w:r>
          </w:p>
        </w:tc>
        <w:tc>
          <w:tcPr>
            <w:tcW w:w="1634" w:type="dxa"/>
            <w:noWrap/>
            <w:hideMark/>
          </w:tcPr>
          <w:p w:rsidR="005A5031" w:rsidRPr="00361664" w:rsidRDefault="005A5031" w:rsidP="005A5031">
            <w:pPr>
              <w:keepNext/>
              <w:jc w:val="center"/>
              <w:rPr>
                <w:rFonts w:asciiTheme="minorHAnsi" w:hAnsiTheme="minorHAnsi" w:cstheme="minorHAnsi"/>
                <w:color w:val="000000" w:themeColor="text1"/>
              </w:rPr>
            </w:pPr>
            <w:r w:rsidRPr="00361664">
              <w:rPr>
                <w:rFonts w:asciiTheme="minorHAnsi" w:hAnsiTheme="minorHAnsi" w:cstheme="minorHAnsi"/>
                <w:color w:val="000000" w:themeColor="text1"/>
              </w:rPr>
              <w:t>778.492.028,45</w:t>
            </w:r>
          </w:p>
        </w:tc>
        <w:tc>
          <w:tcPr>
            <w:tcW w:w="1482"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487.329.822,20</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B.3.</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Program energetske obnove višestambenih zgrada</w:t>
            </w:r>
          </w:p>
        </w:tc>
        <w:tc>
          <w:tcPr>
            <w:tcW w:w="97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0,1495</w:t>
            </w:r>
          </w:p>
        </w:tc>
        <w:tc>
          <w:tcPr>
            <w:tcW w:w="102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11.478,41</w:t>
            </w:r>
          </w:p>
        </w:tc>
        <w:tc>
          <w:tcPr>
            <w:tcW w:w="1634"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154.535.990,29</w:t>
            </w:r>
          </w:p>
        </w:tc>
        <w:tc>
          <w:tcPr>
            <w:tcW w:w="1482"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61.997.642,77</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H.2.</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Uvođenje sustava individualnog mjerenja potrošnje toplinske energije</w:t>
            </w:r>
          </w:p>
        </w:tc>
        <w:tc>
          <w:tcPr>
            <w:tcW w:w="97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0,30553</w:t>
            </w:r>
          </w:p>
        </w:tc>
        <w:tc>
          <w:tcPr>
            <w:tcW w:w="102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24.266</w:t>
            </w:r>
          </w:p>
        </w:tc>
        <w:tc>
          <w:tcPr>
            <w:tcW w:w="1634"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116.930.071,23</w:t>
            </w:r>
          </w:p>
        </w:tc>
        <w:tc>
          <w:tcPr>
            <w:tcW w:w="1482"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46.313.643,72</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 </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ZGRADE JAVNOG SEKTORA</w:t>
            </w:r>
          </w:p>
        </w:tc>
        <w:tc>
          <w:tcPr>
            <w:tcW w:w="976"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026"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634"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482"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r>
      <w:tr w:rsidR="00D55C71" w:rsidRPr="00361664" w:rsidTr="00D55C71">
        <w:trPr>
          <w:trHeight w:val="300"/>
        </w:trPr>
        <w:tc>
          <w:tcPr>
            <w:tcW w:w="911" w:type="dxa"/>
            <w:noWrap/>
            <w:hideMark/>
          </w:tcPr>
          <w:p w:rsidR="00D55C71" w:rsidRPr="00361664" w:rsidRDefault="00D55C71" w:rsidP="00D55C7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P.1.</w:t>
            </w:r>
          </w:p>
        </w:tc>
        <w:tc>
          <w:tcPr>
            <w:tcW w:w="2895" w:type="dxa"/>
            <w:noWrap/>
            <w:hideMark/>
          </w:tcPr>
          <w:p w:rsidR="00D55C71" w:rsidRPr="00361664" w:rsidRDefault="00D55C71" w:rsidP="00D55C71">
            <w:pPr>
              <w:rPr>
                <w:rFonts w:asciiTheme="minorHAnsi" w:hAnsiTheme="minorHAnsi" w:cstheme="minorHAnsi"/>
                <w:bCs/>
                <w:color w:val="000000" w:themeColor="text1"/>
              </w:rPr>
            </w:pPr>
            <w:r w:rsidRPr="00361664">
              <w:rPr>
                <w:rFonts w:asciiTheme="minorHAnsi" w:hAnsiTheme="minorHAnsi" w:cstheme="minorHAnsi"/>
                <w:bCs/>
                <w:color w:val="000000" w:themeColor="text1"/>
              </w:rPr>
              <w:t>Program energetske obnove zgrada javnog sektora (2014. -2015.)</w:t>
            </w:r>
          </w:p>
        </w:tc>
        <w:tc>
          <w:tcPr>
            <w:tcW w:w="976" w:type="dxa"/>
            <w:noWrap/>
            <w:hideMark/>
          </w:tcPr>
          <w:p w:rsidR="00D55C71" w:rsidRPr="00361664" w:rsidRDefault="00D55C71" w:rsidP="00D55C7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0,17711</w:t>
            </w:r>
          </w:p>
        </w:tc>
        <w:tc>
          <w:tcPr>
            <w:tcW w:w="1026" w:type="dxa"/>
            <w:noWrap/>
            <w:hideMark/>
          </w:tcPr>
          <w:p w:rsidR="00D55C71" w:rsidRPr="00361664" w:rsidRDefault="00D55C71" w:rsidP="00D55C7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13.192,02</w:t>
            </w:r>
          </w:p>
        </w:tc>
        <w:tc>
          <w:tcPr>
            <w:tcW w:w="1634" w:type="dxa"/>
            <w:noWrap/>
            <w:hideMark/>
          </w:tcPr>
          <w:p w:rsidR="00D55C71" w:rsidRPr="00361664" w:rsidRDefault="00D55C71" w:rsidP="00D55C7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344.258.164,79</w:t>
            </w:r>
          </w:p>
        </w:tc>
        <w:tc>
          <w:tcPr>
            <w:tcW w:w="1482" w:type="dxa"/>
            <w:noWrap/>
            <w:hideMark/>
          </w:tcPr>
          <w:p w:rsidR="00D55C71" w:rsidRPr="00361664" w:rsidRDefault="00D55C71" w:rsidP="00D55C7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155.309.742,45</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P.2.</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Program energetske obnove zgrada javnog sektora (2016. -2020.)</w:t>
            </w:r>
          </w:p>
        </w:tc>
        <w:tc>
          <w:tcPr>
            <w:tcW w:w="97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w:t>
            </w:r>
          </w:p>
        </w:tc>
        <w:tc>
          <w:tcPr>
            <w:tcW w:w="102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w:t>
            </w:r>
          </w:p>
        </w:tc>
        <w:tc>
          <w:tcPr>
            <w:tcW w:w="1634"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w:t>
            </w:r>
          </w:p>
        </w:tc>
        <w:tc>
          <w:tcPr>
            <w:tcW w:w="1482"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 </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KOMERCIJALNE NESTAMBENE ZGRADE</w:t>
            </w:r>
          </w:p>
        </w:tc>
        <w:tc>
          <w:tcPr>
            <w:tcW w:w="976"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026"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634"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482"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B.4.</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Program energetske obnove komercijalnih nestambenih zgrada</w:t>
            </w:r>
          </w:p>
        </w:tc>
        <w:tc>
          <w:tcPr>
            <w:tcW w:w="97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0,04355</w:t>
            </w:r>
          </w:p>
        </w:tc>
        <w:tc>
          <w:tcPr>
            <w:tcW w:w="102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3.364,08</w:t>
            </w:r>
          </w:p>
        </w:tc>
        <w:tc>
          <w:tcPr>
            <w:tcW w:w="1634"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49.781.776,24</w:t>
            </w:r>
          </w:p>
        </w:tc>
        <w:tc>
          <w:tcPr>
            <w:tcW w:w="1482"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20.279.641,08</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lastRenderedPageBreak/>
              <w:t> </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JAVNA RASVJETA</w:t>
            </w:r>
          </w:p>
        </w:tc>
        <w:tc>
          <w:tcPr>
            <w:tcW w:w="976"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026"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634"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482"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P.4.</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Program „Energetski učinkovita javna rasvjeta</w:t>
            </w:r>
          </w:p>
        </w:tc>
        <w:tc>
          <w:tcPr>
            <w:tcW w:w="97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0,08175</w:t>
            </w:r>
          </w:p>
        </w:tc>
        <w:tc>
          <w:tcPr>
            <w:tcW w:w="102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8.045,46</w:t>
            </w:r>
          </w:p>
        </w:tc>
        <w:tc>
          <w:tcPr>
            <w:tcW w:w="1634"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160.986.313,89</w:t>
            </w:r>
          </w:p>
        </w:tc>
        <w:tc>
          <w:tcPr>
            <w:tcW w:w="1482"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84.028.721,96</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 </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PROMET</w:t>
            </w:r>
          </w:p>
        </w:tc>
        <w:tc>
          <w:tcPr>
            <w:tcW w:w="976"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026"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634"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1482" w:type="dxa"/>
            <w:noWrap/>
            <w:hideMark/>
          </w:tcPr>
          <w:p w:rsidR="005A5031" w:rsidRPr="00361664" w:rsidRDefault="005A5031" w:rsidP="005A5031">
            <w:pPr>
              <w:rPr>
                <w:rFonts w:asciiTheme="minorHAnsi" w:hAnsiTheme="minorHAnsi" w:cstheme="minorHAnsi"/>
                <w:color w:val="000000" w:themeColor="text1"/>
              </w:rPr>
            </w:pPr>
            <w:r w:rsidRPr="00361664">
              <w:rPr>
                <w:rFonts w:asciiTheme="minorHAnsi" w:hAnsiTheme="minorHAnsi" w:cstheme="minorHAnsi"/>
                <w:color w:val="000000" w:themeColor="text1"/>
              </w:rPr>
              <w:t> </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T.6.</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Financijski poticaji za energetski učinkovita vozila</w:t>
            </w:r>
          </w:p>
        </w:tc>
        <w:tc>
          <w:tcPr>
            <w:tcW w:w="97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0,032646</w:t>
            </w:r>
          </w:p>
        </w:tc>
        <w:tc>
          <w:tcPr>
            <w:tcW w:w="1026"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2.889,61</w:t>
            </w:r>
          </w:p>
        </w:tc>
        <w:tc>
          <w:tcPr>
            <w:tcW w:w="1634"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207.250.726,57</w:t>
            </w:r>
          </w:p>
        </w:tc>
        <w:tc>
          <w:tcPr>
            <w:tcW w:w="1482" w:type="dxa"/>
            <w:noWrap/>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39.996.341,06</w:t>
            </w:r>
          </w:p>
        </w:tc>
      </w:tr>
      <w:tr w:rsidR="005A5031" w:rsidRPr="00361664" w:rsidTr="00D55C71">
        <w:trPr>
          <w:trHeight w:val="300"/>
        </w:trPr>
        <w:tc>
          <w:tcPr>
            <w:tcW w:w="911" w:type="dxa"/>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T.1.</w:t>
            </w:r>
          </w:p>
        </w:tc>
        <w:tc>
          <w:tcPr>
            <w:tcW w:w="2895" w:type="dxa"/>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Poticanje eko vožnje</w:t>
            </w:r>
          </w:p>
        </w:tc>
        <w:tc>
          <w:tcPr>
            <w:tcW w:w="976" w:type="dxa"/>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0,03686</w:t>
            </w:r>
          </w:p>
        </w:tc>
        <w:tc>
          <w:tcPr>
            <w:tcW w:w="1026" w:type="dxa"/>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2.731,51</w:t>
            </w:r>
          </w:p>
        </w:tc>
        <w:tc>
          <w:tcPr>
            <w:tcW w:w="1634" w:type="dxa"/>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2.986.214,63</w:t>
            </w:r>
          </w:p>
        </w:tc>
        <w:tc>
          <w:tcPr>
            <w:tcW w:w="1482" w:type="dxa"/>
            <w:hideMark/>
          </w:tcPr>
          <w:p w:rsidR="005A5031" w:rsidRPr="00361664" w:rsidRDefault="005A5031" w:rsidP="005A503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977.649,24</w:t>
            </w:r>
          </w:p>
        </w:tc>
      </w:tr>
      <w:tr w:rsidR="005A5031" w:rsidRPr="00361664" w:rsidTr="00D55C71">
        <w:trPr>
          <w:trHeight w:val="300"/>
        </w:trPr>
        <w:tc>
          <w:tcPr>
            <w:tcW w:w="911" w:type="dxa"/>
            <w:tcBorders>
              <w:bottom w:val="single" w:sz="12" w:space="0" w:color="auto"/>
            </w:tcBorders>
            <w:noWrap/>
            <w:hideMark/>
          </w:tcPr>
          <w:p w:rsidR="005A5031" w:rsidRPr="00361664" w:rsidRDefault="005A5031" w:rsidP="005A5031">
            <w:pPr>
              <w:jc w:val="center"/>
              <w:rPr>
                <w:rFonts w:asciiTheme="minorHAnsi" w:hAnsiTheme="minorHAnsi" w:cstheme="minorHAnsi"/>
                <w:bCs/>
                <w:color w:val="000000" w:themeColor="text1"/>
              </w:rPr>
            </w:pPr>
            <w:r w:rsidRPr="00361664">
              <w:rPr>
                <w:rFonts w:asciiTheme="minorHAnsi" w:hAnsiTheme="minorHAnsi" w:cstheme="minorHAnsi"/>
                <w:bCs/>
                <w:color w:val="000000" w:themeColor="text1"/>
              </w:rPr>
              <w:t>T.9.</w:t>
            </w:r>
          </w:p>
        </w:tc>
        <w:tc>
          <w:tcPr>
            <w:tcW w:w="2895" w:type="dxa"/>
            <w:tcBorders>
              <w:bottom w:val="single" w:sz="12" w:space="0" w:color="auto"/>
            </w:tcBorders>
            <w:noWrap/>
            <w:hideMark/>
          </w:tcPr>
          <w:p w:rsidR="005A5031" w:rsidRPr="00361664" w:rsidRDefault="005A5031" w:rsidP="005A5031">
            <w:pPr>
              <w:rPr>
                <w:rFonts w:asciiTheme="minorHAnsi" w:hAnsiTheme="minorHAnsi" w:cstheme="minorHAnsi"/>
                <w:bCs/>
                <w:color w:val="000000" w:themeColor="text1"/>
              </w:rPr>
            </w:pPr>
            <w:r w:rsidRPr="00361664">
              <w:rPr>
                <w:rFonts w:asciiTheme="minorHAnsi" w:hAnsiTheme="minorHAnsi" w:cstheme="minorHAnsi"/>
                <w:bCs/>
                <w:color w:val="000000" w:themeColor="text1"/>
              </w:rPr>
              <w:t>Uspostava posebnog poreza na motorna vozila na temelju emisija CO2</w:t>
            </w:r>
          </w:p>
        </w:tc>
        <w:tc>
          <w:tcPr>
            <w:tcW w:w="976" w:type="dxa"/>
            <w:tcBorders>
              <w:bottom w:val="single" w:sz="12" w:space="0" w:color="auto"/>
            </w:tcBorders>
            <w:noWrap/>
            <w:hideMark/>
          </w:tcPr>
          <w:p w:rsidR="005A5031" w:rsidRPr="00361664" w:rsidRDefault="005A5031" w:rsidP="005A5031">
            <w:pPr>
              <w:jc w:val="right"/>
              <w:rPr>
                <w:rFonts w:asciiTheme="minorHAnsi" w:hAnsiTheme="minorHAnsi" w:cstheme="minorHAnsi"/>
                <w:color w:val="000000" w:themeColor="text1"/>
              </w:rPr>
            </w:pPr>
            <w:r w:rsidRPr="00361664">
              <w:rPr>
                <w:rFonts w:asciiTheme="minorHAnsi" w:hAnsiTheme="minorHAnsi" w:cstheme="minorHAnsi"/>
                <w:color w:val="000000" w:themeColor="text1"/>
              </w:rPr>
              <w:t>0</w:t>
            </w:r>
          </w:p>
        </w:tc>
        <w:tc>
          <w:tcPr>
            <w:tcW w:w="1026" w:type="dxa"/>
            <w:tcBorders>
              <w:bottom w:val="single" w:sz="12" w:space="0" w:color="auto"/>
            </w:tcBorders>
            <w:noWrap/>
            <w:hideMark/>
          </w:tcPr>
          <w:p w:rsidR="005A5031" w:rsidRPr="00361664" w:rsidRDefault="005A5031" w:rsidP="005A5031">
            <w:pPr>
              <w:jc w:val="right"/>
              <w:rPr>
                <w:rFonts w:asciiTheme="minorHAnsi" w:hAnsiTheme="minorHAnsi" w:cstheme="minorHAnsi"/>
                <w:color w:val="000000" w:themeColor="text1"/>
              </w:rPr>
            </w:pPr>
            <w:r w:rsidRPr="00361664">
              <w:rPr>
                <w:rFonts w:asciiTheme="minorHAnsi" w:hAnsiTheme="minorHAnsi" w:cstheme="minorHAnsi"/>
                <w:color w:val="000000" w:themeColor="text1"/>
              </w:rPr>
              <w:t>0</w:t>
            </w:r>
          </w:p>
        </w:tc>
        <w:tc>
          <w:tcPr>
            <w:tcW w:w="1634" w:type="dxa"/>
            <w:tcBorders>
              <w:bottom w:val="single" w:sz="12" w:space="0" w:color="auto"/>
            </w:tcBorders>
            <w:noWrap/>
            <w:hideMark/>
          </w:tcPr>
          <w:p w:rsidR="005A5031" w:rsidRPr="00361664" w:rsidRDefault="005A5031" w:rsidP="005A5031">
            <w:pPr>
              <w:jc w:val="right"/>
              <w:rPr>
                <w:rFonts w:asciiTheme="minorHAnsi" w:hAnsiTheme="minorHAnsi" w:cstheme="minorHAnsi"/>
                <w:color w:val="000000" w:themeColor="text1"/>
              </w:rPr>
            </w:pPr>
            <w:r w:rsidRPr="00361664">
              <w:rPr>
                <w:rFonts w:asciiTheme="minorHAnsi" w:hAnsiTheme="minorHAnsi" w:cstheme="minorHAnsi"/>
                <w:color w:val="000000" w:themeColor="text1"/>
              </w:rPr>
              <w:t>0</w:t>
            </w:r>
          </w:p>
        </w:tc>
        <w:tc>
          <w:tcPr>
            <w:tcW w:w="1482" w:type="dxa"/>
            <w:tcBorders>
              <w:bottom w:val="single" w:sz="12" w:space="0" w:color="auto"/>
            </w:tcBorders>
            <w:noWrap/>
            <w:hideMark/>
          </w:tcPr>
          <w:p w:rsidR="005A5031" w:rsidRPr="00361664" w:rsidRDefault="005A5031" w:rsidP="005A5031">
            <w:pPr>
              <w:jc w:val="right"/>
              <w:rPr>
                <w:rFonts w:asciiTheme="minorHAnsi" w:hAnsiTheme="minorHAnsi" w:cstheme="minorHAnsi"/>
                <w:color w:val="000000" w:themeColor="text1"/>
              </w:rPr>
            </w:pPr>
            <w:r w:rsidRPr="00361664">
              <w:rPr>
                <w:rFonts w:asciiTheme="minorHAnsi" w:hAnsiTheme="minorHAnsi" w:cstheme="minorHAnsi"/>
                <w:color w:val="000000" w:themeColor="text1"/>
              </w:rPr>
              <w:t>0</w:t>
            </w:r>
          </w:p>
        </w:tc>
      </w:tr>
      <w:tr w:rsidR="00D55C71" w:rsidRPr="00361664" w:rsidTr="00D55C71">
        <w:trPr>
          <w:trHeight w:val="300"/>
        </w:trPr>
        <w:tc>
          <w:tcPr>
            <w:tcW w:w="911" w:type="dxa"/>
            <w:tcBorders>
              <w:top w:val="single" w:sz="12" w:space="0" w:color="auto"/>
            </w:tcBorders>
            <w:noWrap/>
            <w:hideMark/>
          </w:tcPr>
          <w:p w:rsidR="00D55C71" w:rsidRPr="00361664" w:rsidRDefault="00D55C71" w:rsidP="00D55C71">
            <w:pPr>
              <w:jc w:val="center"/>
              <w:rPr>
                <w:rFonts w:asciiTheme="minorHAnsi" w:hAnsiTheme="minorHAnsi" w:cstheme="minorHAnsi"/>
                <w:color w:val="000000" w:themeColor="text1"/>
              </w:rPr>
            </w:pPr>
            <w:r w:rsidRPr="00361664">
              <w:rPr>
                <w:rFonts w:asciiTheme="minorHAnsi" w:hAnsiTheme="minorHAnsi" w:cstheme="minorHAnsi"/>
                <w:color w:val="000000" w:themeColor="text1"/>
              </w:rPr>
              <w:t> </w:t>
            </w:r>
          </w:p>
        </w:tc>
        <w:tc>
          <w:tcPr>
            <w:tcW w:w="2895" w:type="dxa"/>
            <w:tcBorders>
              <w:top w:val="single" w:sz="12" w:space="0" w:color="auto"/>
            </w:tcBorders>
            <w:noWrap/>
            <w:vAlign w:val="center"/>
            <w:hideMark/>
          </w:tcPr>
          <w:p w:rsidR="00D55C71" w:rsidRPr="00361664" w:rsidRDefault="00D55C71" w:rsidP="00D55C71">
            <w:pPr>
              <w:keepNext/>
              <w:rPr>
                <w:rFonts w:asciiTheme="minorHAnsi" w:hAnsiTheme="minorHAnsi" w:cs="Arial"/>
                <w:color w:val="000000"/>
              </w:rPr>
            </w:pPr>
            <w:r w:rsidRPr="00361664">
              <w:rPr>
                <w:rFonts w:asciiTheme="minorHAnsi" w:hAnsiTheme="minorHAnsi" w:cs="Arial"/>
                <w:color w:val="000000"/>
              </w:rPr>
              <w:t>UKUPNO</w:t>
            </w:r>
          </w:p>
        </w:tc>
        <w:tc>
          <w:tcPr>
            <w:tcW w:w="976" w:type="dxa"/>
            <w:tcBorders>
              <w:top w:val="single" w:sz="12" w:space="0" w:color="auto"/>
            </w:tcBorders>
            <w:noWrap/>
            <w:hideMark/>
          </w:tcPr>
          <w:p w:rsidR="00D55C71" w:rsidRPr="00361664" w:rsidRDefault="00D55C71" w:rsidP="00D55C71">
            <w:pPr>
              <w:jc w:val="center"/>
              <w:rPr>
                <w:rFonts w:asciiTheme="minorHAnsi" w:hAnsiTheme="minorHAnsi" w:cstheme="minorHAnsi"/>
                <w:color w:val="000000" w:themeColor="text1"/>
              </w:rPr>
            </w:pPr>
            <w:r w:rsidRPr="00361664">
              <w:t>1,52709</w:t>
            </w:r>
          </w:p>
        </w:tc>
        <w:tc>
          <w:tcPr>
            <w:tcW w:w="1026" w:type="dxa"/>
            <w:tcBorders>
              <w:top w:val="single" w:sz="12" w:space="0" w:color="auto"/>
            </w:tcBorders>
            <w:noWrap/>
            <w:hideMark/>
          </w:tcPr>
          <w:p w:rsidR="00D55C71" w:rsidRPr="00361664" w:rsidRDefault="00D55C71" w:rsidP="00D55C71">
            <w:pPr>
              <w:jc w:val="center"/>
              <w:rPr>
                <w:rFonts w:asciiTheme="minorHAnsi" w:hAnsiTheme="minorHAnsi" w:cstheme="minorHAnsi"/>
                <w:color w:val="000000" w:themeColor="text1"/>
              </w:rPr>
            </w:pPr>
            <w:r w:rsidRPr="00361664">
              <w:t>94.559,20</w:t>
            </w:r>
          </w:p>
        </w:tc>
        <w:tc>
          <w:tcPr>
            <w:tcW w:w="1634" w:type="dxa"/>
            <w:tcBorders>
              <w:top w:val="single" w:sz="12" w:space="0" w:color="auto"/>
            </w:tcBorders>
            <w:noWrap/>
            <w:hideMark/>
          </w:tcPr>
          <w:p w:rsidR="00D55C71" w:rsidRPr="00361664" w:rsidRDefault="00D55C71" w:rsidP="00D55C71">
            <w:pPr>
              <w:jc w:val="center"/>
              <w:rPr>
                <w:rFonts w:asciiTheme="minorHAnsi" w:hAnsiTheme="minorHAnsi" w:cstheme="minorHAnsi"/>
                <w:color w:val="000000" w:themeColor="text1"/>
              </w:rPr>
            </w:pPr>
            <w:r w:rsidRPr="00361664">
              <w:t>1.815.221.286,09</w:t>
            </w:r>
          </w:p>
        </w:tc>
        <w:tc>
          <w:tcPr>
            <w:tcW w:w="1482" w:type="dxa"/>
            <w:tcBorders>
              <w:top w:val="single" w:sz="12" w:space="0" w:color="auto"/>
            </w:tcBorders>
            <w:noWrap/>
            <w:hideMark/>
          </w:tcPr>
          <w:p w:rsidR="00D55C71" w:rsidRPr="00361664" w:rsidRDefault="00D55C71" w:rsidP="00D55C71">
            <w:pPr>
              <w:jc w:val="center"/>
              <w:rPr>
                <w:rFonts w:asciiTheme="minorHAnsi" w:hAnsiTheme="minorHAnsi" w:cstheme="minorHAnsi"/>
                <w:color w:val="000000" w:themeColor="text1"/>
              </w:rPr>
            </w:pPr>
            <w:r w:rsidRPr="00361664">
              <w:t>896.233.204,48</w:t>
            </w:r>
          </w:p>
        </w:tc>
      </w:tr>
    </w:tbl>
    <w:p w:rsidR="005A5031" w:rsidRPr="00361664" w:rsidRDefault="005A5031" w:rsidP="005A5031">
      <w:pPr>
        <w:keepNext/>
        <w:spacing w:after="0"/>
        <w:jc w:val="both"/>
        <w:rPr>
          <w:rFonts w:asciiTheme="minorHAnsi" w:hAnsiTheme="minorHAnsi" w:cstheme="minorHAnsi"/>
          <w:sz w:val="20"/>
          <w:szCs w:val="20"/>
        </w:rPr>
      </w:pPr>
    </w:p>
    <w:p w:rsidR="007D720D" w:rsidRPr="00361664" w:rsidRDefault="007D720D" w:rsidP="007D720D">
      <w:pPr>
        <w:jc w:val="both"/>
      </w:pPr>
    </w:p>
    <w:p w:rsidR="007D720D" w:rsidRPr="00361664" w:rsidRDefault="007D720D" w:rsidP="007D720D">
      <w:pPr>
        <w:keepNext/>
        <w:jc w:val="both"/>
        <w:rPr>
          <w:b/>
          <w:i/>
        </w:rPr>
      </w:pPr>
      <w:r w:rsidRPr="00361664">
        <w:rPr>
          <w:b/>
          <w:i/>
        </w:rPr>
        <w:t>Pregled ostvarenih ušteda do 2015. godine i očekivanih ušteda do 2020. godine</w:t>
      </w:r>
    </w:p>
    <w:p w:rsidR="007D720D" w:rsidRPr="00361664" w:rsidRDefault="007D720D" w:rsidP="007D720D">
      <w:pPr>
        <w:keepNext/>
        <w:spacing w:after="0"/>
        <w:jc w:val="both"/>
        <w:rPr>
          <w:rFonts w:asciiTheme="minorHAnsi" w:eastAsiaTheme="majorEastAsia" w:hAnsiTheme="minorHAnsi"/>
          <w:sz w:val="20"/>
          <w:szCs w:val="20"/>
        </w:rPr>
      </w:pPr>
      <w:r w:rsidRPr="00361664">
        <w:rPr>
          <w:rFonts w:asciiTheme="minorHAnsi" w:eastAsiaTheme="majorEastAsia" w:hAnsiTheme="minorHAnsi"/>
          <w:sz w:val="20"/>
          <w:szCs w:val="20"/>
        </w:rPr>
        <w:t>U tablici 2-</w:t>
      </w:r>
      <w:r w:rsidR="003042C8" w:rsidRPr="00361664">
        <w:rPr>
          <w:rFonts w:asciiTheme="minorHAnsi" w:eastAsiaTheme="majorEastAsia" w:hAnsiTheme="minorHAnsi"/>
          <w:sz w:val="20"/>
          <w:szCs w:val="20"/>
        </w:rPr>
        <w:t>9</w:t>
      </w:r>
      <w:r w:rsidRPr="00361664">
        <w:rPr>
          <w:rFonts w:asciiTheme="minorHAnsi" w:eastAsiaTheme="majorEastAsia" w:hAnsiTheme="minorHAnsi"/>
          <w:sz w:val="20"/>
          <w:szCs w:val="20"/>
        </w:rPr>
        <w:t xml:space="preserve"> prikazana je usporedba ostvarenih uštede prema TD i BU metodi za 2010. i 2015. godinu te usporedba očekivanih ušteda prema TD metodi s obzirom na ciljeve za 2016. i 2020. godinu prema zahtjevima ESD.</w:t>
      </w:r>
    </w:p>
    <w:p w:rsidR="007D720D" w:rsidRPr="00361664" w:rsidRDefault="007D720D" w:rsidP="007D720D">
      <w:pPr>
        <w:keepNext/>
        <w:spacing w:after="0"/>
        <w:jc w:val="both"/>
        <w:rPr>
          <w:rFonts w:asciiTheme="minorHAnsi" w:eastAsiaTheme="majorEastAsia" w:hAnsiTheme="minorHAnsi"/>
          <w:b/>
          <w:sz w:val="20"/>
          <w:szCs w:val="20"/>
        </w:rPr>
      </w:pPr>
    </w:p>
    <w:p w:rsidR="007D720D" w:rsidRPr="00361664" w:rsidRDefault="007D720D" w:rsidP="007D720D">
      <w:pPr>
        <w:keepNext/>
        <w:spacing w:after="0"/>
        <w:jc w:val="both"/>
        <w:rPr>
          <w:rFonts w:asciiTheme="minorHAnsi" w:eastAsiaTheme="majorEastAsia" w:hAnsiTheme="minorHAnsi"/>
          <w:sz w:val="20"/>
          <w:szCs w:val="20"/>
        </w:rPr>
      </w:pPr>
      <w:r w:rsidRPr="00361664">
        <w:rPr>
          <w:rFonts w:asciiTheme="minorHAnsi" w:eastAsiaTheme="majorEastAsia" w:hAnsiTheme="minorHAnsi"/>
          <w:b/>
          <w:sz w:val="20"/>
          <w:szCs w:val="20"/>
        </w:rPr>
        <w:t>Tablica 2-</w:t>
      </w:r>
      <w:r w:rsidR="003042C8" w:rsidRPr="00361664">
        <w:rPr>
          <w:rFonts w:asciiTheme="minorHAnsi" w:eastAsiaTheme="majorEastAsia" w:hAnsiTheme="minorHAnsi"/>
          <w:b/>
          <w:sz w:val="20"/>
          <w:szCs w:val="20"/>
        </w:rPr>
        <w:t>9</w:t>
      </w:r>
      <w:r w:rsidRPr="00361664">
        <w:rPr>
          <w:rFonts w:asciiTheme="minorHAnsi" w:eastAsiaTheme="majorEastAsia" w:hAnsiTheme="minorHAnsi"/>
          <w:b/>
          <w:sz w:val="20"/>
          <w:szCs w:val="20"/>
        </w:rPr>
        <w:t>.</w:t>
      </w:r>
      <w:r w:rsidRPr="00361664">
        <w:rPr>
          <w:rFonts w:asciiTheme="minorHAnsi" w:eastAsiaTheme="majorEastAsia" w:hAnsiTheme="minorHAnsi"/>
          <w:sz w:val="20"/>
          <w:szCs w:val="20"/>
        </w:rPr>
        <w:t xml:space="preserve"> Sumarni pregled ostvarenja i očekivanih ušteda po sektorima u neposrednoj potrošnji</w:t>
      </w:r>
    </w:p>
    <w:tbl>
      <w:tblPr>
        <w:tblW w:w="9302" w:type="dxa"/>
        <w:tblInd w:w="-5" w:type="dxa"/>
        <w:tblLayout w:type="fixed"/>
        <w:tblLook w:val="04A0" w:firstRow="1" w:lastRow="0" w:firstColumn="1" w:lastColumn="0" w:noHBand="0" w:noVBand="1"/>
      </w:tblPr>
      <w:tblGrid>
        <w:gridCol w:w="1814"/>
        <w:gridCol w:w="936"/>
        <w:gridCol w:w="936"/>
        <w:gridCol w:w="936"/>
        <w:gridCol w:w="936"/>
        <w:gridCol w:w="936"/>
        <w:gridCol w:w="936"/>
        <w:gridCol w:w="936"/>
        <w:gridCol w:w="936"/>
      </w:tblGrid>
      <w:tr w:rsidR="007D720D" w:rsidRPr="00361664" w:rsidTr="00A56031">
        <w:trPr>
          <w:trHeight w:hRule="exact" w:val="403"/>
        </w:trPr>
        <w:tc>
          <w:tcPr>
            <w:tcW w:w="1814" w:type="dxa"/>
            <w:vMerge w:val="restart"/>
            <w:tcBorders>
              <w:top w:val="single" w:sz="4" w:space="0" w:color="auto"/>
              <w:left w:val="single" w:sz="4" w:space="0" w:color="auto"/>
              <w:right w:val="single" w:sz="4" w:space="0" w:color="auto"/>
            </w:tcBorders>
            <w:shd w:val="clear" w:color="auto" w:fill="CCFFCC"/>
            <w:vAlign w:val="center"/>
            <w:hideMark/>
          </w:tcPr>
          <w:p w:rsidR="007D720D" w:rsidRPr="00361664" w:rsidRDefault="007D720D" w:rsidP="00D36D6F">
            <w:pPr>
              <w:keepNext/>
              <w:spacing w:after="0" w:line="240" w:lineRule="auto"/>
              <w:jc w:val="center"/>
              <w:rPr>
                <w:rFonts w:asciiTheme="minorHAnsi" w:hAnsiTheme="minorHAnsi" w:cs="Arial"/>
                <w:b/>
                <w:color w:val="000000"/>
                <w:sz w:val="20"/>
                <w:szCs w:val="20"/>
                <w:lang w:eastAsia="hr-HR"/>
              </w:rPr>
            </w:pPr>
            <w:r w:rsidRPr="00361664">
              <w:rPr>
                <w:rFonts w:asciiTheme="minorHAnsi" w:hAnsiTheme="minorHAnsi" w:cs="Arial"/>
                <w:b/>
                <w:color w:val="000000"/>
                <w:sz w:val="20"/>
                <w:szCs w:val="20"/>
                <w:lang w:eastAsia="hr-HR"/>
              </w:rPr>
              <w:t>PJ/god</w:t>
            </w:r>
          </w:p>
        </w:tc>
        <w:tc>
          <w:tcPr>
            <w:tcW w:w="4680" w:type="dxa"/>
            <w:gridSpan w:val="5"/>
            <w:tcBorders>
              <w:top w:val="single" w:sz="4" w:space="0" w:color="auto"/>
              <w:left w:val="nil"/>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Ostvarene uštede energije</w:t>
            </w:r>
          </w:p>
        </w:tc>
        <w:tc>
          <w:tcPr>
            <w:tcW w:w="2808" w:type="dxa"/>
            <w:gridSpan w:val="3"/>
            <w:tcBorders>
              <w:top w:val="single" w:sz="4" w:space="0" w:color="auto"/>
              <w:left w:val="nil"/>
              <w:bottom w:val="single" w:sz="4" w:space="0" w:color="auto"/>
              <w:right w:val="single" w:sz="4" w:space="0" w:color="auto"/>
            </w:tcBorders>
            <w:shd w:val="clear" w:color="auto" w:fill="FBD4B4" w:themeFill="accent6" w:themeFillTint="66"/>
            <w:vAlign w:val="center"/>
          </w:tcPr>
          <w:p w:rsidR="007D720D" w:rsidRPr="00361664" w:rsidDel="005815BA"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 xml:space="preserve">Očekivane uštede energije </w:t>
            </w:r>
          </w:p>
        </w:tc>
      </w:tr>
      <w:tr w:rsidR="007D720D" w:rsidRPr="00361664" w:rsidTr="00A56031">
        <w:trPr>
          <w:trHeight w:hRule="exact" w:val="403"/>
        </w:trPr>
        <w:tc>
          <w:tcPr>
            <w:tcW w:w="1814" w:type="dxa"/>
            <w:vMerge/>
            <w:tcBorders>
              <w:left w:val="single" w:sz="4" w:space="0" w:color="auto"/>
              <w:right w:val="single" w:sz="4" w:space="0" w:color="auto"/>
            </w:tcBorders>
            <w:shd w:val="clear" w:color="auto" w:fill="CCFFCC"/>
            <w:vAlign w:val="center"/>
          </w:tcPr>
          <w:p w:rsidR="007D720D" w:rsidRPr="00361664" w:rsidRDefault="007D720D" w:rsidP="007D720D">
            <w:pPr>
              <w:keepNext/>
              <w:spacing w:after="0" w:line="240" w:lineRule="auto"/>
              <w:jc w:val="both"/>
              <w:rPr>
                <w:rFonts w:asciiTheme="minorHAnsi" w:hAnsiTheme="minorHAnsi" w:cs="Arial"/>
                <w:color w:val="000000"/>
                <w:sz w:val="20"/>
                <w:szCs w:val="20"/>
                <w:lang w:eastAsia="hr-HR"/>
              </w:rPr>
            </w:pPr>
          </w:p>
        </w:tc>
        <w:tc>
          <w:tcPr>
            <w:tcW w:w="187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2010.</w:t>
            </w:r>
          </w:p>
        </w:tc>
        <w:tc>
          <w:tcPr>
            <w:tcW w:w="187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2015.</w:t>
            </w:r>
          </w:p>
        </w:tc>
        <w:tc>
          <w:tcPr>
            <w:tcW w:w="187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2016.</w:t>
            </w:r>
          </w:p>
        </w:tc>
        <w:tc>
          <w:tcPr>
            <w:tcW w:w="187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2020.</w:t>
            </w:r>
          </w:p>
        </w:tc>
      </w:tr>
      <w:tr w:rsidR="007D720D" w:rsidRPr="00361664" w:rsidTr="00A56031">
        <w:trPr>
          <w:trHeight w:val="402"/>
        </w:trPr>
        <w:tc>
          <w:tcPr>
            <w:tcW w:w="1814" w:type="dxa"/>
            <w:vMerge/>
            <w:tcBorders>
              <w:left w:val="single" w:sz="4" w:space="0" w:color="auto"/>
              <w:bottom w:val="single" w:sz="4" w:space="0" w:color="000000"/>
              <w:right w:val="single" w:sz="4" w:space="0" w:color="auto"/>
            </w:tcBorders>
            <w:shd w:val="clear" w:color="auto" w:fill="CCFFCC"/>
            <w:vAlign w:val="center"/>
            <w:hideMark/>
          </w:tcPr>
          <w:p w:rsidR="007D720D" w:rsidRPr="00361664" w:rsidRDefault="007D720D" w:rsidP="007D720D">
            <w:pPr>
              <w:keepNext/>
              <w:spacing w:after="0" w:line="240" w:lineRule="auto"/>
              <w:jc w:val="both"/>
              <w:rPr>
                <w:rFonts w:asciiTheme="minorHAnsi" w:hAnsiTheme="minorHAnsi" w:cs="Arial"/>
                <w:color w:val="000000"/>
                <w:sz w:val="20"/>
                <w:szCs w:val="20"/>
                <w:lang w:eastAsia="hr-HR"/>
              </w:rPr>
            </w:pPr>
          </w:p>
        </w:tc>
        <w:tc>
          <w:tcPr>
            <w:tcW w:w="936" w:type="dxa"/>
            <w:tcBorders>
              <w:top w:val="nil"/>
              <w:left w:val="nil"/>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BU</w:t>
            </w:r>
          </w:p>
        </w:tc>
        <w:tc>
          <w:tcPr>
            <w:tcW w:w="936" w:type="dxa"/>
            <w:tcBorders>
              <w:top w:val="nil"/>
              <w:left w:val="nil"/>
              <w:bottom w:val="single" w:sz="4" w:space="0" w:color="auto"/>
              <w:right w:val="single" w:sz="4" w:space="0" w:color="auto"/>
            </w:tcBorders>
            <w:shd w:val="clear" w:color="auto" w:fill="CCFFCC"/>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TD</w:t>
            </w:r>
          </w:p>
        </w:tc>
        <w:tc>
          <w:tcPr>
            <w:tcW w:w="936" w:type="dxa"/>
            <w:tcBorders>
              <w:top w:val="nil"/>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BU</w:t>
            </w:r>
          </w:p>
        </w:tc>
        <w:tc>
          <w:tcPr>
            <w:tcW w:w="936" w:type="dxa"/>
            <w:tcBorders>
              <w:top w:val="nil"/>
              <w:left w:val="single" w:sz="4" w:space="0" w:color="auto"/>
              <w:bottom w:val="single" w:sz="4" w:space="0" w:color="auto"/>
              <w:right w:val="single" w:sz="4" w:space="0" w:color="auto"/>
            </w:tcBorders>
            <w:shd w:val="clear" w:color="auto" w:fill="CCFFCC"/>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TD</w:t>
            </w:r>
          </w:p>
        </w:tc>
        <w:tc>
          <w:tcPr>
            <w:tcW w:w="936" w:type="dxa"/>
            <w:tcBorders>
              <w:top w:val="nil"/>
              <w:left w:val="single" w:sz="4" w:space="0" w:color="auto"/>
              <w:bottom w:val="single" w:sz="4" w:space="0" w:color="auto"/>
              <w:right w:val="single" w:sz="4" w:space="0" w:color="auto"/>
            </w:tcBorders>
            <w:shd w:val="clear" w:color="auto" w:fill="CCFFCC"/>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BU</w:t>
            </w:r>
          </w:p>
        </w:tc>
        <w:tc>
          <w:tcPr>
            <w:tcW w:w="93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TD</w:t>
            </w:r>
          </w:p>
        </w:tc>
        <w:tc>
          <w:tcPr>
            <w:tcW w:w="936"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BU</w:t>
            </w:r>
          </w:p>
        </w:tc>
        <w:tc>
          <w:tcPr>
            <w:tcW w:w="936" w:type="dxa"/>
            <w:tcBorders>
              <w:top w:val="nil"/>
              <w:left w:val="nil"/>
              <w:bottom w:val="single" w:sz="4" w:space="0" w:color="auto"/>
              <w:right w:val="single" w:sz="4" w:space="0" w:color="auto"/>
            </w:tcBorders>
            <w:shd w:val="clear" w:color="auto" w:fill="FBD4B4" w:themeFill="accent6" w:themeFillTint="66"/>
            <w:vAlign w:val="center"/>
          </w:tcPr>
          <w:p w:rsidR="007D720D" w:rsidRPr="00361664" w:rsidRDefault="007D720D" w:rsidP="007D720D">
            <w:pPr>
              <w:keepNext/>
              <w:spacing w:after="0" w:line="240" w:lineRule="auto"/>
              <w:jc w:val="center"/>
              <w:rPr>
                <w:rFonts w:asciiTheme="minorHAnsi" w:hAnsiTheme="minorHAnsi"/>
                <w:b/>
                <w:color w:val="000000"/>
                <w:sz w:val="20"/>
              </w:rPr>
            </w:pPr>
            <w:r w:rsidRPr="00361664">
              <w:rPr>
                <w:rFonts w:asciiTheme="minorHAnsi" w:hAnsiTheme="minorHAnsi"/>
                <w:b/>
                <w:color w:val="000000"/>
                <w:sz w:val="20"/>
              </w:rPr>
              <w:t>TD</w:t>
            </w:r>
          </w:p>
        </w:tc>
      </w:tr>
      <w:tr w:rsidR="005A5031" w:rsidRPr="00361664" w:rsidTr="00D12474">
        <w:trPr>
          <w:trHeight w:hRule="exact" w:val="384"/>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Kućanstava</w:t>
            </w:r>
          </w:p>
        </w:tc>
        <w:tc>
          <w:tcPr>
            <w:tcW w:w="936"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1,53</w:t>
            </w:r>
          </w:p>
        </w:tc>
        <w:tc>
          <w:tcPr>
            <w:tcW w:w="936" w:type="dxa"/>
            <w:tcBorders>
              <w:top w:val="nil"/>
              <w:left w:val="nil"/>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9,74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2,25</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20,23</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2,80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15,77</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7,36</w:t>
            </w:r>
          </w:p>
        </w:tc>
        <w:tc>
          <w:tcPr>
            <w:tcW w:w="936" w:type="dxa"/>
            <w:tcBorders>
              <w:top w:val="nil"/>
              <w:left w:val="nil"/>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20,36</w:t>
            </w:r>
          </w:p>
        </w:tc>
      </w:tr>
      <w:tr w:rsidR="005A5031" w:rsidRPr="00361664" w:rsidTr="00D12474">
        <w:trPr>
          <w:trHeight w:hRule="exact" w:val="384"/>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Usluge</w:t>
            </w:r>
          </w:p>
        </w:tc>
        <w:tc>
          <w:tcPr>
            <w:tcW w:w="936"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1,32</w:t>
            </w:r>
          </w:p>
        </w:tc>
        <w:tc>
          <w:tcPr>
            <w:tcW w:w="936" w:type="dxa"/>
            <w:tcBorders>
              <w:top w:val="nil"/>
              <w:left w:val="nil"/>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2,44</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0,00</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F53F98">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w:t>
            </w:r>
            <w:r w:rsidR="00F53F98" w:rsidRPr="00361664">
              <w:rPr>
                <w:rFonts w:asciiTheme="minorHAnsi" w:hAnsiTheme="minorHAnsi" w:cs="Arial"/>
                <w:color w:val="000000"/>
                <w:sz w:val="20"/>
                <w:szCs w:val="20"/>
                <w:lang w:eastAsia="hr-HR"/>
              </w:rPr>
              <w:t>52</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1,53</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4,2</w:t>
            </w:r>
            <w:r w:rsidR="00F53F98" w:rsidRPr="00361664">
              <w:rPr>
                <w:rFonts w:asciiTheme="minorHAnsi" w:hAnsiTheme="minorHAnsi" w:cs="Arial"/>
                <w:color w:val="000000"/>
                <w:sz w:val="20"/>
                <w:szCs w:val="20"/>
                <w:lang w:eastAsia="hr-HR"/>
              </w:rPr>
              <w:t>4</w:t>
            </w:r>
          </w:p>
        </w:tc>
        <w:tc>
          <w:tcPr>
            <w:tcW w:w="936" w:type="dxa"/>
            <w:tcBorders>
              <w:top w:val="nil"/>
              <w:left w:val="nil"/>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1,36</w:t>
            </w:r>
          </w:p>
        </w:tc>
      </w:tr>
      <w:tr w:rsidR="005A5031" w:rsidRPr="00361664" w:rsidTr="00D12474">
        <w:trPr>
          <w:trHeight w:hRule="exact" w:val="511"/>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Industrija (ne ETS)</w:t>
            </w:r>
          </w:p>
        </w:tc>
        <w:tc>
          <w:tcPr>
            <w:tcW w:w="936"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0,6</w:t>
            </w:r>
          </w:p>
        </w:tc>
        <w:tc>
          <w:tcPr>
            <w:tcW w:w="936" w:type="dxa"/>
            <w:tcBorders>
              <w:top w:val="nil"/>
              <w:left w:val="nil"/>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2,32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0,60</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6,48</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0,64</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6,56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1,80</w:t>
            </w:r>
          </w:p>
        </w:tc>
        <w:tc>
          <w:tcPr>
            <w:tcW w:w="936" w:type="dxa"/>
            <w:tcBorders>
              <w:top w:val="nil"/>
              <w:left w:val="nil"/>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7,54</w:t>
            </w:r>
          </w:p>
        </w:tc>
      </w:tr>
      <w:tr w:rsidR="005A5031" w:rsidRPr="00361664" w:rsidTr="00D12474">
        <w:trPr>
          <w:trHeight w:hRule="exact" w:val="384"/>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Promet</w:t>
            </w:r>
          </w:p>
        </w:tc>
        <w:tc>
          <w:tcPr>
            <w:tcW w:w="936"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0,08</w:t>
            </w:r>
          </w:p>
        </w:tc>
        <w:tc>
          <w:tcPr>
            <w:tcW w:w="936" w:type="dxa"/>
            <w:tcBorders>
              <w:top w:val="nil"/>
              <w:left w:val="nil"/>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1,36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0,14</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6,86</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0,15</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3,99</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0,24</w:t>
            </w:r>
          </w:p>
        </w:tc>
        <w:tc>
          <w:tcPr>
            <w:tcW w:w="936" w:type="dxa"/>
            <w:tcBorders>
              <w:top w:val="nil"/>
              <w:left w:val="nil"/>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6,37</w:t>
            </w:r>
          </w:p>
        </w:tc>
      </w:tr>
      <w:tr w:rsidR="005A5031" w:rsidRPr="00361664" w:rsidTr="00D12474">
        <w:trPr>
          <w:trHeight w:hRule="exact" w:val="384"/>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5A5031" w:rsidRPr="00361664" w:rsidRDefault="005A5031" w:rsidP="005A5031">
            <w:pPr>
              <w:keepNext/>
              <w:spacing w:after="0" w:line="240" w:lineRule="auto"/>
              <w:jc w:val="both"/>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UKUPNO</w:t>
            </w:r>
          </w:p>
        </w:tc>
        <w:tc>
          <w:tcPr>
            <w:tcW w:w="936" w:type="dxa"/>
            <w:tcBorders>
              <w:top w:val="nil"/>
              <w:left w:val="nil"/>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3,53</w:t>
            </w:r>
          </w:p>
        </w:tc>
        <w:tc>
          <w:tcPr>
            <w:tcW w:w="936" w:type="dxa"/>
            <w:tcBorders>
              <w:top w:val="nil"/>
              <w:left w:val="nil"/>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13,42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5,44</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33,57</w:t>
            </w:r>
          </w:p>
        </w:tc>
        <w:tc>
          <w:tcPr>
            <w:tcW w:w="936" w:type="dxa"/>
            <w:tcBorders>
              <w:top w:val="single" w:sz="4" w:space="0" w:color="auto"/>
              <w:left w:val="single" w:sz="4" w:space="0" w:color="auto"/>
              <w:bottom w:val="single" w:sz="4" w:space="0" w:color="auto"/>
              <w:right w:val="single" w:sz="4" w:space="0" w:color="auto"/>
            </w:tcBorders>
            <w:vAlign w:val="center"/>
          </w:tcPr>
          <w:p w:rsidR="005A5031" w:rsidRPr="00361664" w:rsidRDefault="005A5031" w:rsidP="00F53F98">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6,</w:t>
            </w:r>
            <w:r w:rsidR="00F53F98" w:rsidRPr="00361664">
              <w:rPr>
                <w:rFonts w:asciiTheme="minorHAnsi" w:hAnsiTheme="minorHAnsi" w:cs="Arial"/>
                <w:color w:val="000000"/>
                <w:sz w:val="20"/>
                <w:szCs w:val="20"/>
                <w:lang w:eastAsia="hr-HR"/>
              </w:rPr>
              <w:t>11</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27,84</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031" w:rsidRPr="00361664" w:rsidRDefault="00F53F98"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13,65</w:t>
            </w:r>
          </w:p>
        </w:tc>
        <w:tc>
          <w:tcPr>
            <w:tcW w:w="936" w:type="dxa"/>
            <w:tcBorders>
              <w:top w:val="nil"/>
              <w:left w:val="nil"/>
              <w:bottom w:val="single" w:sz="4" w:space="0" w:color="auto"/>
              <w:right w:val="single" w:sz="4" w:space="0" w:color="auto"/>
            </w:tcBorders>
            <w:shd w:val="clear" w:color="auto" w:fill="FFFFFF" w:themeFill="background1"/>
            <w:vAlign w:val="center"/>
          </w:tcPr>
          <w:p w:rsidR="005A5031" w:rsidRPr="00361664" w:rsidRDefault="005A5031" w:rsidP="005A5031">
            <w:pPr>
              <w:keepNext/>
              <w:spacing w:after="0" w:line="240" w:lineRule="auto"/>
              <w:jc w:val="center"/>
              <w:rPr>
                <w:rFonts w:asciiTheme="minorHAnsi" w:hAnsiTheme="minorHAnsi" w:cs="Arial"/>
                <w:color w:val="000000"/>
                <w:sz w:val="20"/>
                <w:szCs w:val="20"/>
                <w:lang w:eastAsia="hr-HR"/>
              </w:rPr>
            </w:pPr>
            <w:r w:rsidRPr="00361664">
              <w:rPr>
                <w:rFonts w:asciiTheme="minorHAnsi" w:hAnsiTheme="minorHAnsi" w:cs="Arial"/>
                <w:color w:val="000000"/>
                <w:sz w:val="20"/>
                <w:szCs w:val="20"/>
                <w:lang w:eastAsia="hr-HR"/>
              </w:rPr>
              <w:t>35,63</w:t>
            </w:r>
          </w:p>
        </w:tc>
      </w:tr>
    </w:tbl>
    <w:p w:rsidR="007D720D" w:rsidRPr="00361664" w:rsidRDefault="007D720D" w:rsidP="007D720D">
      <w:pPr>
        <w:spacing w:after="0"/>
        <w:rPr>
          <w:sz w:val="16"/>
          <w:szCs w:val="16"/>
        </w:rPr>
      </w:pPr>
    </w:p>
    <w:p w:rsidR="005A5031" w:rsidRPr="00361664" w:rsidRDefault="00A56031" w:rsidP="005A5031">
      <w:pPr>
        <w:jc w:val="both"/>
      </w:pPr>
      <w:r w:rsidRPr="00361664">
        <w:t>TD p</w:t>
      </w:r>
      <w:r w:rsidR="005A5031" w:rsidRPr="00361664">
        <w:t>rojekcije za 2016. godinu pokazuju da bi mogle biti ostvarene nešto manje uštede nego u 2015. godini</w:t>
      </w:r>
      <w:r w:rsidR="005A5031" w:rsidRPr="00361664">
        <w:rPr>
          <w:rStyle w:val="Referencafusnote"/>
        </w:rPr>
        <w:footnoteReference w:id="3"/>
      </w:r>
      <w:r w:rsidR="005A5031" w:rsidRPr="00361664">
        <w:t xml:space="preserve">, a s obzirom na okvirne sektorske ciljeve, moguće je </w:t>
      </w:r>
      <w:r w:rsidR="00917DB2" w:rsidRPr="00361664">
        <w:t xml:space="preserve">da neće biti ostvareni okvirni </w:t>
      </w:r>
      <w:r w:rsidR="005A5031" w:rsidRPr="00361664">
        <w:t>ciljevi za uštede u sektorima usluga i prometa. Međutim, očekuje se da će uštede u sektoru kućanstava i u industriji os</w:t>
      </w:r>
      <w:r w:rsidR="00917DB2" w:rsidRPr="00361664">
        <w:t>tvariti veće uštede od okvirnih</w:t>
      </w:r>
      <w:r w:rsidR="005A5031" w:rsidRPr="00361664">
        <w:t xml:space="preserve"> ciljeva. Stoga se očekuje da će cilj za uštede energije u 2016. godini prema zahtjevima ESD te postavljeni nacionalni cilj za uštede energije u 2020. godini biti ostvareni uz procjenu prema TD metodi. U tablici su prikazane ostvarene uštede za 2016. godinu prema BU metodi, dok je za TD metodu prikazana procjena očekivanih ušteda.</w:t>
      </w:r>
    </w:p>
    <w:p w:rsidR="007D720D" w:rsidRPr="00361664" w:rsidRDefault="007D720D" w:rsidP="007D720D">
      <w:pPr>
        <w:rPr>
          <w:rFonts w:ascii="Cambria" w:eastAsia="Calibri" w:hAnsi="Cambria"/>
          <w:b/>
          <w:color w:val="365F91"/>
          <w:sz w:val="24"/>
          <w:szCs w:val="28"/>
        </w:rPr>
      </w:pPr>
      <w:r w:rsidRPr="00361664">
        <w:rPr>
          <w:rFonts w:ascii="Cambria" w:eastAsia="Calibri" w:hAnsi="Cambria"/>
          <w:bCs/>
          <w:smallCaps/>
          <w:color w:val="365F91"/>
          <w:sz w:val="24"/>
          <w:szCs w:val="28"/>
        </w:rPr>
        <w:br w:type="page"/>
      </w:r>
    </w:p>
    <w:p w:rsidR="00944F9E" w:rsidRPr="00361664" w:rsidRDefault="004E4418" w:rsidP="00651BCA">
      <w:pPr>
        <w:pStyle w:val="Naslov1"/>
        <w:jc w:val="both"/>
        <w:rPr>
          <w:rStyle w:val="Jakoisticanje"/>
          <w:b/>
          <w:bCs/>
          <w:i w:val="0"/>
          <w:iCs w:val="0"/>
          <w:color w:val="365F91"/>
          <w:lang w:val="hr-HR"/>
        </w:rPr>
      </w:pPr>
      <w:bookmarkStart w:id="14" w:name="_Toc535245840"/>
      <w:r w:rsidRPr="00361664">
        <w:rPr>
          <w:rStyle w:val="Naslov1Char"/>
          <w:b/>
          <w:lang w:val="hr-HR"/>
        </w:rPr>
        <w:lastRenderedPageBreak/>
        <w:t xml:space="preserve">MJERE POLITIKE O </w:t>
      </w:r>
      <w:r w:rsidR="004D3B8E" w:rsidRPr="00361664">
        <w:rPr>
          <w:rStyle w:val="Naslov1Char"/>
          <w:b/>
          <w:lang w:val="hr-HR"/>
        </w:rPr>
        <w:t>PROVEDB</w:t>
      </w:r>
      <w:r w:rsidRPr="00361664">
        <w:rPr>
          <w:rStyle w:val="Naslov1Char"/>
          <w:b/>
          <w:lang w:val="hr-HR"/>
        </w:rPr>
        <w:t>I</w:t>
      </w:r>
      <w:r w:rsidR="004D3B8E" w:rsidRPr="00361664">
        <w:rPr>
          <w:rStyle w:val="Naslov1Char"/>
          <w:b/>
          <w:lang w:val="hr-HR"/>
        </w:rPr>
        <w:t xml:space="preserve"> DIREKTIVE O ENERGETSKOJ UČINKOVITOSTI (2012/27/EU)</w:t>
      </w:r>
      <w:bookmarkEnd w:id="14"/>
      <w:r w:rsidR="00944F9E" w:rsidRPr="00361664">
        <w:rPr>
          <w:rStyle w:val="Naslov1Char"/>
          <w:b/>
          <w:lang w:val="hr-HR"/>
        </w:rPr>
        <w:tab/>
      </w:r>
      <w:r w:rsidR="004D3B8E" w:rsidRPr="00361664">
        <w:rPr>
          <w:rStyle w:val="Jakoisticanje"/>
          <w:b/>
          <w:bCs/>
          <w:i w:val="0"/>
          <w:iCs w:val="0"/>
          <w:color w:val="365F91"/>
          <w:lang w:val="hr-HR"/>
        </w:rPr>
        <w:br/>
      </w:r>
    </w:p>
    <w:p w:rsidR="00313553" w:rsidRPr="00361664" w:rsidRDefault="00FA7A80" w:rsidP="00651BCA">
      <w:pPr>
        <w:jc w:val="both"/>
        <w:rPr>
          <w:sz w:val="20"/>
          <w:szCs w:val="20"/>
        </w:rPr>
      </w:pPr>
      <w:r w:rsidRPr="00361664">
        <w:rPr>
          <w:sz w:val="20"/>
          <w:szCs w:val="20"/>
        </w:rPr>
        <w:t xml:space="preserve">U ovom poglavlju dan je prikaz svih mjera energetske učinkovitosti, sukladno </w:t>
      </w:r>
      <w:r w:rsidR="00716D5A" w:rsidRPr="00361664">
        <w:rPr>
          <w:sz w:val="20"/>
          <w:szCs w:val="20"/>
        </w:rPr>
        <w:t>smjernicama</w:t>
      </w:r>
      <w:r w:rsidR="00832600" w:rsidRPr="00361664">
        <w:rPr>
          <w:sz w:val="20"/>
          <w:szCs w:val="20"/>
        </w:rPr>
        <w:t>prema</w:t>
      </w:r>
      <w:r w:rsidRPr="00361664">
        <w:rPr>
          <w:sz w:val="20"/>
          <w:szCs w:val="20"/>
        </w:rPr>
        <w:t xml:space="preserve"> Vodiču za izradu Nacionalnih akcijskih planova </w:t>
      </w:r>
      <w:r w:rsidR="00832600" w:rsidRPr="00361664">
        <w:rPr>
          <w:sz w:val="20"/>
          <w:szCs w:val="20"/>
        </w:rPr>
        <w:t>EK (</w:t>
      </w:r>
      <w:r w:rsidR="00832600" w:rsidRPr="00361664">
        <w:rPr>
          <w:rFonts w:asciiTheme="minorHAnsi" w:hAnsiTheme="minorHAnsi"/>
          <w:sz w:val="20"/>
          <w:szCs w:val="20"/>
        </w:rPr>
        <w:t>Guidance for National Energy EfficiencyActionPlans</w:t>
      </w:r>
      <w:r w:rsidR="00832600" w:rsidRPr="00361664">
        <w:rPr>
          <w:sz w:val="20"/>
          <w:szCs w:val="20"/>
        </w:rPr>
        <w:t>). C</w:t>
      </w:r>
      <w:r w:rsidRPr="00361664">
        <w:rPr>
          <w:sz w:val="20"/>
          <w:szCs w:val="20"/>
        </w:rPr>
        <w:t xml:space="preserve">ijeli je sadržaj prilagođen </w:t>
      </w:r>
      <w:r w:rsidR="00832600" w:rsidRPr="00361664">
        <w:rPr>
          <w:sz w:val="20"/>
          <w:szCs w:val="20"/>
        </w:rPr>
        <w:t xml:space="preserve">ovim smjernicama </w:t>
      </w:r>
      <w:r w:rsidRPr="00361664">
        <w:rPr>
          <w:sz w:val="20"/>
          <w:szCs w:val="20"/>
        </w:rPr>
        <w:t xml:space="preserve">kako bi bilo lakše slijediti </w:t>
      </w:r>
      <w:r w:rsidR="00611F2B" w:rsidRPr="00361664">
        <w:rPr>
          <w:sz w:val="20"/>
          <w:szCs w:val="20"/>
        </w:rPr>
        <w:t>ispunjenje obveza propisanih DEU</w:t>
      </w:r>
      <w:r w:rsidRPr="00361664">
        <w:rPr>
          <w:sz w:val="20"/>
          <w:szCs w:val="20"/>
        </w:rPr>
        <w:t>.</w:t>
      </w:r>
      <w:r w:rsidR="00A34BB0" w:rsidRPr="00361664">
        <w:rPr>
          <w:sz w:val="20"/>
          <w:szCs w:val="20"/>
        </w:rPr>
        <w:t xml:space="preserve"> </w:t>
      </w:r>
      <w:r w:rsidRPr="00361664">
        <w:rPr>
          <w:sz w:val="20"/>
          <w:szCs w:val="20"/>
        </w:rPr>
        <w:t xml:space="preserve">Prethodno poglavljima priložena je tablica koja sumarno prikazuje sve mjere </w:t>
      </w:r>
      <w:r w:rsidR="004D3B8E" w:rsidRPr="00361664">
        <w:rPr>
          <w:sz w:val="20"/>
          <w:szCs w:val="20"/>
        </w:rPr>
        <w:t>4</w:t>
      </w:r>
      <w:r w:rsidR="003664C6" w:rsidRPr="00361664">
        <w:rPr>
          <w:sz w:val="20"/>
          <w:szCs w:val="20"/>
        </w:rPr>
        <w:t>.</w:t>
      </w:r>
      <w:r w:rsidR="004D3B8E" w:rsidRPr="00361664">
        <w:rPr>
          <w:sz w:val="20"/>
          <w:szCs w:val="20"/>
        </w:rPr>
        <w:t>NAPEnU</w:t>
      </w:r>
      <w:r w:rsidR="00A34BB0" w:rsidRPr="00361664">
        <w:rPr>
          <w:sz w:val="20"/>
          <w:szCs w:val="20"/>
        </w:rPr>
        <w:t xml:space="preserve"> </w:t>
      </w:r>
      <w:r w:rsidR="00F01985" w:rsidRPr="00361664">
        <w:rPr>
          <w:sz w:val="20"/>
          <w:szCs w:val="20"/>
        </w:rPr>
        <w:t>te daje</w:t>
      </w:r>
      <w:r w:rsidRPr="00361664">
        <w:rPr>
          <w:sz w:val="20"/>
          <w:szCs w:val="20"/>
        </w:rPr>
        <w:t xml:space="preserve"> poveznic</w:t>
      </w:r>
      <w:r w:rsidR="00F01985" w:rsidRPr="00361664">
        <w:rPr>
          <w:sz w:val="20"/>
          <w:szCs w:val="20"/>
        </w:rPr>
        <w:t>u</w:t>
      </w:r>
      <w:r w:rsidR="004D3B8E" w:rsidRPr="00361664">
        <w:rPr>
          <w:sz w:val="20"/>
          <w:szCs w:val="20"/>
        </w:rPr>
        <w:t xml:space="preserve"> s mjerama iz 3</w:t>
      </w:r>
      <w:r w:rsidRPr="00361664">
        <w:rPr>
          <w:sz w:val="20"/>
          <w:szCs w:val="20"/>
        </w:rPr>
        <w:t>. N</w:t>
      </w:r>
      <w:r w:rsidR="004D3B8E" w:rsidRPr="00361664">
        <w:rPr>
          <w:sz w:val="20"/>
          <w:szCs w:val="20"/>
        </w:rPr>
        <w:t>APEnU</w:t>
      </w:r>
      <w:r w:rsidRPr="00361664">
        <w:rPr>
          <w:sz w:val="20"/>
          <w:szCs w:val="20"/>
        </w:rPr>
        <w:t xml:space="preserve">. </w:t>
      </w:r>
      <w:r w:rsidR="00313553" w:rsidRPr="00361664">
        <w:rPr>
          <w:sz w:val="20"/>
          <w:szCs w:val="20"/>
        </w:rPr>
        <w:t xml:space="preserve">Poglavlja </w:t>
      </w:r>
      <w:r w:rsidR="004D3B8E" w:rsidRPr="00361664">
        <w:rPr>
          <w:sz w:val="20"/>
          <w:szCs w:val="20"/>
        </w:rPr>
        <w:t>u 4</w:t>
      </w:r>
      <w:r w:rsidR="004C0952" w:rsidRPr="00361664">
        <w:rPr>
          <w:sz w:val="20"/>
          <w:szCs w:val="20"/>
        </w:rPr>
        <w:t xml:space="preserve">. NAPEnU nazvana su prema prvom slovu engleske riječi predložene Vodičem EK za pisanje Nacionalnih planova. </w:t>
      </w:r>
      <w:r w:rsidR="00716D5A" w:rsidRPr="00361664">
        <w:rPr>
          <w:sz w:val="20"/>
          <w:szCs w:val="20"/>
        </w:rPr>
        <w:t>Slijedi</w:t>
      </w:r>
      <w:r w:rsidR="004C0952" w:rsidRPr="00361664">
        <w:rPr>
          <w:sz w:val="20"/>
          <w:szCs w:val="20"/>
        </w:rPr>
        <w:t xml:space="preserve"> popis poglavlja te oznaka kojom će se nazivati mjere u svakom poglavlju:</w:t>
      </w:r>
    </w:p>
    <w:tbl>
      <w:tblPr>
        <w:tblStyle w:val="Reetkatablice"/>
        <w:tblW w:w="0" w:type="auto"/>
        <w:tblLook w:val="04A0" w:firstRow="1" w:lastRow="0" w:firstColumn="1" w:lastColumn="0" w:noHBand="0" w:noVBand="1"/>
      </w:tblPr>
      <w:tblGrid>
        <w:gridCol w:w="5118"/>
        <w:gridCol w:w="1801"/>
      </w:tblGrid>
      <w:tr w:rsidR="004D3B8E" w:rsidRPr="00361664" w:rsidTr="007026BD">
        <w:trPr>
          <w:trHeight w:hRule="exact" w:val="354"/>
        </w:trPr>
        <w:tc>
          <w:tcPr>
            <w:tcW w:w="5118" w:type="dxa"/>
          </w:tcPr>
          <w:p w:rsidR="004D3B8E" w:rsidRPr="00361664" w:rsidRDefault="004D3B8E" w:rsidP="00651BCA">
            <w:pPr>
              <w:jc w:val="both"/>
            </w:pPr>
            <w:r w:rsidRPr="00361664">
              <w:t>1. Horizontalne mjere (horizontal)</w:t>
            </w:r>
          </w:p>
        </w:tc>
        <w:tc>
          <w:tcPr>
            <w:tcW w:w="1801" w:type="dxa"/>
          </w:tcPr>
          <w:p w:rsidR="004D3B8E" w:rsidRPr="00361664" w:rsidRDefault="004D3B8E" w:rsidP="00651BCA">
            <w:pPr>
              <w:jc w:val="both"/>
            </w:pPr>
            <w:r w:rsidRPr="00361664">
              <w:t>H</w:t>
            </w:r>
          </w:p>
        </w:tc>
      </w:tr>
      <w:tr w:rsidR="004D3B8E" w:rsidRPr="00361664" w:rsidTr="007026BD">
        <w:trPr>
          <w:trHeight w:hRule="exact" w:val="354"/>
        </w:trPr>
        <w:tc>
          <w:tcPr>
            <w:tcW w:w="5118" w:type="dxa"/>
          </w:tcPr>
          <w:p w:rsidR="004D3B8E" w:rsidRPr="00361664" w:rsidRDefault="004D3B8E" w:rsidP="00651BCA">
            <w:pPr>
              <w:jc w:val="both"/>
            </w:pPr>
            <w:r w:rsidRPr="00361664">
              <w:t>2. Zgrade (buildings)</w:t>
            </w:r>
          </w:p>
        </w:tc>
        <w:tc>
          <w:tcPr>
            <w:tcW w:w="1801" w:type="dxa"/>
          </w:tcPr>
          <w:p w:rsidR="004D3B8E" w:rsidRPr="00361664" w:rsidRDefault="004D3B8E" w:rsidP="00651BCA">
            <w:pPr>
              <w:jc w:val="both"/>
            </w:pPr>
            <w:r w:rsidRPr="00361664">
              <w:t>B</w:t>
            </w:r>
          </w:p>
        </w:tc>
      </w:tr>
      <w:tr w:rsidR="004D3B8E" w:rsidRPr="00361664" w:rsidTr="007026BD">
        <w:trPr>
          <w:trHeight w:hRule="exact" w:val="354"/>
        </w:trPr>
        <w:tc>
          <w:tcPr>
            <w:tcW w:w="5118" w:type="dxa"/>
          </w:tcPr>
          <w:p w:rsidR="004D3B8E" w:rsidRPr="00361664" w:rsidRDefault="004D3B8E" w:rsidP="00651BCA">
            <w:pPr>
              <w:jc w:val="both"/>
            </w:pPr>
            <w:r w:rsidRPr="00361664">
              <w:t>3. Javni sector (publicbodies)</w:t>
            </w:r>
          </w:p>
        </w:tc>
        <w:tc>
          <w:tcPr>
            <w:tcW w:w="1801" w:type="dxa"/>
          </w:tcPr>
          <w:p w:rsidR="004D3B8E" w:rsidRPr="00361664" w:rsidRDefault="004D3B8E" w:rsidP="00651BCA">
            <w:pPr>
              <w:jc w:val="both"/>
            </w:pPr>
            <w:r w:rsidRPr="00361664">
              <w:t>P</w:t>
            </w:r>
          </w:p>
        </w:tc>
      </w:tr>
      <w:tr w:rsidR="004D3B8E" w:rsidRPr="00361664" w:rsidTr="007026BD">
        <w:trPr>
          <w:trHeight w:hRule="exact" w:val="354"/>
        </w:trPr>
        <w:tc>
          <w:tcPr>
            <w:tcW w:w="5118" w:type="dxa"/>
          </w:tcPr>
          <w:p w:rsidR="004D3B8E" w:rsidRPr="00361664" w:rsidRDefault="004D3B8E" w:rsidP="00651BCA">
            <w:pPr>
              <w:jc w:val="both"/>
            </w:pPr>
            <w:r w:rsidRPr="00361664">
              <w:t>4. Industrija (industry)</w:t>
            </w:r>
          </w:p>
        </w:tc>
        <w:tc>
          <w:tcPr>
            <w:tcW w:w="1801" w:type="dxa"/>
          </w:tcPr>
          <w:p w:rsidR="004D3B8E" w:rsidRPr="00361664" w:rsidRDefault="004D3B8E" w:rsidP="00651BCA">
            <w:pPr>
              <w:jc w:val="both"/>
            </w:pPr>
            <w:r w:rsidRPr="00361664">
              <w:t>I</w:t>
            </w:r>
          </w:p>
        </w:tc>
      </w:tr>
      <w:tr w:rsidR="004D3B8E" w:rsidRPr="00361664" w:rsidTr="007026BD">
        <w:trPr>
          <w:trHeight w:hRule="exact" w:val="354"/>
        </w:trPr>
        <w:tc>
          <w:tcPr>
            <w:tcW w:w="5118" w:type="dxa"/>
          </w:tcPr>
          <w:p w:rsidR="004D3B8E" w:rsidRPr="00361664" w:rsidRDefault="004D3B8E" w:rsidP="00651BCA">
            <w:pPr>
              <w:jc w:val="both"/>
            </w:pPr>
            <w:r w:rsidRPr="00361664">
              <w:t>5. Promet (traffic)</w:t>
            </w:r>
            <w:r w:rsidRPr="00361664">
              <w:tab/>
            </w:r>
          </w:p>
        </w:tc>
        <w:tc>
          <w:tcPr>
            <w:tcW w:w="1801" w:type="dxa"/>
          </w:tcPr>
          <w:p w:rsidR="004D3B8E" w:rsidRPr="00361664" w:rsidRDefault="004D3B8E" w:rsidP="00651BCA">
            <w:pPr>
              <w:jc w:val="both"/>
            </w:pPr>
            <w:r w:rsidRPr="00361664">
              <w:t>T</w:t>
            </w:r>
          </w:p>
        </w:tc>
      </w:tr>
      <w:tr w:rsidR="004D3B8E" w:rsidRPr="00361664" w:rsidTr="007026BD">
        <w:trPr>
          <w:trHeight w:hRule="exact" w:val="354"/>
        </w:trPr>
        <w:tc>
          <w:tcPr>
            <w:tcW w:w="5118" w:type="dxa"/>
          </w:tcPr>
          <w:p w:rsidR="004D3B8E" w:rsidRPr="00361664" w:rsidRDefault="004D3B8E" w:rsidP="00651BCA">
            <w:pPr>
              <w:jc w:val="both"/>
            </w:pPr>
            <w:r w:rsidRPr="00361664">
              <w:t>6. Grijanje i hlađenje (heating&amp;cooling)</w:t>
            </w:r>
          </w:p>
        </w:tc>
        <w:tc>
          <w:tcPr>
            <w:tcW w:w="1801" w:type="dxa"/>
          </w:tcPr>
          <w:p w:rsidR="004D3B8E" w:rsidRPr="00361664" w:rsidRDefault="004D3B8E" w:rsidP="00651BCA">
            <w:pPr>
              <w:jc w:val="both"/>
            </w:pPr>
            <w:r w:rsidRPr="00361664">
              <w:t>HC</w:t>
            </w:r>
          </w:p>
        </w:tc>
      </w:tr>
      <w:tr w:rsidR="004D3B8E" w:rsidRPr="00361664" w:rsidTr="007026BD">
        <w:trPr>
          <w:trHeight w:hRule="exact" w:val="721"/>
        </w:trPr>
        <w:tc>
          <w:tcPr>
            <w:tcW w:w="5118" w:type="dxa"/>
          </w:tcPr>
          <w:p w:rsidR="004D3B8E" w:rsidRPr="00361664" w:rsidRDefault="004D3B8E" w:rsidP="00651BCA">
            <w:pPr>
              <w:jc w:val="both"/>
            </w:pPr>
            <w:r w:rsidRPr="00361664">
              <w:t>7. Energetske transformacije, distribucije,  prijenos i odgovor na potražnju (Energy transformation, distribution, transmissionanddemandresponse)</w:t>
            </w:r>
          </w:p>
        </w:tc>
        <w:tc>
          <w:tcPr>
            <w:tcW w:w="1801" w:type="dxa"/>
          </w:tcPr>
          <w:p w:rsidR="004D3B8E" w:rsidRPr="00361664" w:rsidRDefault="004D3B8E" w:rsidP="00651BCA">
            <w:pPr>
              <w:jc w:val="both"/>
            </w:pPr>
            <w:r w:rsidRPr="00361664">
              <w:t>E</w:t>
            </w:r>
          </w:p>
        </w:tc>
      </w:tr>
    </w:tbl>
    <w:p w:rsidR="004D3B8E" w:rsidRPr="00361664" w:rsidRDefault="004D3B8E" w:rsidP="00651BCA">
      <w:pPr>
        <w:jc w:val="both"/>
        <w:rPr>
          <w:sz w:val="20"/>
          <w:szCs w:val="20"/>
        </w:rPr>
      </w:pPr>
    </w:p>
    <w:p w:rsidR="000E7F04" w:rsidRPr="00361664" w:rsidRDefault="000E7F04" w:rsidP="00651BCA">
      <w:pPr>
        <w:jc w:val="both"/>
        <w:rPr>
          <w:bCs/>
          <w:sz w:val="20"/>
          <w:szCs w:val="20"/>
          <w:lang w:eastAsia="hr-HR"/>
        </w:rPr>
      </w:pPr>
      <w:r w:rsidRPr="00361664">
        <w:rPr>
          <w:bCs/>
          <w:sz w:val="20"/>
          <w:szCs w:val="20"/>
          <w:lang w:eastAsia="hr-HR"/>
        </w:rPr>
        <w:t xml:space="preserve">U </w:t>
      </w:r>
      <w:r w:rsidR="003549A6" w:rsidRPr="00361664">
        <w:rPr>
          <w:bCs/>
          <w:sz w:val="20"/>
          <w:szCs w:val="20"/>
          <w:lang w:eastAsia="hr-HR"/>
        </w:rPr>
        <w:t>tablici 3</w:t>
      </w:r>
      <w:r w:rsidR="004D3B8E" w:rsidRPr="00361664">
        <w:rPr>
          <w:bCs/>
          <w:sz w:val="20"/>
          <w:szCs w:val="20"/>
          <w:lang w:eastAsia="hr-HR"/>
        </w:rPr>
        <w:t>-1</w:t>
      </w:r>
      <w:r w:rsidR="003664C6" w:rsidRPr="00361664">
        <w:rPr>
          <w:bCs/>
          <w:sz w:val="20"/>
          <w:szCs w:val="20"/>
          <w:lang w:eastAsia="hr-HR"/>
        </w:rPr>
        <w:t>.</w:t>
      </w:r>
      <w:r w:rsidRPr="00361664">
        <w:rPr>
          <w:bCs/>
          <w:sz w:val="20"/>
          <w:szCs w:val="20"/>
          <w:lang w:eastAsia="hr-HR"/>
        </w:rPr>
        <w:t xml:space="preserve"> prikazane su sve mje</w:t>
      </w:r>
      <w:r w:rsidR="0083484B" w:rsidRPr="00361664">
        <w:rPr>
          <w:bCs/>
          <w:sz w:val="20"/>
          <w:szCs w:val="20"/>
          <w:lang w:eastAsia="hr-HR"/>
        </w:rPr>
        <w:t>re 4. NAPEnU u odnosu na mjere</w:t>
      </w:r>
      <w:r w:rsidR="00577AC6" w:rsidRPr="00361664">
        <w:rPr>
          <w:bCs/>
          <w:sz w:val="20"/>
          <w:szCs w:val="20"/>
          <w:lang w:eastAsia="hr-HR"/>
        </w:rPr>
        <w:t xml:space="preserve"> iz</w:t>
      </w:r>
      <w:r w:rsidR="0083484B" w:rsidRPr="00361664">
        <w:rPr>
          <w:bCs/>
          <w:sz w:val="20"/>
          <w:szCs w:val="20"/>
          <w:lang w:eastAsia="hr-HR"/>
        </w:rPr>
        <w:t xml:space="preserve"> 3. NAPEnU. </w:t>
      </w:r>
    </w:p>
    <w:p w:rsidR="006D29F7" w:rsidRPr="00361664" w:rsidRDefault="003549A6" w:rsidP="00651BCA">
      <w:pPr>
        <w:jc w:val="both"/>
        <w:rPr>
          <w:b/>
          <w:bCs/>
          <w:sz w:val="20"/>
          <w:szCs w:val="20"/>
          <w:lang w:eastAsia="hr-HR"/>
        </w:rPr>
      </w:pPr>
      <w:r w:rsidRPr="00361664">
        <w:rPr>
          <w:b/>
          <w:bCs/>
          <w:sz w:val="20"/>
          <w:szCs w:val="20"/>
          <w:lang w:eastAsia="hr-HR"/>
        </w:rPr>
        <w:t>Tablica 3</w:t>
      </w:r>
      <w:r w:rsidR="004D3B8E" w:rsidRPr="00361664">
        <w:rPr>
          <w:b/>
          <w:bCs/>
          <w:sz w:val="20"/>
          <w:szCs w:val="20"/>
          <w:lang w:eastAsia="hr-HR"/>
        </w:rPr>
        <w:t>-1</w:t>
      </w:r>
      <w:r w:rsidR="006D29F7" w:rsidRPr="00361664">
        <w:rPr>
          <w:b/>
          <w:bCs/>
          <w:sz w:val="20"/>
          <w:szCs w:val="20"/>
          <w:lang w:eastAsia="hr-HR"/>
        </w:rPr>
        <w:t xml:space="preserve">. </w:t>
      </w:r>
      <w:r w:rsidR="006D29F7" w:rsidRPr="00361664">
        <w:rPr>
          <w:bCs/>
          <w:sz w:val="20"/>
          <w:szCs w:val="20"/>
          <w:lang w:eastAsia="hr-HR"/>
        </w:rPr>
        <w:t>Preg</w:t>
      </w:r>
      <w:r w:rsidR="004D3B8E" w:rsidRPr="00361664">
        <w:rPr>
          <w:bCs/>
          <w:sz w:val="20"/>
          <w:szCs w:val="20"/>
          <w:lang w:eastAsia="hr-HR"/>
        </w:rPr>
        <w:t>led i status mjera 4</w:t>
      </w:r>
      <w:r w:rsidR="006D29F7" w:rsidRPr="00361664">
        <w:rPr>
          <w:bCs/>
          <w:sz w:val="20"/>
          <w:szCs w:val="20"/>
          <w:lang w:eastAsia="hr-HR"/>
        </w:rPr>
        <w:t>. NAPEnU</w:t>
      </w:r>
    </w:p>
    <w:tbl>
      <w:tblPr>
        <w:tblW w:w="9080" w:type="dxa"/>
        <w:jc w:val="center"/>
        <w:tblLook w:val="04A0" w:firstRow="1" w:lastRow="0" w:firstColumn="1" w:lastColumn="0" w:noHBand="0" w:noVBand="1"/>
      </w:tblPr>
      <w:tblGrid>
        <w:gridCol w:w="523"/>
        <w:gridCol w:w="3816"/>
        <w:gridCol w:w="820"/>
        <w:gridCol w:w="2952"/>
        <w:gridCol w:w="969"/>
      </w:tblGrid>
      <w:tr w:rsidR="0001495B" w:rsidRPr="00361664" w:rsidTr="00A86906">
        <w:trPr>
          <w:trHeight w:val="450"/>
          <w:tblHeader/>
          <w:jc w:val="center"/>
        </w:trPr>
        <w:tc>
          <w:tcPr>
            <w:tcW w:w="9080" w:type="dxa"/>
            <w:gridSpan w:val="5"/>
            <w:tcBorders>
              <w:top w:val="single" w:sz="4" w:space="0" w:color="auto"/>
              <w:left w:val="single" w:sz="4" w:space="0" w:color="auto"/>
              <w:bottom w:val="single" w:sz="4" w:space="0" w:color="000000"/>
              <w:right w:val="single" w:sz="4" w:space="0" w:color="000000"/>
            </w:tcBorders>
            <w:shd w:val="clear" w:color="auto" w:fill="CCFFCC"/>
            <w:vAlign w:val="center"/>
            <w:hideMark/>
          </w:tcPr>
          <w:p w:rsidR="0001495B" w:rsidRPr="00361664" w:rsidRDefault="004D3B8E" w:rsidP="00651BCA">
            <w:pPr>
              <w:spacing w:after="0" w:line="240" w:lineRule="auto"/>
              <w:jc w:val="both"/>
              <w:rPr>
                <w:b/>
                <w:bCs/>
                <w:sz w:val="20"/>
                <w:szCs w:val="20"/>
                <w:lang w:eastAsia="hr-HR"/>
              </w:rPr>
            </w:pPr>
            <w:bookmarkStart w:id="15" w:name="RANGE!B2:F45"/>
            <w:r w:rsidRPr="00361664">
              <w:rPr>
                <w:b/>
                <w:bCs/>
                <w:sz w:val="20"/>
                <w:szCs w:val="20"/>
                <w:lang w:eastAsia="hr-HR"/>
              </w:rPr>
              <w:t>Pregled i status mjera 4</w:t>
            </w:r>
            <w:r w:rsidR="0001495B" w:rsidRPr="00361664">
              <w:rPr>
                <w:b/>
                <w:bCs/>
                <w:sz w:val="20"/>
                <w:szCs w:val="20"/>
                <w:lang w:eastAsia="hr-HR"/>
              </w:rPr>
              <w:t>. NAPEnU</w:t>
            </w:r>
            <w:bookmarkEnd w:id="15"/>
          </w:p>
        </w:tc>
      </w:tr>
      <w:tr w:rsidR="0001495B" w:rsidRPr="00361664" w:rsidTr="00A86906">
        <w:trPr>
          <w:trHeight w:val="1140"/>
          <w:tblHeader/>
          <w:jc w:val="center"/>
        </w:trPr>
        <w:tc>
          <w:tcPr>
            <w:tcW w:w="4339"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01495B" w:rsidRPr="00361664" w:rsidRDefault="0001495B" w:rsidP="00237807">
            <w:pPr>
              <w:spacing w:after="0" w:line="240" w:lineRule="auto"/>
              <w:jc w:val="center"/>
              <w:rPr>
                <w:b/>
                <w:sz w:val="20"/>
                <w:szCs w:val="20"/>
                <w:lang w:eastAsia="hr-HR"/>
              </w:rPr>
            </w:pPr>
            <w:r w:rsidRPr="00361664">
              <w:rPr>
                <w:b/>
                <w:sz w:val="20"/>
                <w:szCs w:val="20"/>
                <w:lang w:eastAsia="hr-HR"/>
              </w:rPr>
              <w:t>Popis mjera</w:t>
            </w:r>
          </w:p>
        </w:tc>
        <w:tc>
          <w:tcPr>
            <w:tcW w:w="820" w:type="dxa"/>
            <w:tcBorders>
              <w:top w:val="nil"/>
              <w:left w:val="nil"/>
              <w:bottom w:val="single" w:sz="4" w:space="0" w:color="auto"/>
              <w:right w:val="single" w:sz="4" w:space="0" w:color="auto"/>
            </w:tcBorders>
            <w:shd w:val="clear" w:color="auto" w:fill="CCFFCC"/>
            <w:vAlign w:val="center"/>
            <w:hideMark/>
          </w:tcPr>
          <w:p w:rsidR="0001495B" w:rsidRPr="00361664" w:rsidRDefault="004D3B8E" w:rsidP="00237807">
            <w:pPr>
              <w:spacing w:after="0" w:line="240" w:lineRule="auto"/>
              <w:jc w:val="center"/>
              <w:rPr>
                <w:b/>
                <w:sz w:val="16"/>
                <w:szCs w:val="16"/>
                <w:lang w:eastAsia="hr-HR"/>
              </w:rPr>
            </w:pPr>
            <w:r w:rsidRPr="00361664">
              <w:rPr>
                <w:b/>
                <w:sz w:val="16"/>
                <w:szCs w:val="16"/>
                <w:lang w:eastAsia="hr-HR"/>
              </w:rPr>
              <w:t>Ref. na indeks mjere prema 3</w:t>
            </w:r>
            <w:r w:rsidR="0001495B" w:rsidRPr="00361664">
              <w:rPr>
                <w:b/>
                <w:sz w:val="16"/>
                <w:szCs w:val="16"/>
                <w:lang w:eastAsia="hr-HR"/>
              </w:rPr>
              <w:t>. NAPEnU</w:t>
            </w:r>
          </w:p>
        </w:tc>
        <w:tc>
          <w:tcPr>
            <w:tcW w:w="2952" w:type="dxa"/>
            <w:tcBorders>
              <w:top w:val="nil"/>
              <w:left w:val="nil"/>
              <w:bottom w:val="single" w:sz="4" w:space="0" w:color="auto"/>
              <w:right w:val="single" w:sz="4" w:space="0" w:color="auto"/>
            </w:tcBorders>
            <w:shd w:val="clear" w:color="auto" w:fill="CCFFCC"/>
            <w:vAlign w:val="center"/>
            <w:hideMark/>
          </w:tcPr>
          <w:p w:rsidR="0001495B" w:rsidRPr="00361664" w:rsidRDefault="0001495B" w:rsidP="00237807">
            <w:pPr>
              <w:spacing w:after="0" w:line="240" w:lineRule="auto"/>
              <w:jc w:val="center"/>
              <w:rPr>
                <w:b/>
                <w:sz w:val="20"/>
                <w:szCs w:val="20"/>
                <w:lang w:eastAsia="hr-HR"/>
              </w:rPr>
            </w:pPr>
            <w:r w:rsidRPr="00361664">
              <w:rPr>
                <w:b/>
                <w:sz w:val="20"/>
                <w:szCs w:val="20"/>
                <w:lang w:eastAsia="hr-HR"/>
              </w:rPr>
              <w:t>Status mjere</w:t>
            </w:r>
          </w:p>
        </w:tc>
        <w:tc>
          <w:tcPr>
            <w:tcW w:w="969" w:type="dxa"/>
            <w:tcBorders>
              <w:top w:val="nil"/>
              <w:left w:val="nil"/>
              <w:bottom w:val="single" w:sz="4" w:space="0" w:color="auto"/>
              <w:right w:val="single" w:sz="4" w:space="0" w:color="auto"/>
            </w:tcBorders>
            <w:shd w:val="clear" w:color="auto" w:fill="CCFFCC"/>
            <w:vAlign w:val="center"/>
            <w:hideMark/>
          </w:tcPr>
          <w:p w:rsidR="0001495B" w:rsidRPr="00361664" w:rsidRDefault="0001495B" w:rsidP="00237807">
            <w:pPr>
              <w:spacing w:after="0" w:line="240" w:lineRule="auto"/>
              <w:jc w:val="center"/>
              <w:rPr>
                <w:b/>
                <w:sz w:val="20"/>
                <w:szCs w:val="20"/>
                <w:lang w:eastAsia="hr-HR"/>
              </w:rPr>
            </w:pPr>
            <w:r w:rsidRPr="00361664">
              <w:rPr>
                <w:b/>
                <w:sz w:val="20"/>
                <w:szCs w:val="20"/>
                <w:lang w:eastAsia="hr-HR"/>
              </w:rPr>
              <w:t>Poglavlje</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751A89" w:rsidP="007026BD">
            <w:pPr>
              <w:spacing w:after="0" w:line="240" w:lineRule="auto"/>
              <w:jc w:val="center"/>
              <w:rPr>
                <w:sz w:val="16"/>
                <w:szCs w:val="16"/>
                <w:lang w:eastAsia="hr-HR"/>
              </w:rPr>
            </w:pPr>
            <w:r w:rsidRPr="00361664">
              <w:rPr>
                <w:sz w:val="16"/>
                <w:szCs w:val="16"/>
                <w:lang w:eastAsia="hr-HR"/>
              </w:rPr>
              <w:t>H.1</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0922FF">
            <w:pPr>
              <w:spacing w:after="0" w:line="240" w:lineRule="auto"/>
              <w:rPr>
                <w:sz w:val="16"/>
                <w:szCs w:val="16"/>
                <w:lang w:eastAsia="hr-HR"/>
              </w:rPr>
            </w:pPr>
            <w:r w:rsidRPr="00361664">
              <w:rPr>
                <w:sz w:val="16"/>
                <w:szCs w:val="16"/>
                <w:lang w:eastAsia="hr-HR"/>
              </w:rPr>
              <w:t>Informativni računi (Energetska dijagnoza)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7026BD" w:rsidP="007026BD">
            <w:pPr>
              <w:spacing w:after="0" w:line="240" w:lineRule="auto"/>
              <w:jc w:val="center"/>
              <w:rPr>
                <w:sz w:val="16"/>
                <w:szCs w:val="16"/>
                <w:lang w:eastAsia="hr-HR"/>
              </w:rPr>
            </w:pPr>
            <w:r w:rsidRPr="00361664">
              <w:rPr>
                <w:sz w:val="16"/>
                <w:szCs w:val="16"/>
                <w:lang w:eastAsia="hr-HR"/>
              </w:rPr>
              <w:t>H.5</w:t>
            </w:r>
          </w:p>
        </w:tc>
        <w:tc>
          <w:tcPr>
            <w:tcW w:w="2952" w:type="dxa"/>
            <w:tcBorders>
              <w:top w:val="nil"/>
              <w:left w:val="nil"/>
              <w:bottom w:val="nil"/>
              <w:right w:val="single" w:sz="4" w:space="0" w:color="auto"/>
            </w:tcBorders>
            <w:shd w:val="clear" w:color="auto" w:fill="auto"/>
            <w:vAlign w:val="center"/>
            <w:hideMark/>
          </w:tcPr>
          <w:p w:rsidR="0001495B" w:rsidRPr="00361664" w:rsidRDefault="007026BD" w:rsidP="007026BD">
            <w:pPr>
              <w:spacing w:after="0" w:line="240" w:lineRule="auto"/>
              <w:jc w:val="center"/>
              <w:rPr>
                <w:sz w:val="16"/>
                <w:szCs w:val="16"/>
                <w:lang w:eastAsia="hr-HR"/>
              </w:rPr>
            </w:pPr>
            <w:r w:rsidRPr="00361664">
              <w:rPr>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3</w:t>
            </w:r>
            <w:r w:rsidR="00036CA4" w:rsidRPr="00361664">
              <w:rPr>
                <w:sz w:val="16"/>
                <w:szCs w:val="16"/>
                <w:lang w:eastAsia="hr-HR"/>
              </w:rPr>
              <w:t>.1.4</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751A89" w:rsidP="007026BD">
            <w:pPr>
              <w:spacing w:after="0" w:line="240" w:lineRule="auto"/>
              <w:jc w:val="center"/>
              <w:rPr>
                <w:sz w:val="16"/>
                <w:szCs w:val="16"/>
                <w:lang w:eastAsia="hr-HR"/>
              </w:rPr>
            </w:pPr>
            <w:r w:rsidRPr="00361664">
              <w:rPr>
                <w:sz w:val="16"/>
                <w:szCs w:val="16"/>
                <w:lang w:eastAsia="hr-HR"/>
              </w:rPr>
              <w:t>H.2</w:t>
            </w:r>
            <w:r w:rsidR="007026BD" w:rsidRPr="00361664">
              <w:rPr>
                <w:sz w:val="16"/>
                <w:szCs w:val="16"/>
                <w:lang w:eastAsia="hr-HR"/>
              </w:rPr>
              <w:t>.</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0922FF">
            <w:pPr>
              <w:spacing w:after="0" w:line="240" w:lineRule="auto"/>
              <w:rPr>
                <w:sz w:val="16"/>
                <w:szCs w:val="16"/>
                <w:lang w:eastAsia="hr-HR"/>
              </w:rPr>
            </w:pPr>
            <w:r w:rsidRPr="00361664">
              <w:rPr>
                <w:sz w:val="16"/>
                <w:szCs w:val="16"/>
                <w:lang w:eastAsia="hr-HR"/>
              </w:rPr>
              <w:t>Info kampanje</w:t>
            </w:r>
            <w:r w:rsidR="007026BD" w:rsidRPr="00361664">
              <w:rPr>
                <w:sz w:val="16"/>
                <w:szCs w:val="16"/>
                <w:lang w:eastAsia="hr-HR"/>
              </w:rPr>
              <w:t xml:space="preserve"> i promocija energetskih usluga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7026BD" w:rsidP="007026BD">
            <w:pPr>
              <w:spacing w:after="0" w:line="240" w:lineRule="auto"/>
              <w:jc w:val="center"/>
              <w:rPr>
                <w:color w:val="000000"/>
                <w:sz w:val="16"/>
                <w:szCs w:val="16"/>
                <w:lang w:eastAsia="hr-HR"/>
              </w:rPr>
            </w:pPr>
            <w:r w:rsidRPr="00361664">
              <w:rPr>
                <w:color w:val="000000"/>
                <w:sz w:val="16"/>
                <w:szCs w:val="16"/>
                <w:lang w:eastAsia="hr-HR"/>
              </w:rPr>
              <w:t>H.6</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7026BD" w:rsidP="007026BD">
            <w:pPr>
              <w:spacing w:after="0" w:line="240" w:lineRule="auto"/>
              <w:jc w:val="center"/>
              <w:rPr>
                <w:color w:val="000000"/>
                <w:sz w:val="16"/>
                <w:szCs w:val="16"/>
                <w:lang w:eastAsia="hr-HR"/>
              </w:rPr>
            </w:pPr>
            <w:r w:rsidRPr="00361664">
              <w:rPr>
                <w:color w:val="000000"/>
                <w:sz w:val="16"/>
                <w:szCs w:val="16"/>
                <w:lang w:eastAsia="hr-HR"/>
              </w:rPr>
              <w:t xml:space="preserve">Zadržana, </w:t>
            </w:r>
            <w:r w:rsidR="0001495B" w:rsidRPr="00361664">
              <w:rPr>
                <w:color w:val="000000"/>
                <w:sz w:val="16"/>
                <w:szCs w:val="16"/>
                <w:lang w:eastAsia="hr-HR"/>
              </w:rPr>
              <w:t>ažurirana</w:t>
            </w:r>
            <w:r w:rsidR="00C745B5" w:rsidRPr="00361664">
              <w:rPr>
                <w:color w:val="000000"/>
                <w:sz w:val="16"/>
                <w:szCs w:val="16"/>
                <w:lang w:eastAsia="hr-HR"/>
              </w:rPr>
              <w:t xml:space="preserve"> te joj su pri</w:t>
            </w:r>
            <w:r w:rsidRPr="00361664">
              <w:rPr>
                <w:color w:val="000000"/>
                <w:sz w:val="16"/>
                <w:szCs w:val="16"/>
                <w:lang w:eastAsia="hr-HR"/>
              </w:rPr>
              <w:t>d</w:t>
            </w:r>
            <w:r w:rsidR="00C745B5" w:rsidRPr="00361664">
              <w:rPr>
                <w:color w:val="000000"/>
                <w:sz w:val="16"/>
                <w:szCs w:val="16"/>
                <w:lang w:eastAsia="hr-HR"/>
              </w:rPr>
              <w:t>ružene aktivnosti</w:t>
            </w:r>
            <w:r w:rsidRPr="00361664">
              <w:rPr>
                <w:color w:val="000000"/>
                <w:sz w:val="16"/>
                <w:szCs w:val="16"/>
                <w:lang w:eastAsia="hr-HR"/>
              </w:rPr>
              <w:t xml:space="preserve"> mjere H.8 Promocija energetskih usluga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36CA4" w:rsidP="007026BD">
            <w:pPr>
              <w:spacing w:after="0" w:line="240" w:lineRule="auto"/>
              <w:jc w:val="center"/>
              <w:rPr>
                <w:color w:val="000000"/>
                <w:sz w:val="16"/>
                <w:szCs w:val="16"/>
                <w:lang w:eastAsia="hr-HR"/>
              </w:rPr>
            </w:pPr>
            <w:r w:rsidRPr="00361664">
              <w:rPr>
                <w:color w:val="000000"/>
                <w:sz w:val="16"/>
                <w:szCs w:val="16"/>
                <w:lang w:eastAsia="hr-HR"/>
              </w:rPr>
              <w:t>3.1.4</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751A89" w:rsidP="007026BD">
            <w:pPr>
              <w:spacing w:after="0" w:line="240" w:lineRule="auto"/>
              <w:jc w:val="center"/>
              <w:rPr>
                <w:sz w:val="16"/>
                <w:szCs w:val="16"/>
                <w:lang w:eastAsia="hr-HR"/>
              </w:rPr>
            </w:pPr>
            <w:r w:rsidRPr="00361664">
              <w:rPr>
                <w:sz w:val="16"/>
                <w:szCs w:val="16"/>
                <w:lang w:eastAsia="hr-HR"/>
              </w:rPr>
              <w:t>H.3</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2F6CDC" w:rsidP="000922FF">
            <w:pPr>
              <w:spacing w:after="0" w:line="240" w:lineRule="auto"/>
              <w:rPr>
                <w:sz w:val="16"/>
                <w:szCs w:val="16"/>
                <w:lang w:eastAsia="hr-HR"/>
              </w:rPr>
            </w:pPr>
            <w:r w:rsidRPr="00361664">
              <w:rPr>
                <w:rFonts w:asciiTheme="minorHAnsi" w:hAnsiTheme="minorHAnsi" w:cstheme="minorHAnsi"/>
                <w:sz w:val="16"/>
                <w:szCs w:val="16"/>
                <w:lang w:eastAsia="hr-HR"/>
              </w:rPr>
              <w:t>Izgradnja kapaciteta za suzbijanje energetskog siromaštva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C745B5" w:rsidP="007026BD">
            <w:pPr>
              <w:spacing w:after="0" w:line="240" w:lineRule="auto"/>
              <w:jc w:val="center"/>
              <w:rPr>
                <w:color w:val="000000"/>
                <w:sz w:val="16"/>
                <w:szCs w:val="16"/>
                <w:lang w:eastAsia="hr-HR"/>
              </w:rPr>
            </w:pPr>
            <w:r w:rsidRPr="00361664">
              <w:rPr>
                <w:color w:val="000000"/>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36CA4" w:rsidP="007026BD">
            <w:pPr>
              <w:spacing w:after="0" w:line="240" w:lineRule="auto"/>
              <w:jc w:val="center"/>
              <w:rPr>
                <w:color w:val="000000"/>
                <w:sz w:val="16"/>
                <w:szCs w:val="16"/>
                <w:lang w:eastAsia="hr-HR"/>
              </w:rPr>
            </w:pPr>
            <w:r w:rsidRPr="00361664">
              <w:rPr>
                <w:color w:val="000000"/>
                <w:sz w:val="16"/>
                <w:szCs w:val="16"/>
                <w:lang w:eastAsia="hr-HR"/>
              </w:rPr>
              <w:t>3.1.4</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751A89" w:rsidP="007026BD">
            <w:pPr>
              <w:spacing w:after="0" w:line="240" w:lineRule="auto"/>
              <w:jc w:val="center"/>
              <w:rPr>
                <w:sz w:val="16"/>
                <w:szCs w:val="16"/>
                <w:lang w:eastAsia="hr-HR"/>
              </w:rPr>
            </w:pPr>
            <w:r w:rsidRPr="00361664">
              <w:rPr>
                <w:sz w:val="16"/>
                <w:szCs w:val="16"/>
                <w:lang w:eastAsia="hr-HR"/>
              </w:rPr>
              <w:t>H.4</w:t>
            </w:r>
          </w:p>
        </w:tc>
        <w:tc>
          <w:tcPr>
            <w:tcW w:w="3816" w:type="dxa"/>
            <w:tcBorders>
              <w:top w:val="nil"/>
              <w:left w:val="nil"/>
              <w:bottom w:val="single" w:sz="4" w:space="0" w:color="auto"/>
              <w:right w:val="single" w:sz="4" w:space="0" w:color="auto"/>
            </w:tcBorders>
            <w:shd w:val="clear" w:color="auto" w:fill="auto"/>
            <w:vAlign w:val="center"/>
          </w:tcPr>
          <w:p w:rsidR="0001495B" w:rsidRPr="00361664" w:rsidRDefault="00C745B5" w:rsidP="000922FF">
            <w:pPr>
              <w:spacing w:after="0" w:line="240" w:lineRule="auto"/>
              <w:rPr>
                <w:sz w:val="16"/>
                <w:szCs w:val="16"/>
                <w:lang w:eastAsia="hr-HR"/>
              </w:rPr>
            </w:pPr>
            <w:r w:rsidRPr="00361664">
              <w:rPr>
                <w:sz w:val="16"/>
                <w:szCs w:val="16"/>
                <w:lang w:eastAsia="hr-HR"/>
              </w:rPr>
              <w:t>Obrazovanje u području energetske učinkovitosti</w:t>
            </w:r>
          </w:p>
        </w:tc>
        <w:tc>
          <w:tcPr>
            <w:tcW w:w="820" w:type="dxa"/>
            <w:tcBorders>
              <w:top w:val="nil"/>
              <w:left w:val="nil"/>
              <w:bottom w:val="single" w:sz="4" w:space="0" w:color="auto"/>
              <w:right w:val="single" w:sz="4" w:space="0" w:color="auto"/>
            </w:tcBorders>
            <w:shd w:val="clear" w:color="auto" w:fill="auto"/>
            <w:vAlign w:val="center"/>
          </w:tcPr>
          <w:p w:rsidR="0001495B" w:rsidRPr="00361664" w:rsidRDefault="00C745B5" w:rsidP="007026BD">
            <w:pPr>
              <w:spacing w:after="0" w:line="240" w:lineRule="auto"/>
              <w:jc w:val="center"/>
              <w:rPr>
                <w:color w:val="000000"/>
                <w:sz w:val="16"/>
                <w:szCs w:val="16"/>
                <w:lang w:eastAsia="hr-HR"/>
              </w:rPr>
            </w:pPr>
            <w:r w:rsidRPr="00361664">
              <w:rPr>
                <w:color w:val="000000"/>
                <w:sz w:val="16"/>
                <w:szCs w:val="16"/>
                <w:lang w:eastAsia="hr-HR"/>
              </w:rPr>
              <w:t>H.7</w:t>
            </w:r>
          </w:p>
        </w:tc>
        <w:tc>
          <w:tcPr>
            <w:tcW w:w="2952" w:type="dxa"/>
            <w:tcBorders>
              <w:top w:val="nil"/>
              <w:left w:val="nil"/>
              <w:bottom w:val="single" w:sz="4" w:space="0" w:color="auto"/>
              <w:right w:val="single" w:sz="4" w:space="0" w:color="auto"/>
            </w:tcBorders>
            <w:shd w:val="clear" w:color="auto" w:fill="auto"/>
            <w:vAlign w:val="center"/>
          </w:tcPr>
          <w:p w:rsidR="0001495B" w:rsidRPr="00361664" w:rsidRDefault="00C745B5" w:rsidP="007026BD">
            <w:pPr>
              <w:spacing w:after="0" w:line="240" w:lineRule="auto"/>
              <w:jc w:val="center"/>
              <w:rPr>
                <w:color w:val="000000"/>
                <w:sz w:val="16"/>
                <w:szCs w:val="16"/>
                <w:lang w:eastAsia="hr-HR"/>
              </w:rPr>
            </w:pPr>
            <w:r w:rsidRPr="00361664">
              <w:rPr>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tcPr>
          <w:p w:rsidR="0001495B" w:rsidRPr="00361664" w:rsidRDefault="00036CA4" w:rsidP="007026BD">
            <w:pPr>
              <w:spacing w:after="0" w:line="240" w:lineRule="auto"/>
              <w:jc w:val="center"/>
              <w:rPr>
                <w:color w:val="000000"/>
                <w:sz w:val="16"/>
                <w:szCs w:val="16"/>
                <w:lang w:eastAsia="hr-HR"/>
              </w:rPr>
            </w:pPr>
            <w:r w:rsidRPr="00361664">
              <w:rPr>
                <w:color w:val="000000"/>
                <w:sz w:val="16"/>
                <w:szCs w:val="16"/>
                <w:lang w:eastAsia="hr-HR"/>
              </w:rPr>
              <w:t>3.1.5</w:t>
            </w:r>
          </w:p>
        </w:tc>
      </w:tr>
      <w:tr w:rsidR="00C745B5"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tcPr>
          <w:p w:rsidR="00C745B5" w:rsidRPr="00361664" w:rsidRDefault="00751A89" w:rsidP="007026BD">
            <w:pPr>
              <w:spacing w:after="0" w:line="240" w:lineRule="auto"/>
              <w:jc w:val="center"/>
              <w:rPr>
                <w:sz w:val="16"/>
                <w:szCs w:val="16"/>
                <w:lang w:eastAsia="hr-HR"/>
              </w:rPr>
            </w:pPr>
            <w:r w:rsidRPr="00361664">
              <w:rPr>
                <w:sz w:val="16"/>
                <w:szCs w:val="16"/>
                <w:lang w:eastAsia="hr-HR"/>
              </w:rPr>
              <w:t>H.5</w:t>
            </w:r>
          </w:p>
        </w:tc>
        <w:tc>
          <w:tcPr>
            <w:tcW w:w="3816" w:type="dxa"/>
            <w:tcBorders>
              <w:top w:val="nil"/>
              <w:left w:val="nil"/>
              <w:bottom w:val="single" w:sz="4" w:space="0" w:color="auto"/>
              <w:right w:val="single" w:sz="4" w:space="0" w:color="auto"/>
            </w:tcBorders>
            <w:shd w:val="clear" w:color="auto" w:fill="auto"/>
            <w:vAlign w:val="center"/>
          </w:tcPr>
          <w:p w:rsidR="00C745B5" w:rsidRPr="00361664" w:rsidRDefault="00C745B5" w:rsidP="000922FF">
            <w:pPr>
              <w:spacing w:after="0" w:line="240" w:lineRule="auto"/>
              <w:rPr>
                <w:sz w:val="16"/>
                <w:szCs w:val="16"/>
                <w:lang w:eastAsia="hr-HR"/>
              </w:rPr>
            </w:pPr>
            <w:r w:rsidRPr="00361664">
              <w:rPr>
                <w:sz w:val="16"/>
                <w:szCs w:val="16"/>
                <w:lang w:eastAsia="hr-HR"/>
              </w:rPr>
              <w:t>Program za suzbijanje energetskog siromaštva</w:t>
            </w:r>
          </w:p>
        </w:tc>
        <w:tc>
          <w:tcPr>
            <w:tcW w:w="820" w:type="dxa"/>
            <w:tcBorders>
              <w:top w:val="nil"/>
              <w:left w:val="nil"/>
              <w:bottom w:val="single" w:sz="4" w:space="0" w:color="auto"/>
              <w:right w:val="single" w:sz="4" w:space="0" w:color="auto"/>
            </w:tcBorders>
            <w:shd w:val="clear" w:color="auto" w:fill="auto"/>
            <w:vAlign w:val="center"/>
          </w:tcPr>
          <w:p w:rsidR="00C745B5" w:rsidRPr="00361664" w:rsidRDefault="00C745B5" w:rsidP="007026BD">
            <w:pPr>
              <w:spacing w:after="0" w:line="240" w:lineRule="auto"/>
              <w:jc w:val="center"/>
              <w:rPr>
                <w:color w:val="000000"/>
                <w:sz w:val="16"/>
                <w:szCs w:val="16"/>
                <w:lang w:eastAsia="hr-HR"/>
              </w:rPr>
            </w:pPr>
          </w:p>
        </w:tc>
        <w:tc>
          <w:tcPr>
            <w:tcW w:w="2952" w:type="dxa"/>
            <w:tcBorders>
              <w:top w:val="single" w:sz="4" w:space="0" w:color="auto"/>
              <w:left w:val="nil"/>
              <w:bottom w:val="single" w:sz="4" w:space="0" w:color="auto"/>
              <w:right w:val="single" w:sz="4" w:space="0" w:color="auto"/>
            </w:tcBorders>
            <w:shd w:val="clear" w:color="auto" w:fill="auto"/>
            <w:vAlign w:val="center"/>
          </w:tcPr>
          <w:p w:rsidR="00C745B5" w:rsidRPr="00361664" w:rsidRDefault="00C745B5" w:rsidP="007026BD">
            <w:pPr>
              <w:spacing w:after="0" w:line="240" w:lineRule="auto"/>
              <w:jc w:val="center"/>
              <w:rPr>
                <w:sz w:val="16"/>
                <w:szCs w:val="16"/>
                <w:lang w:eastAsia="hr-HR"/>
              </w:rPr>
            </w:pPr>
            <w:r w:rsidRPr="00361664">
              <w:rPr>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tcPr>
          <w:p w:rsidR="00C745B5" w:rsidRPr="00361664" w:rsidRDefault="00036CA4" w:rsidP="007026BD">
            <w:pPr>
              <w:spacing w:after="0" w:line="240" w:lineRule="auto"/>
              <w:jc w:val="center"/>
              <w:rPr>
                <w:color w:val="000000"/>
                <w:sz w:val="16"/>
                <w:szCs w:val="16"/>
                <w:lang w:eastAsia="hr-HR"/>
              </w:rPr>
            </w:pPr>
            <w:r w:rsidRPr="00361664">
              <w:rPr>
                <w:color w:val="000000"/>
                <w:sz w:val="16"/>
                <w:szCs w:val="16"/>
                <w:lang w:eastAsia="hr-HR"/>
              </w:rPr>
              <w:t>3.1.7</w:t>
            </w:r>
          </w:p>
        </w:tc>
      </w:tr>
      <w:tr w:rsidR="0001495B" w:rsidRPr="00361664" w:rsidTr="00D83EE8">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H.</w:t>
            </w:r>
            <w:r w:rsidR="00751A89" w:rsidRPr="00361664">
              <w:rPr>
                <w:sz w:val="16"/>
                <w:szCs w:val="16"/>
                <w:lang w:eastAsia="hr-HR"/>
              </w:rPr>
              <w:t>6</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0922FF">
            <w:pPr>
              <w:spacing w:after="0" w:line="240" w:lineRule="auto"/>
              <w:rPr>
                <w:sz w:val="16"/>
                <w:szCs w:val="16"/>
                <w:lang w:eastAsia="hr-HR"/>
              </w:rPr>
            </w:pPr>
            <w:r w:rsidRPr="00361664">
              <w:rPr>
                <w:sz w:val="16"/>
                <w:szCs w:val="16"/>
                <w:lang w:eastAsia="hr-HR"/>
              </w:rPr>
              <w:t>Uspostavljanje integriranog informacijskog sustava za praćenje provedbe  energetske učinkovitosti</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C745B5" w:rsidP="007026BD">
            <w:pPr>
              <w:spacing w:after="0" w:line="240" w:lineRule="auto"/>
              <w:jc w:val="center"/>
              <w:rPr>
                <w:color w:val="000000"/>
                <w:sz w:val="16"/>
                <w:szCs w:val="16"/>
                <w:lang w:eastAsia="hr-HR"/>
              </w:rPr>
            </w:pPr>
            <w:r w:rsidRPr="00361664">
              <w:rPr>
                <w:color w:val="000000"/>
                <w:sz w:val="16"/>
                <w:szCs w:val="16"/>
                <w:lang w:eastAsia="hr-HR"/>
              </w:rPr>
              <w:t>H.9</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36CA4" w:rsidP="007026BD">
            <w:pPr>
              <w:spacing w:after="0" w:line="240" w:lineRule="auto"/>
              <w:jc w:val="center"/>
              <w:rPr>
                <w:color w:val="000000"/>
                <w:sz w:val="16"/>
                <w:szCs w:val="16"/>
                <w:lang w:eastAsia="hr-HR"/>
              </w:rPr>
            </w:pPr>
            <w:r w:rsidRPr="00361664">
              <w:rPr>
                <w:color w:val="000000"/>
                <w:sz w:val="16"/>
                <w:szCs w:val="16"/>
                <w:lang w:eastAsia="hr-HR"/>
              </w:rPr>
              <w:t>3.1.7</w:t>
            </w:r>
          </w:p>
        </w:tc>
      </w:tr>
      <w:tr w:rsidR="0001495B" w:rsidRPr="00361664" w:rsidTr="00577AC6">
        <w:trPr>
          <w:trHeight w:val="495"/>
          <w:jc w:val="center"/>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B.1</w:t>
            </w:r>
          </w:p>
        </w:tc>
        <w:tc>
          <w:tcPr>
            <w:tcW w:w="3816"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1495B" w:rsidP="00A64640">
            <w:pPr>
              <w:spacing w:after="0" w:line="240" w:lineRule="auto"/>
              <w:rPr>
                <w:sz w:val="16"/>
                <w:szCs w:val="16"/>
                <w:lang w:eastAsia="hr-HR"/>
              </w:rPr>
            </w:pPr>
            <w:r w:rsidRPr="00361664">
              <w:rPr>
                <w:sz w:val="16"/>
                <w:szCs w:val="16"/>
                <w:lang w:eastAsia="hr-HR"/>
              </w:rPr>
              <w:t>Građevinska regulativa i provedba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B.1</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922FF" w:rsidP="007026BD">
            <w:pPr>
              <w:spacing w:after="0" w:line="240" w:lineRule="auto"/>
              <w:jc w:val="center"/>
              <w:rPr>
                <w:color w:val="000000"/>
                <w:sz w:val="16"/>
                <w:szCs w:val="16"/>
                <w:lang w:eastAsia="hr-HR"/>
              </w:rPr>
            </w:pPr>
            <w:r w:rsidRPr="00361664">
              <w:rPr>
                <w:color w:val="000000"/>
                <w:sz w:val="16"/>
                <w:szCs w:val="16"/>
                <w:lang w:eastAsia="hr-HR"/>
              </w:rPr>
              <w:t>Z</w:t>
            </w:r>
            <w:r w:rsidR="0001495B" w:rsidRPr="00361664">
              <w:rPr>
                <w:color w:val="000000"/>
                <w:sz w:val="16"/>
                <w:szCs w:val="16"/>
                <w:lang w:eastAsia="hr-HR"/>
              </w:rPr>
              <w:t>adržana, ažurirana</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3.2.1.</w:t>
            </w:r>
          </w:p>
        </w:tc>
      </w:tr>
      <w:tr w:rsidR="0001495B" w:rsidRPr="00361664" w:rsidTr="00577AC6">
        <w:trPr>
          <w:trHeight w:val="495"/>
          <w:jc w:val="center"/>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B.2</w:t>
            </w:r>
          </w:p>
        </w:tc>
        <w:tc>
          <w:tcPr>
            <w:tcW w:w="3816"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1495B" w:rsidP="00A64640">
            <w:pPr>
              <w:spacing w:after="0" w:line="240" w:lineRule="auto"/>
              <w:rPr>
                <w:sz w:val="16"/>
                <w:szCs w:val="16"/>
                <w:lang w:eastAsia="hr-HR"/>
              </w:rPr>
            </w:pPr>
            <w:r w:rsidRPr="00361664">
              <w:rPr>
                <w:sz w:val="16"/>
                <w:szCs w:val="16"/>
                <w:lang w:eastAsia="hr-HR"/>
              </w:rPr>
              <w:t>Povećanje broja zgrada s gotovo nultom potrošnjom energije</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B.2</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Zadržana, ažurirana</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3.2.1.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B.3</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A64640">
            <w:pPr>
              <w:spacing w:after="0" w:line="240" w:lineRule="auto"/>
              <w:rPr>
                <w:sz w:val="16"/>
                <w:szCs w:val="16"/>
                <w:lang w:eastAsia="hr-HR"/>
              </w:rPr>
            </w:pPr>
            <w:r w:rsidRPr="00361664">
              <w:rPr>
                <w:sz w:val="16"/>
                <w:szCs w:val="16"/>
                <w:lang w:eastAsia="hr-HR"/>
              </w:rPr>
              <w:t xml:space="preserve">Poticanje </w:t>
            </w:r>
            <w:r w:rsidR="005A32B8" w:rsidRPr="00361664">
              <w:rPr>
                <w:sz w:val="16"/>
                <w:szCs w:val="16"/>
                <w:lang w:eastAsia="hr-HR"/>
              </w:rPr>
              <w:t>energetske</w:t>
            </w:r>
            <w:r w:rsidRPr="00361664">
              <w:rPr>
                <w:sz w:val="16"/>
                <w:szCs w:val="16"/>
                <w:lang w:eastAsia="hr-HR"/>
              </w:rPr>
              <w:t xml:space="preserve"> obnove višestambenih zgrada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B.3</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A64640" w:rsidP="007026BD">
            <w:pPr>
              <w:spacing w:after="0" w:line="240" w:lineRule="auto"/>
              <w:jc w:val="center"/>
              <w:rPr>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3.2.2.</w:t>
            </w:r>
          </w:p>
        </w:tc>
      </w:tr>
      <w:tr w:rsidR="004409EA"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sz w:val="16"/>
                <w:szCs w:val="16"/>
                <w:lang w:eastAsia="hr-HR"/>
              </w:rPr>
            </w:pPr>
            <w:r w:rsidRPr="00361664">
              <w:rPr>
                <w:sz w:val="16"/>
                <w:szCs w:val="16"/>
                <w:lang w:eastAsia="hr-HR"/>
              </w:rPr>
              <w:lastRenderedPageBreak/>
              <w:t>B.4</w:t>
            </w:r>
          </w:p>
        </w:tc>
        <w:tc>
          <w:tcPr>
            <w:tcW w:w="3816"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A64640">
            <w:pPr>
              <w:spacing w:after="0" w:line="240" w:lineRule="auto"/>
              <w:rPr>
                <w:sz w:val="16"/>
                <w:szCs w:val="16"/>
                <w:lang w:eastAsia="hr-HR"/>
              </w:rPr>
            </w:pPr>
            <w:r w:rsidRPr="00361664">
              <w:rPr>
                <w:sz w:val="16"/>
                <w:szCs w:val="16"/>
                <w:lang w:eastAsia="hr-HR"/>
              </w:rPr>
              <w:t>Povećanje energetske učinkovitosti i korištenja OIE u privatnom uslužnom sektoru (turizam i trgovina)</w:t>
            </w:r>
          </w:p>
        </w:tc>
        <w:tc>
          <w:tcPr>
            <w:tcW w:w="820"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B.4</w:t>
            </w:r>
          </w:p>
        </w:tc>
        <w:tc>
          <w:tcPr>
            <w:tcW w:w="2952"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 xml:space="preserve">Zadržana i preimenovana, prilagođena programu </w:t>
            </w:r>
            <w:r w:rsidR="00D76F3C" w:rsidRPr="00361664">
              <w:rPr>
                <w:color w:val="000000"/>
                <w:sz w:val="16"/>
                <w:szCs w:val="16"/>
                <w:lang w:eastAsia="hr-HR"/>
              </w:rPr>
              <w:t>MZOE</w:t>
            </w:r>
          </w:p>
        </w:tc>
        <w:tc>
          <w:tcPr>
            <w:tcW w:w="969" w:type="dxa"/>
            <w:tcBorders>
              <w:top w:val="nil"/>
              <w:left w:val="nil"/>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color w:val="000000"/>
                <w:sz w:val="16"/>
                <w:szCs w:val="16"/>
                <w:lang w:eastAsia="hr-HR"/>
              </w:rPr>
            </w:pPr>
            <w:r w:rsidRPr="00361664">
              <w:rPr>
                <w:color w:val="000000"/>
                <w:sz w:val="16"/>
                <w:szCs w:val="16"/>
                <w:lang w:eastAsia="hr-HR"/>
              </w:rPr>
              <w:t>3.2.2.</w:t>
            </w:r>
          </w:p>
        </w:tc>
      </w:tr>
      <w:tr w:rsidR="00A64640"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tcPr>
          <w:p w:rsidR="00A64640" w:rsidRPr="00361664" w:rsidRDefault="00A64640" w:rsidP="007026BD">
            <w:pPr>
              <w:spacing w:after="0" w:line="240" w:lineRule="auto"/>
              <w:jc w:val="center"/>
              <w:rPr>
                <w:sz w:val="16"/>
                <w:szCs w:val="16"/>
                <w:lang w:eastAsia="hr-HR"/>
              </w:rPr>
            </w:pPr>
            <w:r w:rsidRPr="00361664">
              <w:rPr>
                <w:sz w:val="16"/>
                <w:szCs w:val="16"/>
                <w:lang w:eastAsia="hr-HR"/>
              </w:rPr>
              <w:t>B.5</w:t>
            </w:r>
          </w:p>
        </w:tc>
        <w:tc>
          <w:tcPr>
            <w:tcW w:w="3816" w:type="dxa"/>
            <w:tcBorders>
              <w:top w:val="nil"/>
              <w:left w:val="nil"/>
              <w:bottom w:val="single" w:sz="4" w:space="0" w:color="auto"/>
              <w:right w:val="single" w:sz="4" w:space="0" w:color="auto"/>
            </w:tcBorders>
            <w:shd w:val="clear" w:color="auto" w:fill="auto"/>
            <w:vAlign w:val="center"/>
          </w:tcPr>
          <w:p w:rsidR="00A64640" w:rsidRPr="00361664" w:rsidRDefault="00A64640" w:rsidP="00A64640">
            <w:pPr>
              <w:spacing w:after="0" w:line="240" w:lineRule="auto"/>
              <w:rPr>
                <w:sz w:val="16"/>
                <w:szCs w:val="16"/>
                <w:lang w:eastAsia="hr-HR"/>
              </w:rPr>
            </w:pPr>
            <w:r w:rsidRPr="00361664">
              <w:rPr>
                <w:sz w:val="16"/>
                <w:szCs w:val="16"/>
                <w:lang w:eastAsia="hr-HR"/>
              </w:rPr>
              <w:t>Program energetske obnove obiteljskih kuća 2014. - 2020.</w:t>
            </w:r>
          </w:p>
        </w:tc>
        <w:tc>
          <w:tcPr>
            <w:tcW w:w="820" w:type="dxa"/>
            <w:tcBorders>
              <w:top w:val="nil"/>
              <w:left w:val="nil"/>
              <w:bottom w:val="single" w:sz="4" w:space="0" w:color="auto"/>
              <w:right w:val="single" w:sz="4" w:space="0" w:color="auto"/>
            </w:tcBorders>
            <w:shd w:val="clear" w:color="auto" w:fill="auto"/>
            <w:vAlign w:val="center"/>
          </w:tcPr>
          <w:p w:rsidR="00A64640"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B.6</w:t>
            </w:r>
          </w:p>
        </w:tc>
        <w:tc>
          <w:tcPr>
            <w:tcW w:w="2952" w:type="dxa"/>
            <w:tcBorders>
              <w:top w:val="nil"/>
              <w:left w:val="nil"/>
              <w:bottom w:val="single" w:sz="4" w:space="0" w:color="auto"/>
              <w:right w:val="single" w:sz="4" w:space="0" w:color="auto"/>
            </w:tcBorders>
            <w:shd w:val="clear" w:color="auto" w:fill="auto"/>
            <w:vAlign w:val="center"/>
          </w:tcPr>
          <w:p w:rsidR="00A64640"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Zadržana, potpuna izmjena</w:t>
            </w:r>
          </w:p>
        </w:tc>
        <w:tc>
          <w:tcPr>
            <w:tcW w:w="969" w:type="dxa"/>
            <w:tcBorders>
              <w:top w:val="nil"/>
              <w:left w:val="nil"/>
              <w:bottom w:val="single" w:sz="4" w:space="0" w:color="auto"/>
              <w:right w:val="single" w:sz="4" w:space="0" w:color="auto"/>
            </w:tcBorders>
            <w:shd w:val="clear" w:color="auto" w:fill="auto"/>
            <w:vAlign w:val="center"/>
          </w:tcPr>
          <w:p w:rsidR="00A64640"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3.2.3</w:t>
            </w:r>
          </w:p>
        </w:tc>
      </w:tr>
      <w:tr w:rsidR="004409EA"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4409EA" w:rsidRPr="00361664" w:rsidRDefault="004409EA" w:rsidP="00A64640">
            <w:pPr>
              <w:spacing w:after="0" w:line="240" w:lineRule="auto"/>
              <w:jc w:val="center"/>
              <w:rPr>
                <w:sz w:val="16"/>
                <w:szCs w:val="16"/>
                <w:lang w:eastAsia="hr-HR"/>
              </w:rPr>
            </w:pPr>
            <w:r w:rsidRPr="00361664">
              <w:rPr>
                <w:sz w:val="16"/>
                <w:szCs w:val="16"/>
                <w:lang w:eastAsia="hr-HR"/>
              </w:rPr>
              <w:t>B.</w:t>
            </w:r>
            <w:r w:rsidR="00A64640" w:rsidRPr="00361664">
              <w:rPr>
                <w:sz w:val="16"/>
                <w:szCs w:val="16"/>
                <w:lang w:eastAsia="hr-HR"/>
              </w:rPr>
              <w:t>6</w:t>
            </w:r>
          </w:p>
        </w:tc>
        <w:tc>
          <w:tcPr>
            <w:tcW w:w="3816"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A64640">
            <w:pPr>
              <w:spacing w:after="0" w:line="240" w:lineRule="auto"/>
              <w:rPr>
                <w:sz w:val="16"/>
                <w:szCs w:val="16"/>
                <w:lang w:eastAsia="hr-HR"/>
              </w:rPr>
            </w:pPr>
            <w:r w:rsidRPr="00361664">
              <w:rPr>
                <w:sz w:val="16"/>
                <w:szCs w:val="16"/>
                <w:lang w:eastAsia="hr-HR"/>
              </w:rPr>
              <w:t>Energetska obnova zgrada i zamjena rasvjete u sklopu HEP grupe</w:t>
            </w:r>
          </w:p>
        </w:tc>
        <w:tc>
          <w:tcPr>
            <w:tcW w:w="820" w:type="dxa"/>
            <w:tcBorders>
              <w:top w:val="nil"/>
              <w:left w:val="nil"/>
              <w:bottom w:val="single" w:sz="4" w:space="0" w:color="auto"/>
              <w:right w:val="single" w:sz="4" w:space="0" w:color="auto"/>
            </w:tcBorders>
            <w:shd w:val="clear" w:color="auto" w:fill="auto"/>
            <w:vAlign w:val="center"/>
          </w:tcPr>
          <w:p w:rsidR="004409EA" w:rsidRPr="00361664" w:rsidRDefault="004409EA" w:rsidP="007026BD">
            <w:pPr>
              <w:spacing w:after="0" w:line="240" w:lineRule="auto"/>
              <w:jc w:val="center"/>
              <w:rPr>
                <w:color w:val="000000"/>
                <w:sz w:val="16"/>
                <w:szCs w:val="16"/>
                <w:lang w:eastAsia="hr-HR"/>
              </w:rPr>
            </w:pPr>
          </w:p>
        </w:tc>
        <w:tc>
          <w:tcPr>
            <w:tcW w:w="2952" w:type="dxa"/>
            <w:tcBorders>
              <w:top w:val="nil"/>
              <w:left w:val="nil"/>
              <w:bottom w:val="single" w:sz="4" w:space="0" w:color="auto"/>
              <w:right w:val="single" w:sz="4" w:space="0" w:color="auto"/>
            </w:tcBorders>
            <w:shd w:val="clear" w:color="auto" w:fill="auto"/>
            <w:vAlign w:val="center"/>
          </w:tcPr>
          <w:p w:rsidR="004409EA" w:rsidRPr="00361664" w:rsidRDefault="00A64640" w:rsidP="007026BD">
            <w:pPr>
              <w:spacing w:after="0" w:line="240" w:lineRule="auto"/>
              <w:jc w:val="center"/>
              <w:rPr>
                <w:sz w:val="16"/>
                <w:szCs w:val="16"/>
                <w:lang w:eastAsia="hr-HR"/>
              </w:rPr>
            </w:pPr>
            <w:r w:rsidRPr="00361664">
              <w:rPr>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color w:val="000000"/>
                <w:sz w:val="16"/>
                <w:szCs w:val="16"/>
                <w:lang w:eastAsia="hr-HR"/>
              </w:rPr>
            </w:pPr>
            <w:r w:rsidRPr="00361664">
              <w:rPr>
                <w:color w:val="000000"/>
                <w:sz w:val="16"/>
                <w:szCs w:val="16"/>
                <w:lang w:eastAsia="hr-HR"/>
              </w:rPr>
              <w:t>3.2.3.</w:t>
            </w:r>
          </w:p>
        </w:tc>
      </w:tr>
      <w:tr w:rsidR="004409EA"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sz w:val="16"/>
                <w:szCs w:val="16"/>
                <w:lang w:eastAsia="hr-HR"/>
              </w:rPr>
            </w:pPr>
            <w:r w:rsidRPr="00361664">
              <w:rPr>
                <w:sz w:val="16"/>
                <w:szCs w:val="16"/>
                <w:lang w:eastAsia="hr-HR"/>
              </w:rPr>
              <w:t>P.1</w:t>
            </w:r>
          </w:p>
        </w:tc>
        <w:tc>
          <w:tcPr>
            <w:tcW w:w="3816"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A64640">
            <w:pPr>
              <w:spacing w:after="0" w:line="240" w:lineRule="auto"/>
              <w:rPr>
                <w:sz w:val="16"/>
                <w:szCs w:val="16"/>
                <w:lang w:eastAsia="hr-HR"/>
              </w:rPr>
            </w:pPr>
            <w:r w:rsidRPr="00361664">
              <w:rPr>
                <w:sz w:val="16"/>
                <w:szCs w:val="16"/>
                <w:lang w:eastAsia="hr-HR"/>
              </w:rPr>
              <w:t>Produžetak financiranja Programa energetske obnove zgrada javnog sektora 2014.-2015.</w:t>
            </w:r>
          </w:p>
        </w:tc>
        <w:tc>
          <w:tcPr>
            <w:tcW w:w="820"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P.1</w:t>
            </w:r>
          </w:p>
        </w:tc>
        <w:tc>
          <w:tcPr>
            <w:tcW w:w="2952" w:type="dxa"/>
            <w:tcBorders>
              <w:top w:val="nil"/>
              <w:left w:val="nil"/>
              <w:bottom w:val="single" w:sz="4" w:space="0" w:color="auto"/>
              <w:right w:val="single" w:sz="4" w:space="0" w:color="auto"/>
            </w:tcBorders>
            <w:shd w:val="clear" w:color="auto" w:fill="auto"/>
            <w:vAlign w:val="center"/>
          </w:tcPr>
          <w:p w:rsidR="004409EA"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color w:val="000000"/>
                <w:sz w:val="16"/>
                <w:szCs w:val="16"/>
                <w:lang w:eastAsia="hr-HR"/>
              </w:rPr>
            </w:pPr>
            <w:r w:rsidRPr="00361664">
              <w:rPr>
                <w:color w:val="000000"/>
                <w:sz w:val="16"/>
                <w:szCs w:val="16"/>
                <w:lang w:eastAsia="hr-HR"/>
              </w:rPr>
              <w:t>3.3.1.</w:t>
            </w:r>
          </w:p>
        </w:tc>
      </w:tr>
      <w:tr w:rsidR="004409EA"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sz w:val="16"/>
                <w:szCs w:val="16"/>
                <w:lang w:eastAsia="hr-HR"/>
              </w:rPr>
            </w:pPr>
            <w:r w:rsidRPr="00361664">
              <w:rPr>
                <w:sz w:val="16"/>
                <w:szCs w:val="16"/>
                <w:lang w:eastAsia="hr-HR"/>
              </w:rPr>
              <w:t>P.2</w:t>
            </w:r>
          </w:p>
        </w:tc>
        <w:tc>
          <w:tcPr>
            <w:tcW w:w="3816" w:type="dxa"/>
            <w:tcBorders>
              <w:top w:val="nil"/>
              <w:left w:val="nil"/>
              <w:bottom w:val="single" w:sz="4" w:space="0" w:color="auto"/>
              <w:right w:val="single" w:sz="4" w:space="0" w:color="auto"/>
            </w:tcBorders>
            <w:shd w:val="clear" w:color="auto" w:fill="auto"/>
            <w:vAlign w:val="center"/>
            <w:hideMark/>
          </w:tcPr>
          <w:p w:rsidR="004409EA" w:rsidRPr="00361664" w:rsidRDefault="004409EA" w:rsidP="00A64640">
            <w:pPr>
              <w:spacing w:after="0" w:line="240" w:lineRule="auto"/>
              <w:rPr>
                <w:sz w:val="16"/>
                <w:szCs w:val="16"/>
                <w:lang w:eastAsia="hr-HR"/>
              </w:rPr>
            </w:pPr>
            <w:r w:rsidRPr="00361664">
              <w:rPr>
                <w:sz w:val="16"/>
                <w:szCs w:val="16"/>
                <w:lang w:eastAsia="hr-HR"/>
              </w:rPr>
              <w:t>Program energetske obnove zgrada javnog sektora 2016.-2020.</w:t>
            </w:r>
          </w:p>
        </w:tc>
        <w:tc>
          <w:tcPr>
            <w:tcW w:w="820"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P.2</w:t>
            </w:r>
          </w:p>
        </w:tc>
        <w:tc>
          <w:tcPr>
            <w:tcW w:w="2952" w:type="dxa"/>
            <w:tcBorders>
              <w:top w:val="nil"/>
              <w:left w:val="nil"/>
              <w:bottom w:val="single" w:sz="4" w:space="0" w:color="auto"/>
              <w:right w:val="single" w:sz="4" w:space="0" w:color="auto"/>
            </w:tcBorders>
            <w:shd w:val="clear" w:color="auto" w:fill="auto"/>
            <w:vAlign w:val="center"/>
          </w:tcPr>
          <w:p w:rsidR="004409EA"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color w:val="000000"/>
                <w:sz w:val="16"/>
                <w:szCs w:val="16"/>
                <w:lang w:eastAsia="hr-HR"/>
              </w:rPr>
            </w:pPr>
            <w:r w:rsidRPr="00361664">
              <w:rPr>
                <w:color w:val="000000"/>
                <w:sz w:val="16"/>
                <w:szCs w:val="16"/>
                <w:lang w:eastAsia="hr-HR"/>
              </w:rPr>
              <w:t>3.3.1.</w:t>
            </w:r>
          </w:p>
        </w:tc>
      </w:tr>
      <w:tr w:rsidR="004409EA"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sz w:val="16"/>
                <w:szCs w:val="16"/>
                <w:lang w:eastAsia="hr-HR"/>
              </w:rPr>
            </w:pPr>
            <w:r w:rsidRPr="00361664">
              <w:rPr>
                <w:sz w:val="16"/>
                <w:szCs w:val="16"/>
                <w:lang w:eastAsia="hr-HR"/>
              </w:rPr>
              <w:t>P.3</w:t>
            </w:r>
          </w:p>
        </w:tc>
        <w:tc>
          <w:tcPr>
            <w:tcW w:w="3816"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A64640">
            <w:pPr>
              <w:spacing w:after="0" w:line="240" w:lineRule="auto"/>
              <w:rPr>
                <w:sz w:val="16"/>
                <w:szCs w:val="16"/>
                <w:lang w:eastAsia="hr-HR"/>
              </w:rPr>
            </w:pPr>
            <w:r w:rsidRPr="00361664">
              <w:rPr>
                <w:sz w:val="16"/>
                <w:szCs w:val="16"/>
                <w:lang w:eastAsia="hr-HR"/>
              </w:rPr>
              <w:t>Sustavno gospodarenje energijom u javnom sektoru</w:t>
            </w:r>
          </w:p>
        </w:tc>
        <w:tc>
          <w:tcPr>
            <w:tcW w:w="820"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P.3</w:t>
            </w:r>
          </w:p>
        </w:tc>
        <w:tc>
          <w:tcPr>
            <w:tcW w:w="2952" w:type="dxa"/>
            <w:tcBorders>
              <w:top w:val="nil"/>
              <w:left w:val="nil"/>
              <w:bottom w:val="single" w:sz="4" w:space="0" w:color="auto"/>
              <w:right w:val="single" w:sz="4" w:space="0" w:color="auto"/>
            </w:tcBorders>
            <w:shd w:val="clear" w:color="auto" w:fill="auto"/>
            <w:vAlign w:val="center"/>
            <w:hideMark/>
          </w:tcPr>
          <w:p w:rsidR="004409EA"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Zadržana, preimenovana i ažurirana</w:t>
            </w:r>
          </w:p>
        </w:tc>
        <w:tc>
          <w:tcPr>
            <w:tcW w:w="969" w:type="dxa"/>
            <w:tcBorders>
              <w:top w:val="nil"/>
              <w:left w:val="nil"/>
              <w:bottom w:val="single" w:sz="4" w:space="0" w:color="auto"/>
              <w:right w:val="single" w:sz="4" w:space="0" w:color="auto"/>
            </w:tcBorders>
            <w:shd w:val="clear" w:color="auto" w:fill="auto"/>
            <w:vAlign w:val="center"/>
            <w:hideMark/>
          </w:tcPr>
          <w:p w:rsidR="004409EA" w:rsidRPr="00361664" w:rsidRDefault="004409EA" w:rsidP="007026BD">
            <w:pPr>
              <w:spacing w:after="0" w:line="240" w:lineRule="auto"/>
              <w:jc w:val="center"/>
              <w:rPr>
                <w:color w:val="000000"/>
                <w:sz w:val="16"/>
                <w:szCs w:val="16"/>
                <w:lang w:eastAsia="hr-HR"/>
              </w:rPr>
            </w:pPr>
            <w:r w:rsidRPr="00361664">
              <w:rPr>
                <w:color w:val="000000"/>
                <w:sz w:val="16"/>
                <w:szCs w:val="16"/>
                <w:lang w:eastAsia="hr-HR"/>
              </w:rPr>
              <w:t>3.3.1.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P.4</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A64640">
            <w:pPr>
              <w:spacing w:after="0" w:line="240" w:lineRule="auto"/>
              <w:rPr>
                <w:sz w:val="16"/>
                <w:szCs w:val="16"/>
                <w:lang w:eastAsia="hr-HR"/>
              </w:rPr>
            </w:pPr>
            <w:r w:rsidRPr="00361664">
              <w:rPr>
                <w:sz w:val="16"/>
                <w:szCs w:val="16"/>
                <w:lang w:eastAsia="hr-HR"/>
              </w:rPr>
              <w:t>Program „Energetski učinkovita javna rasvjeta“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P.4</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3.3.2.</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P.5</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A64640">
            <w:pPr>
              <w:spacing w:after="0" w:line="240" w:lineRule="auto"/>
              <w:rPr>
                <w:sz w:val="16"/>
                <w:szCs w:val="16"/>
                <w:lang w:eastAsia="hr-HR"/>
              </w:rPr>
            </w:pPr>
            <w:r w:rsidRPr="00361664">
              <w:rPr>
                <w:sz w:val="16"/>
                <w:szCs w:val="16"/>
                <w:lang w:eastAsia="hr-HR"/>
              </w:rPr>
              <w:t>„Zelena“ javna nabava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P.5</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3.3.3.</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I.1</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A64640">
            <w:pPr>
              <w:spacing w:after="0" w:line="240" w:lineRule="auto"/>
              <w:rPr>
                <w:sz w:val="16"/>
                <w:szCs w:val="16"/>
                <w:lang w:eastAsia="hr-HR"/>
              </w:rPr>
            </w:pPr>
            <w:r w:rsidRPr="00361664">
              <w:rPr>
                <w:sz w:val="16"/>
                <w:szCs w:val="16"/>
                <w:lang w:eastAsia="hr-HR"/>
              </w:rPr>
              <w:t>Mreža industrijske energetske efikasnosti (MIEE)</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I.1</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Zadržana, ažurirana</w:t>
            </w:r>
            <w:r w:rsidR="002663AD" w:rsidRPr="00361664">
              <w:rPr>
                <w:color w:val="000000"/>
                <w:sz w:val="16"/>
                <w:szCs w:val="16"/>
                <w:lang w:eastAsia="hr-HR"/>
              </w:rPr>
              <w:t>, promovira aktivnosti nove mjere I.2</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3.4.1.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I.2</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EB54B9" w:rsidP="00A64640">
            <w:pPr>
              <w:spacing w:after="0" w:line="240" w:lineRule="auto"/>
              <w:rPr>
                <w:sz w:val="16"/>
                <w:szCs w:val="16"/>
                <w:lang w:eastAsia="hr-HR"/>
              </w:rPr>
            </w:pPr>
            <w:r w:rsidRPr="00361664">
              <w:rPr>
                <w:sz w:val="16"/>
                <w:szCs w:val="16"/>
                <w:lang w:eastAsia="hr-HR"/>
              </w:rPr>
              <w:t>Poboljšanje energetske učinkovitosti u industrijskim proizvodnim postrojenjima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A64640" w:rsidP="007026BD">
            <w:pPr>
              <w:spacing w:after="0" w:line="240" w:lineRule="auto"/>
              <w:jc w:val="center"/>
              <w:rPr>
                <w:color w:val="000000"/>
                <w:sz w:val="16"/>
                <w:szCs w:val="16"/>
                <w:lang w:eastAsia="hr-HR"/>
              </w:rPr>
            </w:pPr>
            <w:r w:rsidRPr="00361664">
              <w:rPr>
                <w:color w:val="000000"/>
                <w:sz w:val="16"/>
                <w:szCs w:val="16"/>
                <w:lang w:eastAsia="hr-HR"/>
              </w:rPr>
              <w:t>I.2. I.3 i I.4</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A64640" w:rsidP="002663AD">
            <w:pPr>
              <w:spacing w:after="0" w:line="240" w:lineRule="auto"/>
              <w:jc w:val="center"/>
              <w:rPr>
                <w:color w:val="000000"/>
                <w:sz w:val="16"/>
                <w:szCs w:val="16"/>
                <w:lang w:eastAsia="hr-HR"/>
              </w:rPr>
            </w:pPr>
            <w:r w:rsidRPr="00361664">
              <w:rPr>
                <w:color w:val="000000"/>
                <w:sz w:val="16"/>
                <w:szCs w:val="16"/>
                <w:lang w:eastAsia="hr-HR"/>
              </w:rPr>
              <w:t xml:space="preserve">Nova mjera, objedinjuje mjere I.2, I.3 </w:t>
            </w:r>
            <w:r w:rsidRPr="00361664">
              <w:rPr>
                <w:sz w:val="16"/>
                <w:szCs w:val="16"/>
                <w:lang w:eastAsia="hr-HR"/>
              </w:rPr>
              <w:t xml:space="preserve">i I.4 </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3.4.1.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T.1</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A64640">
            <w:pPr>
              <w:spacing w:after="0" w:line="240" w:lineRule="auto"/>
              <w:rPr>
                <w:sz w:val="16"/>
                <w:szCs w:val="16"/>
                <w:lang w:eastAsia="hr-HR"/>
              </w:rPr>
            </w:pPr>
            <w:r w:rsidRPr="00361664">
              <w:rPr>
                <w:sz w:val="16"/>
                <w:szCs w:val="16"/>
                <w:lang w:eastAsia="hr-HR"/>
              </w:rPr>
              <w:t>Trening eko-vožnje</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T.1</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3.5.1.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T.2</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A64640">
            <w:pPr>
              <w:spacing w:after="0" w:line="240" w:lineRule="auto"/>
              <w:rPr>
                <w:sz w:val="16"/>
                <w:szCs w:val="16"/>
                <w:lang w:eastAsia="hr-HR"/>
              </w:rPr>
            </w:pPr>
            <w:r w:rsidRPr="00361664">
              <w:rPr>
                <w:sz w:val="16"/>
                <w:szCs w:val="16"/>
                <w:lang w:eastAsia="hr-HR"/>
              </w:rPr>
              <w:t>Zakonodavna prilagodba odredbi o uspostavi infrastrukture za alternativna goriva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sz w:val="16"/>
                <w:szCs w:val="16"/>
                <w:lang w:eastAsia="hr-HR"/>
              </w:rPr>
            </w:pPr>
            <w:r w:rsidRPr="00361664">
              <w:rPr>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3.5.1.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T.3</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A64640">
            <w:pPr>
              <w:spacing w:after="0" w:line="240" w:lineRule="auto"/>
              <w:rPr>
                <w:sz w:val="16"/>
                <w:szCs w:val="16"/>
                <w:lang w:eastAsia="hr-HR"/>
              </w:rPr>
            </w:pPr>
            <w:r w:rsidRPr="00361664">
              <w:rPr>
                <w:sz w:val="16"/>
                <w:szCs w:val="16"/>
                <w:lang w:eastAsia="hr-HR"/>
              </w:rPr>
              <w:t>Promicanje integriranog i inteligentnog prometa i razvoj infrastrukture za alternativna goriva na lokalnoj i područnoj razini</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A248A9" w:rsidP="007026BD">
            <w:pPr>
              <w:spacing w:after="0" w:line="240" w:lineRule="auto"/>
              <w:jc w:val="center"/>
              <w:rPr>
                <w:sz w:val="16"/>
                <w:szCs w:val="16"/>
                <w:lang w:eastAsia="hr-HR"/>
              </w:rPr>
            </w:pPr>
            <w:r w:rsidRPr="00361664">
              <w:rPr>
                <w:sz w:val="16"/>
                <w:szCs w:val="16"/>
                <w:lang w:eastAsia="hr-HR"/>
              </w:rPr>
              <w:t>T.4 i T.8</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A248A9" w:rsidP="007026BD">
            <w:pPr>
              <w:spacing w:after="0" w:line="240" w:lineRule="auto"/>
              <w:jc w:val="center"/>
              <w:rPr>
                <w:sz w:val="16"/>
                <w:szCs w:val="16"/>
                <w:lang w:eastAsia="hr-HR"/>
              </w:rPr>
            </w:pPr>
            <w:r w:rsidRPr="00361664">
              <w:rPr>
                <w:sz w:val="16"/>
                <w:szCs w:val="16"/>
                <w:lang w:eastAsia="hr-HR"/>
              </w:rPr>
              <w:t>Nova mjera, objedinjuje mjere T.4 i T.8</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3.5.1.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T.4</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2663AD">
            <w:pPr>
              <w:spacing w:after="0" w:line="240" w:lineRule="auto"/>
              <w:rPr>
                <w:sz w:val="16"/>
                <w:szCs w:val="16"/>
                <w:lang w:eastAsia="hr-HR"/>
              </w:rPr>
            </w:pPr>
            <w:r w:rsidRPr="00361664">
              <w:rPr>
                <w:sz w:val="16"/>
                <w:szCs w:val="16"/>
                <w:lang w:eastAsia="hr-HR"/>
              </w:rPr>
              <w:t>Financijski poticaji za energetski učinkovita vozila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T.6</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2663AD">
            <w:pPr>
              <w:spacing w:after="0" w:line="240" w:lineRule="auto"/>
              <w:jc w:val="center"/>
              <w:rPr>
                <w:color w:val="000000"/>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3.5.1.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T.5</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2663AD">
            <w:pPr>
              <w:spacing w:after="0" w:line="240" w:lineRule="auto"/>
              <w:rPr>
                <w:sz w:val="16"/>
                <w:szCs w:val="16"/>
                <w:lang w:eastAsia="hr-HR"/>
              </w:rPr>
            </w:pPr>
            <w:r w:rsidRPr="00361664">
              <w:rPr>
                <w:sz w:val="16"/>
                <w:szCs w:val="16"/>
                <w:lang w:eastAsia="hr-HR"/>
              </w:rPr>
              <w:t>Razvoj infrastrukture za alternativna goriva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T.7</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3.5.1.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T.6</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2663AD">
            <w:pPr>
              <w:spacing w:after="0" w:line="240" w:lineRule="auto"/>
              <w:rPr>
                <w:sz w:val="16"/>
                <w:szCs w:val="16"/>
                <w:lang w:eastAsia="hr-HR"/>
              </w:rPr>
            </w:pPr>
            <w:r w:rsidRPr="00361664">
              <w:rPr>
                <w:sz w:val="16"/>
                <w:szCs w:val="16"/>
                <w:lang w:eastAsia="hr-HR"/>
              </w:rPr>
              <w:t>Uspostava posebnog poreza na motorna vozila na temelju emisija CO</w:t>
            </w:r>
            <w:r w:rsidRPr="00361664">
              <w:rPr>
                <w:sz w:val="16"/>
                <w:szCs w:val="16"/>
                <w:vertAlign w:val="subscript"/>
                <w:lang w:eastAsia="hr-HR"/>
              </w:rPr>
              <w:t>2</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T.9</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3.5.1.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T.7</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2663AD">
            <w:pPr>
              <w:spacing w:after="0" w:line="240" w:lineRule="auto"/>
              <w:rPr>
                <w:sz w:val="16"/>
                <w:szCs w:val="16"/>
                <w:lang w:eastAsia="hr-HR"/>
              </w:rPr>
            </w:pPr>
            <w:r w:rsidRPr="00361664">
              <w:rPr>
                <w:sz w:val="16"/>
                <w:szCs w:val="16"/>
                <w:lang w:eastAsia="hr-HR"/>
              </w:rPr>
              <w:t>ELEN Strateški projekt HEP grupe</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3.5.1.</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HC.1</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2663AD">
            <w:pPr>
              <w:spacing w:after="0" w:line="240" w:lineRule="auto"/>
              <w:rPr>
                <w:sz w:val="16"/>
                <w:szCs w:val="16"/>
                <w:lang w:eastAsia="hr-HR"/>
              </w:rPr>
            </w:pPr>
            <w:r w:rsidRPr="00361664">
              <w:rPr>
                <w:sz w:val="16"/>
                <w:szCs w:val="16"/>
                <w:lang w:eastAsia="hr-HR"/>
              </w:rPr>
              <w:t>Detaljno mapiranje energetskog sustava</w:t>
            </w:r>
          </w:p>
        </w:tc>
        <w:tc>
          <w:tcPr>
            <w:tcW w:w="820"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3.6</w:t>
            </w:r>
          </w:p>
        </w:tc>
      </w:tr>
      <w:tr w:rsidR="0001495B" w:rsidRPr="00361664" w:rsidTr="00A64640">
        <w:trPr>
          <w:trHeight w:val="100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E.1</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2663AD">
            <w:pPr>
              <w:spacing w:after="0" w:line="240" w:lineRule="auto"/>
              <w:rPr>
                <w:sz w:val="16"/>
                <w:szCs w:val="16"/>
                <w:lang w:eastAsia="hr-HR"/>
              </w:rPr>
            </w:pPr>
            <w:r w:rsidRPr="00361664">
              <w:rPr>
                <w:sz w:val="16"/>
                <w:szCs w:val="16"/>
                <w:lang w:eastAsia="hr-HR"/>
              </w:rPr>
              <w:t>Poboljšanje učinkovitosti smanjenjem vlastite potrošnje u hidroelektranama (HE), termoelektranama (TE) i termoelektranama-toplanama  (TE-TO)  unutar HEP grupe</w:t>
            </w:r>
          </w:p>
        </w:tc>
        <w:tc>
          <w:tcPr>
            <w:tcW w:w="820" w:type="dxa"/>
            <w:tcBorders>
              <w:top w:val="nil"/>
              <w:left w:val="nil"/>
              <w:bottom w:val="single" w:sz="4" w:space="0" w:color="auto"/>
              <w:right w:val="single" w:sz="4" w:space="0" w:color="auto"/>
            </w:tcBorders>
            <w:shd w:val="clear" w:color="auto" w:fill="auto"/>
            <w:noWrap/>
            <w:vAlign w:val="center"/>
            <w:hideMark/>
          </w:tcPr>
          <w:p w:rsidR="0001495B"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E.1</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3.7.</w:t>
            </w:r>
          </w:p>
        </w:tc>
      </w:tr>
      <w:tr w:rsidR="0001495B"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sz w:val="16"/>
                <w:szCs w:val="16"/>
                <w:lang w:eastAsia="hr-HR"/>
              </w:rPr>
            </w:pPr>
            <w:r w:rsidRPr="00361664">
              <w:rPr>
                <w:sz w:val="16"/>
                <w:szCs w:val="16"/>
                <w:lang w:eastAsia="hr-HR"/>
              </w:rPr>
              <w:t>E.2</w:t>
            </w:r>
          </w:p>
        </w:tc>
        <w:tc>
          <w:tcPr>
            <w:tcW w:w="3816"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875908">
            <w:pPr>
              <w:spacing w:after="0" w:line="240" w:lineRule="auto"/>
              <w:rPr>
                <w:sz w:val="16"/>
                <w:szCs w:val="16"/>
                <w:lang w:eastAsia="hr-HR"/>
              </w:rPr>
            </w:pPr>
            <w:r w:rsidRPr="00361664">
              <w:rPr>
                <w:sz w:val="16"/>
                <w:szCs w:val="16"/>
                <w:lang w:eastAsia="hr-HR"/>
              </w:rPr>
              <w:t>Poboljšanje učinkovitosti revitalizacijom postojećih hidroelektrana u sklopu  HEP grupe</w:t>
            </w:r>
          </w:p>
        </w:tc>
        <w:tc>
          <w:tcPr>
            <w:tcW w:w="820" w:type="dxa"/>
            <w:tcBorders>
              <w:top w:val="nil"/>
              <w:left w:val="nil"/>
              <w:bottom w:val="single" w:sz="4" w:space="0" w:color="auto"/>
              <w:right w:val="single" w:sz="4" w:space="0" w:color="auto"/>
            </w:tcBorders>
            <w:shd w:val="clear" w:color="auto" w:fill="auto"/>
            <w:noWrap/>
            <w:vAlign w:val="center"/>
            <w:hideMark/>
          </w:tcPr>
          <w:p w:rsidR="0001495B" w:rsidRPr="00361664" w:rsidRDefault="002663AD" w:rsidP="007026BD">
            <w:pPr>
              <w:spacing w:after="0" w:line="240" w:lineRule="auto"/>
              <w:jc w:val="center"/>
              <w:rPr>
                <w:color w:val="000000"/>
                <w:lang w:eastAsia="hr-HR"/>
              </w:rPr>
            </w:pPr>
            <w:r w:rsidRPr="00361664">
              <w:rPr>
                <w:color w:val="000000"/>
                <w:sz w:val="16"/>
                <w:szCs w:val="16"/>
                <w:lang w:eastAsia="hr-HR"/>
              </w:rPr>
              <w:t>E.2</w:t>
            </w:r>
          </w:p>
        </w:tc>
        <w:tc>
          <w:tcPr>
            <w:tcW w:w="2952" w:type="dxa"/>
            <w:tcBorders>
              <w:top w:val="nil"/>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3.7.</w:t>
            </w:r>
          </w:p>
        </w:tc>
      </w:tr>
      <w:tr w:rsidR="002663AD" w:rsidRPr="00361664" w:rsidTr="00A64640">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tcPr>
          <w:p w:rsidR="002663AD" w:rsidRPr="00361664" w:rsidRDefault="002663AD" w:rsidP="007026BD">
            <w:pPr>
              <w:spacing w:after="0" w:line="240" w:lineRule="auto"/>
              <w:jc w:val="center"/>
              <w:rPr>
                <w:sz w:val="16"/>
                <w:szCs w:val="16"/>
                <w:lang w:eastAsia="hr-HR"/>
              </w:rPr>
            </w:pPr>
            <w:r w:rsidRPr="00361664">
              <w:rPr>
                <w:sz w:val="16"/>
                <w:szCs w:val="16"/>
                <w:lang w:eastAsia="hr-HR"/>
              </w:rPr>
              <w:t>E.3.</w:t>
            </w:r>
          </w:p>
        </w:tc>
        <w:tc>
          <w:tcPr>
            <w:tcW w:w="3816" w:type="dxa"/>
            <w:tcBorders>
              <w:top w:val="nil"/>
              <w:left w:val="nil"/>
              <w:bottom w:val="single" w:sz="4" w:space="0" w:color="auto"/>
              <w:right w:val="single" w:sz="4" w:space="0" w:color="auto"/>
            </w:tcBorders>
            <w:shd w:val="clear" w:color="auto" w:fill="auto"/>
            <w:vAlign w:val="center"/>
          </w:tcPr>
          <w:p w:rsidR="002663AD" w:rsidRPr="00361664" w:rsidRDefault="002663AD" w:rsidP="00875908">
            <w:pPr>
              <w:spacing w:after="0" w:line="240" w:lineRule="auto"/>
              <w:rPr>
                <w:sz w:val="16"/>
                <w:szCs w:val="16"/>
                <w:lang w:eastAsia="hr-HR"/>
              </w:rPr>
            </w:pPr>
            <w:r w:rsidRPr="00361664">
              <w:rPr>
                <w:sz w:val="16"/>
                <w:szCs w:val="16"/>
                <w:lang w:eastAsia="hr-HR"/>
              </w:rPr>
              <w:t>Program „Smanjenje specifične potrošnje topline turbine 210 MW TE PLOMIN“</w:t>
            </w:r>
          </w:p>
        </w:tc>
        <w:tc>
          <w:tcPr>
            <w:tcW w:w="820" w:type="dxa"/>
            <w:tcBorders>
              <w:top w:val="nil"/>
              <w:left w:val="nil"/>
              <w:bottom w:val="single" w:sz="4" w:space="0" w:color="auto"/>
              <w:right w:val="single" w:sz="4" w:space="0" w:color="auto"/>
            </w:tcBorders>
            <w:shd w:val="clear" w:color="auto" w:fill="auto"/>
            <w:noWrap/>
            <w:vAlign w:val="center"/>
          </w:tcPr>
          <w:p w:rsidR="002663AD" w:rsidRPr="00361664" w:rsidRDefault="002663AD" w:rsidP="007026BD">
            <w:pPr>
              <w:spacing w:after="0" w:line="240" w:lineRule="auto"/>
              <w:jc w:val="center"/>
              <w:rPr>
                <w:color w:val="000000"/>
                <w:sz w:val="16"/>
                <w:szCs w:val="16"/>
                <w:lang w:eastAsia="hr-HR"/>
              </w:rPr>
            </w:pPr>
          </w:p>
        </w:tc>
        <w:tc>
          <w:tcPr>
            <w:tcW w:w="2952" w:type="dxa"/>
            <w:tcBorders>
              <w:top w:val="nil"/>
              <w:left w:val="nil"/>
              <w:bottom w:val="single" w:sz="4" w:space="0" w:color="auto"/>
              <w:right w:val="single" w:sz="4" w:space="0" w:color="auto"/>
            </w:tcBorders>
            <w:shd w:val="clear" w:color="auto" w:fill="auto"/>
            <w:vAlign w:val="center"/>
          </w:tcPr>
          <w:p w:rsidR="002663AD"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tcPr>
          <w:p w:rsidR="002663AD"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3.7</w:t>
            </w:r>
          </w:p>
        </w:tc>
      </w:tr>
      <w:tr w:rsidR="002663AD" w:rsidRPr="00361664" w:rsidTr="00577AC6">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tcPr>
          <w:p w:rsidR="002663AD" w:rsidRPr="00361664" w:rsidRDefault="002663AD" w:rsidP="007026BD">
            <w:pPr>
              <w:spacing w:after="0" w:line="240" w:lineRule="auto"/>
              <w:jc w:val="center"/>
              <w:rPr>
                <w:sz w:val="16"/>
                <w:szCs w:val="16"/>
                <w:lang w:eastAsia="hr-HR"/>
              </w:rPr>
            </w:pPr>
            <w:r w:rsidRPr="00361664">
              <w:rPr>
                <w:sz w:val="16"/>
                <w:szCs w:val="16"/>
                <w:lang w:eastAsia="hr-HR"/>
              </w:rPr>
              <w:t>E.4</w:t>
            </w:r>
          </w:p>
        </w:tc>
        <w:tc>
          <w:tcPr>
            <w:tcW w:w="3816" w:type="dxa"/>
            <w:tcBorders>
              <w:top w:val="nil"/>
              <w:left w:val="nil"/>
              <w:bottom w:val="single" w:sz="4" w:space="0" w:color="auto"/>
              <w:right w:val="single" w:sz="4" w:space="0" w:color="auto"/>
            </w:tcBorders>
            <w:shd w:val="clear" w:color="auto" w:fill="auto"/>
            <w:vAlign w:val="center"/>
          </w:tcPr>
          <w:p w:rsidR="002663AD" w:rsidRPr="00361664" w:rsidRDefault="002663AD" w:rsidP="00875908">
            <w:pPr>
              <w:spacing w:after="0" w:line="240" w:lineRule="auto"/>
              <w:rPr>
                <w:sz w:val="16"/>
                <w:szCs w:val="16"/>
                <w:lang w:eastAsia="hr-HR"/>
              </w:rPr>
            </w:pPr>
            <w:r w:rsidRPr="00361664">
              <w:rPr>
                <w:sz w:val="16"/>
                <w:szCs w:val="16"/>
                <w:lang w:eastAsia="hr-HR"/>
              </w:rPr>
              <w:t>Ugradnja novih mjerenja temperature i gubitaka energije</w:t>
            </w:r>
          </w:p>
        </w:tc>
        <w:tc>
          <w:tcPr>
            <w:tcW w:w="820" w:type="dxa"/>
            <w:tcBorders>
              <w:top w:val="nil"/>
              <w:left w:val="nil"/>
              <w:bottom w:val="single" w:sz="4" w:space="0" w:color="auto"/>
              <w:right w:val="single" w:sz="4" w:space="0" w:color="auto"/>
            </w:tcBorders>
            <w:shd w:val="clear" w:color="auto" w:fill="auto"/>
            <w:noWrap/>
            <w:vAlign w:val="center"/>
          </w:tcPr>
          <w:p w:rsidR="002663AD" w:rsidRPr="00361664" w:rsidRDefault="002663AD" w:rsidP="007026BD">
            <w:pPr>
              <w:spacing w:after="0" w:line="240" w:lineRule="auto"/>
              <w:jc w:val="center"/>
              <w:rPr>
                <w:color w:val="000000"/>
                <w:sz w:val="16"/>
                <w:szCs w:val="16"/>
                <w:lang w:eastAsia="hr-HR"/>
              </w:rPr>
            </w:pPr>
          </w:p>
        </w:tc>
        <w:tc>
          <w:tcPr>
            <w:tcW w:w="2952" w:type="dxa"/>
            <w:tcBorders>
              <w:top w:val="nil"/>
              <w:left w:val="nil"/>
              <w:bottom w:val="single" w:sz="4" w:space="0" w:color="auto"/>
              <w:right w:val="single" w:sz="4" w:space="0" w:color="auto"/>
            </w:tcBorders>
            <w:shd w:val="clear" w:color="auto" w:fill="auto"/>
            <w:vAlign w:val="center"/>
          </w:tcPr>
          <w:p w:rsidR="002663AD"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tcPr>
          <w:p w:rsidR="002663AD"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3.7</w:t>
            </w:r>
          </w:p>
        </w:tc>
      </w:tr>
      <w:tr w:rsidR="0001495B" w:rsidRPr="00361664" w:rsidTr="00577AC6">
        <w:trPr>
          <w:trHeight w:val="495"/>
          <w:jc w:val="center"/>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sz w:val="16"/>
                <w:szCs w:val="16"/>
                <w:lang w:eastAsia="hr-HR"/>
              </w:rPr>
            </w:pPr>
            <w:r w:rsidRPr="00361664">
              <w:rPr>
                <w:sz w:val="16"/>
                <w:szCs w:val="16"/>
                <w:lang w:eastAsia="hr-HR"/>
              </w:rPr>
              <w:lastRenderedPageBreak/>
              <w:t>E.5</w:t>
            </w:r>
          </w:p>
        </w:tc>
        <w:tc>
          <w:tcPr>
            <w:tcW w:w="3816"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1495B" w:rsidP="00875908">
            <w:pPr>
              <w:spacing w:after="0" w:line="240" w:lineRule="auto"/>
              <w:rPr>
                <w:sz w:val="16"/>
                <w:szCs w:val="16"/>
                <w:lang w:eastAsia="hr-HR"/>
              </w:rPr>
            </w:pPr>
            <w:r w:rsidRPr="00361664">
              <w:rPr>
                <w:sz w:val="16"/>
                <w:szCs w:val="16"/>
                <w:lang w:eastAsia="hr-HR"/>
              </w:rPr>
              <w:t>Poboljšanje energetske učinkovitosti u istraživanju i proizvodnji nafte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1495B" w:rsidRPr="00361664" w:rsidRDefault="002663AD" w:rsidP="007026BD">
            <w:pPr>
              <w:spacing w:after="0" w:line="240" w:lineRule="auto"/>
              <w:jc w:val="center"/>
              <w:rPr>
                <w:sz w:val="16"/>
                <w:szCs w:val="16"/>
                <w:lang w:eastAsia="hr-HR"/>
              </w:rPr>
            </w:pPr>
            <w:r w:rsidRPr="00361664">
              <w:rPr>
                <w:sz w:val="16"/>
                <w:szCs w:val="16"/>
                <w:lang w:eastAsia="hr-HR"/>
              </w:rPr>
              <w:t>E.3</w:t>
            </w:r>
          </w:p>
        </w:tc>
        <w:tc>
          <w:tcPr>
            <w:tcW w:w="2952" w:type="dxa"/>
            <w:tcBorders>
              <w:top w:val="single" w:sz="4" w:space="0" w:color="auto"/>
              <w:left w:val="nil"/>
              <w:bottom w:val="single" w:sz="4" w:space="0" w:color="auto"/>
              <w:right w:val="single" w:sz="4" w:space="0" w:color="auto"/>
            </w:tcBorders>
            <w:shd w:val="clear" w:color="auto" w:fill="auto"/>
            <w:vAlign w:val="center"/>
          </w:tcPr>
          <w:p w:rsidR="0001495B" w:rsidRPr="00361664" w:rsidRDefault="002663AD" w:rsidP="007026BD">
            <w:pPr>
              <w:spacing w:after="0" w:line="240" w:lineRule="auto"/>
              <w:jc w:val="center"/>
              <w:rPr>
                <w:sz w:val="16"/>
                <w:szCs w:val="16"/>
                <w:lang w:eastAsia="hr-HR"/>
              </w:rPr>
            </w:pPr>
            <w:r w:rsidRPr="00361664">
              <w:rPr>
                <w:color w:val="000000"/>
                <w:sz w:val="16"/>
                <w:szCs w:val="16"/>
                <w:lang w:eastAsia="hr-HR"/>
              </w:rPr>
              <w:t>Zadržana, ažurirana</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3.7.</w:t>
            </w:r>
          </w:p>
        </w:tc>
      </w:tr>
      <w:tr w:rsidR="0001495B" w:rsidRPr="00361664" w:rsidTr="00577AC6">
        <w:trPr>
          <w:trHeight w:val="495"/>
          <w:jc w:val="center"/>
        </w:trPr>
        <w:tc>
          <w:tcPr>
            <w:tcW w:w="523" w:type="dxa"/>
            <w:tcBorders>
              <w:top w:val="single" w:sz="4" w:space="0" w:color="auto"/>
              <w:left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sz w:val="16"/>
                <w:szCs w:val="16"/>
                <w:lang w:eastAsia="hr-HR"/>
              </w:rPr>
            </w:pPr>
            <w:r w:rsidRPr="00361664">
              <w:rPr>
                <w:sz w:val="16"/>
                <w:szCs w:val="16"/>
                <w:lang w:eastAsia="hr-HR"/>
              </w:rPr>
              <w:t>E.6</w:t>
            </w:r>
          </w:p>
        </w:tc>
        <w:tc>
          <w:tcPr>
            <w:tcW w:w="3816" w:type="dxa"/>
            <w:tcBorders>
              <w:top w:val="single" w:sz="4" w:space="0" w:color="auto"/>
              <w:left w:val="nil"/>
              <w:right w:val="single" w:sz="4" w:space="0" w:color="auto"/>
            </w:tcBorders>
            <w:shd w:val="clear" w:color="auto" w:fill="auto"/>
            <w:vAlign w:val="center"/>
            <w:hideMark/>
          </w:tcPr>
          <w:p w:rsidR="0001495B" w:rsidRPr="00361664" w:rsidRDefault="0001495B" w:rsidP="00875908">
            <w:pPr>
              <w:spacing w:after="0" w:line="240" w:lineRule="auto"/>
              <w:rPr>
                <w:sz w:val="16"/>
                <w:szCs w:val="16"/>
                <w:lang w:eastAsia="hr-HR"/>
              </w:rPr>
            </w:pPr>
            <w:r w:rsidRPr="00361664">
              <w:rPr>
                <w:sz w:val="16"/>
                <w:szCs w:val="16"/>
                <w:lang w:eastAsia="hr-HR"/>
              </w:rPr>
              <w:t>Poboljšanje energetske učinkovitosti u preradi nafte</w:t>
            </w:r>
          </w:p>
        </w:tc>
        <w:tc>
          <w:tcPr>
            <w:tcW w:w="820" w:type="dxa"/>
            <w:tcBorders>
              <w:top w:val="single" w:sz="4" w:space="0" w:color="auto"/>
              <w:left w:val="nil"/>
              <w:right w:val="single" w:sz="4" w:space="0" w:color="auto"/>
            </w:tcBorders>
            <w:shd w:val="clear" w:color="auto" w:fill="auto"/>
            <w:noWrap/>
            <w:vAlign w:val="center"/>
            <w:hideMark/>
          </w:tcPr>
          <w:p w:rsidR="0001495B" w:rsidRPr="00361664" w:rsidRDefault="002663AD" w:rsidP="007026BD">
            <w:pPr>
              <w:spacing w:after="0" w:line="240" w:lineRule="auto"/>
              <w:jc w:val="center"/>
              <w:rPr>
                <w:color w:val="000000"/>
                <w:sz w:val="16"/>
                <w:szCs w:val="16"/>
                <w:lang w:eastAsia="hr-HR"/>
              </w:rPr>
            </w:pPr>
            <w:r w:rsidRPr="00361664">
              <w:rPr>
                <w:color w:val="000000"/>
                <w:sz w:val="16"/>
                <w:szCs w:val="16"/>
                <w:lang w:eastAsia="hr-HR"/>
              </w:rPr>
              <w:t>E.4</w:t>
            </w:r>
          </w:p>
        </w:tc>
        <w:tc>
          <w:tcPr>
            <w:tcW w:w="2952" w:type="dxa"/>
            <w:tcBorders>
              <w:top w:val="single" w:sz="4" w:space="0" w:color="auto"/>
              <w:left w:val="nil"/>
              <w:right w:val="single" w:sz="4" w:space="0" w:color="auto"/>
            </w:tcBorders>
            <w:shd w:val="clear" w:color="auto" w:fill="auto"/>
            <w:vAlign w:val="center"/>
          </w:tcPr>
          <w:p w:rsidR="0001495B" w:rsidRPr="00361664" w:rsidRDefault="002663AD" w:rsidP="007026BD">
            <w:pPr>
              <w:spacing w:after="0" w:line="240" w:lineRule="auto"/>
              <w:jc w:val="center"/>
              <w:rPr>
                <w:sz w:val="16"/>
                <w:szCs w:val="16"/>
                <w:lang w:eastAsia="hr-HR"/>
              </w:rPr>
            </w:pPr>
            <w:r w:rsidRPr="00361664">
              <w:rPr>
                <w:color w:val="000000"/>
                <w:sz w:val="16"/>
                <w:szCs w:val="16"/>
                <w:lang w:eastAsia="hr-HR"/>
              </w:rPr>
              <w:t>Zadržana, ažurirana</w:t>
            </w:r>
          </w:p>
        </w:tc>
        <w:tc>
          <w:tcPr>
            <w:tcW w:w="969" w:type="dxa"/>
            <w:tcBorders>
              <w:top w:val="single" w:sz="4" w:space="0" w:color="auto"/>
              <w:left w:val="nil"/>
              <w:right w:val="single" w:sz="4" w:space="0" w:color="auto"/>
            </w:tcBorders>
            <w:shd w:val="clear" w:color="auto" w:fill="auto"/>
            <w:vAlign w:val="center"/>
            <w:hideMark/>
          </w:tcPr>
          <w:p w:rsidR="0001495B" w:rsidRPr="00361664" w:rsidRDefault="0001495B" w:rsidP="007026BD">
            <w:pPr>
              <w:spacing w:after="0" w:line="240" w:lineRule="auto"/>
              <w:jc w:val="center"/>
              <w:rPr>
                <w:color w:val="000000"/>
                <w:sz w:val="16"/>
                <w:szCs w:val="16"/>
                <w:lang w:eastAsia="hr-HR"/>
              </w:rPr>
            </w:pPr>
            <w:r w:rsidRPr="00361664">
              <w:rPr>
                <w:color w:val="000000"/>
                <w:sz w:val="16"/>
                <w:szCs w:val="16"/>
                <w:lang w:eastAsia="hr-HR"/>
              </w:rPr>
              <w:t>3.7.</w:t>
            </w:r>
          </w:p>
        </w:tc>
      </w:tr>
      <w:tr w:rsidR="0001495B" w:rsidRPr="00361664" w:rsidTr="00577AC6">
        <w:trPr>
          <w:trHeight w:val="465"/>
          <w:jc w:val="center"/>
        </w:trPr>
        <w:tc>
          <w:tcPr>
            <w:tcW w:w="523" w:type="dxa"/>
            <w:tcBorders>
              <w:left w:val="single" w:sz="4" w:space="0" w:color="auto"/>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sz w:val="16"/>
                <w:szCs w:val="16"/>
                <w:lang w:eastAsia="hr-HR"/>
              </w:rPr>
            </w:pPr>
            <w:r w:rsidRPr="00361664">
              <w:rPr>
                <w:sz w:val="16"/>
                <w:szCs w:val="16"/>
                <w:lang w:eastAsia="hr-HR"/>
              </w:rPr>
              <w:t>E.7</w:t>
            </w:r>
          </w:p>
        </w:tc>
        <w:tc>
          <w:tcPr>
            <w:tcW w:w="3816" w:type="dxa"/>
            <w:tcBorders>
              <w:left w:val="nil"/>
              <w:bottom w:val="single" w:sz="4" w:space="0" w:color="auto"/>
              <w:right w:val="single" w:sz="4" w:space="0" w:color="auto"/>
            </w:tcBorders>
            <w:shd w:val="clear" w:color="auto" w:fill="auto"/>
            <w:vAlign w:val="center"/>
            <w:hideMark/>
          </w:tcPr>
          <w:p w:rsidR="0001495B" w:rsidRPr="00361664" w:rsidRDefault="0001495B" w:rsidP="00875908">
            <w:pPr>
              <w:spacing w:after="0" w:line="240" w:lineRule="auto"/>
              <w:rPr>
                <w:sz w:val="16"/>
                <w:szCs w:val="16"/>
                <w:lang w:eastAsia="hr-HR"/>
              </w:rPr>
            </w:pPr>
            <w:r w:rsidRPr="00361664">
              <w:rPr>
                <w:sz w:val="16"/>
                <w:szCs w:val="16"/>
                <w:lang w:eastAsia="hr-HR"/>
              </w:rPr>
              <w:t>Zamjene i rekonstrukcije vrelovodne i parovodne mreže</w:t>
            </w:r>
          </w:p>
        </w:tc>
        <w:tc>
          <w:tcPr>
            <w:tcW w:w="820" w:type="dxa"/>
            <w:tcBorders>
              <w:left w:val="nil"/>
              <w:bottom w:val="single" w:sz="4" w:space="0" w:color="auto"/>
              <w:right w:val="single" w:sz="4" w:space="0" w:color="auto"/>
            </w:tcBorders>
            <w:shd w:val="clear" w:color="auto" w:fill="auto"/>
            <w:noWrap/>
            <w:vAlign w:val="center"/>
            <w:hideMark/>
          </w:tcPr>
          <w:p w:rsidR="0001495B" w:rsidRPr="00361664" w:rsidRDefault="00875908" w:rsidP="007026BD">
            <w:pPr>
              <w:spacing w:after="0" w:line="240" w:lineRule="auto"/>
              <w:jc w:val="center"/>
              <w:rPr>
                <w:color w:val="000000"/>
                <w:sz w:val="16"/>
                <w:szCs w:val="16"/>
                <w:lang w:eastAsia="hr-HR"/>
              </w:rPr>
            </w:pPr>
            <w:r w:rsidRPr="00361664">
              <w:rPr>
                <w:color w:val="000000"/>
                <w:sz w:val="16"/>
                <w:szCs w:val="16"/>
                <w:lang w:eastAsia="hr-HR"/>
              </w:rPr>
              <w:t>E.5</w:t>
            </w:r>
          </w:p>
        </w:tc>
        <w:tc>
          <w:tcPr>
            <w:tcW w:w="2952" w:type="dxa"/>
            <w:tcBorders>
              <w:left w:val="nil"/>
              <w:bottom w:val="single" w:sz="4" w:space="0" w:color="auto"/>
              <w:right w:val="single" w:sz="4" w:space="0" w:color="auto"/>
            </w:tcBorders>
            <w:shd w:val="clear" w:color="auto" w:fill="auto"/>
            <w:vAlign w:val="center"/>
            <w:hideMark/>
          </w:tcPr>
          <w:p w:rsidR="0001495B" w:rsidRPr="00361664" w:rsidRDefault="002663AD" w:rsidP="007026BD">
            <w:pPr>
              <w:spacing w:after="0" w:line="240" w:lineRule="auto"/>
              <w:jc w:val="center"/>
              <w:rPr>
                <w:sz w:val="16"/>
                <w:szCs w:val="16"/>
                <w:lang w:eastAsia="hr-HR"/>
              </w:rPr>
            </w:pPr>
            <w:r w:rsidRPr="00361664">
              <w:rPr>
                <w:color w:val="000000"/>
                <w:sz w:val="16"/>
                <w:szCs w:val="16"/>
                <w:lang w:eastAsia="hr-HR"/>
              </w:rPr>
              <w:t>Zadržana, ažurirana</w:t>
            </w:r>
          </w:p>
        </w:tc>
        <w:tc>
          <w:tcPr>
            <w:tcW w:w="969" w:type="dxa"/>
            <w:tcBorders>
              <w:left w:val="nil"/>
              <w:bottom w:val="single" w:sz="4" w:space="0" w:color="auto"/>
              <w:right w:val="single" w:sz="4" w:space="0" w:color="auto"/>
            </w:tcBorders>
            <w:shd w:val="clear" w:color="auto" w:fill="auto"/>
            <w:vAlign w:val="center"/>
            <w:hideMark/>
          </w:tcPr>
          <w:p w:rsidR="0001495B" w:rsidRPr="00361664" w:rsidRDefault="00D1190D" w:rsidP="007026BD">
            <w:pPr>
              <w:spacing w:after="0" w:line="240" w:lineRule="auto"/>
              <w:jc w:val="center"/>
              <w:rPr>
                <w:color w:val="000000"/>
                <w:sz w:val="16"/>
                <w:szCs w:val="16"/>
                <w:lang w:eastAsia="hr-HR"/>
              </w:rPr>
            </w:pPr>
            <w:r>
              <w:rPr>
                <w:color w:val="000000"/>
                <w:sz w:val="16"/>
                <w:szCs w:val="16"/>
                <w:lang w:eastAsia="hr-HR"/>
              </w:rPr>
              <w:t>3.6.3</w:t>
            </w:r>
          </w:p>
        </w:tc>
      </w:tr>
      <w:tr w:rsidR="00875908" w:rsidRPr="00361664" w:rsidTr="00A64640">
        <w:trPr>
          <w:trHeight w:val="46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875908" w:rsidRPr="00361664" w:rsidRDefault="00875908" w:rsidP="00875908">
            <w:pPr>
              <w:spacing w:after="0" w:line="240" w:lineRule="auto"/>
              <w:jc w:val="center"/>
              <w:rPr>
                <w:sz w:val="16"/>
                <w:szCs w:val="16"/>
                <w:lang w:eastAsia="hr-HR"/>
              </w:rPr>
            </w:pPr>
            <w:r w:rsidRPr="00361664">
              <w:rPr>
                <w:sz w:val="16"/>
                <w:szCs w:val="16"/>
                <w:lang w:eastAsia="hr-HR"/>
              </w:rPr>
              <w:t>E.8</w:t>
            </w:r>
          </w:p>
        </w:tc>
        <w:tc>
          <w:tcPr>
            <w:tcW w:w="3816" w:type="dxa"/>
            <w:tcBorders>
              <w:top w:val="nil"/>
              <w:left w:val="nil"/>
              <w:bottom w:val="single" w:sz="4" w:space="0" w:color="auto"/>
              <w:right w:val="single" w:sz="4" w:space="0" w:color="auto"/>
            </w:tcBorders>
            <w:shd w:val="clear" w:color="auto" w:fill="auto"/>
            <w:vAlign w:val="center"/>
            <w:hideMark/>
          </w:tcPr>
          <w:p w:rsidR="00875908" w:rsidRPr="00361664" w:rsidRDefault="00875908" w:rsidP="00875908">
            <w:pPr>
              <w:spacing w:after="0" w:line="240" w:lineRule="auto"/>
              <w:rPr>
                <w:sz w:val="16"/>
                <w:szCs w:val="16"/>
                <w:lang w:eastAsia="hr-HR"/>
              </w:rPr>
            </w:pPr>
            <w:r w:rsidRPr="00361664">
              <w:rPr>
                <w:sz w:val="16"/>
                <w:szCs w:val="16"/>
                <w:lang w:eastAsia="hr-HR"/>
              </w:rPr>
              <w:t>Mjere vezane za vođenje pogona elektroenergetskog sustava te kratkoročni i dugoročni razvoj prijenosne mreže</w:t>
            </w:r>
          </w:p>
        </w:tc>
        <w:tc>
          <w:tcPr>
            <w:tcW w:w="820" w:type="dxa"/>
            <w:tcBorders>
              <w:top w:val="nil"/>
              <w:left w:val="nil"/>
              <w:bottom w:val="single" w:sz="4" w:space="0" w:color="auto"/>
              <w:right w:val="single" w:sz="4" w:space="0" w:color="auto"/>
            </w:tcBorders>
            <w:shd w:val="clear" w:color="auto" w:fill="auto"/>
            <w:noWrap/>
            <w:vAlign w:val="center"/>
            <w:hideMark/>
          </w:tcPr>
          <w:p w:rsidR="00875908" w:rsidRPr="00361664" w:rsidRDefault="00875908" w:rsidP="00875908">
            <w:pPr>
              <w:spacing w:after="0" w:line="240" w:lineRule="auto"/>
              <w:jc w:val="center"/>
              <w:rPr>
                <w:color w:val="000000"/>
                <w:sz w:val="16"/>
                <w:szCs w:val="16"/>
                <w:lang w:eastAsia="hr-HR"/>
              </w:rPr>
            </w:pPr>
          </w:p>
        </w:tc>
        <w:tc>
          <w:tcPr>
            <w:tcW w:w="2952" w:type="dxa"/>
            <w:tcBorders>
              <w:top w:val="nil"/>
              <w:left w:val="nil"/>
              <w:bottom w:val="single" w:sz="4" w:space="0" w:color="auto"/>
              <w:right w:val="single" w:sz="4" w:space="0" w:color="auto"/>
            </w:tcBorders>
            <w:shd w:val="clear" w:color="auto" w:fill="auto"/>
            <w:vAlign w:val="center"/>
            <w:hideMark/>
          </w:tcPr>
          <w:p w:rsidR="00875908" w:rsidRPr="00361664" w:rsidRDefault="00875908" w:rsidP="00875908">
            <w:pPr>
              <w:spacing w:after="0" w:line="240" w:lineRule="auto"/>
              <w:jc w:val="center"/>
              <w:rPr>
                <w:color w:val="000000"/>
                <w:sz w:val="16"/>
                <w:szCs w:val="16"/>
                <w:lang w:eastAsia="hr-HR"/>
              </w:rPr>
            </w:pPr>
            <w:r w:rsidRPr="00361664">
              <w:rPr>
                <w:color w:val="000000"/>
                <w:sz w:val="16"/>
                <w:szCs w:val="16"/>
                <w:lang w:eastAsia="hr-HR"/>
              </w:rPr>
              <w:t>Nova mjera</w:t>
            </w:r>
          </w:p>
        </w:tc>
        <w:tc>
          <w:tcPr>
            <w:tcW w:w="969" w:type="dxa"/>
            <w:tcBorders>
              <w:top w:val="nil"/>
              <w:left w:val="nil"/>
              <w:bottom w:val="single" w:sz="4" w:space="0" w:color="auto"/>
              <w:right w:val="single" w:sz="4" w:space="0" w:color="auto"/>
            </w:tcBorders>
            <w:shd w:val="clear" w:color="auto" w:fill="auto"/>
            <w:vAlign w:val="center"/>
            <w:hideMark/>
          </w:tcPr>
          <w:p w:rsidR="00875908" w:rsidRPr="00361664" w:rsidRDefault="00D1190D" w:rsidP="00875908">
            <w:pPr>
              <w:spacing w:after="0" w:line="240" w:lineRule="auto"/>
              <w:jc w:val="center"/>
              <w:rPr>
                <w:color w:val="000000"/>
                <w:sz w:val="16"/>
                <w:szCs w:val="16"/>
                <w:lang w:eastAsia="hr-HR"/>
              </w:rPr>
            </w:pPr>
            <w:r>
              <w:rPr>
                <w:color w:val="000000"/>
                <w:sz w:val="16"/>
                <w:szCs w:val="16"/>
                <w:lang w:eastAsia="hr-HR"/>
              </w:rPr>
              <w:t>3.6.3</w:t>
            </w:r>
          </w:p>
        </w:tc>
      </w:tr>
      <w:tr w:rsidR="00875908" w:rsidRPr="00361664" w:rsidTr="00875908">
        <w:trPr>
          <w:trHeight w:val="495"/>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875908" w:rsidRPr="00361664" w:rsidRDefault="00875908" w:rsidP="00875908">
            <w:pPr>
              <w:spacing w:after="0" w:line="240" w:lineRule="auto"/>
              <w:jc w:val="center"/>
              <w:rPr>
                <w:color w:val="000000"/>
                <w:sz w:val="16"/>
                <w:szCs w:val="16"/>
                <w:lang w:eastAsia="hr-HR"/>
              </w:rPr>
            </w:pPr>
            <w:r w:rsidRPr="00361664">
              <w:rPr>
                <w:color w:val="000000"/>
                <w:sz w:val="16"/>
                <w:szCs w:val="16"/>
                <w:lang w:eastAsia="hr-HR"/>
              </w:rPr>
              <w:t>E.9</w:t>
            </w:r>
          </w:p>
        </w:tc>
        <w:tc>
          <w:tcPr>
            <w:tcW w:w="3816" w:type="dxa"/>
            <w:tcBorders>
              <w:top w:val="nil"/>
              <w:left w:val="nil"/>
              <w:bottom w:val="single" w:sz="4" w:space="0" w:color="auto"/>
              <w:right w:val="single" w:sz="4" w:space="0" w:color="auto"/>
            </w:tcBorders>
            <w:shd w:val="clear" w:color="auto" w:fill="auto"/>
            <w:vAlign w:val="center"/>
            <w:hideMark/>
          </w:tcPr>
          <w:p w:rsidR="00875908" w:rsidRPr="00361664" w:rsidRDefault="00875908" w:rsidP="00875908">
            <w:pPr>
              <w:spacing w:after="0" w:line="240" w:lineRule="auto"/>
              <w:rPr>
                <w:color w:val="000000"/>
                <w:sz w:val="16"/>
                <w:szCs w:val="16"/>
                <w:lang w:eastAsia="hr-HR"/>
              </w:rPr>
            </w:pPr>
            <w:r w:rsidRPr="00361664">
              <w:rPr>
                <w:color w:val="000000"/>
                <w:sz w:val="16"/>
                <w:szCs w:val="16"/>
                <w:lang w:eastAsia="hr-HR"/>
              </w:rPr>
              <w:t>Smanjenje gubitaka u distribucijskoj elektroenergetskoj mreži</w:t>
            </w:r>
          </w:p>
        </w:tc>
        <w:tc>
          <w:tcPr>
            <w:tcW w:w="820" w:type="dxa"/>
            <w:tcBorders>
              <w:top w:val="nil"/>
              <w:left w:val="nil"/>
              <w:bottom w:val="single" w:sz="4" w:space="0" w:color="auto"/>
              <w:right w:val="single" w:sz="4" w:space="0" w:color="auto"/>
            </w:tcBorders>
            <w:shd w:val="clear" w:color="auto" w:fill="auto"/>
            <w:noWrap/>
            <w:vAlign w:val="center"/>
            <w:hideMark/>
          </w:tcPr>
          <w:p w:rsidR="00875908" w:rsidRPr="00361664" w:rsidRDefault="00875908" w:rsidP="00875908">
            <w:pPr>
              <w:spacing w:after="0" w:line="240" w:lineRule="auto"/>
              <w:jc w:val="center"/>
              <w:rPr>
                <w:color w:val="000000"/>
                <w:lang w:eastAsia="hr-HR"/>
              </w:rPr>
            </w:pPr>
            <w:r w:rsidRPr="00361664">
              <w:rPr>
                <w:color w:val="000000"/>
                <w:sz w:val="16"/>
                <w:lang w:eastAsia="hr-HR"/>
              </w:rPr>
              <w:t>E.7</w:t>
            </w:r>
          </w:p>
        </w:tc>
        <w:tc>
          <w:tcPr>
            <w:tcW w:w="2952" w:type="dxa"/>
            <w:tcBorders>
              <w:top w:val="nil"/>
              <w:left w:val="nil"/>
              <w:bottom w:val="single" w:sz="4" w:space="0" w:color="auto"/>
              <w:right w:val="single" w:sz="4" w:space="0" w:color="auto"/>
            </w:tcBorders>
            <w:shd w:val="clear" w:color="auto" w:fill="auto"/>
            <w:vAlign w:val="center"/>
            <w:hideMark/>
          </w:tcPr>
          <w:p w:rsidR="00875908" w:rsidRPr="00361664" w:rsidRDefault="00875908" w:rsidP="00875908">
            <w:pPr>
              <w:spacing w:after="0" w:line="240" w:lineRule="auto"/>
              <w:jc w:val="center"/>
              <w:rPr>
                <w:sz w:val="16"/>
                <w:szCs w:val="16"/>
                <w:lang w:eastAsia="hr-HR"/>
              </w:rPr>
            </w:pPr>
            <w:r w:rsidRPr="00361664">
              <w:rPr>
                <w:color w:val="000000"/>
                <w:sz w:val="16"/>
                <w:szCs w:val="16"/>
                <w:lang w:eastAsia="hr-HR"/>
              </w:rPr>
              <w:t>Zadržana, ažurirana</w:t>
            </w:r>
          </w:p>
        </w:tc>
        <w:tc>
          <w:tcPr>
            <w:tcW w:w="969" w:type="dxa"/>
            <w:tcBorders>
              <w:top w:val="nil"/>
              <w:left w:val="nil"/>
              <w:bottom w:val="single" w:sz="4" w:space="0" w:color="auto"/>
              <w:right w:val="single" w:sz="4" w:space="0" w:color="auto"/>
            </w:tcBorders>
            <w:shd w:val="clear" w:color="auto" w:fill="auto"/>
            <w:vAlign w:val="center"/>
            <w:hideMark/>
          </w:tcPr>
          <w:p w:rsidR="00875908" w:rsidRPr="00361664" w:rsidRDefault="00D1190D" w:rsidP="00875908">
            <w:pPr>
              <w:spacing w:after="0" w:line="240" w:lineRule="auto"/>
              <w:jc w:val="center"/>
              <w:rPr>
                <w:color w:val="000000"/>
                <w:sz w:val="16"/>
                <w:szCs w:val="16"/>
                <w:lang w:eastAsia="hr-HR"/>
              </w:rPr>
            </w:pPr>
            <w:r>
              <w:rPr>
                <w:color w:val="000000"/>
                <w:sz w:val="16"/>
                <w:szCs w:val="16"/>
                <w:lang w:eastAsia="hr-HR"/>
              </w:rPr>
              <w:t>3.6.3</w:t>
            </w:r>
          </w:p>
        </w:tc>
      </w:tr>
      <w:tr w:rsidR="00875908" w:rsidRPr="00361664" w:rsidTr="00875908">
        <w:trPr>
          <w:trHeight w:val="495"/>
          <w:jc w:val="center"/>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875908" w:rsidRPr="00361664" w:rsidRDefault="00875908" w:rsidP="00875908">
            <w:pPr>
              <w:spacing w:after="0" w:line="240" w:lineRule="auto"/>
              <w:jc w:val="center"/>
              <w:rPr>
                <w:color w:val="000000"/>
                <w:sz w:val="16"/>
                <w:szCs w:val="16"/>
                <w:lang w:eastAsia="hr-HR"/>
              </w:rPr>
            </w:pPr>
            <w:r w:rsidRPr="00361664">
              <w:rPr>
                <w:color w:val="000000"/>
                <w:sz w:val="16"/>
                <w:szCs w:val="16"/>
                <w:lang w:eastAsia="hr-HR"/>
              </w:rPr>
              <w:t>E.10</w:t>
            </w:r>
          </w:p>
        </w:tc>
        <w:tc>
          <w:tcPr>
            <w:tcW w:w="3816" w:type="dxa"/>
            <w:tcBorders>
              <w:top w:val="single" w:sz="4" w:space="0" w:color="auto"/>
              <w:left w:val="nil"/>
              <w:bottom w:val="single" w:sz="4" w:space="0" w:color="auto"/>
              <w:right w:val="single" w:sz="4" w:space="0" w:color="auto"/>
            </w:tcBorders>
            <w:shd w:val="clear" w:color="auto" w:fill="auto"/>
            <w:vAlign w:val="center"/>
          </w:tcPr>
          <w:p w:rsidR="00875908" w:rsidRPr="00361664" w:rsidRDefault="00875908" w:rsidP="00875908">
            <w:pPr>
              <w:spacing w:after="0" w:line="240" w:lineRule="auto"/>
              <w:rPr>
                <w:color w:val="000000"/>
                <w:sz w:val="16"/>
                <w:szCs w:val="16"/>
                <w:lang w:eastAsia="hr-HR"/>
              </w:rPr>
            </w:pPr>
            <w:r w:rsidRPr="00361664">
              <w:rPr>
                <w:sz w:val="16"/>
                <w:szCs w:val="16"/>
                <w:lang w:eastAsia="hr-HR"/>
              </w:rPr>
              <w:t>Energetska učinkovitost u transportu nafte naftovodima</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875908" w:rsidRPr="00361664" w:rsidRDefault="00875908" w:rsidP="00875908">
            <w:pPr>
              <w:spacing w:after="0" w:line="240" w:lineRule="auto"/>
              <w:jc w:val="center"/>
              <w:rPr>
                <w:color w:val="000000"/>
                <w:lang w:eastAsia="hr-HR"/>
              </w:rPr>
            </w:pPr>
          </w:p>
        </w:tc>
        <w:tc>
          <w:tcPr>
            <w:tcW w:w="2952" w:type="dxa"/>
            <w:tcBorders>
              <w:top w:val="single" w:sz="4" w:space="0" w:color="auto"/>
              <w:left w:val="nil"/>
              <w:bottom w:val="single" w:sz="4" w:space="0" w:color="auto"/>
              <w:right w:val="single" w:sz="4" w:space="0" w:color="auto"/>
            </w:tcBorders>
            <w:shd w:val="clear" w:color="auto" w:fill="auto"/>
            <w:vAlign w:val="center"/>
          </w:tcPr>
          <w:p w:rsidR="00875908" w:rsidRPr="00361664" w:rsidRDefault="00875908" w:rsidP="00875908">
            <w:pPr>
              <w:spacing w:after="0" w:line="240" w:lineRule="auto"/>
              <w:jc w:val="center"/>
              <w:rPr>
                <w:sz w:val="16"/>
                <w:szCs w:val="16"/>
                <w:lang w:eastAsia="hr-HR"/>
              </w:rPr>
            </w:pPr>
            <w:r w:rsidRPr="00361664">
              <w:rPr>
                <w:color w:val="000000"/>
                <w:sz w:val="16"/>
                <w:szCs w:val="16"/>
                <w:lang w:eastAsia="hr-HR"/>
              </w:rPr>
              <w:t>Nova mjera</w:t>
            </w:r>
          </w:p>
        </w:tc>
        <w:tc>
          <w:tcPr>
            <w:tcW w:w="969" w:type="dxa"/>
            <w:tcBorders>
              <w:top w:val="single" w:sz="4" w:space="0" w:color="auto"/>
              <w:left w:val="nil"/>
              <w:bottom w:val="single" w:sz="4" w:space="0" w:color="auto"/>
              <w:right w:val="single" w:sz="4" w:space="0" w:color="auto"/>
            </w:tcBorders>
            <w:shd w:val="clear" w:color="auto" w:fill="auto"/>
            <w:vAlign w:val="center"/>
          </w:tcPr>
          <w:p w:rsidR="00875908" w:rsidRPr="00361664" w:rsidRDefault="00D1190D" w:rsidP="00875908">
            <w:pPr>
              <w:spacing w:after="0" w:line="240" w:lineRule="auto"/>
              <w:jc w:val="center"/>
              <w:rPr>
                <w:color w:val="000000"/>
                <w:sz w:val="16"/>
                <w:szCs w:val="16"/>
                <w:lang w:eastAsia="hr-HR"/>
              </w:rPr>
            </w:pPr>
            <w:r>
              <w:rPr>
                <w:color w:val="000000"/>
                <w:sz w:val="16"/>
                <w:szCs w:val="16"/>
                <w:lang w:eastAsia="hr-HR"/>
              </w:rPr>
              <w:t>3.6.3</w:t>
            </w:r>
          </w:p>
        </w:tc>
      </w:tr>
    </w:tbl>
    <w:p w:rsidR="000E7F04" w:rsidRPr="00361664" w:rsidRDefault="000E7F04"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C745B5" w:rsidRPr="00361664" w:rsidRDefault="00C745B5" w:rsidP="00651BCA">
      <w:pPr>
        <w:jc w:val="both"/>
        <w:rPr>
          <w:bCs/>
          <w:color w:val="548DD4" w:themeColor="text2" w:themeTint="99"/>
          <w:sz w:val="20"/>
          <w:szCs w:val="20"/>
          <w:lang w:eastAsia="hr-HR"/>
        </w:rPr>
      </w:pPr>
    </w:p>
    <w:p w:rsidR="00AE41EF" w:rsidRPr="00361664" w:rsidRDefault="00AE41EF" w:rsidP="00651BCA">
      <w:pPr>
        <w:jc w:val="both"/>
        <w:rPr>
          <w:bCs/>
          <w:color w:val="548DD4" w:themeColor="text2" w:themeTint="99"/>
          <w:sz w:val="20"/>
          <w:szCs w:val="20"/>
          <w:lang w:eastAsia="hr-HR"/>
        </w:rPr>
      </w:pPr>
    </w:p>
    <w:p w:rsidR="00C023CF" w:rsidRPr="00361664" w:rsidRDefault="00C023CF" w:rsidP="00651BCA">
      <w:pPr>
        <w:jc w:val="both"/>
        <w:rPr>
          <w:bCs/>
          <w:color w:val="548DD4" w:themeColor="text2" w:themeTint="99"/>
          <w:sz w:val="20"/>
          <w:szCs w:val="20"/>
          <w:lang w:eastAsia="hr-HR"/>
        </w:rPr>
      </w:pPr>
    </w:p>
    <w:p w:rsidR="00C023CF" w:rsidRPr="00361664" w:rsidRDefault="00C023CF" w:rsidP="00651BCA">
      <w:pPr>
        <w:jc w:val="both"/>
        <w:rPr>
          <w:bCs/>
          <w:color w:val="548DD4" w:themeColor="text2" w:themeTint="99"/>
          <w:sz w:val="20"/>
          <w:szCs w:val="20"/>
          <w:lang w:eastAsia="hr-HR"/>
        </w:rPr>
      </w:pPr>
    </w:p>
    <w:p w:rsidR="00AE41EF" w:rsidRPr="00361664" w:rsidRDefault="00AE41EF" w:rsidP="00651BCA">
      <w:pPr>
        <w:jc w:val="both"/>
        <w:rPr>
          <w:bCs/>
          <w:color w:val="548DD4" w:themeColor="text2" w:themeTint="99"/>
          <w:sz w:val="20"/>
          <w:szCs w:val="20"/>
          <w:lang w:eastAsia="hr-HR"/>
        </w:rPr>
      </w:pPr>
    </w:p>
    <w:p w:rsidR="00944F9E" w:rsidRPr="00361664" w:rsidRDefault="001C0A61" w:rsidP="00651BCA">
      <w:pPr>
        <w:pStyle w:val="Style1-heading2"/>
        <w:jc w:val="both"/>
        <w:rPr>
          <w:rStyle w:val="Jakoisticanje"/>
          <w:b/>
          <w:bCs/>
          <w:color w:val="365F91"/>
        </w:rPr>
      </w:pPr>
      <w:bookmarkStart w:id="16" w:name="_Toc535245841"/>
      <w:r w:rsidRPr="00361664">
        <w:rPr>
          <w:rStyle w:val="Jakoisticanje"/>
          <w:b/>
          <w:bCs/>
          <w:color w:val="365F91"/>
        </w:rPr>
        <w:lastRenderedPageBreak/>
        <w:t xml:space="preserve">3.1 </w:t>
      </w:r>
      <w:r w:rsidR="00944F9E" w:rsidRPr="00361664">
        <w:rPr>
          <w:rStyle w:val="Naslov2Char"/>
          <w:b/>
        </w:rPr>
        <w:t>Horizontal</w:t>
      </w:r>
      <w:r w:rsidR="003412CD" w:rsidRPr="00361664">
        <w:rPr>
          <w:rStyle w:val="Naslov2Char"/>
          <w:b/>
        </w:rPr>
        <w:t>ne mjere</w:t>
      </w:r>
      <w:bookmarkEnd w:id="16"/>
    </w:p>
    <w:p w:rsidR="00275F4E" w:rsidRPr="00361664" w:rsidRDefault="001C0A61" w:rsidP="00651BCA">
      <w:pPr>
        <w:jc w:val="both"/>
        <w:rPr>
          <w:sz w:val="20"/>
          <w:lang w:eastAsia="de-DE"/>
        </w:rPr>
      </w:pPr>
      <w:r w:rsidRPr="00361664">
        <w:rPr>
          <w:sz w:val="20"/>
          <w:lang w:eastAsia="de-DE"/>
        </w:rPr>
        <w:t>Sve postojeće horizontalne mjere iz 3. NAPEnU su revidirane pri čemu su neke obustavljene</w:t>
      </w:r>
      <w:r w:rsidR="00AD7F64" w:rsidRPr="00361664">
        <w:rPr>
          <w:sz w:val="20"/>
          <w:lang w:eastAsia="de-DE"/>
        </w:rPr>
        <w:t xml:space="preserve"> a neke objedinjene</w:t>
      </w:r>
      <w:r w:rsidRPr="00361664">
        <w:rPr>
          <w:sz w:val="20"/>
          <w:lang w:eastAsia="de-DE"/>
        </w:rPr>
        <w:t xml:space="preserve">. Također, </w:t>
      </w:r>
      <w:r w:rsidR="00AD7F64" w:rsidRPr="00361664">
        <w:rPr>
          <w:sz w:val="20"/>
          <w:lang w:eastAsia="de-DE"/>
        </w:rPr>
        <w:t>uočene su prednosti</w:t>
      </w:r>
      <w:r w:rsidRPr="00361664">
        <w:rPr>
          <w:sz w:val="20"/>
          <w:lang w:eastAsia="de-DE"/>
        </w:rPr>
        <w:t xml:space="preserve"> uvođenja novih mjera s velikim potencijalom za međusektorski doprinos. </w:t>
      </w:r>
    </w:p>
    <w:p w:rsidR="0032515E" w:rsidRPr="00361664" w:rsidRDefault="004E4418" w:rsidP="00651BCA">
      <w:pPr>
        <w:pStyle w:val="Naslov3"/>
        <w:rPr>
          <w:lang w:val="hr-HR"/>
        </w:rPr>
      </w:pPr>
      <w:bookmarkStart w:id="17" w:name="_Toc535245842"/>
      <w:r w:rsidRPr="00361664">
        <w:rPr>
          <w:lang w:val="hr-HR"/>
        </w:rPr>
        <w:t xml:space="preserve">Sustavi obveze </w:t>
      </w:r>
      <w:r w:rsidR="0032515E" w:rsidRPr="00361664">
        <w:rPr>
          <w:lang w:val="hr-HR"/>
        </w:rPr>
        <w:t xml:space="preserve">energetske učinkovitosti i alternativne mjere </w:t>
      </w:r>
      <w:r w:rsidRPr="00361664">
        <w:rPr>
          <w:lang w:val="hr-HR"/>
        </w:rPr>
        <w:t>politike (</w:t>
      </w:r>
      <w:r w:rsidR="0032515E" w:rsidRPr="00361664">
        <w:rPr>
          <w:lang w:val="hr-HR"/>
        </w:rPr>
        <w:t>članak 7</w:t>
      </w:r>
      <w:r w:rsidRPr="00361664">
        <w:rPr>
          <w:lang w:val="hr-HR"/>
        </w:rPr>
        <w:t xml:space="preserve"> i Prilog XIV. dio 2. točka 3.2 DEU-a</w:t>
      </w:r>
      <w:r w:rsidR="0032515E" w:rsidRPr="00361664">
        <w:rPr>
          <w:lang w:val="hr-HR"/>
        </w:rPr>
        <w:t>)</w:t>
      </w:r>
      <w:bookmarkEnd w:id="17"/>
    </w:p>
    <w:p w:rsidR="007D720D" w:rsidRPr="00361664" w:rsidRDefault="007D720D" w:rsidP="007D720D">
      <w:pPr>
        <w:jc w:val="both"/>
        <w:rPr>
          <w:sz w:val="20"/>
          <w:szCs w:val="20"/>
        </w:rPr>
      </w:pPr>
      <w:r w:rsidRPr="00361664">
        <w:rPr>
          <w:sz w:val="20"/>
          <w:szCs w:val="20"/>
        </w:rPr>
        <w:t xml:space="preserve">Kako je navedeno u 3. NAPEnU RH je odabrala alternativni pristup odnosno kombinaciju alternativnih mjera politike i sustava obveza energetske učinkovitosti. Alternativne mjere politike se dosta dobro provode i svake godine izvještavaju u EK prema zahtjevima DEU. Dalje u tekstu detaljnije su pobrojane alternativne mjere i prikazani su zadnji rezultati ostvarenih ušteda. Početak sustava obveza energetske učinkovitosti u RH je odgođen, a započet će </w:t>
      </w:r>
      <w:r w:rsidR="00A34BB0" w:rsidRPr="00361664">
        <w:rPr>
          <w:sz w:val="20"/>
          <w:szCs w:val="20"/>
        </w:rPr>
        <w:t xml:space="preserve">temeljem izmjena </w:t>
      </w:r>
      <w:r w:rsidRPr="00361664">
        <w:rPr>
          <w:sz w:val="20"/>
          <w:szCs w:val="20"/>
        </w:rPr>
        <w:t>Zakon</w:t>
      </w:r>
      <w:r w:rsidR="00A34BB0" w:rsidRPr="00361664">
        <w:rPr>
          <w:sz w:val="20"/>
          <w:szCs w:val="20"/>
        </w:rPr>
        <w:t>a</w:t>
      </w:r>
      <w:r w:rsidRPr="00361664">
        <w:rPr>
          <w:sz w:val="20"/>
          <w:szCs w:val="20"/>
        </w:rPr>
        <w:t xml:space="preserve"> o energetskoj učinkovitosti</w:t>
      </w:r>
      <w:r w:rsidR="00A34BB0" w:rsidRPr="00361664">
        <w:rPr>
          <w:sz w:val="20"/>
          <w:szCs w:val="20"/>
        </w:rPr>
        <w:t xml:space="preserve"> u 2019. godini</w:t>
      </w:r>
      <w:r w:rsidRPr="00361664">
        <w:rPr>
          <w:sz w:val="20"/>
          <w:szCs w:val="20"/>
        </w:rPr>
        <w:t xml:space="preserve">. Cilj za sustave obveza iznosi oko </w:t>
      </w:r>
      <w:r w:rsidR="00787158" w:rsidRPr="00361664">
        <w:rPr>
          <w:sz w:val="20"/>
          <w:szCs w:val="20"/>
        </w:rPr>
        <w:t>50</w:t>
      </w:r>
      <w:r w:rsidRPr="00361664">
        <w:rPr>
          <w:sz w:val="20"/>
          <w:szCs w:val="20"/>
        </w:rPr>
        <w:t>% od ukupnog cilja</w:t>
      </w:r>
      <w:r w:rsidR="001C2E37" w:rsidRPr="00361664">
        <w:rPr>
          <w:sz w:val="20"/>
          <w:szCs w:val="20"/>
        </w:rPr>
        <w:t xml:space="preserve"> čl. 7. DEU, a ostatak od 50</w:t>
      </w:r>
      <w:r w:rsidRPr="00361664">
        <w:rPr>
          <w:sz w:val="20"/>
          <w:szCs w:val="20"/>
        </w:rPr>
        <w:t xml:space="preserve">% RH će ispuniti kroz alternativne mjere politike. </w:t>
      </w:r>
    </w:p>
    <w:p w:rsidR="007D720D" w:rsidRPr="00361664" w:rsidRDefault="007D720D" w:rsidP="007D720D">
      <w:pPr>
        <w:jc w:val="both"/>
        <w:rPr>
          <w:sz w:val="20"/>
          <w:szCs w:val="20"/>
        </w:rPr>
      </w:pPr>
      <w:r w:rsidRPr="00361664">
        <w:rPr>
          <w:sz w:val="20"/>
          <w:szCs w:val="20"/>
        </w:rPr>
        <w:t xml:space="preserve">Nacionalno koordinacijsko tijelo za energetsku učinkovitost (NKT) </w:t>
      </w:r>
      <w:r w:rsidR="00A34BB0" w:rsidRPr="00361664">
        <w:rPr>
          <w:sz w:val="20"/>
          <w:szCs w:val="20"/>
        </w:rPr>
        <w:t xml:space="preserve">u sklopu Ministarstvu zaštite okoliša i energetike </w:t>
      </w:r>
      <w:r w:rsidRPr="00361664">
        <w:rPr>
          <w:sz w:val="20"/>
          <w:szCs w:val="20"/>
        </w:rPr>
        <w:t xml:space="preserve">zaduženo </w:t>
      </w:r>
      <w:r w:rsidR="00A34BB0" w:rsidRPr="00361664">
        <w:rPr>
          <w:sz w:val="20"/>
          <w:szCs w:val="20"/>
        </w:rPr>
        <w:t xml:space="preserve">je </w:t>
      </w:r>
      <w:r w:rsidRPr="00361664">
        <w:rPr>
          <w:sz w:val="20"/>
          <w:szCs w:val="20"/>
        </w:rPr>
        <w:t xml:space="preserve">za provedbu sustava obveze. NKT daje prijedlog uspostave. Stranke obveznice će biti opskrbljivači električnom energijom, plinom te naftom i naftnim derivatima. Najmanji opskrbljivači neće biti uključeni u sustav obveze. Ukupno bi trebalo biti uključeno oko </w:t>
      </w:r>
      <w:r w:rsidR="001E7631" w:rsidRPr="00361664">
        <w:rPr>
          <w:sz w:val="20"/>
          <w:szCs w:val="20"/>
        </w:rPr>
        <w:t>60</w:t>
      </w:r>
      <w:r w:rsidRPr="00361664">
        <w:rPr>
          <w:sz w:val="20"/>
          <w:szCs w:val="20"/>
        </w:rPr>
        <w:t>-ak subjekata</w:t>
      </w:r>
      <w:r w:rsidR="001E7631" w:rsidRPr="00361664">
        <w:rPr>
          <w:sz w:val="20"/>
          <w:szCs w:val="20"/>
        </w:rPr>
        <w:t>, a uključivanje subjekata u obvezne sheme će se ovisno o količini isporučene energije krajnjim kupcima provesti u trogodišnjem periodu</w:t>
      </w:r>
      <w:r w:rsidRPr="00361664">
        <w:rPr>
          <w:sz w:val="20"/>
          <w:szCs w:val="20"/>
        </w:rPr>
        <w:t xml:space="preserve">. Obveza ušteda za svaku pojedinu stranku obveznicu će se posebno izračunati uzimajući u obzir njihovu isporučenu energiju u sektoru neposredne potrošnje. </w:t>
      </w:r>
    </w:p>
    <w:p w:rsidR="007D720D" w:rsidRPr="00361664" w:rsidRDefault="007D720D" w:rsidP="007D720D">
      <w:pPr>
        <w:jc w:val="both"/>
        <w:rPr>
          <w:sz w:val="20"/>
          <w:szCs w:val="20"/>
        </w:rPr>
      </w:pPr>
      <w:r w:rsidRPr="00361664">
        <w:rPr>
          <w:sz w:val="20"/>
          <w:szCs w:val="20"/>
        </w:rPr>
        <w:t>Uštede će se moći ostvarivati u svim sektorima neposredne potrošnje (uključujući promet i industriju). U slučaju da stranka obveznica ne postigne ciljeve morat će uplatiti doprinos kao fiksan iznos za svaki kWh neostvarene uštede u Fond za zaštitu okoliša i energetsku učinkovitost.</w:t>
      </w:r>
    </w:p>
    <w:p w:rsidR="007D720D" w:rsidRPr="00361664" w:rsidRDefault="007D720D" w:rsidP="007D720D">
      <w:pPr>
        <w:jc w:val="both"/>
        <w:rPr>
          <w:sz w:val="20"/>
          <w:szCs w:val="20"/>
        </w:rPr>
      </w:pPr>
      <w:r w:rsidRPr="00361664">
        <w:rPr>
          <w:sz w:val="20"/>
          <w:szCs w:val="20"/>
        </w:rPr>
        <w:t xml:space="preserve">Pravilnik o sustavu za praćenje mjerenje i verifikaciju ušteda energije </w:t>
      </w:r>
      <w:r w:rsidR="001E7631" w:rsidRPr="00361664">
        <w:rPr>
          <w:sz w:val="20"/>
          <w:szCs w:val="20"/>
        </w:rPr>
        <w:t xml:space="preserve">primjenjiv je </w:t>
      </w:r>
      <w:r w:rsidRPr="00361664">
        <w:rPr>
          <w:sz w:val="20"/>
          <w:szCs w:val="20"/>
        </w:rPr>
        <w:t xml:space="preserve">za sve najčešće standardne mjere energetske učinkovitosti. </w:t>
      </w:r>
      <w:r w:rsidR="001E7631" w:rsidRPr="00361664">
        <w:rPr>
          <w:sz w:val="20"/>
          <w:szCs w:val="20"/>
        </w:rPr>
        <w:t xml:space="preserve">Sam </w:t>
      </w:r>
      <w:r w:rsidRPr="00361664">
        <w:rPr>
          <w:sz w:val="20"/>
          <w:szCs w:val="20"/>
        </w:rPr>
        <w:t xml:space="preserve">sustav vodi NKT koje ima ulogu nacionalne agencije za energetsku učinkovitost u RH. Ovaj sustav NKT koristi vrlo uspješno i služi za BU praćenje ostvarenja ciljeva članaka 1., 3., 5. i 7. </w:t>
      </w:r>
      <w:r w:rsidR="001E7631" w:rsidRPr="00361664">
        <w:rPr>
          <w:sz w:val="20"/>
          <w:szCs w:val="20"/>
        </w:rPr>
        <w:t xml:space="preserve">DEU </w:t>
      </w:r>
      <w:r w:rsidRPr="00361664">
        <w:rPr>
          <w:sz w:val="20"/>
          <w:szCs w:val="20"/>
        </w:rPr>
        <w:t xml:space="preserve">(u dijelu alternativnih mjera politike </w:t>
      </w:r>
      <w:r w:rsidR="001E7631" w:rsidRPr="00361664">
        <w:rPr>
          <w:sz w:val="20"/>
          <w:szCs w:val="20"/>
        </w:rPr>
        <w:t xml:space="preserve">te će se proširiti i na obveznu shemu) </w:t>
      </w:r>
      <w:r w:rsidRPr="00361664">
        <w:rPr>
          <w:sz w:val="20"/>
          <w:szCs w:val="20"/>
        </w:rPr>
        <w:t>te izv</w:t>
      </w:r>
      <w:r w:rsidR="001E7631" w:rsidRPr="00361664">
        <w:rPr>
          <w:sz w:val="20"/>
          <w:szCs w:val="20"/>
        </w:rPr>
        <w:t>je</w:t>
      </w:r>
      <w:r w:rsidRPr="00361664">
        <w:rPr>
          <w:sz w:val="20"/>
          <w:szCs w:val="20"/>
        </w:rPr>
        <w:t>š</w:t>
      </w:r>
      <w:r w:rsidR="001E7631" w:rsidRPr="00361664">
        <w:rPr>
          <w:sz w:val="20"/>
          <w:szCs w:val="20"/>
        </w:rPr>
        <w:t>t</w:t>
      </w:r>
      <w:r w:rsidRPr="00361664">
        <w:rPr>
          <w:sz w:val="20"/>
          <w:szCs w:val="20"/>
        </w:rPr>
        <w:t>avanje Vlade RH i EK.</w:t>
      </w:r>
    </w:p>
    <w:p w:rsidR="007D720D" w:rsidRPr="00361664" w:rsidRDefault="007D720D" w:rsidP="007D720D">
      <w:pPr>
        <w:rPr>
          <w:b/>
          <w:i/>
        </w:rPr>
      </w:pPr>
      <w:bookmarkStart w:id="18" w:name="_Toc378162987"/>
      <w:r w:rsidRPr="00361664">
        <w:rPr>
          <w:b/>
          <w:i/>
        </w:rPr>
        <w:t>Metodologija izračuna ciljeva uštede energije</w:t>
      </w:r>
      <w:bookmarkEnd w:id="18"/>
    </w:p>
    <w:p w:rsidR="007D720D" w:rsidRPr="00361664" w:rsidRDefault="007D720D" w:rsidP="007D720D">
      <w:pPr>
        <w:autoSpaceDE w:val="0"/>
        <w:autoSpaceDN w:val="0"/>
        <w:adjustRightInd w:val="0"/>
        <w:jc w:val="both"/>
        <w:rPr>
          <w:rFonts w:asciiTheme="minorHAnsi" w:hAnsiTheme="minorHAnsi"/>
          <w:iCs/>
          <w:sz w:val="20"/>
          <w:szCs w:val="20"/>
        </w:rPr>
      </w:pPr>
      <w:r w:rsidRPr="00361664">
        <w:rPr>
          <w:rFonts w:asciiTheme="minorHAnsi" w:hAnsiTheme="minorHAnsi"/>
          <w:iCs/>
          <w:color w:val="000000"/>
          <w:sz w:val="20"/>
          <w:szCs w:val="20"/>
          <w:lang w:eastAsia="hr-HR"/>
        </w:rPr>
        <w:t xml:space="preserve">Članak 7. DEU propisuje da kumulativni cilj uštede energije u krajnjoj potrošnji mora biti barem jednak ostvarivanju novih ušteda svake godine od 1. siječnja 2014. do 31. prosinca 2020. godine, u iznosu od 1,5% godišnjeg opsega energije koju su svi distributeri energije ili sva poduzeća za maloprodaju energije prodali krajnjim kupcima prema prosjeku za zadnje tri godine prije 1. siječnja 2013. godine. Iz tog se izračuna djelomično ili potpuno može isključiti količina prodane energije </w:t>
      </w:r>
      <w:r w:rsidRPr="00361664">
        <w:rPr>
          <w:rFonts w:asciiTheme="minorHAnsi" w:hAnsiTheme="minorHAnsi"/>
          <w:iCs/>
          <w:sz w:val="20"/>
          <w:szCs w:val="20"/>
        </w:rPr>
        <w:t>upotrijebljene za promet.</w:t>
      </w:r>
    </w:p>
    <w:p w:rsidR="007D720D" w:rsidRPr="00361664" w:rsidRDefault="007D720D" w:rsidP="007D720D">
      <w:pPr>
        <w:autoSpaceDE w:val="0"/>
        <w:autoSpaceDN w:val="0"/>
        <w:adjustRightInd w:val="0"/>
        <w:jc w:val="both"/>
        <w:rPr>
          <w:rFonts w:asciiTheme="minorHAnsi" w:hAnsiTheme="minorHAnsi"/>
          <w:color w:val="000000"/>
          <w:sz w:val="20"/>
          <w:szCs w:val="20"/>
          <w:lang w:eastAsia="hr-HR"/>
        </w:rPr>
      </w:pPr>
      <w:r w:rsidRPr="00361664">
        <w:rPr>
          <w:rFonts w:asciiTheme="minorHAnsi" w:hAnsiTheme="minorHAnsi"/>
          <w:color w:val="000000"/>
          <w:sz w:val="20"/>
          <w:szCs w:val="20"/>
          <w:lang w:eastAsia="hr-HR"/>
        </w:rPr>
        <w:t>Godišnji opseg energije koju su svi distributeri energije ili sva poduzeća za maloprodaju energije prodali krajnjim kupcima (neposredna potrošnja energije) određen je prema prosjeku za zadnje tri godine prije 1. siječnja 2013. godine, tj. za 2010., 2011. i 2012 godinu. Korišteni su podaci iz energetske bilance Republike Hrvatske prema IEA metodologiji (Tablica 3-2.).</w:t>
      </w:r>
    </w:p>
    <w:p w:rsidR="007D720D" w:rsidRPr="00361664" w:rsidRDefault="007D720D" w:rsidP="007D720D">
      <w:pPr>
        <w:keepNext/>
        <w:keepLines/>
        <w:autoSpaceDE w:val="0"/>
        <w:autoSpaceDN w:val="0"/>
        <w:adjustRightInd w:val="0"/>
        <w:spacing w:after="0"/>
        <w:jc w:val="both"/>
        <w:rPr>
          <w:rFonts w:asciiTheme="minorHAnsi" w:hAnsiTheme="minorHAnsi"/>
          <w:color w:val="000000"/>
          <w:sz w:val="20"/>
          <w:szCs w:val="20"/>
          <w:lang w:eastAsia="hr-HR"/>
        </w:rPr>
      </w:pPr>
      <w:r w:rsidRPr="00361664">
        <w:rPr>
          <w:rFonts w:asciiTheme="minorHAnsi" w:hAnsiTheme="minorHAnsi"/>
          <w:b/>
          <w:color w:val="000000"/>
          <w:sz w:val="20"/>
          <w:szCs w:val="20"/>
          <w:lang w:eastAsia="hr-HR"/>
        </w:rPr>
        <w:lastRenderedPageBreak/>
        <w:t>Tablica 3-2.</w:t>
      </w:r>
      <w:r w:rsidRPr="00361664">
        <w:rPr>
          <w:rFonts w:asciiTheme="minorHAnsi" w:hAnsiTheme="minorHAnsi"/>
          <w:color w:val="000000"/>
          <w:sz w:val="20"/>
          <w:szCs w:val="20"/>
          <w:lang w:eastAsia="hr-HR"/>
        </w:rPr>
        <w:t xml:space="preserve"> Neposredna energetska potrošnja (izvadak iz energetske bilance Republike Hrvatske) </w:t>
      </w:r>
    </w:p>
    <w:tbl>
      <w:tblPr>
        <w:tblW w:w="0" w:type="auto"/>
        <w:tblInd w:w="93" w:type="dxa"/>
        <w:tblLook w:val="04A0" w:firstRow="1" w:lastRow="0" w:firstColumn="1" w:lastColumn="0" w:noHBand="0" w:noVBand="1"/>
      </w:tblPr>
      <w:tblGrid>
        <w:gridCol w:w="3175"/>
        <w:gridCol w:w="1191"/>
        <w:gridCol w:w="1191"/>
        <w:gridCol w:w="1191"/>
      </w:tblGrid>
      <w:tr w:rsidR="007D720D" w:rsidRPr="00361664" w:rsidTr="007D720D">
        <w:trPr>
          <w:trHeight w:val="284"/>
        </w:trPr>
        <w:tc>
          <w:tcPr>
            <w:tcW w:w="317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7D720D" w:rsidRPr="00361664" w:rsidRDefault="007D720D" w:rsidP="007D720D">
            <w:pPr>
              <w:keepNext/>
              <w:keepLines/>
              <w:spacing w:after="0" w:line="240" w:lineRule="auto"/>
              <w:rPr>
                <w:rFonts w:asciiTheme="minorHAnsi" w:hAnsiTheme="minorHAnsi"/>
                <w:b/>
                <w:bCs/>
                <w:color w:val="000000"/>
                <w:sz w:val="18"/>
                <w:szCs w:val="18"/>
                <w:lang w:eastAsia="hr-HR"/>
              </w:rPr>
            </w:pPr>
            <w:bookmarkStart w:id="19" w:name="RANGE!A2:D29"/>
            <w:r w:rsidRPr="00361664">
              <w:rPr>
                <w:rFonts w:asciiTheme="minorHAnsi" w:hAnsiTheme="minorHAnsi"/>
                <w:b/>
                <w:bCs/>
                <w:color w:val="000000"/>
                <w:sz w:val="18"/>
                <w:szCs w:val="18"/>
                <w:lang w:eastAsia="hr-HR"/>
              </w:rPr>
              <w:t>PJ</w:t>
            </w:r>
            <w:bookmarkEnd w:id="19"/>
          </w:p>
        </w:tc>
        <w:tc>
          <w:tcPr>
            <w:tcW w:w="1191" w:type="dxa"/>
            <w:tcBorders>
              <w:top w:val="single" w:sz="4" w:space="0" w:color="auto"/>
              <w:left w:val="nil"/>
              <w:bottom w:val="single" w:sz="4" w:space="0" w:color="auto"/>
              <w:right w:val="single" w:sz="4" w:space="0" w:color="auto"/>
            </w:tcBorders>
            <w:shd w:val="clear" w:color="auto" w:fill="CCFFCC"/>
            <w:noWrap/>
            <w:vAlign w:val="center"/>
            <w:hideMark/>
          </w:tcPr>
          <w:p w:rsidR="007D720D" w:rsidRPr="00361664" w:rsidRDefault="007D720D" w:rsidP="007D720D">
            <w:pPr>
              <w:keepNext/>
              <w:keepLines/>
              <w:spacing w:after="0" w:line="240" w:lineRule="auto"/>
              <w:jc w:val="center"/>
              <w:rPr>
                <w:rFonts w:asciiTheme="minorHAnsi" w:hAnsiTheme="minorHAnsi"/>
                <w:b/>
                <w:color w:val="000000"/>
                <w:sz w:val="18"/>
                <w:szCs w:val="18"/>
                <w:lang w:eastAsia="hr-HR"/>
              </w:rPr>
            </w:pPr>
            <w:r w:rsidRPr="00361664">
              <w:rPr>
                <w:rFonts w:asciiTheme="minorHAnsi" w:hAnsiTheme="minorHAnsi"/>
                <w:b/>
                <w:color w:val="000000"/>
                <w:sz w:val="18"/>
                <w:szCs w:val="18"/>
                <w:lang w:eastAsia="hr-HR"/>
              </w:rPr>
              <w:t>2010.</w:t>
            </w:r>
          </w:p>
        </w:tc>
        <w:tc>
          <w:tcPr>
            <w:tcW w:w="1191" w:type="dxa"/>
            <w:tcBorders>
              <w:top w:val="single" w:sz="4" w:space="0" w:color="auto"/>
              <w:left w:val="nil"/>
              <w:bottom w:val="single" w:sz="4" w:space="0" w:color="auto"/>
              <w:right w:val="single" w:sz="4" w:space="0" w:color="auto"/>
            </w:tcBorders>
            <w:shd w:val="clear" w:color="auto" w:fill="CCFFCC"/>
            <w:noWrap/>
            <w:vAlign w:val="center"/>
            <w:hideMark/>
          </w:tcPr>
          <w:p w:rsidR="007D720D" w:rsidRPr="00361664" w:rsidRDefault="007D720D" w:rsidP="007D720D">
            <w:pPr>
              <w:keepNext/>
              <w:keepLines/>
              <w:spacing w:after="0" w:line="240" w:lineRule="auto"/>
              <w:jc w:val="center"/>
              <w:rPr>
                <w:rFonts w:asciiTheme="minorHAnsi" w:hAnsiTheme="minorHAnsi"/>
                <w:b/>
                <w:color w:val="000000"/>
                <w:sz w:val="18"/>
                <w:szCs w:val="18"/>
                <w:lang w:eastAsia="hr-HR"/>
              </w:rPr>
            </w:pPr>
            <w:r w:rsidRPr="00361664">
              <w:rPr>
                <w:rFonts w:asciiTheme="minorHAnsi" w:hAnsiTheme="minorHAnsi"/>
                <w:b/>
                <w:color w:val="000000"/>
                <w:sz w:val="18"/>
                <w:szCs w:val="18"/>
                <w:lang w:eastAsia="hr-HR"/>
              </w:rPr>
              <w:t>2011.</w:t>
            </w:r>
          </w:p>
        </w:tc>
        <w:tc>
          <w:tcPr>
            <w:tcW w:w="1191" w:type="dxa"/>
            <w:tcBorders>
              <w:top w:val="single" w:sz="4" w:space="0" w:color="auto"/>
              <w:left w:val="nil"/>
              <w:bottom w:val="single" w:sz="4" w:space="0" w:color="auto"/>
              <w:right w:val="single" w:sz="4" w:space="0" w:color="auto"/>
            </w:tcBorders>
            <w:shd w:val="clear" w:color="auto" w:fill="CCFFCC"/>
            <w:noWrap/>
            <w:vAlign w:val="center"/>
            <w:hideMark/>
          </w:tcPr>
          <w:p w:rsidR="007D720D" w:rsidRPr="00361664" w:rsidRDefault="007D720D" w:rsidP="007D720D">
            <w:pPr>
              <w:keepNext/>
              <w:keepLines/>
              <w:spacing w:after="0" w:line="240" w:lineRule="auto"/>
              <w:jc w:val="center"/>
              <w:rPr>
                <w:rFonts w:asciiTheme="minorHAnsi" w:hAnsiTheme="minorHAnsi"/>
                <w:b/>
                <w:color w:val="000000"/>
                <w:sz w:val="18"/>
                <w:szCs w:val="18"/>
                <w:lang w:eastAsia="hr-HR"/>
              </w:rPr>
            </w:pPr>
            <w:r w:rsidRPr="00361664">
              <w:rPr>
                <w:rFonts w:asciiTheme="minorHAnsi" w:hAnsiTheme="minorHAnsi"/>
                <w:b/>
                <w:color w:val="000000"/>
                <w:sz w:val="18"/>
                <w:szCs w:val="18"/>
                <w:lang w:eastAsia="hr-HR"/>
              </w:rPr>
              <w:t>2012.</w:t>
            </w:r>
          </w:p>
        </w:tc>
      </w:tr>
      <w:tr w:rsidR="007D720D" w:rsidRPr="00361664" w:rsidTr="007D720D">
        <w:trPr>
          <w:trHeight w:val="284"/>
        </w:trPr>
        <w:tc>
          <w:tcPr>
            <w:tcW w:w="31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720D" w:rsidRPr="00361664" w:rsidRDefault="007D720D" w:rsidP="007D720D">
            <w:pPr>
              <w:keepNext/>
              <w:keepLines/>
              <w:spacing w:after="0" w:line="240" w:lineRule="auto"/>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NEPOSREDNA POTROŠNJA ENERGIJE</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keepNext/>
              <w:keepLines/>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265,839</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keepNext/>
              <w:keepLines/>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259,186</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keepNext/>
              <w:keepLines/>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247,527</w:t>
            </w:r>
          </w:p>
        </w:tc>
      </w:tr>
      <w:tr w:rsidR="007D720D" w:rsidRPr="00361664" w:rsidTr="007D720D">
        <w:tc>
          <w:tcPr>
            <w:tcW w:w="3175" w:type="dxa"/>
            <w:tcBorders>
              <w:top w:val="nil"/>
              <w:left w:val="single" w:sz="4" w:space="0" w:color="auto"/>
              <w:bottom w:val="single" w:sz="4" w:space="0" w:color="auto"/>
              <w:right w:val="nil"/>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nil"/>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nil"/>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r>
      <w:tr w:rsidR="007D720D" w:rsidRPr="00361664" w:rsidTr="007D720D">
        <w:trPr>
          <w:trHeight w:val="284"/>
        </w:trPr>
        <w:tc>
          <w:tcPr>
            <w:tcW w:w="31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720D" w:rsidRPr="00361664" w:rsidRDefault="007D720D" w:rsidP="007D720D">
            <w:pPr>
              <w:keepNext/>
              <w:keepLines/>
              <w:spacing w:after="0" w:line="240" w:lineRule="auto"/>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 xml:space="preserve"> INDUSTRIJA</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keepNext/>
              <w:keepLines/>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50,298</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keepNext/>
              <w:keepLines/>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46,964</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keepNext/>
              <w:keepLines/>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41,560</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Željeza i čelika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2,668</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2,561</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1,646</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Obojenih metala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0,472</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0,585</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0,625</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Stakla i nemetalnih minerala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2,422</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2,384</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2,146</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Kemijska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8,551</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7,918</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5,345</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Građevnog materijala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15,089</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13,111</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12,151</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Papira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3,037</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2,769</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2,682</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Prehrambena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9,947</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9,674</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9,108</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Ostala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8,112</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7,962</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keepNext/>
              <w:keepLines/>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7,857</w:t>
            </w:r>
          </w:p>
        </w:tc>
      </w:tr>
      <w:tr w:rsidR="007D720D" w:rsidRPr="00361664" w:rsidTr="007D720D">
        <w:tc>
          <w:tcPr>
            <w:tcW w:w="3175" w:type="dxa"/>
            <w:tcBorders>
              <w:top w:val="nil"/>
              <w:left w:val="single" w:sz="4" w:space="0" w:color="auto"/>
              <w:bottom w:val="single" w:sz="4" w:space="0" w:color="auto"/>
              <w:right w:val="nil"/>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r>
      <w:tr w:rsidR="007D720D" w:rsidRPr="00361664" w:rsidTr="007D720D">
        <w:trPr>
          <w:trHeight w:val="284"/>
        </w:trPr>
        <w:tc>
          <w:tcPr>
            <w:tcW w:w="31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720D" w:rsidRPr="00361664" w:rsidRDefault="007D720D" w:rsidP="007D720D">
            <w:pPr>
              <w:spacing w:after="0" w:line="240" w:lineRule="auto"/>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 xml:space="preserve"> PROMET</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86,892</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84,974</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84,018</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Željeznički</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1,844</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1,746</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1,651</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Cestovni</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77,126</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75,173</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74,299</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Zračni</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4,650</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4,918</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5,072</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 međunarodni</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2,317</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2,352</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2,893</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 domaći</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2,333</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2,567</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2,180</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Pomorski i riječni</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1,650</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1,654</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1,577</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Javni gradski</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1,447</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1,408</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1,349</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Ostali</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0,177</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0,075</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0,069</w:t>
            </w:r>
          </w:p>
        </w:tc>
      </w:tr>
      <w:tr w:rsidR="007D720D" w:rsidRPr="00361664" w:rsidTr="007D720D">
        <w:tc>
          <w:tcPr>
            <w:tcW w:w="3175" w:type="dxa"/>
            <w:tcBorders>
              <w:top w:val="nil"/>
              <w:left w:val="single" w:sz="4" w:space="0" w:color="auto"/>
              <w:bottom w:val="single" w:sz="4" w:space="0" w:color="auto"/>
              <w:right w:val="nil"/>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2"/>
                <w:szCs w:val="12"/>
                <w:lang w:eastAsia="hr-HR"/>
              </w:rPr>
            </w:pPr>
            <w:r w:rsidRPr="00361664">
              <w:rPr>
                <w:rFonts w:asciiTheme="minorHAnsi" w:hAnsiTheme="minorHAnsi"/>
                <w:color w:val="000000"/>
                <w:sz w:val="12"/>
                <w:szCs w:val="12"/>
                <w:lang w:eastAsia="hr-HR"/>
              </w:rPr>
              <w:t> </w:t>
            </w:r>
          </w:p>
        </w:tc>
      </w:tr>
      <w:tr w:rsidR="007D720D" w:rsidRPr="00361664" w:rsidTr="007D720D">
        <w:trPr>
          <w:trHeight w:val="284"/>
        </w:trPr>
        <w:tc>
          <w:tcPr>
            <w:tcW w:w="31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D720D" w:rsidRPr="00361664" w:rsidRDefault="007D720D" w:rsidP="007D720D">
            <w:pPr>
              <w:spacing w:after="0" w:line="240" w:lineRule="auto"/>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 xml:space="preserve"> OPĆA POTROŠNJA</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128,649</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127,248</w:t>
            </w:r>
          </w:p>
        </w:tc>
        <w:tc>
          <w:tcPr>
            <w:tcW w:w="1191" w:type="dxa"/>
            <w:tcBorders>
              <w:top w:val="single" w:sz="4" w:space="0" w:color="auto"/>
              <w:left w:val="nil"/>
              <w:bottom w:val="single" w:sz="4" w:space="0" w:color="auto"/>
              <w:right w:val="single" w:sz="4" w:space="0" w:color="auto"/>
            </w:tcBorders>
            <w:shd w:val="clear" w:color="000000"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121,949</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Kućanstva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80,809</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80,061</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77,109</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Usluge</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31,720</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31,340</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30,095</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Poljoprivreda</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10,268</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10,270</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9,610</w:t>
            </w:r>
          </w:p>
        </w:tc>
      </w:tr>
      <w:tr w:rsidR="007D720D" w:rsidRPr="00361664" w:rsidTr="007D720D">
        <w:trPr>
          <w:trHeight w:val="284"/>
        </w:trPr>
        <w:tc>
          <w:tcPr>
            <w:tcW w:w="3175"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xml:space="preserve">   Građevinarstvo</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5,852</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5,578</w:t>
            </w:r>
          </w:p>
        </w:tc>
        <w:tc>
          <w:tcPr>
            <w:tcW w:w="119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5,134</w:t>
            </w:r>
          </w:p>
        </w:tc>
      </w:tr>
    </w:tbl>
    <w:p w:rsidR="003C2427" w:rsidRDefault="003C2427" w:rsidP="007D720D">
      <w:pPr>
        <w:keepNext/>
        <w:autoSpaceDE w:val="0"/>
        <w:autoSpaceDN w:val="0"/>
        <w:adjustRightInd w:val="0"/>
        <w:jc w:val="both"/>
        <w:rPr>
          <w:rFonts w:asciiTheme="minorHAnsi" w:hAnsiTheme="minorHAnsi"/>
          <w:color w:val="000000"/>
          <w:sz w:val="20"/>
          <w:szCs w:val="20"/>
          <w:lang w:eastAsia="hr-HR"/>
        </w:rPr>
      </w:pPr>
    </w:p>
    <w:p w:rsidR="007D720D" w:rsidRPr="00361664" w:rsidRDefault="007D720D" w:rsidP="007D720D">
      <w:pPr>
        <w:keepNext/>
        <w:autoSpaceDE w:val="0"/>
        <w:autoSpaceDN w:val="0"/>
        <w:adjustRightInd w:val="0"/>
        <w:jc w:val="both"/>
        <w:rPr>
          <w:rFonts w:asciiTheme="minorHAnsi" w:hAnsiTheme="minorHAnsi"/>
          <w:color w:val="000000"/>
          <w:sz w:val="20"/>
          <w:szCs w:val="20"/>
          <w:lang w:eastAsia="hr-HR"/>
        </w:rPr>
      </w:pPr>
      <w:r w:rsidRPr="00361664">
        <w:rPr>
          <w:rFonts w:asciiTheme="minorHAnsi" w:hAnsiTheme="minorHAnsi"/>
          <w:color w:val="000000"/>
          <w:sz w:val="20"/>
          <w:szCs w:val="20"/>
          <w:lang w:eastAsia="hr-HR"/>
        </w:rPr>
        <w:t xml:space="preserve">Sukladno odredbama članka 7. stavka 1. DEU, iz tog se izračuna isključuje količina prodane energije upotrijebljene za prometni sektor (Tablica 3-3). </w:t>
      </w:r>
    </w:p>
    <w:p w:rsidR="007D720D" w:rsidRPr="00361664" w:rsidRDefault="007D720D" w:rsidP="007D720D">
      <w:pPr>
        <w:tabs>
          <w:tab w:val="left" w:pos="6946"/>
        </w:tabs>
        <w:autoSpaceDE w:val="0"/>
        <w:autoSpaceDN w:val="0"/>
        <w:adjustRightInd w:val="0"/>
        <w:spacing w:after="0"/>
        <w:jc w:val="both"/>
        <w:rPr>
          <w:rFonts w:asciiTheme="minorHAnsi" w:hAnsiTheme="minorHAnsi"/>
          <w:color w:val="000000"/>
          <w:sz w:val="20"/>
          <w:szCs w:val="20"/>
          <w:lang w:eastAsia="hr-HR"/>
        </w:rPr>
      </w:pPr>
      <w:r w:rsidRPr="00361664">
        <w:rPr>
          <w:rFonts w:asciiTheme="minorHAnsi" w:hAnsiTheme="minorHAnsi"/>
          <w:b/>
          <w:color w:val="000000"/>
          <w:sz w:val="20"/>
          <w:szCs w:val="20"/>
          <w:lang w:eastAsia="hr-HR"/>
        </w:rPr>
        <w:t>Tablica 3-3.</w:t>
      </w:r>
      <w:r w:rsidRPr="00361664">
        <w:rPr>
          <w:rFonts w:asciiTheme="minorHAnsi" w:hAnsiTheme="minorHAnsi"/>
          <w:color w:val="000000"/>
          <w:sz w:val="20"/>
          <w:szCs w:val="20"/>
          <w:lang w:eastAsia="hr-HR"/>
        </w:rPr>
        <w:t xml:space="preserve"> Određivanje prosječne neposredne energetske potrošnje</w:t>
      </w:r>
    </w:p>
    <w:tbl>
      <w:tblPr>
        <w:tblW w:w="0" w:type="auto"/>
        <w:tblInd w:w="93" w:type="dxa"/>
        <w:tblLook w:val="04A0" w:firstRow="1" w:lastRow="0" w:firstColumn="1" w:lastColumn="0" w:noHBand="0" w:noVBand="1"/>
      </w:tblPr>
      <w:tblGrid>
        <w:gridCol w:w="4082"/>
        <w:gridCol w:w="1191"/>
        <w:gridCol w:w="1191"/>
        <w:gridCol w:w="1191"/>
        <w:gridCol w:w="1191"/>
      </w:tblGrid>
      <w:tr w:rsidR="007D720D" w:rsidRPr="00361664" w:rsidTr="007D720D">
        <w:trPr>
          <w:trHeight w:val="509"/>
        </w:trPr>
        <w:tc>
          <w:tcPr>
            <w:tcW w:w="4082"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hideMark/>
          </w:tcPr>
          <w:p w:rsidR="007D720D" w:rsidRPr="00361664" w:rsidRDefault="007D720D" w:rsidP="007D720D">
            <w:pPr>
              <w:spacing w:after="0" w:line="240" w:lineRule="auto"/>
              <w:rPr>
                <w:b/>
                <w:bCs/>
                <w:color w:val="000000"/>
                <w:sz w:val="18"/>
                <w:szCs w:val="18"/>
                <w:lang w:eastAsia="hr-HR"/>
              </w:rPr>
            </w:pPr>
            <w:r w:rsidRPr="00361664">
              <w:rPr>
                <w:b/>
                <w:bCs/>
                <w:color w:val="000000"/>
                <w:sz w:val="18"/>
                <w:szCs w:val="18"/>
                <w:lang w:eastAsia="hr-HR"/>
              </w:rPr>
              <w:t>PJ</w:t>
            </w:r>
          </w:p>
        </w:tc>
        <w:tc>
          <w:tcPr>
            <w:tcW w:w="1191"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hideMark/>
          </w:tcPr>
          <w:p w:rsidR="007D720D" w:rsidRPr="00361664" w:rsidRDefault="007D720D" w:rsidP="007D720D">
            <w:pPr>
              <w:spacing w:after="0" w:line="240" w:lineRule="auto"/>
              <w:jc w:val="center"/>
              <w:rPr>
                <w:b/>
                <w:color w:val="000000"/>
                <w:sz w:val="18"/>
                <w:szCs w:val="18"/>
                <w:lang w:eastAsia="hr-HR"/>
              </w:rPr>
            </w:pPr>
            <w:r w:rsidRPr="00361664">
              <w:rPr>
                <w:b/>
                <w:color w:val="000000"/>
                <w:sz w:val="18"/>
                <w:szCs w:val="18"/>
                <w:lang w:eastAsia="hr-HR"/>
              </w:rPr>
              <w:t>2010.</w:t>
            </w:r>
          </w:p>
        </w:tc>
        <w:tc>
          <w:tcPr>
            <w:tcW w:w="1191"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hideMark/>
          </w:tcPr>
          <w:p w:rsidR="007D720D" w:rsidRPr="00361664" w:rsidRDefault="007D720D" w:rsidP="007D720D">
            <w:pPr>
              <w:spacing w:after="0" w:line="240" w:lineRule="auto"/>
              <w:jc w:val="center"/>
              <w:rPr>
                <w:b/>
                <w:color w:val="000000"/>
                <w:sz w:val="18"/>
                <w:szCs w:val="18"/>
                <w:lang w:eastAsia="hr-HR"/>
              </w:rPr>
            </w:pPr>
            <w:r w:rsidRPr="00361664">
              <w:rPr>
                <w:b/>
                <w:color w:val="000000"/>
                <w:sz w:val="18"/>
                <w:szCs w:val="18"/>
                <w:lang w:eastAsia="hr-HR"/>
              </w:rPr>
              <w:t>2011.</w:t>
            </w:r>
          </w:p>
        </w:tc>
        <w:tc>
          <w:tcPr>
            <w:tcW w:w="1191" w:type="dxa"/>
            <w:vMerge w:val="restart"/>
            <w:tcBorders>
              <w:top w:val="single" w:sz="4" w:space="0" w:color="auto"/>
              <w:left w:val="single" w:sz="4" w:space="0" w:color="auto"/>
              <w:bottom w:val="single" w:sz="4" w:space="0" w:color="000000"/>
              <w:right w:val="double" w:sz="6" w:space="0" w:color="auto"/>
            </w:tcBorders>
            <w:shd w:val="clear" w:color="auto" w:fill="CCFFCC"/>
            <w:noWrap/>
            <w:vAlign w:val="center"/>
            <w:hideMark/>
          </w:tcPr>
          <w:p w:rsidR="007D720D" w:rsidRPr="00361664" w:rsidRDefault="007D720D" w:rsidP="007D720D">
            <w:pPr>
              <w:spacing w:after="0" w:line="240" w:lineRule="auto"/>
              <w:jc w:val="center"/>
              <w:rPr>
                <w:b/>
                <w:color w:val="000000"/>
                <w:sz w:val="18"/>
                <w:szCs w:val="18"/>
                <w:lang w:eastAsia="hr-HR"/>
              </w:rPr>
            </w:pPr>
            <w:r w:rsidRPr="00361664">
              <w:rPr>
                <w:b/>
                <w:color w:val="000000"/>
                <w:sz w:val="18"/>
                <w:szCs w:val="18"/>
                <w:lang w:eastAsia="hr-HR"/>
              </w:rPr>
              <w:t>2012.</w:t>
            </w:r>
          </w:p>
        </w:tc>
        <w:tc>
          <w:tcPr>
            <w:tcW w:w="1191" w:type="dxa"/>
            <w:vMerge w:val="restart"/>
            <w:tcBorders>
              <w:top w:val="single" w:sz="4" w:space="0" w:color="auto"/>
              <w:left w:val="double" w:sz="6" w:space="0" w:color="auto"/>
              <w:bottom w:val="single" w:sz="4" w:space="0" w:color="000000"/>
              <w:right w:val="single" w:sz="4" w:space="0" w:color="auto"/>
            </w:tcBorders>
            <w:shd w:val="clear" w:color="auto" w:fill="CCFFCC"/>
            <w:vAlign w:val="center"/>
            <w:hideMark/>
          </w:tcPr>
          <w:p w:rsidR="007D720D" w:rsidRPr="00361664" w:rsidRDefault="007D720D" w:rsidP="007D720D">
            <w:pPr>
              <w:spacing w:after="0" w:line="240" w:lineRule="auto"/>
              <w:jc w:val="center"/>
              <w:rPr>
                <w:b/>
                <w:bCs/>
                <w:color w:val="000000"/>
                <w:sz w:val="18"/>
                <w:szCs w:val="18"/>
                <w:lang w:eastAsia="hr-HR"/>
              </w:rPr>
            </w:pPr>
            <w:r w:rsidRPr="00361664">
              <w:rPr>
                <w:b/>
                <w:bCs/>
                <w:color w:val="000000"/>
                <w:sz w:val="18"/>
                <w:szCs w:val="18"/>
                <w:lang w:eastAsia="hr-HR"/>
              </w:rPr>
              <w:t>Prosjek          2010. - 2012.</w:t>
            </w:r>
          </w:p>
        </w:tc>
      </w:tr>
      <w:tr w:rsidR="007D720D" w:rsidRPr="00361664" w:rsidTr="007D720D">
        <w:trPr>
          <w:trHeight w:val="509"/>
        </w:trPr>
        <w:tc>
          <w:tcPr>
            <w:tcW w:w="4082" w:type="dxa"/>
            <w:vMerge/>
            <w:tcBorders>
              <w:top w:val="single" w:sz="4" w:space="0" w:color="auto"/>
              <w:left w:val="single" w:sz="4" w:space="0" w:color="auto"/>
              <w:bottom w:val="single" w:sz="4" w:space="0" w:color="000000"/>
              <w:right w:val="single" w:sz="4" w:space="0" w:color="auto"/>
            </w:tcBorders>
            <w:shd w:val="clear" w:color="auto" w:fill="CCFFCC"/>
            <w:vAlign w:val="center"/>
            <w:hideMark/>
          </w:tcPr>
          <w:p w:rsidR="007D720D" w:rsidRPr="00361664" w:rsidRDefault="007D720D" w:rsidP="007D720D">
            <w:pPr>
              <w:spacing w:after="0" w:line="240" w:lineRule="auto"/>
              <w:rPr>
                <w:b/>
                <w:bCs/>
                <w:color w:val="000000"/>
                <w:sz w:val="18"/>
                <w:szCs w:val="18"/>
                <w:lang w:eastAsia="hr-HR"/>
              </w:rPr>
            </w:pPr>
          </w:p>
        </w:tc>
        <w:tc>
          <w:tcPr>
            <w:tcW w:w="1191" w:type="dxa"/>
            <w:vMerge/>
            <w:tcBorders>
              <w:top w:val="single" w:sz="4" w:space="0" w:color="auto"/>
              <w:left w:val="single" w:sz="4" w:space="0" w:color="auto"/>
              <w:bottom w:val="single" w:sz="4" w:space="0" w:color="000000"/>
              <w:right w:val="single" w:sz="4" w:space="0" w:color="auto"/>
            </w:tcBorders>
            <w:shd w:val="clear" w:color="auto" w:fill="CCFFCC"/>
            <w:vAlign w:val="center"/>
            <w:hideMark/>
          </w:tcPr>
          <w:p w:rsidR="007D720D" w:rsidRPr="00361664" w:rsidRDefault="007D720D" w:rsidP="007D720D">
            <w:pPr>
              <w:spacing w:after="0" w:line="240" w:lineRule="auto"/>
              <w:rPr>
                <w:color w:val="000000"/>
                <w:sz w:val="18"/>
                <w:szCs w:val="18"/>
                <w:lang w:eastAsia="hr-HR"/>
              </w:rPr>
            </w:pPr>
          </w:p>
        </w:tc>
        <w:tc>
          <w:tcPr>
            <w:tcW w:w="1191" w:type="dxa"/>
            <w:vMerge/>
            <w:tcBorders>
              <w:top w:val="single" w:sz="4" w:space="0" w:color="auto"/>
              <w:left w:val="single" w:sz="4" w:space="0" w:color="auto"/>
              <w:bottom w:val="single" w:sz="4" w:space="0" w:color="000000"/>
              <w:right w:val="single" w:sz="4" w:space="0" w:color="auto"/>
            </w:tcBorders>
            <w:shd w:val="clear" w:color="auto" w:fill="CCFFCC"/>
            <w:vAlign w:val="center"/>
            <w:hideMark/>
          </w:tcPr>
          <w:p w:rsidR="007D720D" w:rsidRPr="00361664" w:rsidRDefault="007D720D" w:rsidP="007D720D">
            <w:pPr>
              <w:spacing w:after="0" w:line="240" w:lineRule="auto"/>
              <w:rPr>
                <w:color w:val="000000"/>
                <w:sz w:val="18"/>
                <w:szCs w:val="18"/>
                <w:lang w:eastAsia="hr-HR"/>
              </w:rPr>
            </w:pPr>
          </w:p>
        </w:tc>
        <w:tc>
          <w:tcPr>
            <w:tcW w:w="1191" w:type="dxa"/>
            <w:vMerge/>
            <w:tcBorders>
              <w:top w:val="single" w:sz="4" w:space="0" w:color="auto"/>
              <w:left w:val="single" w:sz="4" w:space="0" w:color="auto"/>
              <w:bottom w:val="single" w:sz="4" w:space="0" w:color="000000"/>
              <w:right w:val="double" w:sz="6" w:space="0" w:color="auto"/>
            </w:tcBorders>
            <w:shd w:val="clear" w:color="auto" w:fill="CCFFCC"/>
            <w:vAlign w:val="center"/>
            <w:hideMark/>
          </w:tcPr>
          <w:p w:rsidR="007D720D" w:rsidRPr="00361664" w:rsidRDefault="007D720D" w:rsidP="007D720D">
            <w:pPr>
              <w:spacing w:after="0" w:line="240" w:lineRule="auto"/>
              <w:rPr>
                <w:color w:val="000000"/>
                <w:sz w:val="18"/>
                <w:szCs w:val="18"/>
                <w:lang w:eastAsia="hr-HR"/>
              </w:rPr>
            </w:pPr>
          </w:p>
        </w:tc>
        <w:tc>
          <w:tcPr>
            <w:tcW w:w="1191" w:type="dxa"/>
            <w:vMerge/>
            <w:tcBorders>
              <w:top w:val="single" w:sz="4" w:space="0" w:color="auto"/>
              <w:left w:val="double" w:sz="6" w:space="0" w:color="auto"/>
              <w:bottom w:val="single" w:sz="4" w:space="0" w:color="000000"/>
              <w:right w:val="single" w:sz="4" w:space="0" w:color="auto"/>
            </w:tcBorders>
            <w:shd w:val="clear" w:color="auto" w:fill="CCFFCC"/>
            <w:vAlign w:val="center"/>
            <w:hideMark/>
          </w:tcPr>
          <w:p w:rsidR="007D720D" w:rsidRPr="00361664" w:rsidRDefault="007D720D" w:rsidP="007D720D">
            <w:pPr>
              <w:spacing w:after="0" w:line="240" w:lineRule="auto"/>
              <w:rPr>
                <w:b/>
                <w:bCs/>
                <w:color w:val="000000"/>
                <w:sz w:val="18"/>
                <w:szCs w:val="18"/>
                <w:lang w:eastAsia="hr-HR"/>
              </w:rPr>
            </w:pPr>
          </w:p>
        </w:tc>
      </w:tr>
      <w:tr w:rsidR="007D720D" w:rsidRPr="00361664" w:rsidTr="007D720D">
        <w:trPr>
          <w:trHeight w:val="284"/>
        </w:trPr>
        <w:tc>
          <w:tcPr>
            <w:tcW w:w="4082" w:type="dxa"/>
            <w:tcBorders>
              <w:top w:val="nil"/>
              <w:left w:val="single" w:sz="4" w:space="0" w:color="auto"/>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rPr>
                <w:color w:val="000000"/>
                <w:sz w:val="18"/>
                <w:szCs w:val="18"/>
                <w:lang w:eastAsia="hr-HR"/>
              </w:rPr>
            </w:pPr>
            <w:r w:rsidRPr="00361664">
              <w:rPr>
                <w:color w:val="000000"/>
                <w:sz w:val="18"/>
                <w:szCs w:val="18"/>
                <w:lang w:eastAsia="hr-HR"/>
              </w:rPr>
              <w:t>Neposredna potrošnja energije</w:t>
            </w:r>
          </w:p>
        </w:tc>
        <w:tc>
          <w:tcPr>
            <w:tcW w:w="1191"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265,839</w:t>
            </w:r>
          </w:p>
        </w:tc>
        <w:tc>
          <w:tcPr>
            <w:tcW w:w="1191"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259,186</w:t>
            </w:r>
          </w:p>
        </w:tc>
        <w:tc>
          <w:tcPr>
            <w:tcW w:w="1191"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247,527</w:t>
            </w:r>
          </w:p>
        </w:tc>
        <w:tc>
          <w:tcPr>
            <w:tcW w:w="1191" w:type="dxa"/>
            <w:tcBorders>
              <w:top w:val="nil"/>
              <w:left w:val="double" w:sz="6" w:space="0" w:color="auto"/>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 </w:t>
            </w:r>
          </w:p>
        </w:tc>
      </w:tr>
      <w:tr w:rsidR="007D720D" w:rsidRPr="00361664" w:rsidTr="007D720D">
        <w:trPr>
          <w:trHeight w:val="284"/>
        </w:trPr>
        <w:tc>
          <w:tcPr>
            <w:tcW w:w="4082" w:type="dxa"/>
            <w:tcBorders>
              <w:top w:val="nil"/>
              <w:left w:val="single" w:sz="4" w:space="0" w:color="auto"/>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rPr>
                <w:color w:val="000000"/>
                <w:sz w:val="18"/>
                <w:szCs w:val="18"/>
                <w:lang w:eastAsia="hr-HR"/>
              </w:rPr>
            </w:pPr>
            <w:r w:rsidRPr="00361664">
              <w:rPr>
                <w:color w:val="000000"/>
                <w:sz w:val="18"/>
                <w:szCs w:val="18"/>
                <w:lang w:eastAsia="hr-HR"/>
              </w:rPr>
              <w:t>Promet</w:t>
            </w:r>
          </w:p>
        </w:tc>
        <w:tc>
          <w:tcPr>
            <w:tcW w:w="1191"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86,892</w:t>
            </w:r>
          </w:p>
        </w:tc>
        <w:tc>
          <w:tcPr>
            <w:tcW w:w="1191"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84,974</w:t>
            </w:r>
          </w:p>
        </w:tc>
        <w:tc>
          <w:tcPr>
            <w:tcW w:w="1191"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84,018</w:t>
            </w:r>
          </w:p>
        </w:tc>
        <w:tc>
          <w:tcPr>
            <w:tcW w:w="1191" w:type="dxa"/>
            <w:tcBorders>
              <w:top w:val="nil"/>
              <w:left w:val="double" w:sz="6" w:space="0" w:color="auto"/>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 </w:t>
            </w:r>
          </w:p>
        </w:tc>
      </w:tr>
      <w:tr w:rsidR="007D720D" w:rsidRPr="00361664" w:rsidTr="007D720D">
        <w:trPr>
          <w:trHeight w:val="284"/>
        </w:trPr>
        <w:tc>
          <w:tcPr>
            <w:tcW w:w="4082" w:type="dxa"/>
            <w:tcBorders>
              <w:top w:val="nil"/>
              <w:left w:val="single" w:sz="4" w:space="0" w:color="auto"/>
              <w:bottom w:val="single" w:sz="4" w:space="0" w:color="auto"/>
              <w:right w:val="single" w:sz="4" w:space="0" w:color="auto"/>
            </w:tcBorders>
            <w:shd w:val="clear" w:color="000000" w:fill="BFBFBF"/>
            <w:noWrap/>
            <w:vAlign w:val="center"/>
            <w:hideMark/>
          </w:tcPr>
          <w:p w:rsidR="007D720D" w:rsidRPr="00361664" w:rsidRDefault="007D720D" w:rsidP="007D720D">
            <w:pPr>
              <w:spacing w:after="0" w:line="240" w:lineRule="auto"/>
              <w:rPr>
                <w:b/>
                <w:bCs/>
                <w:color w:val="000000"/>
                <w:sz w:val="18"/>
                <w:szCs w:val="18"/>
                <w:lang w:eastAsia="hr-HR"/>
              </w:rPr>
            </w:pPr>
            <w:r w:rsidRPr="00361664">
              <w:rPr>
                <w:b/>
                <w:bCs/>
                <w:color w:val="000000"/>
                <w:sz w:val="18"/>
                <w:szCs w:val="18"/>
                <w:lang w:eastAsia="hr-HR"/>
              </w:rPr>
              <w:t>NEPOSREDNA POTROŠNJA ENERGIJE - PROMET</w:t>
            </w:r>
          </w:p>
        </w:tc>
        <w:tc>
          <w:tcPr>
            <w:tcW w:w="1191" w:type="dxa"/>
            <w:tcBorders>
              <w:top w:val="nil"/>
              <w:left w:val="nil"/>
              <w:bottom w:val="single" w:sz="4" w:space="0" w:color="auto"/>
              <w:right w:val="single" w:sz="4" w:space="0" w:color="auto"/>
            </w:tcBorders>
            <w:shd w:val="clear" w:color="000000" w:fill="BFBFB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178,947</w:t>
            </w:r>
          </w:p>
        </w:tc>
        <w:tc>
          <w:tcPr>
            <w:tcW w:w="1191" w:type="dxa"/>
            <w:tcBorders>
              <w:top w:val="nil"/>
              <w:left w:val="nil"/>
              <w:bottom w:val="single" w:sz="4" w:space="0" w:color="auto"/>
              <w:right w:val="single" w:sz="4" w:space="0" w:color="auto"/>
            </w:tcBorders>
            <w:shd w:val="clear" w:color="000000" w:fill="BFBFB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174,212</w:t>
            </w:r>
          </w:p>
        </w:tc>
        <w:tc>
          <w:tcPr>
            <w:tcW w:w="1191" w:type="dxa"/>
            <w:tcBorders>
              <w:top w:val="nil"/>
              <w:left w:val="nil"/>
              <w:bottom w:val="single" w:sz="4" w:space="0" w:color="auto"/>
              <w:right w:val="single" w:sz="4" w:space="0" w:color="auto"/>
            </w:tcBorders>
            <w:shd w:val="clear" w:color="000000" w:fill="BFBFBF"/>
            <w:noWrap/>
            <w:vAlign w:val="center"/>
            <w:hideMark/>
          </w:tcPr>
          <w:p w:rsidR="007D720D" w:rsidRPr="00361664" w:rsidRDefault="007D720D" w:rsidP="007D720D">
            <w:pPr>
              <w:spacing w:after="0" w:line="240" w:lineRule="auto"/>
              <w:jc w:val="center"/>
              <w:rPr>
                <w:color w:val="000000"/>
                <w:sz w:val="18"/>
                <w:szCs w:val="18"/>
                <w:lang w:eastAsia="hr-HR"/>
              </w:rPr>
            </w:pPr>
            <w:r w:rsidRPr="00361664">
              <w:rPr>
                <w:color w:val="000000"/>
                <w:sz w:val="18"/>
                <w:szCs w:val="18"/>
                <w:lang w:eastAsia="hr-HR"/>
              </w:rPr>
              <w:t>163,508</w:t>
            </w:r>
          </w:p>
        </w:tc>
        <w:tc>
          <w:tcPr>
            <w:tcW w:w="1191" w:type="dxa"/>
            <w:tcBorders>
              <w:top w:val="nil"/>
              <w:left w:val="double" w:sz="6" w:space="0" w:color="auto"/>
              <w:bottom w:val="single" w:sz="4" w:space="0" w:color="auto"/>
              <w:right w:val="single" w:sz="4" w:space="0" w:color="auto"/>
            </w:tcBorders>
            <w:shd w:val="clear" w:color="000000" w:fill="BFBFBF"/>
            <w:noWrap/>
            <w:vAlign w:val="center"/>
            <w:hideMark/>
          </w:tcPr>
          <w:p w:rsidR="007D720D" w:rsidRPr="00361664" w:rsidRDefault="007D720D" w:rsidP="007D720D">
            <w:pPr>
              <w:spacing w:after="0" w:line="240" w:lineRule="auto"/>
              <w:jc w:val="center"/>
              <w:rPr>
                <w:b/>
                <w:bCs/>
                <w:color w:val="000000"/>
                <w:sz w:val="18"/>
                <w:szCs w:val="18"/>
                <w:lang w:eastAsia="hr-HR"/>
              </w:rPr>
            </w:pPr>
            <w:r w:rsidRPr="00361664">
              <w:rPr>
                <w:b/>
                <w:bCs/>
                <w:color w:val="000000"/>
                <w:sz w:val="18"/>
                <w:szCs w:val="18"/>
                <w:lang w:eastAsia="hr-HR"/>
              </w:rPr>
              <w:t>172,222</w:t>
            </w:r>
          </w:p>
        </w:tc>
      </w:tr>
    </w:tbl>
    <w:p w:rsidR="007D720D" w:rsidRPr="00361664" w:rsidRDefault="007D720D" w:rsidP="007D720D">
      <w:pPr>
        <w:jc w:val="both"/>
        <w:rPr>
          <w:rFonts w:asciiTheme="minorHAnsi" w:hAnsiTheme="minorHAnsi"/>
          <w:sz w:val="20"/>
          <w:szCs w:val="20"/>
        </w:rPr>
      </w:pPr>
    </w:p>
    <w:p w:rsidR="007D720D" w:rsidRPr="00361664" w:rsidRDefault="007D720D" w:rsidP="007D720D">
      <w:pPr>
        <w:jc w:val="both"/>
        <w:rPr>
          <w:rFonts w:asciiTheme="minorHAnsi" w:hAnsiTheme="minorHAnsi"/>
          <w:sz w:val="20"/>
          <w:szCs w:val="20"/>
        </w:rPr>
      </w:pPr>
      <w:r w:rsidRPr="00361664">
        <w:rPr>
          <w:rFonts w:asciiTheme="minorHAnsi" w:hAnsiTheme="minorHAnsi"/>
          <w:sz w:val="20"/>
          <w:szCs w:val="20"/>
        </w:rPr>
        <w:t>Sukladno članku 7. stavku 1. DEU, sljedeći korak je množenje prosječne neposredne energetske potrošnje (iz koje je isključen promet), utvrđene za 2010., 2011. i 2012. godinu s 1,5% kako bi se izračunao godišnji iznos koji treba uštedjeti. Ukupan iznos koji se mora ostvariti tijekom cijelog razdoblja je zbroj sljedećih kumulativnih postotaka: 2014. – 1,5%; 2015. – 3%; 2016. – 4,5%; 2017. – 6%; 2018. – 7,5%; 2019. – 9%; 2020. – 10,5% (Tablica 3-4.).</w:t>
      </w:r>
    </w:p>
    <w:p w:rsidR="007D720D" w:rsidRPr="00361664" w:rsidRDefault="007D720D" w:rsidP="007D720D">
      <w:pPr>
        <w:spacing w:after="0"/>
        <w:jc w:val="both"/>
        <w:rPr>
          <w:rFonts w:asciiTheme="minorHAnsi" w:hAnsiTheme="minorHAnsi"/>
          <w:sz w:val="20"/>
          <w:szCs w:val="20"/>
        </w:rPr>
      </w:pPr>
      <w:r w:rsidRPr="00361664">
        <w:rPr>
          <w:rFonts w:asciiTheme="minorHAnsi" w:hAnsiTheme="minorHAnsi"/>
          <w:b/>
          <w:sz w:val="20"/>
          <w:szCs w:val="20"/>
        </w:rPr>
        <w:lastRenderedPageBreak/>
        <w:t>Tablica 3-4</w:t>
      </w:r>
      <w:r w:rsidRPr="00361664">
        <w:rPr>
          <w:rFonts w:asciiTheme="minorHAnsi" w:hAnsiTheme="minorHAnsi"/>
          <w:sz w:val="20"/>
          <w:szCs w:val="20"/>
        </w:rPr>
        <w:t>. Određivanje cilja uvažavajući članak 7(1) DEU</w:t>
      </w:r>
    </w:p>
    <w:tbl>
      <w:tblPr>
        <w:tblW w:w="0" w:type="auto"/>
        <w:tblInd w:w="93" w:type="dxa"/>
        <w:tblLook w:val="04A0" w:firstRow="1" w:lastRow="0" w:firstColumn="1" w:lastColumn="0" w:noHBand="0" w:noVBand="1"/>
      </w:tblPr>
      <w:tblGrid>
        <w:gridCol w:w="2520"/>
        <w:gridCol w:w="788"/>
        <w:gridCol w:w="788"/>
        <w:gridCol w:w="788"/>
        <w:gridCol w:w="788"/>
        <w:gridCol w:w="788"/>
        <w:gridCol w:w="788"/>
        <w:gridCol w:w="788"/>
        <w:gridCol w:w="1159"/>
      </w:tblGrid>
      <w:tr w:rsidR="007D720D" w:rsidRPr="00361664" w:rsidTr="007D720D">
        <w:trPr>
          <w:trHeight w:val="284"/>
        </w:trPr>
        <w:tc>
          <w:tcPr>
            <w:tcW w:w="5600" w:type="dxa"/>
            <w:tcBorders>
              <w:top w:val="single" w:sz="4" w:space="0" w:color="auto"/>
              <w:left w:val="single" w:sz="4" w:space="0" w:color="auto"/>
              <w:bottom w:val="single" w:sz="4" w:space="0" w:color="auto"/>
              <w:right w:val="nil"/>
            </w:tcBorders>
            <w:shd w:val="clear" w:color="auto" w:fill="CCFFCC"/>
            <w:noWrap/>
            <w:vAlign w:val="center"/>
            <w:hideMark/>
          </w:tcPr>
          <w:p w:rsidR="007D720D" w:rsidRPr="00361664" w:rsidRDefault="007D720D" w:rsidP="007D720D">
            <w:pPr>
              <w:spacing w:after="0" w:line="240" w:lineRule="auto"/>
              <w:rPr>
                <w:rFonts w:asciiTheme="minorHAnsi" w:hAnsiTheme="minorHAnsi"/>
                <w:b/>
                <w:color w:val="000000"/>
                <w:sz w:val="18"/>
                <w:szCs w:val="18"/>
                <w:lang w:eastAsia="hr-HR"/>
              </w:rPr>
            </w:pPr>
            <w:r w:rsidRPr="00361664">
              <w:rPr>
                <w:rFonts w:asciiTheme="minorHAnsi" w:hAnsiTheme="minorHAnsi"/>
                <w:b/>
                <w:color w:val="000000"/>
                <w:sz w:val="18"/>
                <w:szCs w:val="18"/>
                <w:lang w:eastAsia="hr-HR"/>
              </w:rPr>
              <w:t> </w:t>
            </w:r>
          </w:p>
        </w:tc>
        <w:tc>
          <w:tcPr>
            <w:tcW w:w="13283" w:type="dxa"/>
            <w:gridSpan w:val="8"/>
            <w:tcBorders>
              <w:top w:val="single" w:sz="4" w:space="0" w:color="auto"/>
              <w:left w:val="nil"/>
              <w:bottom w:val="single" w:sz="4" w:space="0" w:color="auto"/>
              <w:right w:val="single" w:sz="4" w:space="0" w:color="000000"/>
            </w:tcBorders>
            <w:shd w:val="clear" w:color="auto" w:fill="CCFFCC"/>
            <w:noWrap/>
            <w:vAlign w:val="center"/>
            <w:hideMark/>
          </w:tcPr>
          <w:p w:rsidR="007D720D" w:rsidRPr="00361664" w:rsidRDefault="007D720D" w:rsidP="007D720D">
            <w:pPr>
              <w:spacing w:after="0" w:line="240" w:lineRule="auto"/>
              <w:jc w:val="center"/>
              <w:rPr>
                <w:rFonts w:asciiTheme="minorHAnsi" w:hAnsiTheme="minorHAnsi"/>
                <w:b/>
                <w:color w:val="000000"/>
                <w:sz w:val="18"/>
                <w:szCs w:val="18"/>
                <w:lang w:eastAsia="hr-HR"/>
              </w:rPr>
            </w:pPr>
            <w:r w:rsidRPr="00361664">
              <w:rPr>
                <w:rFonts w:asciiTheme="minorHAnsi" w:hAnsiTheme="minorHAnsi"/>
                <w:b/>
                <w:color w:val="000000"/>
                <w:sz w:val="18"/>
                <w:szCs w:val="18"/>
                <w:lang w:eastAsia="hr-HR"/>
              </w:rPr>
              <w:t>Članak 7 (1)</w:t>
            </w:r>
          </w:p>
        </w:tc>
      </w:tr>
      <w:tr w:rsidR="007D720D" w:rsidRPr="00361664" w:rsidTr="007D720D">
        <w:trPr>
          <w:trHeight w:val="284"/>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Uštede po godinama (PJ)</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UKUPNO</w:t>
            </w:r>
          </w:p>
        </w:tc>
      </w:tr>
      <w:tr w:rsidR="007D720D" w:rsidRPr="00361664" w:rsidTr="007D720D">
        <w:trPr>
          <w:trHeight w:val="284"/>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2014.</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r>
      <w:tr w:rsidR="007D720D" w:rsidRPr="00361664" w:rsidTr="007D720D">
        <w:trPr>
          <w:trHeight w:val="284"/>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2015.</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5,167</w:t>
            </w:r>
          </w:p>
        </w:tc>
      </w:tr>
      <w:tr w:rsidR="007D720D" w:rsidRPr="00361664" w:rsidTr="007D720D">
        <w:trPr>
          <w:trHeight w:val="284"/>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2016.</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7,750</w:t>
            </w:r>
          </w:p>
        </w:tc>
      </w:tr>
      <w:tr w:rsidR="007D720D" w:rsidRPr="00361664" w:rsidTr="007D720D">
        <w:trPr>
          <w:trHeight w:val="284"/>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2017.</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10,333</w:t>
            </w:r>
          </w:p>
        </w:tc>
      </w:tr>
      <w:tr w:rsidR="007D720D" w:rsidRPr="00361664" w:rsidTr="007D720D">
        <w:trPr>
          <w:trHeight w:val="284"/>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2018.</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12,917</w:t>
            </w:r>
          </w:p>
        </w:tc>
      </w:tr>
      <w:tr w:rsidR="007D720D" w:rsidRPr="00361664" w:rsidTr="007D720D">
        <w:trPr>
          <w:trHeight w:val="284"/>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2019.</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15,500</w:t>
            </w:r>
          </w:p>
        </w:tc>
      </w:tr>
      <w:tr w:rsidR="007D720D" w:rsidRPr="00361664" w:rsidTr="007D720D">
        <w:trPr>
          <w:trHeight w:val="284"/>
        </w:trPr>
        <w:tc>
          <w:tcPr>
            <w:tcW w:w="5600" w:type="dxa"/>
            <w:tcBorders>
              <w:top w:val="nil"/>
              <w:left w:val="single" w:sz="4" w:space="0" w:color="auto"/>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2020.</w:t>
            </w:r>
          </w:p>
        </w:tc>
        <w:tc>
          <w:tcPr>
            <w:tcW w:w="1552"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552" w:type="dxa"/>
            <w:tcBorders>
              <w:top w:val="nil"/>
              <w:left w:val="nil"/>
              <w:bottom w:val="double" w:sz="6" w:space="0" w:color="auto"/>
              <w:right w:val="double" w:sz="6"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2419"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18,083</w:t>
            </w:r>
          </w:p>
        </w:tc>
      </w:tr>
      <w:tr w:rsidR="007D720D" w:rsidRPr="00361664" w:rsidTr="007D720D">
        <w:trPr>
          <w:trHeight w:val="284"/>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color w:val="000000"/>
                <w:sz w:val="18"/>
                <w:szCs w:val="18"/>
                <w:lang w:eastAsia="hr-HR"/>
              </w:rPr>
            </w:pPr>
            <w:r w:rsidRPr="00361664">
              <w:rPr>
                <w:rFonts w:asciiTheme="minorHAnsi" w:hAnsiTheme="minorHAnsi"/>
                <w:color w:val="000000"/>
                <w:sz w:val="18"/>
                <w:szCs w:val="18"/>
                <w:lang w:eastAsia="hr-HR"/>
              </w:rPr>
              <w:t>KUMULATIVNO</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72,333</w:t>
            </w:r>
          </w:p>
        </w:tc>
      </w:tr>
      <w:tr w:rsidR="007D720D" w:rsidRPr="00361664" w:rsidTr="007D720D">
        <w:trPr>
          <w:trHeight w:val="284"/>
        </w:trPr>
        <w:tc>
          <w:tcPr>
            <w:tcW w:w="5600" w:type="dxa"/>
            <w:tcBorders>
              <w:top w:val="nil"/>
              <w:left w:val="single" w:sz="4"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color w:val="000000"/>
                <w:sz w:val="18"/>
                <w:szCs w:val="18"/>
                <w:lang w:eastAsia="hr-HR"/>
              </w:rPr>
            </w:pPr>
            <w:r w:rsidRPr="00361664">
              <w:rPr>
                <w:rFonts w:asciiTheme="minorHAnsi" w:hAnsiTheme="minorHAnsi"/>
                <w:color w:val="000000"/>
                <w:sz w:val="18"/>
                <w:szCs w:val="18"/>
                <w:lang w:eastAsia="hr-HR"/>
              </w:rPr>
              <w:t>GODIŠNJE</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2"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19" w:type="dxa"/>
            <w:tcBorders>
              <w:top w:val="nil"/>
              <w:left w:val="double" w:sz="6"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2,583</w:t>
            </w:r>
          </w:p>
        </w:tc>
      </w:tr>
    </w:tbl>
    <w:p w:rsidR="007D720D" w:rsidRPr="00361664" w:rsidRDefault="007D720D" w:rsidP="007D720D">
      <w:pPr>
        <w:keepNext/>
        <w:keepLines/>
        <w:jc w:val="both"/>
        <w:rPr>
          <w:rFonts w:asciiTheme="minorHAnsi" w:hAnsiTheme="minorHAnsi"/>
          <w:sz w:val="20"/>
          <w:szCs w:val="20"/>
        </w:rPr>
      </w:pPr>
    </w:p>
    <w:p w:rsidR="007D720D" w:rsidRPr="00361664" w:rsidRDefault="007D720D" w:rsidP="007D720D">
      <w:pPr>
        <w:keepNext/>
        <w:keepLines/>
        <w:jc w:val="both"/>
        <w:rPr>
          <w:rFonts w:asciiTheme="minorHAnsi" w:hAnsiTheme="minorHAnsi"/>
          <w:sz w:val="20"/>
          <w:szCs w:val="20"/>
          <w:lang w:eastAsia="ja-JP"/>
        </w:rPr>
      </w:pPr>
      <w:r w:rsidRPr="00361664">
        <w:rPr>
          <w:rFonts w:asciiTheme="minorHAnsi" w:hAnsiTheme="minorHAnsi"/>
          <w:sz w:val="20"/>
          <w:szCs w:val="20"/>
        </w:rPr>
        <w:t>Članak 7. stavci 2. i 3. DEU dopuštaju mogućnost uzimanja u obzir određenih nacionalnih okolnosti koje mogu dovesti do nižeg iznosa ušteda energije u krajnjoj potrošnji koje treba ostvariti tijekom sedmogodišnjeg razdoblja. Navedene mogućnosti uključuju:</w:t>
      </w:r>
    </w:p>
    <w:p w:rsidR="007D720D" w:rsidRPr="00361664" w:rsidRDefault="007D720D" w:rsidP="00CD00FF">
      <w:pPr>
        <w:pStyle w:val="Odlomakpopisa"/>
        <w:keepNext/>
        <w:keepLines/>
        <w:numPr>
          <w:ilvl w:val="0"/>
          <w:numId w:val="52"/>
        </w:numPr>
        <w:autoSpaceDE w:val="0"/>
        <w:autoSpaceDN w:val="0"/>
        <w:adjustRightInd w:val="0"/>
        <w:jc w:val="both"/>
        <w:rPr>
          <w:rFonts w:asciiTheme="minorHAnsi" w:hAnsiTheme="minorHAnsi"/>
          <w:color w:val="000000"/>
          <w:sz w:val="20"/>
          <w:szCs w:val="20"/>
          <w:lang w:eastAsia="hr-HR"/>
        </w:rPr>
      </w:pPr>
      <w:r w:rsidRPr="00361664">
        <w:rPr>
          <w:rFonts w:asciiTheme="minorHAnsi" w:hAnsiTheme="minorHAnsi"/>
          <w:color w:val="000000"/>
          <w:sz w:val="20"/>
          <w:szCs w:val="20"/>
          <w:lang w:eastAsia="hr-HR"/>
        </w:rPr>
        <w:t xml:space="preserve">izračun koji se temelji na nižoj godišnjoj stopi uštede; </w:t>
      </w:r>
    </w:p>
    <w:p w:rsidR="007D720D" w:rsidRPr="00361664" w:rsidRDefault="007D720D" w:rsidP="00CD00FF">
      <w:pPr>
        <w:pStyle w:val="Odlomakpopisa"/>
        <w:keepNext/>
        <w:keepLines/>
        <w:numPr>
          <w:ilvl w:val="0"/>
          <w:numId w:val="52"/>
        </w:numPr>
        <w:autoSpaceDE w:val="0"/>
        <w:autoSpaceDN w:val="0"/>
        <w:adjustRightInd w:val="0"/>
        <w:jc w:val="both"/>
        <w:rPr>
          <w:rFonts w:asciiTheme="minorHAnsi" w:hAnsiTheme="minorHAnsi"/>
          <w:color w:val="000000"/>
          <w:sz w:val="20"/>
          <w:szCs w:val="20"/>
          <w:lang w:eastAsia="hr-HR"/>
        </w:rPr>
      </w:pPr>
      <w:r w:rsidRPr="00361664">
        <w:rPr>
          <w:rFonts w:asciiTheme="minorHAnsi" w:hAnsiTheme="minorHAnsi"/>
          <w:color w:val="000000"/>
          <w:sz w:val="20"/>
          <w:szCs w:val="20"/>
          <w:lang w:eastAsia="hr-HR"/>
        </w:rPr>
        <w:t xml:space="preserve">potpuno ili djelomično isključivanje energije koja se upotrebljava u industriji uključenoj u EU ETS; </w:t>
      </w:r>
    </w:p>
    <w:p w:rsidR="007D720D" w:rsidRPr="00361664" w:rsidRDefault="007D720D" w:rsidP="00CD00FF">
      <w:pPr>
        <w:pStyle w:val="Odlomakpopisa"/>
        <w:keepNext/>
        <w:keepLines/>
        <w:numPr>
          <w:ilvl w:val="0"/>
          <w:numId w:val="52"/>
        </w:numPr>
        <w:autoSpaceDE w:val="0"/>
        <w:autoSpaceDN w:val="0"/>
        <w:adjustRightInd w:val="0"/>
        <w:jc w:val="both"/>
        <w:rPr>
          <w:rFonts w:asciiTheme="minorHAnsi" w:hAnsiTheme="minorHAnsi"/>
          <w:color w:val="000000"/>
          <w:sz w:val="20"/>
          <w:szCs w:val="20"/>
          <w:lang w:eastAsia="hr-HR"/>
        </w:rPr>
      </w:pPr>
      <w:r w:rsidRPr="00361664">
        <w:rPr>
          <w:rFonts w:asciiTheme="minorHAnsi" w:hAnsiTheme="minorHAnsi"/>
          <w:color w:val="000000"/>
          <w:sz w:val="20"/>
          <w:szCs w:val="20"/>
          <w:lang w:eastAsia="hr-HR"/>
        </w:rPr>
        <w:t xml:space="preserve">uračunavanje  uštede energije ostvarene u sektoru pretvorbe, distribucije i prijenosa energije; </w:t>
      </w:r>
    </w:p>
    <w:p w:rsidR="007D720D" w:rsidRPr="00361664" w:rsidRDefault="007D720D" w:rsidP="00CD00FF">
      <w:pPr>
        <w:pStyle w:val="Odlomakpopisa"/>
        <w:numPr>
          <w:ilvl w:val="0"/>
          <w:numId w:val="52"/>
        </w:numPr>
        <w:autoSpaceDE w:val="0"/>
        <w:autoSpaceDN w:val="0"/>
        <w:adjustRightInd w:val="0"/>
        <w:jc w:val="both"/>
        <w:rPr>
          <w:rFonts w:asciiTheme="minorHAnsi" w:hAnsiTheme="minorHAnsi"/>
          <w:color w:val="000000"/>
          <w:sz w:val="20"/>
          <w:szCs w:val="20"/>
          <w:lang w:eastAsia="hr-HR"/>
        </w:rPr>
      </w:pPr>
      <w:r w:rsidRPr="00361664">
        <w:rPr>
          <w:rFonts w:asciiTheme="minorHAnsi" w:hAnsiTheme="minorHAnsi"/>
          <w:color w:val="000000"/>
          <w:sz w:val="20"/>
          <w:szCs w:val="20"/>
          <w:lang w:eastAsia="hr-HR"/>
        </w:rPr>
        <w:t>uračunavanje ostvarenih ušteda ranih mjera nakon kraja 2008. koje još uvijek ostvaruju uštede u 2020. godini.</w:t>
      </w:r>
    </w:p>
    <w:p w:rsidR="007D720D" w:rsidRPr="00361664" w:rsidRDefault="007D720D" w:rsidP="007D720D">
      <w:pPr>
        <w:autoSpaceDE w:val="0"/>
        <w:autoSpaceDN w:val="0"/>
        <w:adjustRightInd w:val="0"/>
        <w:jc w:val="both"/>
        <w:rPr>
          <w:rFonts w:asciiTheme="minorHAnsi" w:hAnsiTheme="minorHAnsi"/>
          <w:color w:val="000000"/>
          <w:sz w:val="20"/>
          <w:szCs w:val="20"/>
          <w:lang w:eastAsia="hr-HR"/>
        </w:rPr>
      </w:pPr>
      <w:r w:rsidRPr="00361664">
        <w:rPr>
          <w:rFonts w:asciiTheme="minorHAnsi" w:hAnsiTheme="minorHAnsi"/>
          <w:color w:val="000000"/>
          <w:sz w:val="20"/>
          <w:szCs w:val="20"/>
          <w:lang w:eastAsia="hr-HR"/>
        </w:rPr>
        <w:t>Ne postoje ograničenja pri izboru ili kombinaciji ove četiri mogućnosti osim što u skladu s člankom 7. stavkom 3. DEU sve izabrane mogućnosti zajedno ne smiju iznositi više od 25% ušteda propisanih člankom 7. stavkom 1. (Tablica 3-5).</w:t>
      </w:r>
    </w:p>
    <w:p w:rsidR="007D720D" w:rsidRPr="00361664" w:rsidRDefault="007D720D" w:rsidP="007D720D">
      <w:pPr>
        <w:spacing w:after="0"/>
        <w:jc w:val="both"/>
        <w:rPr>
          <w:rFonts w:asciiTheme="minorHAnsi" w:hAnsiTheme="minorHAnsi"/>
          <w:sz w:val="20"/>
          <w:szCs w:val="20"/>
        </w:rPr>
      </w:pPr>
      <w:r w:rsidRPr="00361664">
        <w:rPr>
          <w:rFonts w:asciiTheme="minorHAnsi" w:hAnsiTheme="minorHAnsi"/>
          <w:b/>
          <w:sz w:val="20"/>
          <w:szCs w:val="20"/>
        </w:rPr>
        <w:t>Tablica 3-5.</w:t>
      </w:r>
      <w:r w:rsidRPr="00361664">
        <w:rPr>
          <w:rFonts w:asciiTheme="minorHAnsi" w:hAnsiTheme="minorHAnsi"/>
          <w:sz w:val="20"/>
          <w:szCs w:val="20"/>
        </w:rPr>
        <w:t xml:space="preserve"> Primjena faktora smanjenja</w:t>
      </w:r>
    </w:p>
    <w:tbl>
      <w:tblPr>
        <w:tblW w:w="0" w:type="auto"/>
        <w:tblInd w:w="93" w:type="dxa"/>
        <w:tblLook w:val="04A0" w:firstRow="1" w:lastRow="0" w:firstColumn="1" w:lastColumn="0" w:noHBand="0" w:noVBand="1"/>
      </w:tblPr>
      <w:tblGrid>
        <w:gridCol w:w="4194"/>
        <w:gridCol w:w="1667"/>
        <w:gridCol w:w="1667"/>
        <w:gridCol w:w="1667"/>
      </w:tblGrid>
      <w:tr w:rsidR="007D720D" w:rsidRPr="00361664" w:rsidTr="007D720D">
        <w:trPr>
          <w:trHeight w:val="509"/>
        </w:trPr>
        <w:tc>
          <w:tcPr>
            <w:tcW w:w="4328"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7D720D" w:rsidRPr="00361664" w:rsidRDefault="007D720D" w:rsidP="007D720D">
            <w:pPr>
              <w:spacing w:after="0" w:line="240" w:lineRule="auto"/>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 </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b/>
                <w:color w:val="000000"/>
                <w:sz w:val="18"/>
                <w:szCs w:val="18"/>
                <w:lang w:eastAsia="hr-HR"/>
              </w:rPr>
            </w:pPr>
            <w:r w:rsidRPr="00361664">
              <w:rPr>
                <w:rFonts w:asciiTheme="minorHAnsi" w:hAnsiTheme="minorHAnsi"/>
                <w:b/>
                <w:color w:val="000000"/>
                <w:sz w:val="18"/>
                <w:szCs w:val="18"/>
                <w:lang w:eastAsia="hr-HR"/>
              </w:rPr>
              <w:t>Godišnje uštede          (PJ)</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b/>
                <w:color w:val="000000"/>
                <w:sz w:val="18"/>
                <w:szCs w:val="18"/>
                <w:lang w:eastAsia="hr-HR"/>
              </w:rPr>
            </w:pPr>
            <w:r w:rsidRPr="00361664">
              <w:rPr>
                <w:rFonts w:asciiTheme="minorHAnsi" w:hAnsiTheme="minorHAnsi"/>
                <w:b/>
                <w:color w:val="000000"/>
                <w:sz w:val="18"/>
                <w:szCs w:val="18"/>
                <w:lang w:eastAsia="hr-HR"/>
              </w:rPr>
              <w:t>Kumulativne uštede (PJ)</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jc w:val="center"/>
              <w:rPr>
                <w:rFonts w:asciiTheme="minorHAnsi" w:hAnsiTheme="minorHAnsi"/>
                <w:b/>
                <w:color w:val="000000"/>
                <w:sz w:val="18"/>
                <w:szCs w:val="18"/>
                <w:lang w:eastAsia="hr-HR"/>
              </w:rPr>
            </w:pPr>
            <w:r w:rsidRPr="00361664">
              <w:rPr>
                <w:rFonts w:asciiTheme="minorHAnsi" w:hAnsiTheme="minorHAnsi"/>
                <w:b/>
                <w:color w:val="000000"/>
                <w:sz w:val="18"/>
                <w:szCs w:val="18"/>
                <w:lang w:eastAsia="hr-HR"/>
              </w:rPr>
              <w:t xml:space="preserve">Smanjenje kumulativnih ušteda </w:t>
            </w:r>
          </w:p>
        </w:tc>
      </w:tr>
      <w:tr w:rsidR="007D720D" w:rsidRPr="00361664" w:rsidTr="007D720D">
        <w:trPr>
          <w:trHeight w:val="509"/>
        </w:trPr>
        <w:tc>
          <w:tcPr>
            <w:tcW w:w="4328"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rPr>
                <w:rFonts w:asciiTheme="minorHAnsi" w:hAnsiTheme="minorHAnsi"/>
                <w:b/>
                <w:bCs/>
                <w:color w:val="000000"/>
                <w:sz w:val="18"/>
                <w:szCs w:val="18"/>
                <w:lang w:eastAsia="hr-HR"/>
              </w:rPr>
            </w:pPr>
          </w:p>
        </w:tc>
        <w:tc>
          <w:tcPr>
            <w:tcW w:w="171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p>
        </w:tc>
        <w:tc>
          <w:tcPr>
            <w:tcW w:w="171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p>
        </w:tc>
        <w:tc>
          <w:tcPr>
            <w:tcW w:w="171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p>
        </w:tc>
      </w:tr>
      <w:tr w:rsidR="007D720D" w:rsidRPr="00361664" w:rsidTr="007D720D">
        <w:trPr>
          <w:trHeight w:val="284"/>
        </w:trPr>
        <w:tc>
          <w:tcPr>
            <w:tcW w:w="4328" w:type="dxa"/>
            <w:tcBorders>
              <w:top w:val="nil"/>
              <w:left w:val="single" w:sz="4" w:space="0" w:color="auto"/>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Uštede energije prema članku 7 (1) DEU</w:t>
            </w:r>
          </w:p>
        </w:tc>
        <w:tc>
          <w:tcPr>
            <w:tcW w:w="1716"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2,583</w:t>
            </w:r>
          </w:p>
        </w:tc>
        <w:tc>
          <w:tcPr>
            <w:tcW w:w="1716"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72,333</w:t>
            </w:r>
          </w:p>
        </w:tc>
        <w:tc>
          <w:tcPr>
            <w:tcW w:w="1716"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w:t>
            </w:r>
          </w:p>
        </w:tc>
      </w:tr>
      <w:tr w:rsidR="007D720D" w:rsidRPr="00361664" w:rsidTr="007D720D">
        <w:trPr>
          <w:trHeight w:val="284"/>
        </w:trPr>
        <w:tc>
          <w:tcPr>
            <w:tcW w:w="4328" w:type="dxa"/>
            <w:tcBorders>
              <w:top w:val="nil"/>
              <w:left w:val="single" w:sz="4" w:space="0" w:color="auto"/>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Primjena članka 7 (3) DEU</w:t>
            </w:r>
          </w:p>
        </w:tc>
        <w:tc>
          <w:tcPr>
            <w:tcW w:w="1716"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716" w:type="dxa"/>
            <w:tcBorders>
              <w:top w:val="nil"/>
              <w:left w:val="nil"/>
              <w:bottom w:val="single" w:sz="4" w:space="0" w:color="auto"/>
              <w:right w:val="single" w:sz="4" w:space="0" w:color="auto"/>
            </w:tcBorders>
            <w:shd w:val="clear" w:color="000000" w:fill="FFFFFF"/>
            <w:noWrap/>
            <w:vAlign w:val="center"/>
            <w:hideMark/>
          </w:tcPr>
          <w:p w:rsidR="007D720D" w:rsidRPr="00361664" w:rsidRDefault="001C2E37"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54</w:t>
            </w:r>
            <w:r w:rsidR="007D720D" w:rsidRPr="00361664">
              <w:rPr>
                <w:rFonts w:asciiTheme="minorHAnsi" w:hAnsiTheme="minorHAnsi"/>
                <w:color w:val="000000"/>
                <w:sz w:val="18"/>
                <w:szCs w:val="18"/>
                <w:lang w:eastAsia="hr-HR"/>
              </w:rPr>
              <w:t>,250</w:t>
            </w:r>
          </w:p>
        </w:tc>
        <w:tc>
          <w:tcPr>
            <w:tcW w:w="1716" w:type="dxa"/>
            <w:tcBorders>
              <w:top w:val="nil"/>
              <w:left w:val="nil"/>
              <w:bottom w:val="single" w:sz="4" w:space="0" w:color="auto"/>
              <w:right w:val="single" w:sz="4" w:space="0" w:color="auto"/>
            </w:tcBorders>
            <w:shd w:val="clear" w:color="000000" w:fill="FFFFFF"/>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25%</w:t>
            </w:r>
          </w:p>
        </w:tc>
      </w:tr>
    </w:tbl>
    <w:p w:rsidR="007D720D" w:rsidRPr="00361664" w:rsidRDefault="007D720D" w:rsidP="007D720D">
      <w:pPr>
        <w:spacing w:line="300" w:lineRule="atLeast"/>
        <w:jc w:val="both"/>
        <w:rPr>
          <w:rFonts w:asciiTheme="minorHAnsi" w:hAnsiTheme="minorHAnsi"/>
          <w:sz w:val="20"/>
          <w:szCs w:val="20"/>
        </w:rPr>
      </w:pPr>
    </w:p>
    <w:p w:rsidR="007D720D" w:rsidRPr="00361664" w:rsidRDefault="007D720D" w:rsidP="007D720D">
      <w:pPr>
        <w:rPr>
          <w:b/>
          <w:i/>
        </w:rPr>
      </w:pPr>
      <w:bookmarkStart w:id="20" w:name="_Toc378162988"/>
      <w:r w:rsidRPr="00361664">
        <w:rPr>
          <w:b/>
          <w:i/>
        </w:rPr>
        <w:br w:type="page"/>
      </w:r>
    </w:p>
    <w:p w:rsidR="007D720D" w:rsidRPr="00361664" w:rsidRDefault="007D720D" w:rsidP="007D720D">
      <w:pPr>
        <w:rPr>
          <w:b/>
          <w:i/>
        </w:rPr>
      </w:pPr>
      <w:r w:rsidRPr="00361664">
        <w:rPr>
          <w:b/>
          <w:i/>
        </w:rPr>
        <w:lastRenderedPageBreak/>
        <w:t>Nacionalni cilj uštede energije u razdoblju 2014.-2020</w:t>
      </w:r>
      <w:bookmarkEnd w:id="20"/>
    </w:p>
    <w:p w:rsidR="007D720D" w:rsidRPr="00361664" w:rsidRDefault="007D720D" w:rsidP="007D720D">
      <w:pPr>
        <w:jc w:val="both"/>
        <w:rPr>
          <w:rFonts w:asciiTheme="minorHAnsi" w:hAnsiTheme="minorHAnsi"/>
          <w:sz w:val="20"/>
          <w:szCs w:val="20"/>
        </w:rPr>
      </w:pPr>
      <w:r w:rsidRPr="00361664">
        <w:rPr>
          <w:rFonts w:asciiTheme="minorHAnsi" w:hAnsiTheme="minorHAnsi"/>
          <w:sz w:val="20"/>
          <w:szCs w:val="20"/>
        </w:rPr>
        <w:t xml:space="preserve">Sukladno gore opisanoj metodologiji izračuna ciljeva uštede energije, nacionalni cilj uštede energije u razdoblju od 1. siječnja 2014. do 31. prosinca 2020. godine iznosi </w:t>
      </w:r>
      <w:r w:rsidRPr="00361664">
        <w:rPr>
          <w:rFonts w:asciiTheme="minorHAnsi" w:hAnsiTheme="minorHAnsi"/>
          <w:b/>
          <w:sz w:val="20"/>
          <w:szCs w:val="20"/>
        </w:rPr>
        <w:t>1,938 PJ</w:t>
      </w:r>
      <w:r w:rsidRPr="00361664">
        <w:rPr>
          <w:rFonts w:asciiTheme="minorHAnsi" w:hAnsiTheme="minorHAnsi"/>
          <w:sz w:val="20"/>
          <w:szCs w:val="20"/>
        </w:rPr>
        <w:t xml:space="preserve"> godišnje, odnosno kumulativno </w:t>
      </w:r>
      <w:r w:rsidRPr="00361664">
        <w:rPr>
          <w:rFonts w:asciiTheme="minorHAnsi" w:hAnsiTheme="minorHAnsi"/>
          <w:b/>
          <w:sz w:val="20"/>
          <w:szCs w:val="20"/>
        </w:rPr>
        <w:t xml:space="preserve">54,250 PJ </w:t>
      </w:r>
      <w:r w:rsidRPr="00361664">
        <w:rPr>
          <w:rFonts w:asciiTheme="minorHAnsi" w:hAnsiTheme="minorHAnsi"/>
          <w:sz w:val="20"/>
          <w:szCs w:val="20"/>
        </w:rPr>
        <w:t>(Tablica 3-6.).</w:t>
      </w:r>
    </w:p>
    <w:p w:rsidR="007D720D" w:rsidRPr="00361664" w:rsidRDefault="007D720D" w:rsidP="007D720D">
      <w:pPr>
        <w:spacing w:after="0"/>
        <w:jc w:val="both"/>
        <w:rPr>
          <w:rFonts w:asciiTheme="minorHAnsi" w:hAnsiTheme="minorHAnsi"/>
          <w:sz w:val="20"/>
          <w:szCs w:val="20"/>
        </w:rPr>
      </w:pPr>
      <w:r w:rsidRPr="00361664">
        <w:rPr>
          <w:rFonts w:asciiTheme="minorHAnsi" w:hAnsiTheme="minorHAnsi"/>
          <w:b/>
          <w:sz w:val="20"/>
          <w:szCs w:val="20"/>
        </w:rPr>
        <w:t>Tablica 3-6.</w:t>
      </w:r>
      <w:r w:rsidRPr="00361664">
        <w:rPr>
          <w:rFonts w:asciiTheme="minorHAnsi" w:hAnsiTheme="minorHAnsi"/>
          <w:sz w:val="20"/>
          <w:szCs w:val="20"/>
        </w:rPr>
        <w:t xml:space="preserve"> Nacionalni cilj uštede energije u razdoblju 2014.–2020.</w:t>
      </w:r>
    </w:p>
    <w:tbl>
      <w:tblPr>
        <w:tblW w:w="0" w:type="auto"/>
        <w:tblInd w:w="93" w:type="dxa"/>
        <w:tblLook w:val="04A0" w:firstRow="1" w:lastRow="0" w:firstColumn="1" w:lastColumn="0" w:noHBand="0" w:noVBand="1"/>
      </w:tblPr>
      <w:tblGrid>
        <w:gridCol w:w="2522"/>
        <w:gridCol w:w="788"/>
        <w:gridCol w:w="788"/>
        <w:gridCol w:w="787"/>
        <w:gridCol w:w="787"/>
        <w:gridCol w:w="787"/>
        <w:gridCol w:w="787"/>
        <w:gridCol w:w="787"/>
        <w:gridCol w:w="1162"/>
      </w:tblGrid>
      <w:tr w:rsidR="007D720D" w:rsidRPr="00361664" w:rsidTr="007D720D">
        <w:trPr>
          <w:trHeight w:val="284"/>
        </w:trPr>
        <w:tc>
          <w:tcPr>
            <w:tcW w:w="5600" w:type="dxa"/>
            <w:tcBorders>
              <w:top w:val="single" w:sz="8" w:space="0" w:color="auto"/>
              <w:left w:val="single" w:sz="8" w:space="0" w:color="auto"/>
              <w:bottom w:val="single" w:sz="4" w:space="0" w:color="auto"/>
              <w:right w:val="nil"/>
            </w:tcBorders>
            <w:shd w:val="clear" w:color="auto" w:fill="CCFFCC"/>
            <w:noWrap/>
            <w:vAlign w:val="center"/>
            <w:hideMark/>
          </w:tcPr>
          <w:p w:rsidR="007D720D" w:rsidRPr="00361664" w:rsidRDefault="007D720D" w:rsidP="007D720D">
            <w:pPr>
              <w:spacing w:after="0" w:line="240" w:lineRule="auto"/>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3283" w:type="dxa"/>
            <w:gridSpan w:val="8"/>
            <w:tcBorders>
              <w:top w:val="single" w:sz="8" w:space="0" w:color="auto"/>
              <w:left w:val="nil"/>
              <w:bottom w:val="single" w:sz="4" w:space="0" w:color="auto"/>
              <w:right w:val="single" w:sz="8" w:space="0" w:color="000000"/>
            </w:tcBorders>
            <w:shd w:val="clear" w:color="auto" w:fill="CCFFCC"/>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Cilj</w:t>
            </w:r>
          </w:p>
        </w:tc>
      </w:tr>
      <w:tr w:rsidR="007D720D" w:rsidRPr="00361664" w:rsidTr="007D720D">
        <w:trPr>
          <w:trHeight w:val="284"/>
        </w:trPr>
        <w:tc>
          <w:tcPr>
            <w:tcW w:w="5600" w:type="dxa"/>
            <w:tcBorders>
              <w:top w:val="nil"/>
              <w:left w:val="single" w:sz="8"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Uštede po godinama (PJ)</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1,5%</w:t>
            </w:r>
          </w:p>
        </w:tc>
        <w:tc>
          <w:tcPr>
            <w:tcW w:w="2426" w:type="dxa"/>
            <w:tcBorders>
              <w:top w:val="nil"/>
              <w:left w:val="double" w:sz="6" w:space="0" w:color="auto"/>
              <w:bottom w:val="single" w:sz="4"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UKUPNO</w:t>
            </w:r>
          </w:p>
        </w:tc>
      </w:tr>
      <w:tr w:rsidR="007D720D" w:rsidRPr="00361664" w:rsidTr="007D720D">
        <w:trPr>
          <w:trHeight w:val="284"/>
        </w:trPr>
        <w:tc>
          <w:tcPr>
            <w:tcW w:w="5600" w:type="dxa"/>
            <w:tcBorders>
              <w:top w:val="nil"/>
              <w:left w:val="single" w:sz="8"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2014.</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26" w:type="dxa"/>
            <w:tcBorders>
              <w:top w:val="nil"/>
              <w:left w:val="double" w:sz="6" w:space="0" w:color="auto"/>
              <w:bottom w:val="single" w:sz="4"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r>
      <w:tr w:rsidR="007D720D" w:rsidRPr="00361664" w:rsidTr="007D720D">
        <w:trPr>
          <w:trHeight w:val="284"/>
        </w:trPr>
        <w:tc>
          <w:tcPr>
            <w:tcW w:w="5600" w:type="dxa"/>
            <w:tcBorders>
              <w:top w:val="nil"/>
              <w:left w:val="single" w:sz="8"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2015.</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26" w:type="dxa"/>
            <w:tcBorders>
              <w:top w:val="nil"/>
              <w:left w:val="double" w:sz="6" w:space="0" w:color="auto"/>
              <w:bottom w:val="single" w:sz="4"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3,875</w:t>
            </w:r>
          </w:p>
        </w:tc>
      </w:tr>
      <w:tr w:rsidR="007D720D" w:rsidRPr="00361664" w:rsidTr="007D720D">
        <w:trPr>
          <w:trHeight w:val="284"/>
        </w:trPr>
        <w:tc>
          <w:tcPr>
            <w:tcW w:w="5600" w:type="dxa"/>
            <w:tcBorders>
              <w:top w:val="nil"/>
              <w:left w:val="single" w:sz="8"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2016.</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26" w:type="dxa"/>
            <w:tcBorders>
              <w:top w:val="nil"/>
              <w:left w:val="double" w:sz="6" w:space="0" w:color="auto"/>
              <w:bottom w:val="single" w:sz="4"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5,813</w:t>
            </w:r>
          </w:p>
        </w:tc>
      </w:tr>
      <w:tr w:rsidR="007D720D" w:rsidRPr="00361664" w:rsidTr="007D720D">
        <w:trPr>
          <w:trHeight w:val="284"/>
        </w:trPr>
        <w:tc>
          <w:tcPr>
            <w:tcW w:w="5600" w:type="dxa"/>
            <w:tcBorders>
              <w:top w:val="nil"/>
              <w:left w:val="single" w:sz="8"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2017.</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26" w:type="dxa"/>
            <w:tcBorders>
              <w:top w:val="nil"/>
              <w:left w:val="double" w:sz="6" w:space="0" w:color="auto"/>
              <w:bottom w:val="single" w:sz="4"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7,750</w:t>
            </w:r>
          </w:p>
        </w:tc>
      </w:tr>
      <w:tr w:rsidR="007D720D" w:rsidRPr="00361664" w:rsidTr="007D720D">
        <w:trPr>
          <w:trHeight w:val="284"/>
        </w:trPr>
        <w:tc>
          <w:tcPr>
            <w:tcW w:w="5600" w:type="dxa"/>
            <w:tcBorders>
              <w:top w:val="nil"/>
              <w:left w:val="single" w:sz="8"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26" w:type="dxa"/>
            <w:tcBorders>
              <w:top w:val="nil"/>
              <w:left w:val="double" w:sz="6" w:space="0" w:color="auto"/>
              <w:bottom w:val="single" w:sz="4"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9,688</w:t>
            </w:r>
          </w:p>
        </w:tc>
      </w:tr>
      <w:tr w:rsidR="007D720D" w:rsidRPr="00361664" w:rsidTr="007D720D">
        <w:trPr>
          <w:trHeight w:val="284"/>
        </w:trPr>
        <w:tc>
          <w:tcPr>
            <w:tcW w:w="5600" w:type="dxa"/>
            <w:tcBorders>
              <w:top w:val="nil"/>
              <w:left w:val="single" w:sz="8"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2019.</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26" w:type="dxa"/>
            <w:tcBorders>
              <w:top w:val="nil"/>
              <w:left w:val="double" w:sz="6" w:space="0" w:color="auto"/>
              <w:bottom w:val="single" w:sz="4"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11,625</w:t>
            </w:r>
          </w:p>
        </w:tc>
      </w:tr>
      <w:tr w:rsidR="007D720D" w:rsidRPr="00361664" w:rsidTr="007D720D">
        <w:trPr>
          <w:trHeight w:val="284"/>
        </w:trPr>
        <w:tc>
          <w:tcPr>
            <w:tcW w:w="5600" w:type="dxa"/>
            <w:tcBorders>
              <w:top w:val="nil"/>
              <w:left w:val="single" w:sz="8" w:space="0" w:color="auto"/>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2020.</w:t>
            </w:r>
          </w:p>
        </w:tc>
        <w:tc>
          <w:tcPr>
            <w:tcW w:w="1551"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1551" w:type="dxa"/>
            <w:tcBorders>
              <w:top w:val="nil"/>
              <w:left w:val="nil"/>
              <w:bottom w:val="double" w:sz="6" w:space="0" w:color="auto"/>
              <w:right w:val="single" w:sz="4"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1,938</w:t>
            </w:r>
          </w:p>
        </w:tc>
        <w:tc>
          <w:tcPr>
            <w:tcW w:w="2426" w:type="dxa"/>
            <w:tcBorders>
              <w:top w:val="single" w:sz="4" w:space="0" w:color="auto"/>
              <w:left w:val="double" w:sz="6" w:space="0" w:color="auto"/>
              <w:bottom w:val="double" w:sz="6"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13,563</w:t>
            </w:r>
          </w:p>
        </w:tc>
      </w:tr>
      <w:tr w:rsidR="007D720D" w:rsidRPr="00361664" w:rsidTr="007D720D">
        <w:trPr>
          <w:trHeight w:val="284"/>
        </w:trPr>
        <w:tc>
          <w:tcPr>
            <w:tcW w:w="5600" w:type="dxa"/>
            <w:tcBorders>
              <w:top w:val="nil"/>
              <w:left w:val="single" w:sz="8" w:space="0" w:color="auto"/>
              <w:bottom w:val="single" w:sz="4"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color w:val="000000"/>
                <w:sz w:val="18"/>
                <w:szCs w:val="18"/>
                <w:lang w:eastAsia="hr-HR"/>
              </w:rPr>
            </w:pPr>
            <w:r w:rsidRPr="00361664">
              <w:rPr>
                <w:rFonts w:asciiTheme="minorHAnsi" w:hAnsiTheme="minorHAnsi"/>
                <w:color w:val="000000"/>
                <w:sz w:val="18"/>
                <w:szCs w:val="18"/>
                <w:lang w:eastAsia="hr-HR"/>
              </w:rPr>
              <w:t>KUMULATIVNO</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4"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26"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54,250</w:t>
            </w:r>
          </w:p>
        </w:tc>
      </w:tr>
      <w:tr w:rsidR="007D720D" w:rsidRPr="00361664" w:rsidTr="007D720D">
        <w:trPr>
          <w:trHeight w:val="284"/>
        </w:trPr>
        <w:tc>
          <w:tcPr>
            <w:tcW w:w="5600" w:type="dxa"/>
            <w:tcBorders>
              <w:top w:val="nil"/>
              <w:left w:val="single" w:sz="8" w:space="0" w:color="auto"/>
              <w:bottom w:val="single" w:sz="8" w:space="0" w:color="auto"/>
              <w:right w:val="single" w:sz="4" w:space="0" w:color="auto"/>
            </w:tcBorders>
            <w:shd w:val="clear" w:color="auto" w:fill="auto"/>
            <w:noWrap/>
            <w:vAlign w:val="center"/>
            <w:hideMark/>
          </w:tcPr>
          <w:p w:rsidR="007D720D" w:rsidRPr="00361664" w:rsidRDefault="007D720D" w:rsidP="007D720D">
            <w:pPr>
              <w:spacing w:after="0" w:line="240" w:lineRule="auto"/>
              <w:jc w:val="right"/>
              <w:rPr>
                <w:rFonts w:asciiTheme="minorHAnsi" w:hAnsiTheme="minorHAnsi"/>
                <w:color w:val="000000"/>
                <w:sz w:val="18"/>
                <w:szCs w:val="18"/>
                <w:lang w:eastAsia="hr-HR"/>
              </w:rPr>
            </w:pPr>
            <w:r w:rsidRPr="00361664">
              <w:rPr>
                <w:rFonts w:asciiTheme="minorHAnsi" w:hAnsiTheme="minorHAnsi"/>
                <w:color w:val="000000"/>
                <w:sz w:val="18"/>
                <w:szCs w:val="18"/>
                <w:lang w:eastAsia="hr-HR"/>
              </w:rPr>
              <w:t>GODIŠNJE</w:t>
            </w:r>
          </w:p>
        </w:tc>
        <w:tc>
          <w:tcPr>
            <w:tcW w:w="1551" w:type="dxa"/>
            <w:tcBorders>
              <w:top w:val="nil"/>
              <w:left w:val="nil"/>
              <w:bottom w:val="single" w:sz="8"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8"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8"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8"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8"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8"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1551" w:type="dxa"/>
            <w:tcBorders>
              <w:top w:val="nil"/>
              <w:left w:val="nil"/>
              <w:bottom w:val="single" w:sz="8" w:space="0" w:color="auto"/>
              <w:right w:val="nil"/>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color w:val="000000"/>
                <w:sz w:val="18"/>
                <w:szCs w:val="18"/>
                <w:lang w:eastAsia="hr-HR"/>
              </w:rPr>
            </w:pPr>
            <w:r w:rsidRPr="00361664">
              <w:rPr>
                <w:rFonts w:asciiTheme="minorHAnsi" w:hAnsiTheme="minorHAnsi"/>
                <w:color w:val="000000"/>
                <w:sz w:val="18"/>
                <w:szCs w:val="18"/>
                <w:lang w:eastAsia="hr-HR"/>
              </w:rPr>
              <w:t> </w:t>
            </w:r>
          </w:p>
        </w:tc>
        <w:tc>
          <w:tcPr>
            <w:tcW w:w="2426" w:type="dxa"/>
            <w:tcBorders>
              <w:top w:val="nil"/>
              <w:left w:val="single" w:sz="8" w:space="0" w:color="auto"/>
              <w:bottom w:val="single" w:sz="8" w:space="0" w:color="auto"/>
              <w:right w:val="single" w:sz="8" w:space="0" w:color="auto"/>
            </w:tcBorders>
            <w:shd w:val="clear" w:color="auto" w:fill="auto"/>
            <w:noWrap/>
            <w:vAlign w:val="center"/>
            <w:hideMark/>
          </w:tcPr>
          <w:p w:rsidR="007D720D" w:rsidRPr="00361664" w:rsidRDefault="007D720D" w:rsidP="007D720D">
            <w:pPr>
              <w:spacing w:after="0" w:line="240" w:lineRule="auto"/>
              <w:jc w:val="center"/>
              <w:rPr>
                <w:rFonts w:asciiTheme="minorHAnsi" w:hAnsiTheme="minorHAnsi"/>
                <w:b/>
                <w:bCs/>
                <w:color w:val="000000"/>
                <w:sz w:val="18"/>
                <w:szCs w:val="18"/>
                <w:lang w:eastAsia="hr-HR"/>
              </w:rPr>
            </w:pPr>
            <w:r w:rsidRPr="00361664">
              <w:rPr>
                <w:rFonts w:asciiTheme="minorHAnsi" w:hAnsiTheme="minorHAnsi"/>
                <w:b/>
                <w:bCs/>
                <w:color w:val="000000"/>
                <w:sz w:val="18"/>
                <w:szCs w:val="18"/>
                <w:lang w:eastAsia="hr-HR"/>
              </w:rPr>
              <w:t>1,938</w:t>
            </w:r>
          </w:p>
        </w:tc>
      </w:tr>
    </w:tbl>
    <w:p w:rsidR="007D720D" w:rsidRPr="00361664" w:rsidRDefault="007D720D" w:rsidP="007D720D">
      <w:pPr>
        <w:jc w:val="both"/>
        <w:rPr>
          <w:rFonts w:asciiTheme="minorHAnsi" w:hAnsiTheme="minorHAnsi"/>
          <w:b/>
          <w:sz w:val="20"/>
          <w:szCs w:val="20"/>
        </w:rPr>
      </w:pPr>
    </w:p>
    <w:p w:rsidR="007D720D" w:rsidRPr="00361664" w:rsidRDefault="007D720D" w:rsidP="007D720D">
      <w:pPr>
        <w:jc w:val="both"/>
        <w:rPr>
          <w:rFonts w:asciiTheme="minorHAnsi" w:hAnsiTheme="minorHAnsi"/>
          <w:b/>
          <w:sz w:val="20"/>
          <w:szCs w:val="20"/>
        </w:rPr>
      </w:pPr>
      <w:r w:rsidRPr="00361664">
        <w:rPr>
          <w:rFonts w:asciiTheme="minorHAnsi" w:hAnsiTheme="minorHAnsi"/>
          <w:b/>
          <w:sz w:val="20"/>
          <w:szCs w:val="20"/>
        </w:rPr>
        <w:t>Za ispunjenje navedenog cilja, Republika Hrvatska se odlučuje za kombinaciju dvaju pristupa: primjenu alternativnih mjera i sustava obveze energetske učinkovitosti.</w:t>
      </w:r>
    </w:p>
    <w:p w:rsidR="00F556A5" w:rsidRPr="00361664" w:rsidRDefault="00F556A5">
      <w:pPr>
        <w:rPr>
          <w:b/>
          <w:i/>
        </w:rPr>
      </w:pPr>
      <w:bookmarkStart w:id="21" w:name="_Toc378162989"/>
    </w:p>
    <w:p w:rsidR="007D720D" w:rsidRPr="00361664" w:rsidRDefault="007D720D" w:rsidP="007D720D">
      <w:pPr>
        <w:rPr>
          <w:b/>
          <w:i/>
        </w:rPr>
      </w:pPr>
      <w:r w:rsidRPr="00361664">
        <w:rPr>
          <w:b/>
          <w:i/>
        </w:rPr>
        <w:t>Alternativne mjere politike i odgovornosti za uštedu energije po sektorima</w:t>
      </w:r>
      <w:bookmarkEnd w:id="21"/>
    </w:p>
    <w:p w:rsidR="007D720D" w:rsidRPr="00361664" w:rsidRDefault="007D720D" w:rsidP="007D720D">
      <w:pPr>
        <w:autoSpaceDE w:val="0"/>
        <w:autoSpaceDN w:val="0"/>
        <w:adjustRightInd w:val="0"/>
        <w:jc w:val="both"/>
        <w:rPr>
          <w:rFonts w:asciiTheme="minorHAnsi" w:hAnsiTheme="minorHAnsi"/>
          <w:sz w:val="20"/>
        </w:rPr>
      </w:pPr>
      <w:r w:rsidRPr="00361664">
        <w:rPr>
          <w:rFonts w:asciiTheme="minorHAnsi" w:hAnsiTheme="minorHAnsi"/>
          <w:sz w:val="20"/>
        </w:rPr>
        <w:t>U ovom se poglavlju prikazuju alternativne mjere politike čijom će se provedbom ostvariti dio cilja ušteda energije u neposrednoj potrošnji do 2020. godine. Mjere politike obuhvaćaju sektore neposredne potrošnje: stambeni sektor (kućanstva), sektor usluga, industrijski sektor i promet.</w:t>
      </w:r>
    </w:p>
    <w:p w:rsidR="00F556A5" w:rsidRPr="00361664" w:rsidRDefault="007D720D" w:rsidP="007D720D">
      <w:pPr>
        <w:autoSpaceDE w:val="0"/>
        <w:autoSpaceDN w:val="0"/>
        <w:adjustRightInd w:val="0"/>
        <w:jc w:val="both"/>
        <w:rPr>
          <w:rFonts w:asciiTheme="minorHAnsi" w:hAnsiTheme="minorHAnsi"/>
          <w:sz w:val="20"/>
        </w:rPr>
      </w:pPr>
      <w:r w:rsidRPr="00361664">
        <w:rPr>
          <w:rFonts w:asciiTheme="minorHAnsi" w:hAnsiTheme="minorHAnsi"/>
          <w:sz w:val="20"/>
        </w:rPr>
        <w:t>U tablici 3-7. prikazane su mjere u sektorima neposredne potrošnje s procijenjenim iznosom godišnje uštede te kumulativne uštede energije koje uzimaju u obzir životni vijek ušteda.</w:t>
      </w:r>
    </w:p>
    <w:p w:rsidR="00F556A5" w:rsidRPr="00361664" w:rsidRDefault="00F556A5" w:rsidP="00F556A5">
      <w:pPr>
        <w:spacing w:after="0"/>
        <w:jc w:val="both"/>
        <w:rPr>
          <w:rFonts w:asciiTheme="minorHAnsi" w:hAnsiTheme="minorHAnsi"/>
          <w:sz w:val="20"/>
          <w:szCs w:val="20"/>
        </w:rPr>
      </w:pPr>
      <w:r w:rsidRPr="00361664">
        <w:rPr>
          <w:rFonts w:asciiTheme="minorHAnsi" w:hAnsiTheme="minorHAnsi"/>
          <w:sz w:val="20"/>
          <w:szCs w:val="20"/>
        </w:rPr>
        <w:t xml:space="preserve">Kao što je prikazano u Tablici 3-7., ukupne uštede koje se planiraju ostvariti kroz alternativne mjere politike do 2020. godine iznose </w:t>
      </w:r>
      <w:r w:rsidR="00787158" w:rsidRPr="00361664">
        <w:rPr>
          <w:rFonts w:asciiTheme="minorHAnsi" w:hAnsiTheme="minorHAnsi"/>
          <w:sz w:val="20"/>
          <w:szCs w:val="20"/>
        </w:rPr>
        <w:t>27,183</w:t>
      </w:r>
      <w:r w:rsidRPr="00361664">
        <w:rPr>
          <w:rFonts w:asciiTheme="minorHAnsi" w:hAnsiTheme="minorHAnsi"/>
          <w:sz w:val="20"/>
          <w:szCs w:val="20"/>
        </w:rPr>
        <w:t xml:space="preserve"> PJ. Učinci mjera koje se izračunavaju BU metodologijom, prate se Sustavom za praćenje, mjerenje i verifikaciju ušteda energije (SMIV).</w:t>
      </w:r>
    </w:p>
    <w:p w:rsidR="00F556A5" w:rsidRPr="00361664" w:rsidRDefault="00F556A5" w:rsidP="00F556A5">
      <w:pPr>
        <w:spacing w:after="0"/>
        <w:jc w:val="both"/>
        <w:rPr>
          <w:rFonts w:asciiTheme="minorHAnsi" w:hAnsiTheme="minorHAnsi"/>
          <w:sz w:val="20"/>
          <w:szCs w:val="20"/>
        </w:rPr>
      </w:pPr>
    </w:p>
    <w:p w:rsidR="00F556A5" w:rsidRPr="00361664" w:rsidRDefault="00F556A5" w:rsidP="00F556A5">
      <w:pPr>
        <w:spacing w:after="0"/>
        <w:jc w:val="both"/>
        <w:rPr>
          <w:rFonts w:asciiTheme="minorHAnsi" w:hAnsiTheme="minorHAnsi"/>
          <w:b/>
          <w:sz w:val="20"/>
          <w:szCs w:val="20"/>
        </w:rPr>
      </w:pPr>
      <w:r w:rsidRPr="00361664">
        <w:rPr>
          <w:rFonts w:asciiTheme="minorHAnsi" w:hAnsiTheme="minorHAnsi"/>
          <w:b/>
          <w:sz w:val="20"/>
          <w:szCs w:val="20"/>
        </w:rPr>
        <w:t>Ispunjenje nacionalnog cilja uštede energije prema članku 7. DEU planira se ostvariti: 5</w:t>
      </w:r>
      <w:r w:rsidR="00787158" w:rsidRPr="00361664">
        <w:rPr>
          <w:rFonts w:asciiTheme="minorHAnsi" w:hAnsiTheme="minorHAnsi"/>
          <w:b/>
          <w:sz w:val="20"/>
          <w:szCs w:val="20"/>
        </w:rPr>
        <w:t>0,1</w:t>
      </w:r>
      <w:r w:rsidRPr="00361664">
        <w:rPr>
          <w:rFonts w:asciiTheme="minorHAnsi" w:hAnsiTheme="minorHAnsi"/>
          <w:b/>
          <w:sz w:val="20"/>
          <w:szCs w:val="20"/>
        </w:rPr>
        <w:t xml:space="preserve">% primjenom alternativnih mjera politike te </w:t>
      </w:r>
      <w:r w:rsidR="00787158" w:rsidRPr="00361664">
        <w:rPr>
          <w:rFonts w:asciiTheme="minorHAnsi" w:hAnsiTheme="minorHAnsi"/>
          <w:b/>
          <w:sz w:val="20"/>
          <w:szCs w:val="20"/>
        </w:rPr>
        <w:t>49,9</w:t>
      </w:r>
      <w:r w:rsidRPr="00361664">
        <w:rPr>
          <w:rFonts w:asciiTheme="minorHAnsi" w:hAnsiTheme="minorHAnsi"/>
          <w:b/>
          <w:sz w:val="20"/>
          <w:szCs w:val="20"/>
        </w:rPr>
        <w:t>% sustavom obveze energetske učinkovitosti.</w:t>
      </w:r>
    </w:p>
    <w:p w:rsidR="007D720D" w:rsidRPr="00361664" w:rsidRDefault="00F556A5" w:rsidP="00F556A5">
      <w:pPr>
        <w:rPr>
          <w:rFonts w:asciiTheme="minorHAnsi" w:hAnsiTheme="minorHAnsi"/>
          <w:sz w:val="20"/>
        </w:rPr>
      </w:pPr>
      <w:r w:rsidRPr="00361664">
        <w:rPr>
          <w:rFonts w:asciiTheme="minorHAnsi" w:hAnsiTheme="minorHAnsi"/>
          <w:sz w:val="20"/>
        </w:rPr>
        <w:br w:type="page"/>
      </w:r>
    </w:p>
    <w:p w:rsidR="007D720D" w:rsidRPr="00361664" w:rsidRDefault="007D720D" w:rsidP="007D720D">
      <w:pPr>
        <w:keepNext/>
        <w:autoSpaceDE w:val="0"/>
        <w:autoSpaceDN w:val="0"/>
        <w:adjustRightInd w:val="0"/>
        <w:spacing w:after="0"/>
        <w:jc w:val="both"/>
        <w:rPr>
          <w:rFonts w:asciiTheme="minorHAnsi" w:hAnsiTheme="minorHAnsi"/>
          <w:sz w:val="20"/>
        </w:rPr>
      </w:pPr>
      <w:r w:rsidRPr="00361664">
        <w:rPr>
          <w:rFonts w:asciiTheme="minorHAnsi" w:hAnsiTheme="minorHAnsi"/>
          <w:b/>
          <w:sz w:val="20"/>
        </w:rPr>
        <w:lastRenderedPageBreak/>
        <w:t>Tablica 3-7.</w:t>
      </w:r>
      <w:r w:rsidRPr="00361664">
        <w:rPr>
          <w:rFonts w:asciiTheme="minorHAnsi" w:hAnsiTheme="minorHAnsi"/>
          <w:sz w:val="20"/>
        </w:rPr>
        <w:t xml:space="preserve"> Mjere politike u sektorima neposredne potrošnje energije</w:t>
      </w:r>
    </w:p>
    <w:p w:rsidR="00787158" w:rsidRPr="00361664" w:rsidRDefault="00787158" w:rsidP="007D720D">
      <w:pPr>
        <w:keepNext/>
        <w:autoSpaceDE w:val="0"/>
        <w:autoSpaceDN w:val="0"/>
        <w:adjustRightInd w:val="0"/>
        <w:spacing w:after="0"/>
        <w:jc w:val="both"/>
        <w:rPr>
          <w:rFonts w:asciiTheme="minorHAnsi" w:hAnsiTheme="minorHAnsi"/>
          <w:sz w:val="20"/>
        </w:rPr>
      </w:pPr>
      <w:r w:rsidRPr="00361664">
        <w:rPr>
          <w:noProof/>
          <w:lang w:eastAsia="hr-HR"/>
        </w:rPr>
        <w:drawing>
          <wp:inline distT="0" distB="0" distL="0" distR="0" wp14:anchorId="2D3D7742" wp14:editId="2A14E0EA">
            <wp:extent cx="5760720" cy="391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913050"/>
                    </a:xfrm>
                    <a:prstGeom prst="rect">
                      <a:avLst/>
                    </a:prstGeom>
                    <a:noFill/>
                    <a:ln>
                      <a:noFill/>
                    </a:ln>
                  </pic:spPr>
                </pic:pic>
              </a:graphicData>
            </a:graphic>
          </wp:inline>
        </w:drawing>
      </w:r>
    </w:p>
    <w:p w:rsidR="00F556A5" w:rsidRPr="00361664" w:rsidRDefault="00F556A5" w:rsidP="00F556A5">
      <w:pPr>
        <w:spacing w:after="0"/>
        <w:jc w:val="both"/>
        <w:rPr>
          <w:rFonts w:asciiTheme="minorHAnsi" w:hAnsiTheme="minorHAnsi"/>
          <w:sz w:val="20"/>
          <w:szCs w:val="20"/>
        </w:rPr>
      </w:pPr>
    </w:p>
    <w:p w:rsidR="0087363C" w:rsidRPr="00361664" w:rsidRDefault="007D720D" w:rsidP="00F556A5">
      <w:pPr>
        <w:spacing w:after="0"/>
        <w:jc w:val="both"/>
        <w:rPr>
          <w:rFonts w:asciiTheme="minorHAnsi" w:hAnsiTheme="minorHAnsi"/>
          <w:sz w:val="20"/>
          <w:szCs w:val="20"/>
        </w:rPr>
      </w:pPr>
      <w:r w:rsidRPr="00361664">
        <w:rPr>
          <w:rFonts w:asciiTheme="minorHAnsi" w:hAnsiTheme="minorHAnsi"/>
          <w:sz w:val="20"/>
          <w:szCs w:val="20"/>
        </w:rPr>
        <w:t>U razdoblju od 2014. do kraja 2016. godine ostvarene su kumulativn</w:t>
      </w:r>
      <w:r w:rsidR="00A53052" w:rsidRPr="00361664">
        <w:rPr>
          <w:rFonts w:asciiTheme="minorHAnsi" w:hAnsiTheme="minorHAnsi"/>
          <w:sz w:val="20"/>
          <w:szCs w:val="20"/>
        </w:rPr>
        <w:t>e uštede u visini od 4,</w:t>
      </w:r>
      <w:r w:rsidR="00127F0B" w:rsidRPr="00361664">
        <w:rPr>
          <w:rFonts w:asciiTheme="minorHAnsi" w:hAnsiTheme="minorHAnsi"/>
          <w:sz w:val="20"/>
          <w:szCs w:val="20"/>
        </w:rPr>
        <w:t>392</w:t>
      </w:r>
      <w:r w:rsidRPr="00361664">
        <w:rPr>
          <w:rFonts w:asciiTheme="minorHAnsi" w:hAnsiTheme="minorHAnsi"/>
          <w:sz w:val="20"/>
          <w:szCs w:val="20"/>
        </w:rPr>
        <w:t xml:space="preserve"> PJ. S obzirom na životni vijek provedenih mjera, one će do 2020. godine kumulativno doprini</w:t>
      </w:r>
      <w:r w:rsidR="00A53052" w:rsidRPr="00361664">
        <w:rPr>
          <w:rFonts w:asciiTheme="minorHAnsi" w:hAnsiTheme="minorHAnsi"/>
          <w:sz w:val="20"/>
          <w:szCs w:val="20"/>
        </w:rPr>
        <w:t>jeti uštedama u visini od 1</w:t>
      </w:r>
      <w:r w:rsidR="00127F0B" w:rsidRPr="00361664">
        <w:rPr>
          <w:rFonts w:asciiTheme="minorHAnsi" w:hAnsiTheme="minorHAnsi"/>
          <w:sz w:val="20"/>
          <w:szCs w:val="20"/>
        </w:rPr>
        <w:t>4</w:t>
      </w:r>
      <w:r w:rsidR="00A53052" w:rsidRPr="00361664">
        <w:rPr>
          <w:rFonts w:asciiTheme="minorHAnsi" w:hAnsiTheme="minorHAnsi"/>
          <w:sz w:val="20"/>
          <w:szCs w:val="20"/>
        </w:rPr>
        <w:t>,</w:t>
      </w:r>
      <w:r w:rsidR="00127F0B" w:rsidRPr="00361664">
        <w:rPr>
          <w:rFonts w:asciiTheme="minorHAnsi" w:hAnsiTheme="minorHAnsi"/>
          <w:sz w:val="20"/>
          <w:szCs w:val="20"/>
        </w:rPr>
        <w:t>029</w:t>
      </w:r>
      <w:r w:rsidR="005C03DC" w:rsidRPr="00361664">
        <w:rPr>
          <w:rFonts w:asciiTheme="minorHAnsi" w:hAnsiTheme="minorHAnsi"/>
          <w:sz w:val="20"/>
          <w:szCs w:val="20"/>
        </w:rPr>
        <w:t xml:space="preserve"> PJ, što iznosi 26</w:t>
      </w:r>
      <w:r w:rsidRPr="00361664">
        <w:rPr>
          <w:rFonts w:asciiTheme="minorHAnsi" w:hAnsiTheme="minorHAnsi"/>
          <w:sz w:val="20"/>
          <w:szCs w:val="20"/>
        </w:rPr>
        <w:t>% nacionalnog cilja pre</w:t>
      </w:r>
      <w:r w:rsidR="00A53052" w:rsidRPr="00361664">
        <w:rPr>
          <w:rFonts w:asciiTheme="minorHAnsi" w:hAnsiTheme="minorHAnsi"/>
          <w:sz w:val="20"/>
          <w:szCs w:val="20"/>
        </w:rPr>
        <w:t xml:space="preserve">ma članku 7. DEU, odnosno oko </w:t>
      </w:r>
      <w:r w:rsidR="00787158" w:rsidRPr="00361664">
        <w:rPr>
          <w:rFonts w:asciiTheme="minorHAnsi" w:hAnsiTheme="minorHAnsi"/>
          <w:sz w:val="20"/>
          <w:szCs w:val="20"/>
        </w:rPr>
        <w:t>5</w:t>
      </w:r>
      <w:r w:rsidR="001C2E37" w:rsidRPr="00361664">
        <w:rPr>
          <w:rFonts w:asciiTheme="minorHAnsi" w:hAnsiTheme="minorHAnsi"/>
          <w:sz w:val="20"/>
          <w:szCs w:val="20"/>
        </w:rPr>
        <w:t>2</w:t>
      </w:r>
      <w:r w:rsidR="00787158" w:rsidRPr="00361664">
        <w:rPr>
          <w:rFonts w:asciiTheme="minorHAnsi" w:hAnsiTheme="minorHAnsi"/>
          <w:sz w:val="20"/>
          <w:szCs w:val="20"/>
        </w:rPr>
        <w:t xml:space="preserve"> % cilja za alternativne mjere. </w:t>
      </w:r>
    </w:p>
    <w:p w:rsidR="00B2140B" w:rsidRPr="00361664" w:rsidRDefault="00B2140B" w:rsidP="00F556A5">
      <w:pPr>
        <w:spacing w:after="0"/>
        <w:jc w:val="both"/>
        <w:rPr>
          <w:rFonts w:asciiTheme="minorHAnsi" w:hAnsiTheme="minorHAnsi"/>
          <w:sz w:val="20"/>
          <w:szCs w:val="20"/>
        </w:rPr>
      </w:pPr>
    </w:p>
    <w:p w:rsidR="00F556A5" w:rsidRPr="00361664" w:rsidRDefault="0087363C" w:rsidP="00F556A5">
      <w:pPr>
        <w:spacing w:after="0"/>
        <w:jc w:val="both"/>
        <w:rPr>
          <w:rFonts w:asciiTheme="minorHAnsi" w:hAnsiTheme="minorHAnsi"/>
          <w:sz w:val="20"/>
          <w:szCs w:val="20"/>
        </w:rPr>
      </w:pPr>
      <w:r w:rsidRPr="00361664">
        <w:rPr>
          <w:rFonts w:asciiTheme="minorHAnsi" w:hAnsiTheme="minorHAnsi"/>
          <w:sz w:val="20"/>
          <w:szCs w:val="20"/>
        </w:rPr>
        <w:t xml:space="preserve">Treba </w:t>
      </w:r>
      <w:r w:rsidR="00BA1C70" w:rsidRPr="00361664">
        <w:rPr>
          <w:rFonts w:asciiTheme="minorHAnsi" w:hAnsiTheme="minorHAnsi"/>
          <w:sz w:val="20"/>
          <w:szCs w:val="20"/>
        </w:rPr>
        <w:t>napomenuti</w:t>
      </w:r>
      <w:r w:rsidR="00787158" w:rsidRPr="00361664">
        <w:rPr>
          <w:rFonts w:asciiTheme="minorHAnsi" w:hAnsiTheme="minorHAnsi"/>
          <w:sz w:val="20"/>
          <w:szCs w:val="20"/>
        </w:rPr>
        <w:t xml:space="preserve"> kako su dodane</w:t>
      </w:r>
      <w:r w:rsidRPr="00361664">
        <w:rPr>
          <w:rFonts w:asciiTheme="minorHAnsi" w:hAnsiTheme="minorHAnsi"/>
          <w:sz w:val="20"/>
          <w:szCs w:val="20"/>
        </w:rPr>
        <w:t xml:space="preserve"> dvije nove alternativne mjere politike. Mjera sustavno </w:t>
      </w:r>
      <w:r w:rsidR="00BA1C70" w:rsidRPr="00361664">
        <w:rPr>
          <w:rFonts w:asciiTheme="minorHAnsi" w:hAnsiTheme="minorHAnsi"/>
          <w:sz w:val="20"/>
          <w:szCs w:val="20"/>
        </w:rPr>
        <w:t>gospodarenje</w:t>
      </w:r>
      <w:r w:rsidRPr="00361664">
        <w:rPr>
          <w:rFonts w:asciiTheme="minorHAnsi" w:hAnsiTheme="minorHAnsi"/>
          <w:sz w:val="20"/>
          <w:szCs w:val="20"/>
        </w:rPr>
        <w:t xml:space="preserve"> energijom u javnom sektoru i mjera sustava gradskih bicikala. Mjera </w:t>
      </w:r>
      <w:r w:rsidR="00BA1C70" w:rsidRPr="00361664">
        <w:rPr>
          <w:rFonts w:asciiTheme="minorHAnsi" w:hAnsiTheme="minorHAnsi"/>
          <w:sz w:val="20"/>
          <w:szCs w:val="20"/>
        </w:rPr>
        <w:t>sustavnog</w:t>
      </w:r>
      <w:r w:rsidRPr="00361664">
        <w:rPr>
          <w:rFonts w:asciiTheme="minorHAnsi" w:hAnsiTheme="minorHAnsi"/>
          <w:sz w:val="20"/>
          <w:szCs w:val="20"/>
        </w:rPr>
        <w:t xml:space="preserve"> gospodarenja energijom u javnom sektoru se provodila i u prijašnjem trogodišnjem razdoblju te su ostvarene uštede izračunate i upisane u tablici 3-7.</w:t>
      </w:r>
    </w:p>
    <w:p w:rsidR="00F556A5" w:rsidRPr="00361664" w:rsidRDefault="00F556A5" w:rsidP="00F556A5">
      <w:pPr>
        <w:spacing w:after="0"/>
        <w:jc w:val="both"/>
        <w:rPr>
          <w:rFonts w:asciiTheme="minorHAnsi" w:hAnsiTheme="minorHAnsi"/>
          <w:sz w:val="20"/>
          <w:szCs w:val="20"/>
        </w:rPr>
      </w:pPr>
    </w:p>
    <w:p w:rsidR="007D720D" w:rsidRPr="00361664" w:rsidRDefault="007D720D" w:rsidP="00F556A5">
      <w:pPr>
        <w:spacing w:after="0"/>
        <w:jc w:val="both"/>
        <w:rPr>
          <w:rFonts w:asciiTheme="minorHAnsi" w:hAnsiTheme="minorHAnsi"/>
          <w:sz w:val="20"/>
          <w:szCs w:val="20"/>
        </w:rPr>
      </w:pPr>
      <w:r w:rsidRPr="00361664">
        <w:rPr>
          <w:rFonts w:asciiTheme="minorHAnsi" w:hAnsiTheme="minorHAnsi"/>
          <w:sz w:val="20"/>
          <w:szCs w:val="20"/>
        </w:rPr>
        <w:t>Procjena doprinosa alternativnih mjera politike u razdoblju od 2017. do 2020. godine određena je prema mjerama opisanim u ovome planu uz uzimanje u obzir uobičajenog vremena od ugovaranja do provedbe projekata te stanja s ugovaranjem projekata u 2016. godin</w:t>
      </w:r>
      <w:r w:rsidR="005C03DC" w:rsidRPr="00361664">
        <w:rPr>
          <w:rFonts w:asciiTheme="minorHAnsi" w:hAnsiTheme="minorHAnsi"/>
          <w:sz w:val="20"/>
          <w:szCs w:val="20"/>
        </w:rPr>
        <w:t>i</w:t>
      </w:r>
      <w:r w:rsidR="00A53052" w:rsidRPr="00361664">
        <w:rPr>
          <w:rFonts w:asciiTheme="minorHAnsi" w:hAnsiTheme="minorHAnsi"/>
          <w:sz w:val="20"/>
          <w:szCs w:val="20"/>
        </w:rPr>
        <w:t>. Zbog navedenog procjene novih ušteda za neke mjere</w:t>
      </w:r>
      <w:r w:rsidR="00127F0B" w:rsidRPr="00361664">
        <w:rPr>
          <w:rFonts w:asciiTheme="minorHAnsi" w:hAnsiTheme="minorHAnsi"/>
          <w:sz w:val="20"/>
          <w:szCs w:val="20"/>
        </w:rPr>
        <w:t xml:space="preserve"> u tablici 3-7.</w:t>
      </w:r>
      <w:r w:rsidR="00A53052" w:rsidRPr="00361664">
        <w:rPr>
          <w:rFonts w:asciiTheme="minorHAnsi" w:hAnsiTheme="minorHAnsi"/>
          <w:sz w:val="20"/>
          <w:szCs w:val="20"/>
        </w:rPr>
        <w:t xml:space="preserve"> razlikuje se od procjena opisanih u mjerama u nastavku</w:t>
      </w:r>
      <w:r w:rsidR="00F556A5" w:rsidRPr="00361664">
        <w:rPr>
          <w:rFonts w:asciiTheme="minorHAnsi" w:hAnsiTheme="minorHAnsi"/>
          <w:sz w:val="20"/>
          <w:szCs w:val="20"/>
        </w:rPr>
        <w:t>p</w:t>
      </w:r>
      <w:r w:rsidR="00127F0B" w:rsidRPr="00361664">
        <w:rPr>
          <w:rFonts w:asciiTheme="minorHAnsi" w:hAnsiTheme="minorHAnsi"/>
          <w:sz w:val="20"/>
          <w:szCs w:val="20"/>
        </w:rPr>
        <w:t>lana</w:t>
      </w:r>
      <w:r w:rsidR="00A53052" w:rsidRPr="00361664">
        <w:rPr>
          <w:rFonts w:asciiTheme="minorHAnsi" w:hAnsiTheme="minorHAnsi"/>
          <w:sz w:val="20"/>
          <w:szCs w:val="20"/>
        </w:rPr>
        <w:t>.</w:t>
      </w:r>
    </w:p>
    <w:p w:rsidR="007D720D" w:rsidRPr="00361664" w:rsidRDefault="007D720D" w:rsidP="007D720D">
      <w:pPr>
        <w:rPr>
          <w:rFonts w:asciiTheme="minorHAnsi" w:hAnsiTheme="minorHAnsi"/>
          <w:sz w:val="20"/>
          <w:szCs w:val="20"/>
        </w:rPr>
      </w:pPr>
      <w:r w:rsidRPr="00361664">
        <w:rPr>
          <w:rFonts w:asciiTheme="minorHAnsi" w:hAnsiTheme="minorHAnsi"/>
          <w:sz w:val="20"/>
          <w:szCs w:val="20"/>
        </w:rPr>
        <w:br w:type="page"/>
      </w:r>
    </w:p>
    <w:p w:rsidR="0032515E" w:rsidRPr="00361664" w:rsidRDefault="0032515E" w:rsidP="00651BCA">
      <w:pPr>
        <w:pStyle w:val="Naslov3"/>
        <w:rPr>
          <w:lang w:val="hr-HR"/>
        </w:rPr>
      </w:pPr>
      <w:bookmarkStart w:id="22" w:name="_Toc535245843"/>
      <w:r w:rsidRPr="00361664">
        <w:rPr>
          <w:lang w:val="hr-HR"/>
        </w:rPr>
        <w:lastRenderedPageBreak/>
        <w:t>Energetski</w:t>
      </w:r>
      <w:r w:rsidR="004E4418" w:rsidRPr="00361664">
        <w:rPr>
          <w:lang w:val="hr-HR"/>
        </w:rPr>
        <w:t xml:space="preserve"> pregledi i sustavi gospodarenja energijom (</w:t>
      </w:r>
      <w:r w:rsidRPr="00361664">
        <w:rPr>
          <w:lang w:val="hr-HR"/>
        </w:rPr>
        <w:t>članak 8</w:t>
      </w:r>
      <w:r w:rsidR="004E4418" w:rsidRPr="00361664">
        <w:rPr>
          <w:lang w:val="hr-HR"/>
        </w:rPr>
        <w:t xml:space="preserve"> DEU-a</w:t>
      </w:r>
      <w:r w:rsidRPr="00361664">
        <w:rPr>
          <w:lang w:val="hr-HR"/>
        </w:rPr>
        <w:t>)</w:t>
      </w:r>
      <w:bookmarkEnd w:id="22"/>
    </w:p>
    <w:p w:rsidR="00BC7D95" w:rsidRPr="00361664" w:rsidRDefault="00BC7D95" w:rsidP="0032515E">
      <w:pPr>
        <w:spacing w:after="0"/>
        <w:jc w:val="both"/>
        <w:rPr>
          <w:sz w:val="20"/>
          <w:lang w:eastAsia="de-DE"/>
        </w:rPr>
      </w:pPr>
    </w:p>
    <w:p w:rsidR="0032515E" w:rsidRPr="00361664" w:rsidRDefault="00F339D7" w:rsidP="0032515E">
      <w:pPr>
        <w:spacing w:after="0"/>
        <w:jc w:val="both"/>
        <w:rPr>
          <w:sz w:val="20"/>
          <w:lang w:eastAsia="de-DE"/>
        </w:rPr>
      </w:pPr>
      <w:r w:rsidRPr="00361664">
        <w:rPr>
          <w:sz w:val="20"/>
          <w:lang w:eastAsia="de-DE"/>
        </w:rPr>
        <w:t xml:space="preserve">Kako bi se osigurala provedba obveze energetskih pregleda za velika poduzeća od strane neovisnih osoba, provedena je edukacija i akteditacija.  </w:t>
      </w:r>
      <w:r w:rsidR="0032515E" w:rsidRPr="00361664">
        <w:rPr>
          <w:sz w:val="20"/>
          <w:lang w:eastAsia="de-DE"/>
        </w:rPr>
        <w:t xml:space="preserve">Do dana 28 veljače 2017. </w:t>
      </w:r>
      <w:r w:rsidRPr="00361664">
        <w:rPr>
          <w:sz w:val="20"/>
          <w:lang w:eastAsia="de-DE"/>
        </w:rPr>
        <w:t>g</w:t>
      </w:r>
      <w:r w:rsidR="0032515E" w:rsidRPr="00361664">
        <w:rPr>
          <w:sz w:val="20"/>
          <w:lang w:eastAsia="de-DE"/>
        </w:rPr>
        <w:t>odine</w:t>
      </w:r>
      <w:r w:rsidRPr="00361664">
        <w:rPr>
          <w:sz w:val="20"/>
          <w:lang w:eastAsia="de-DE"/>
        </w:rPr>
        <w:t>:</w:t>
      </w:r>
    </w:p>
    <w:p w:rsidR="0032515E" w:rsidRPr="00361664" w:rsidRDefault="0032515E" w:rsidP="0032515E">
      <w:pPr>
        <w:spacing w:after="0"/>
        <w:jc w:val="both"/>
        <w:rPr>
          <w:sz w:val="20"/>
          <w:lang w:eastAsia="de-DE"/>
        </w:rPr>
      </w:pPr>
      <w:r w:rsidRPr="00361664">
        <w:rPr>
          <w:sz w:val="20"/>
          <w:lang w:eastAsia="de-DE"/>
        </w:rPr>
        <w:t>• Suglasnost za provođenje Program</w:t>
      </w:r>
      <w:r w:rsidR="00F339D7" w:rsidRPr="00361664">
        <w:rPr>
          <w:sz w:val="20"/>
          <w:lang w:eastAsia="de-DE"/>
        </w:rPr>
        <w:t>a</w:t>
      </w:r>
      <w:r w:rsidRPr="00361664">
        <w:rPr>
          <w:sz w:val="20"/>
          <w:lang w:eastAsia="de-DE"/>
        </w:rPr>
        <w:t xml:space="preserve"> osposobljavanja osoba za provođenje energetskog pregleda velikih poduzeća je dobilo 5 pravnih osoba</w:t>
      </w:r>
    </w:p>
    <w:p w:rsidR="0032515E" w:rsidRPr="00361664" w:rsidRDefault="0032515E" w:rsidP="0032515E">
      <w:pPr>
        <w:spacing w:after="0"/>
        <w:jc w:val="both"/>
        <w:rPr>
          <w:sz w:val="20"/>
          <w:lang w:eastAsia="de-DE"/>
        </w:rPr>
      </w:pPr>
      <w:r w:rsidRPr="00361664">
        <w:rPr>
          <w:sz w:val="20"/>
          <w:lang w:eastAsia="de-DE"/>
        </w:rPr>
        <w:t xml:space="preserve">• Ovlašteno 28 pravnih osoba je za provedbu energetskih pregleda velikih poduzeća </w:t>
      </w:r>
    </w:p>
    <w:p w:rsidR="0032515E" w:rsidRPr="00361664" w:rsidRDefault="0032515E" w:rsidP="0032515E">
      <w:pPr>
        <w:spacing w:after="0"/>
        <w:jc w:val="both"/>
        <w:rPr>
          <w:sz w:val="20"/>
          <w:lang w:eastAsia="de-DE"/>
        </w:rPr>
      </w:pPr>
      <w:r w:rsidRPr="00361664">
        <w:rPr>
          <w:sz w:val="20"/>
          <w:lang w:eastAsia="de-DE"/>
        </w:rPr>
        <w:t>• Broj EP velikih poduzeća u registru izvješća energetskih pregleda je 8 , procijenjena investicija u mjere za tih 8 poduzeća je 79 milijuna kuna</w:t>
      </w:r>
      <w:r w:rsidR="00B31EE2" w:rsidRPr="00361664">
        <w:rPr>
          <w:sz w:val="20"/>
          <w:lang w:eastAsia="de-DE"/>
        </w:rPr>
        <w:t xml:space="preserve">. </w:t>
      </w:r>
    </w:p>
    <w:p w:rsidR="0032515E" w:rsidRPr="00361664" w:rsidRDefault="00417671" w:rsidP="00417671">
      <w:pPr>
        <w:spacing w:after="0"/>
        <w:jc w:val="both"/>
        <w:rPr>
          <w:sz w:val="20"/>
          <w:lang w:eastAsia="de-DE"/>
        </w:rPr>
      </w:pPr>
      <w:r w:rsidRPr="00361664">
        <w:rPr>
          <w:sz w:val="20"/>
          <w:lang w:eastAsia="de-DE"/>
        </w:rPr>
        <w:t xml:space="preserve">• </w:t>
      </w:r>
      <w:r w:rsidR="0032515E" w:rsidRPr="00361664">
        <w:rPr>
          <w:sz w:val="20"/>
          <w:lang w:eastAsia="de-DE"/>
        </w:rPr>
        <w:t>Broj fizičkih osoba koje su prošle o</w:t>
      </w:r>
      <w:r w:rsidRPr="00361664">
        <w:rPr>
          <w:sz w:val="20"/>
          <w:lang w:eastAsia="de-DE"/>
        </w:rPr>
        <w:t xml:space="preserve">sposobljavanje moguće je dobiti </w:t>
      </w:r>
      <w:r w:rsidR="0032515E" w:rsidRPr="00361664">
        <w:rPr>
          <w:sz w:val="20"/>
          <w:lang w:eastAsia="de-DE"/>
        </w:rPr>
        <w:t>od osoba koje imaju suglasnost za provođenje Programa osposobljavanja.</w:t>
      </w:r>
    </w:p>
    <w:p w:rsidR="0032515E" w:rsidRPr="00361664" w:rsidRDefault="0032515E" w:rsidP="0032515E">
      <w:pPr>
        <w:spacing w:after="0"/>
        <w:jc w:val="both"/>
        <w:rPr>
          <w:sz w:val="20"/>
          <w:lang w:eastAsia="de-DE"/>
        </w:rPr>
      </w:pPr>
    </w:p>
    <w:p w:rsidR="0032515E" w:rsidRPr="00361664" w:rsidRDefault="0032515E" w:rsidP="0032515E">
      <w:pPr>
        <w:spacing w:after="0"/>
        <w:jc w:val="both"/>
        <w:rPr>
          <w:sz w:val="20"/>
          <w:lang w:eastAsia="de-DE"/>
        </w:rPr>
      </w:pPr>
      <w:r w:rsidRPr="00361664">
        <w:rPr>
          <w:sz w:val="20"/>
          <w:lang w:eastAsia="de-DE"/>
        </w:rPr>
        <w:t>Obveza energetskih pregleda za velika poduzeća, propisana je člankom 19. Zakona energetskoj u učinkovitosti (</w:t>
      </w:r>
      <w:r w:rsidR="00BC7D95" w:rsidRPr="00361664">
        <w:rPr>
          <w:sz w:val="20"/>
          <w:lang w:eastAsia="de-DE"/>
        </w:rPr>
        <w:t>NN 127/</w:t>
      </w:r>
      <w:r w:rsidRPr="00361664">
        <w:rPr>
          <w:sz w:val="20"/>
          <w:lang w:eastAsia="de-DE"/>
        </w:rPr>
        <w:t>14), a tim je člankom u nacionalno z</w:t>
      </w:r>
      <w:r w:rsidR="00B51B6C" w:rsidRPr="00361664">
        <w:rPr>
          <w:sz w:val="20"/>
          <w:lang w:eastAsia="de-DE"/>
        </w:rPr>
        <w:t>akonodavstvo prenesena obveza iz</w:t>
      </w:r>
      <w:r w:rsidRPr="00361664">
        <w:rPr>
          <w:sz w:val="20"/>
          <w:lang w:eastAsia="de-DE"/>
        </w:rPr>
        <w:t xml:space="preserve"> članka 8. Direktive o energetskoj učinkovitosti 2012/27/EU Europskog parlamenta i Vijeća od 25. listopada 2012. Način provođenja energetskog pregleda za velika poduzeća, uvjete izdavanja i ukidanja ovlaštenja za energetske preglede za velika poduzeća te druga pitanja vezana uz ovlaštenje za energetske preglede za velika poduzeća, kao i sadržaj i način vođenja registra propisuje Pravilnik o energetskom pregledu za velika poduzeća </w:t>
      </w:r>
      <w:r w:rsidR="00BC7D95" w:rsidRPr="00361664">
        <w:rPr>
          <w:sz w:val="20"/>
          <w:lang w:eastAsia="de-DE"/>
        </w:rPr>
        <w:t>(NN 123/15</w:t>
      </w:r>
      <w:r w:rsidRPr="00361664">
        <w:rPr>
          <w:sz w:val="20"/>
          <w:lang w:eastAsia="de-DE"/>
        </w:rPr>
        <w:t>).</w:t>
      </w:r>
    </w:p>
    <w:p w:rsidR="0032515E" w:rsidRPr="00361664" w:rsidRDefault="0032515E" w:rsidP="0032515E">
      <w:pPr>
        <w:spacing w:after="0"/>
        <w:jc w:val="both"/>
        <w:rPr>
          <w:sz w:val="20"/>
          <w:lang w:eastAsia="de-DE"/>
        </w:rPr>
      </w:pPr>
    </w:p>
    <w:p w:rsidR="0032515E" w:rsidRPr="00361664" w:rsidRDefault="0032515E" w:rsidP="0032515E">
      <w:pPr>
        <w:spacing w:after="0"/>
        <w:jc w:val="both"/>
        <w:rPr>
          <w:sz w:val="20"/>
          <w:lang w:eastAsia="de-DE"/>
        </w:rPr>
      </w:pPr>
      <w:r w:rsidRPr="00361664">
        <w:rPr>
          <w:sz w:val="20"/>
          <w:lang w:eastAsia="de-DE"/>
        </w:rPr>
        <w:t>Velika poduzeća su definirana po računovodstvenim kriterijima kao trgovačka društva koja ispunjavaju barem dva od sljedećih uvjeta: ukupna aktiva od najmanje 130.000.000,00 kuna, godišnji prihod od najmanje 260.000.000,00 kuna, prosječno najmanje 250 radnika tijekom poslovne godine. Velika poduzeća imaju obvezu provoditi energetski pregled poduzeća svake četiri godine, energetski pregled provode ovlaštene osobe, ovlaštenje izdaje ministarstvo zaduženo za energetiku. Registre ovlaštenih osoba i izvješća o provedenim energetskim pregledi</w:t>
      </w:r>
      <w:r w:rsidR="00086D17" w:rsidRPr="00361664">
        <w:rPr>
          <w:sz w:val="20"/>
          <w:lang w:eastAsia="de-DE"/>
        </w:rPr>
        <w:t>ma za velika poduzeća vodi M</w:t>
      </w:r>
      <w:r w:rsidRPr="00361664">
        <w:rPr>
          <w:sz w:val="20"/>
          <w:lang w:eastAsia="de-DE"/>
        </w:rPr>
        <w:t>inistarstvo zaštite okoliša i energetike.</w:t>
      </w:r>
    </w:p>
    <w:p w:rsidR="0032515E" w:rsidRPr="00361664" w:rsidRDefault="0032515E" w:rsidP="0032515E">
      <w:pPr>
        <w:spacing w:after="0"/>
        <w:jc w:val="both"/>
        <w:rPr>
          <w:sz w:val="20"/>
          <w:lang w:eastAsia="de-DE"/>
        </w:rPr>
      </w:pPr>
    </w:p>
    <w:p w:rsidR="0032515E" w:rsidRPr="00361664" w:rsidRDefault="0032515E" w:rsidP="0032515E">
      <w:pPr>
        <w:spacing w:after="0"/>
        <w:jc w:val="both"/>
        <w:rPr>
          <w:sz w:val="20"/>
          <w:lang w:eastAsia="de-DE"/>
        </w:rPr>
      </w:pPr>
      <w:r w:rsidRPr="00361664">
        <w:rPr>
          <w:sz w:val="20"/>
          <w:lang w:eastAsia="de-DE"/>
        </w:rPr>
        <w:t>Obvezni dijelovi završnog izvješća o provedenom energetskom pregledu velikog poduzeća su:</w:t>
      </w:r>
    </w:p>
    <w:p w:rsidR="0032515E" w:rsidRPr="00361664" w:rsidRDefault="0032515E" w:rsidP="0032515E">
      <w:pPr>
        <w:spacing w:after="0"/>
        <w:jc w:val="both"/>
        <w:rPr>
          <w:sz w:val="20"/>
          <w:lang w:eastAsia="de-DE"/>
        </w:rPr>
      </w:pPr>
      <w:r w:rsidRPr="00361664">
        <w:rPr>
          <w:sz w:val="20"/>
          <w:lang w:eastAsia="de-DE"/>
        </w:rPr>
        <w:t xml:space="preserve">1. naslovna strana obavljenog energetskog pregleda koja sadrži: naziv i pečat ovlaštene pravne </w:t>
      </w:r>
      <w:r w:rsidR="00B51B6C" w:rsidRPr="00361664">
        <w:rPr>
          <w:sz w:val="20"/>
          <w:lang w:eastAsia="de-DE"/>
        </w:rPr>
        <w:t>osobe, ime</w:t>
      </w:r>
      <w:r w:rsidRPr="00361664">
        <w:rPr>
          <w:sz w:val="20"/>
          <w:lang w:eastAsia="de-DE"/>
        </w:rPr>
        <w:t xml:space="preserve"> i prezime imenovane osobe koja je izradila pregled, datum početka energetskog pregleda, datum završetka energetskog pregleda,</w:t>
      </w:r>
    </w:p>
    <w:p w:rsidR="0032515E" w:rsidRPr="00361664" w:rsidRDefault="0032515E" w:rsidP="0032515E">
      <w:pPr>
        <w:spacing w:after="0"/>
        <w:jc w:val="both"/>
        <w:rPr>
          <w:sz w:val="20"/>
          <w:lang w:eastAsia="de-DE"/>
        </w:rPr>
      </w:pPr>
      <w:r w:rsidRPr="00361664">
        <w:rPr>
          <w:sz w:val="20"/>
          <w:lang w:eastAsia="de-DE"/>
        </w:rPr>
        <w:t>2. analiza postojećeg stanja građevine i svih energetskih sustava velikog poduzeća,</w:t>
      </w:r>
    </w:p>
    <w:p w:rsidR="0032515E" w:rsidRPr="00361664" w:rsidRDefault="0032515E" w:rsidP="0032515E">
      <w:pPr>
        <w:spacing w:after="0"/>
        <w:jc w:val="both"/>
        <w:rPr>
          <w:sz w:val="20"/>
          <w:lang w:eastAsia="de-DE"/>
        </w:rPr>
      </w:pPr>
      <w:r w:rsidRPr="00361664">
        <w:rPr>
          <w:sz w:val="20"/>
          <w:lang w:eastAsia="de-DE"/>
        </w:rPr>
        <w:t>3. analiza transporta ukoliko poduzeće koristi 50 ili više registriranih vozila ili ukoliko je snaga svih registriranih vozila u vlasništvu firme veća od 3000 kW, koja minimalno uključuje popis vozila te analizu potrošnje energije i energenata,</w:t>
      </w:r>
    </w:p>
    <w:p w:rsidR="0032515E" w:rsidRPr="00361664" w:rsidRDefault="0032515E" w:rsidP="0032515E">
      <w:pPr>
        <w:spacing w:after="0"/>
        <w:jc w:val="both"/>
        <w:rPr>
          <w:sz w:val="20"/>
          <w:lang w:eastAsia="de-DE"/>
        </w:rPr>
      </w:pPr>
      <w:r w:rsidRPr="00361664">
        <w:rPr>
          <w:sz w:val="20"/>
          <w:lang w:eastAsia="de-DE"/>
        </w:rPr>
        <w:t>4. analiza potrošnje energije i energenata te vode koja minimalno uključuje detaljan prikaz potrošnje energije, energenata i vode, modeliranje potrošnje energije, energenata i vode te analizu efikasnosti potrošnje energije,</w:t>
      </w:r>
    </w:p>
    <w:p w:rsidR="0032515E" w:rsidRPr="00361664" w:rsidRDefault="0032515E" w:rsidP="0032515E">
      <w:pPr>
        <w:spacing w:after="0"/>
        <w:jc w:val="both"/>
        <w:rPr>
          <w:sz w:val="20"/>
          <w:lang w:eastAsia="de-DE"/>
        </w:rPr>
      </w:pPr>
      <w:r w:rsidRPr="00361664">
        <w:rPr>
          <w:sz w:val="20"/>
          <w:lang w:eastAsia="de-DE"/>
        </w:rPr>
        <w:t>5. dijagram toka energije i tvari te vode i otpada,</w:t>
      </w:r>
    </w:p>
    <w:p w:rsidR="0032515E" w:rsidRPr="00361664" w:rsidRDefault="0032515E" w:rsidP="0032515E">
      <w:pPr>
        <w:spacing w:after="0"/>
        <w:jc w:val="both"/>
        <w:rPr>
          <w:sz w:val="20"/>
          <w:lang w:eastAsia="de-DE"/>
        </w:rPr>
      </w:pPr>
      <w:r w:rsidRPr="00361664">
        <w:rPr>
          <w:sz w:val="20"/>
          <w:lang w:eastAsia="de-DE"/>
        </w:rPr>
        <w:t>6. izvješće o provedenim mjerenjima,</w:t>
      </w:r>
    </w:p>
    <w:p w:rsidR="0032515E" w:rsidRPr="00361664" w:rsidRDefault="0032515E" w:rsidP="0032515E">
      <w:pPr>
        <w:spacing w:after="0"/>
        <w:jc w:val="both"/>
        <w:rPr>
          <w:sz w:val="20"/>
          <w:lang w:eastAsia="de-DE"/>
        </w:rPr>
      </w:pPr>
      <w:r w:rsidRPr="00361664">
        <w:rPr>
          <w:sz w:val="20"/>
          <w:lang w:eastAsia="de-DE"/>
        </w:rPr>
        <w:t>7. analiza mogućnosti spajanja na mrežu distribucijsku mrežu centralnog i zatvorenog toplinskog sustava i sustava centraliziranog hlađenja i</w:t>
      </w:r>
    </w:p>
    <w:p w:rsidR="0032515E" w:rsidRPr="00361664" w:rsidRDefault="0032515E" w:rsidP="0032515E">
      <w:pPr>
        <w:spacing w:after="0"/>
        <w:jc w:val="both"/>
        <w:rPr>
          <w:sz w:val="20"/>
          <w:lang w:eastAsia="de-DE"/>
        </w:rPr>
      </w:pPr>
      <w:r w:rsidRPr="00361664">
        <w:rPr>
          <w:sz w:val="20"/>
          <w:lang w:eastAsia="de-DE"/>
        </w:rPr>
        <w:t>8. zaključak s preporukama mjera za povećanje energetske učinkovitosti uključujući izračun procijenjene vrijednosti ulaganja i interne stope rentabilnosti za životni ciklus mjere energetske učinkovitosti koje se oslanjaju na podatke dobivene sukladno točkama od 2. do 7. stavka (1) članka 8</w:t>
      </w:r>
      <w:r w:rsidR="00BC7D95" w:rsidRPr="00361664">
        <w:rPr>
          <w:sz w:val="20"/>
          <w:lang w:eastAsia="de-DE"/>
        </w:rPr>
        <w:t>.</w:t>
      </w:r>
      <w:r w:rsidRPr="00361664">
        <w:rPr>
          <w:sz w:val="20"/>
          <w:lang w:eastAsia="de-DE"/>
        </w:rPr>
        <w:t xml:space="preserve"> Pravilnika o energetskom pregledu velikih poduzeća (NN 123/15). </w:t>
      </w:r>
    </w:p>
    <w:p w:rsidR="0032515E" w:rsidRPr="00361664" w:rsidRDefault="0032515E" w:rsidP="0032515E">
      <w:pPr>
        <w:spacing w:after="0"/>
        <w:jc w:val="both"/>
        <w:rPr>
          <w:sz w:val="20"/>
          <w:lang w:eastAsia="de-DE"/>
        </w:rPr>
      </w:pPr>
    </w:p>
    <w:p w:rsidR="0032515E" w:rsidRPr="00361664" w:rsidRDefault="0032515E" w:rsidP="0032515E">
      <w:pPr>
        <w:spacing w:after="0"/>
        <w:jc w:val="both"/>
        <w:rPr>
          <w:sz w:val="20"/>
          <w:lang w:eastAsia="de-DE"/>
        </w:rPr>
      </w:pPr>
      <w:r w:rsidRPr="00361664">
        <w:rPr>
          <w:sz w:val="20"/>
          <w:lang w:eastAsia="de-DE"/>
        </w:rPr>
        <w:t>Velika poduzeća ne moraju provesti energetski pregled u skladu s pravilnikom ako u poslovanje uvedu normu ISO 50000 i ishode certifikat od ovlaštene osobe.</w:t>
      </w:r>
    </w:p>
    <w:p w:rsidR="00B31EE2" w:rsidRPr="00361664" w:rsidRDefault="00B31EE2" w:rsidP="0032515E">
      <w:pPr>
        <w:spacing w:after="0"/>
        <w:jc w:val="both"/>
        <w:rPr>
          <w:sz w:val="20"/>
          <w:lang w:eastAsia="de-DE"/>
        </w:rPr>
      </w:pPr>
    </w:p>
    <w:p w:rsidR="00D11211" w:rsidRPr="00361664" w:rsidRDefault="00944F9E" w:rsidP="00651BCA">
      <w:pPr>
        <w:pStyle w:val="Naslov3"/>
        <w:rPr>
          <w:lang w:val="hr-HR"/>
        </w:rPr>
      </w:pPr>
      <w:bookmarkStart w:id="23" w:name="_Toc535245844"/>
      <w:r w:rsidRPr="00361664">
        <w:rPr>
          <w:lang w:val="hr-HR"/>
        </w:rPr>
        <w:lastRenderedPageBreak/>
        <w:t>M</w:t>
      </w:r>
      <w:r w:rsidR="004E4418" w:rsidRPr="00361664">
        <w:rPr>
          <w:lang w:val="hr-HR"/>
        </w:rPr>
        <w:t>jerenje i obračun (č</w:t>
      </w:r>
      <w:r w:rsidR="003412CD" w:rsidRPr="00361664">
        <w:rPr>
          <w:lang w:val="hr-HR"/>
        </w:rPr>
        <w:t>lanci</w:t>
      </w:r>
      <w:r w:rsidR="004E4418" w:rsidRPr="00361664">
        <w:rPr>
          <w:lang w:val="hr-HR"/>
        </w:rPr>
        <w:t xml:space="preserve"> od </w:t>
      </w:r>
      <w:r w:rsidRPr="00361664">
        <w:rPr>
          <w:lang w:val="hr-HR"/>
        </w:rPr>
        <w:t>9</w:t>
      </w:r>
      <w:r w:rsidR="004E4418" w:rsidRPr="00361664">
        <w:rPr>
          <w:lang w:val="hr-HR"/>
        </w:rPr>
        <w:t xml:space="preserve">. do </w:t>
      </w:r>
      <w:r w:rsidRPr="00361664">
        <w:rPr>
          <w:lang w:val="hr-HR"/>
        </w:rPr>
        <w:t>11</w:t>
      </w:r>
      <w:r w:rsidR="004E4418" w:rsidRPr="00361664">
        <w:rPr>
          <w:lang w:val="hr-HR"/>
        </w:rPr>
        <w:t>. DEU-a</w:t>
      </w:r>
      <w:r w:rsidRPr="00361664">
        <w:rPr>
          <w:lang w:val="hr-HR"/>
        </w:rPr>
        <w:t>)</w:t>
      </w:r>
      <w:bookmarkEnd w:id="23"/>
    </w:p>
    <w:p w:rsidR="005C03DC" w:rsidRPr="00361664" w:rsidRDefault="005C03DC" w:rsidP="005C03DC">
      <w:pPr>
        <w:spacing w:after="0"/>
        <w:jc w:val="both"/>
        <w:rPr>
          <w:sz w:val="20"/>
          <w:lang w:eastAsia="de-DE"/>
        </w:rPr>
      </w:pPr>
      <w:r w:rsidRPr="00361664">
        <w:rPr>
          <w:sz w:val="20"/>
          <w:lang w:eastAsia="de-DE"/>
        </w:rPr>
        <w:t>Ove mjere se neće poticati u razdoblju 4. NAPEnU, ali će se učinci prošlog razdoblja nastaviti</w:t>
      </w:r>
      <w:r w:rsidR="00226160" w:rsidRPr="00361664">
        <w:rPr>
          <w:sz w:val="20"/>
          <w:lang w:eastAsia="de-DE"/>
        </w:rPr>
        <w:t xml:space="preserve"> pratiti kroz SMIV (S</w:t>
      </w:r>
      <w:r w:rsidRPr="00361664">
        <w:rPr>
          <w:sz w:val="20"/>
          <w:lang w:eastAsia="de-DE"/>
        </w:rPr>
        <w:t>ustav za praćenje, mjerenje i verifikaciju ušteda energije). Ipak, ove mjere će ubuduće provoditi obveznici Sustava energetskih ušteda (energetska poduzeća).</w:t>
      </w:r>
    </w:p>
    <w:p w:rsidR="005C03DC" w:rsidRPr="00361664" w:rsidRDefault="005C03DC" w:rsidP="005C03DC">
      <w:pPr>
        <w:spacing w:after="0"/>
        <w:jc w:val="both"/>
        <w:rPr>
          <w:sz w:val="20"/>
          <w:lang w:eastAsia="de-DE"/>
        </w:rPr>
      </w:pPr>
    </w:p>
    <w:p w:rsidR="00944F9E" w:rsidRPr="00361664" w:rsidRDefault="003412CD" w:rsidP="008A4E53">
      <w:pPr>
        <w:pStyle w:val="Naslov3"/>
        <w:rPr>
          <w:rStyle w:val="Jakoisticanje"/>
          <w:b/>
          <w:bCs w:val="0"/>
          <w:i/>
          <w:iCs w:val="0"/>
          <w:color w:val="375F91"/>
          <w:lang w:val="hr-HR"/>
        </w:rPr>
      </w:pPr>
      <w:bookmarkStart w:id="24" w:name="_Toc535245845"/>
      <w:r w:rsidRPr="00361664">
        <w:rPr>
          <w:rStyle w:val="Naslov3Char"/>
          <w:b/>
          <w:i/>
          <w:lang w:val="hr-HR"/>
        </w:rPr>
        <w:t xml:space="preserve">Programi </w:t>
      </w:r>
      <w:r w:rsidR="004E4418" w:rsidRPr="00361664">
        <w:rPr>
          <w:rStyle w:val="Naslov3Char"/>
          <w:b/>
          <w:i/>
          <w:lang w:val="hr-HR"/>
        </w:rPr>
        <w:t xml:space="preserve">obavješćivanja i osposobljavanja </w:t>
      </w:r>
      <w:r w:rsidRPr="00361664">
        <w:rPr>
          <w:rStyle w:val="Naslov3Char"/>
          <w:b/>
          <w:i/>
          <w:lang w:val="hr-HR"/>
        </w:rPr>
        <w:t>potrošača</w:t>
      </w:r>
      <w:r w:rsidR="004E4418" w:rsidRPr="00361664">
        <w:rPr>
          <w:rStyle w:val="Naslov3Char"/>
          <w:b/>
          <w:i/>
          <w:lang w:val="hr-HR"/>
        </w:rPr>
        <w:t xml:space="preserve"> č</w:t>
      </w:r>
      <w:r w:rsidRPr="00361664">
        <w:rPr>
          <w:rStyle w:val="Naslov3Char"/>
          <w:b/>
          <w:i/>
          <w:lang w:val="hr-HR"/>
        </w:rPr>
        <w:t>lanci</w:t>
      </w:r>
      <w:r w:rsidR="004E4418" w:rsidRPr="00361664">
        <w:rPr>
          <w:rStyle w:val="Naslov3Char"/>
          <w:b/>
          <w:i/>
          <w:lang w:val="hr-HR"/>
        </w:rPr>
        <w:t xml:space="preserve"> od </w:t>
      </w:r>
      <w:r w:rsidR="00944F9E" w:rsidRPr="00361664">
        <w:rPr>
          <w:rStyle w:val="Naslov3Char"/>
          <w:b/>
          <w:i/>
          <w:lang w:val="hr-HR"/>
        </w:rPr>
        <w:t>12</w:t>
      </w:r>
      <w:r w:rsidR="004E4418" w:rsidRPr="00361664">
        <w:rPr>
          <w:rStyle w:val="Naslov3Char"/>
          <w:b/>
          <w:i/>
          <w:lang w:val="hr-HR"/>
        </w:rPr>
        <w:t xml:space="preserve">. do </w:t>
      </w:r>
      <w:r w:rsidR="00944F9E" w:rsidRPr="00361664">
        <w:rPr>
          <w:rStyle w:val="Naslov3Char"/>
          <w:b/>
          <w:i/>
          <w:lang w:val="hr-HR"/>
        </w:rPr>
        <w:t>17</w:t>
      </w:r>
      <w:r w:rsidR="004E4418" w:rsidRPr="00361664">
        <w:rPr>
          <w:rStyle w:val="Naslov3Char"/>
          <w:b/>
          <w:i/>
          <w:lang w:val="hr-HR"/>
        </w:rPr>
        <w:t>. DEU-a</w:t>
      </w:r>
      <w:r w:rsidR="00944F9E" w:rsidRPr="00361664">
        <w:rPr>
          <w:rStyle w:val="Naslov3Char"/>
          <w:b/>
          <w:i/>
          <w:lang w:val="hr-HR"/>
        </w:rPr>
        <w:t>)</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C745B5" w:rsidRPr="00361664" w:rsidTr="00C901FA">
        <w:trPr>
          <w:trHeight w:val="20"/>
        </w:trPr>
        <w:tc>
          <w:tcPr>
            <w:tcW w:w="1476" w:type="pct"/>
            <w:gridSpan w:val="2"/>
            <w:shd w:val="clear" w:color="auto" w:fill="CCFFCC"/>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b/>
                <w:sz w:val="20"/>
                <w:lang w:val="hr-HR"/>
              </w:rPr>
            </w:pPr>
            <w:r w:rsidRPr="00361664">
              <w:rPr>
                <w:rFonts w:asciiTheme="minorHAnsi" w:hAnsiTheme="minorHAnsi"/>
                <w:b/>
                <w:sz w:val="20"/>
                <w:lang w:val="hr-HR"/>
              </w:rPr>
              <w:t xml:space="preserve">Naziv mjere </w:t>
            </w:r>
          </w:p>
        </w:tc>
        <w:tc>
          <w:tcPr>
            <w:tcW w:w="3524" w:type="pct"/>
            <w:shd w:val="clear" w:color="auto" w:fill="CCFFCC"/>
          </w:tcPr>
          <w:p w:rsidR="00C745B5" w:rsidRPr="00361664" w:rsidRDefault="00C745B5" w:rsidP="00C901FA">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Informativni računi (Energetska dijagnoza)</w:t>
            </w:r>
          </w:p>
        </w:tc>
      </w:tr>
      <w:tr w:rsidR="00C745B5" w:rsidRPr="00361664" w:rsidTr="00C901FA">
        <w:trPr>
          <w:trHeight w:val="20"/>
        </w:trPr>
        <w:tc>
          <w:tcPr>
            <w:tcW w:w="1476" w:type="pct"/>
            <w:gridSpan w:val="2"/>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Indeks mjere</w:t>
            </w:r>
          </w:p>
        </w:tc>
        <w:tc>
          <w:tcPr>
            <w:tcW w:w="3524" w:type="pct"/>
          </w:tcPr>
          <w:p w:rsidR="00C745B5" w:rsidRPr="00361664" w:rsidRDefault="00751A89" w:rsidP="00C901F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H.1</w:t>
            </w:r>
          </w:p>
        </w:tc>
      </w:tr>
      <w:tr w:rsidR="00C745B5" w:rsidRPr="00361664" w:rsidTr="00C901FA">
        <w:trPr>
          <w:trHeight w:val="20"/>
        </w:trPr>
        <w:tc>
          <w:tcPr>
            <w:tcW w:w="654" w:type="pct"/>
            <w:vMerge w:val="restart"/>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r w:rsidRPr="00361664">
              <w:rPr>
                <w:rFonts w:asciiTheme="minorHAnsi" w:hAnsiTheme="minorHAnsi"/>
                <w:sz w:val="20"/>
                <w:lang w:val="hr-HR"/>
              </w:rPr>
              <w:t>Opis</w:t>
            </w: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Kategorija</w:t>
            </w:r>
          </w:p>
        </w:tc>
        <w:tc>
          <w:tcPr>
            <w:tcW w:w="3524"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Informacijske i obvezne informacijske mjere</w:t>
            </w:r>
          </w:p>
        </w:tc>
      </w:tr>
      <w:tr w:rsidR="00C745B5" w:rsidRPr="00361664" w:rsidTr="00C901FA">
        <w:trPr>
          <w:trHeight w:val="20"/>
        </w:trPr>
        <w:tc>
          <w:tcPr>
            <w:tcW w:w="654" w:type="pct"/>
            <w:vMerge/>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Vremenski okvir</w:t>
            </w:r>
          </w:p>
        </w:tc>
        <w:tc>
          <w:tcPr>
            <w:tcW w:w="3524"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Početak: 2014.</w:t>
            </w:r>
          </w:p>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Kraj:</w:t>
            </w:r>
            <w:r w:rsidR="00F339D7" w:rsidRPr="00361664">
              <w:rPr>
                <w:rFonts w:asciiTheme="minorHAnsi" w:hAnsiTheme="minorHAnsi"/>
                <w:sz w:val="20"/>
                <w:lang w:val="hr-HR"/>
              </w:rPr>
              <w:t xml:space="preserve"> </w:t>
            </w:r>
            <w:r w:rsidRPr="00361664">
              <w:rPr>
                <w:rFonts w:asciiTheme="minorHAnsi" w:hAnsiTheme="minorHAnsi"/>
                <w:sz w:val="20"/>
                <w:lang w:val="hr-HR"/>
              </w:rPr>
              <w:t xml:space="preserve">2019. </w:t>
            </w:r>
          </w:p>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Predviđene veće promjene, dopune, poboljšanja: ažurirana mjera</w:t>
            </w:r>
          </w:p>
        </w:tc>
      </w:tr>
      <w:tr w:rsidR="00C745B5" w:rsidRPr="00361664" w:rsidTr="00C901FA">
        <w:trPr>
          <w:trHeight w:val="20"/>
        </w:trPr>
        <w:tc>
          <w:tcPr>
            <w:tcW w:w="654" w:type="pct"/>
            <w:vMerge/>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Cilj / kratak opis</w:t>
            </w:r>
          </w:p>
        </w:tc>
        <w:tc>
          <w:tcPr>
            <w:tcW w:w="3524" w:type="pct"/>
            <w:vAlign w:val="center"/>
          </w:tcPr>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mjere su jasni i razumljivi računi za energiju (električnu energiju, toplinsku energiju i prirodni plin). Time će se povećati svijest potrošača o načinu na koji oni sami troše energiju. Računi bi trebali sadržavati grafičke usporedbe potrošnje u razdoblju računa za ovu godinu i za odgovarajuće razdoblje prethodne godine. Računi bi trebali biti temeljeni na stvarnoj potrošnji. Računi također trebaju sadržavati informacije gdje je moguće dobiti savjete o učinkovitoj potrošnji energije, a poželjna je i besplatna telefonska linija.</w:t>
            </w:r>
          </w:p>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p>
          <w:p w:rsidR="00C745B5" w:rsidRPr="00361664" w:rsidRDefault="00C745B5" w:rsidP="002B4068">
            <w:pPr>
              <w:jc w:val="both"/>
              <w:rPr>
                <w:sz w:val="20"/>
                <w:szCs w:val="20"/>
              </w:rPr>
            </w:pPr>
            <w:r w:rsidRPr="00361664">
              <w:rPr>
                <w:sz w:val="20"/>
                <w:szCs w:val="20"/>
              </w:rPr>
              <w:t>Prikaz i usporedba troškova za energiju važan su preduvjet promjene ponašanja potrošača energije te donošenja odluka o tehničkim zahvatima za uštede energije. Kako bi opskrbljivač odgovarajuće informirao potrošača, potrebno je uz mjesečne račune dostaviti podatke o usporedbi i kretanju mjesečnih potrošnji. Trenutni propisi (Zakon o energetskoj učinkovitosti) zahtijevaju godišnje informiranje potrošača o cjelokupnom kretanju potrošnje te informiranje o izvorima koji pružaju informaciju o mogućim uštedama, no predviđene su izmjene Zakona o energetskoj učinkovitosti kojim će se uvesti obaveza mjesečnog informiranja potrošača.</w:t>
            </w:r>
          </w:p>
        </w:tc>
      </w:tr>
      <w:tr w:rsidR="00C745B5" w:rsidRPr="00361664" w:rsidTr="00C901FA">
        <w:trPr>
          <w:trHeight w:val="20"/>
        </w:trPr>
        <w:tc>
          <w:tcPr>
            <w:tcW w:w="654" w:type="pct"/>
            <w:vMerge/>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Ciljna neposredna potrošnja</w:t>
            </w:r>
          </w:p>
        </w:tc>
        <w:tc>
          <w:tcPr>
            <w:tcW w:w="3524" w:type="pct"/>
            <w:vAlign w:val="center"/>
          </w:tcPr>
          <w:p w:rsidR="00C745B5" w:rsidRPr="00361664" w:rsidRDefault="00C745B5" w:rsidP="002B4068">
            <w:pPr>
              <w:jc w:val="both"/>
              <w:rPr>
                <w:rFonts w:asciiTheme="minorHAnsi" w:hAnsiTheme="minorHAnsi"/>
                <w:b/>
                <w:sz w:val="20"/>
                <w:szCs w:val="20"/>
              </w:rPr>
            </w:pPr>
            <w:r w:rsidRPr="00361664">
              <w:rPr>
                <w:sz w:val="20"/>
                <w:szCs w:val="20"/>
              </w:rPr>
              <w:t>Potrošnja električne energije, toplinske energije i prirodnog plina u kućanstvima</w:t>
            </w:r>
          </w:p>
        </w:tc>
      </w:tr>
      <w:tr w:rsidR="00C745B5" w:rsidRPr="00361664" w:rsidTr="00C901FA">
        <w:trPr>
          <w:trHeight w:val="20"/>
        </w:trPr>
        <w:tc>
          <w:tcPr>
            <w:tcW w:w="654" w:type="pct"/>
            <w:vMerge/>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Ciljna skupina</w:t>
            </w:r>
          </w:p>
        </w:tc>
        <w:tc>
          <w:tcPr>
            <w:tcW w:w="3524" w:type="pct"/>
            <w:vAlign w:val="center"/>
          </w:tcPr>
          <w:p w:rsidR="00C745B5" w:rsidRPr="00361664" w:rsidRDefault="00953B65" w:rsidP="002B4068">
            <w:pPr>
              <w:pStyle w:val="Tabletext"/>
              <w:tabs>
                <w:tab w:val="left" w:pos="1440"/>
                <w:tab w:val="left" w:pos="5040"/>
              </w:tabs>
              <w:spacing w:before="0" w:after="0" w:line="240" w:lineRule="auto"/>
              <w:rPr>
                <w:rFonts w:asciiTheme="minorHAnsi" w:hAnsiTheme="minorHAnsi"/>
                <w:sz w:val="20"/>
                <w:lang w:val="hr-HR"/>
              </w:rPr>
            </w:pPr>
            <w:r>
              <w:rPr>
                <w:rFonts w:asciiTheme="minorHAnsi" w:hAnsiTheme="minorHAnsi"/>
                <w:sz w:val="20"/>
                <w:lang w:val="hr-HR"/>
              </w:rPr>
              <w:t>O</w:t>
            </w:r>
            <w:r w:rsidR="00C745B5" w:rsidRPr="00361664">
              <w:rPr>
                <w:rFonts w:asciiTheme="minorHAnsi" w:hAnsiTheme="minorHAnsi"/>
                <w:sz w:val="20"/>
                <w:lang w:val="hr-HR"/>
              </w:rPr>
              <w:t>pskrbljivači električnom energijom, toplinskom energijom i prirodnim plinom; upravitelji zgrada.</w:t>
            </w:r>
          </w:p>
        </w:tc>
      </w:tr>
      <w:tr w:rsidR="00C745B5" w:rsidRPr="00361664" w:rsidTr="00C901FA">
        <w:trPr>
          <w:trHeight w:val="20"/>
        </w:trPr>
        <w:tc>
          <w:tcPr>
            <w:tcW w:w="654" w:type="pct"/>
            <w:vMerge/>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Regionalna primjena</w:t>
            </w:r>
          </w:p>
        </w:tc>
        <w:tc>
          <w:tcPr>
            <w:tcW w:w="3524" w:type="pct"/>
            <w:vAlign w:val="center"/>
          </w:tcPr>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Nacionalno</w:t>
            </w:r>
          </w:p>
        </w:tc>
      </w:tr>
      <w:tr w:rsidR="00C745B5" w:rsidRPr="00361664" w:rsidTr="00C901FA">
        <w:trPr>
          <w:trHeight w:val="20"/>
        </w:trPr>
        <w:tc>
          <w:tcPr>
            <w:tcW w:w="654" w:type="pct"/>
            <w:vMerge w:val="restart"/>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r w:rsidRPr="00361664">
              <w:rPr>
                <w:rFonts w:asciiTheme="minorHAnsi" w:hAnsiTheme="minorHAnsi"/>
                <w:sz w:val="20"/>
                <w:lang w:val="hr-HR"/>
              </w:rPr>
              <w:t>Informacije o  provedbi</w:t>
            </w: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Popis i opis aktivnosti za provođenje mjere</w:t>
            </w:r>
          </w:p>
        </w:tc>
        <w:tc>
          <w:tcPr>
            <w:tcW w:w="3524" w:type="pct"/>
            <w:vAlign w:val="center"/>
          </w:tcPr>
          <w:p w:rsidR="00C745B5" w:rsidRPr="00361664" w:rsidRDefault="00C745B5" w:rsidP="002B4068">
            <w:pPr>
              <w:pStyle w:val="Tabletext"/>
              <w:tabs>
                <w:tab w:val="left" w:pos="1440"/>
                <w:tab w:val="left" w:pos="5040"/>
              </w:tabs>
              <w:spacing w:before="0" w:after="0" w:line="240" w:lineRule="auto"/>
              <w:rPr>
                <w:rFonts w:asciiTheme="minorHAnsi" w:hAnsiTheme="minorHAnsi"/>
                <w:sz w:val="20"/>
                <w:u w:val="single"/>
                <w:lang w:val="hr-HR"/>
              </w:rPr>
            </w:pPr>
          </w:p>
          <w:p w:rsidR="00C745B5" w:rsidRPr="00361664" w:rsidRDefault="00C745B5" w:rsidP="002B4068">
            <w:pPr>
              <w:jc w:val="both"/>
              <w:rPr>
                <w:sz w:val="20"/>
                <w:szCs w:val="20"/>
              </w:rPr>
            </w:pPr>
            <w:r w:rsidRPr="00361664">
              <w:rPr>
                <w:sz w:val="20"/>
                <w:szCs w:val="20"/>
              </w:rPr>
              <w:t xml:space="preserve">NKT će pripremiti naputak na temelju Zakona o energetskoj učinkovitosti i uputiti ga svim operaterima/opskrbljivačima.  </w:t>
            </w:r>
          </w:p>
          <w:p w:rsidR="00C745B5" w:rsidRPr="00361664" w:rsidRDefault="00C745B5" w:rsidP="002B4068">
            <w:pPr>
              <w:jc w:val="both"/>
              <w:rPr>
                <w:sz w:val="20"/>
                <w:szCs w:val="20"/>
              </w:rPr>
            </w:pPr>
            <w:r w:rsidRPr="00361664">
              <w:rPr>
                <w:sz w:val="20"/>
                <w:szCs w:val="20"/>
              </w:rPr>
              <w:t xml:space="preserve">Na </w:t>
            </w:r>
            <w:r w:rsidR="00611F2B" w:rsidRPr="00361664">
              <w:rPr>
                <w:sz w:val="20"/>
                <w:szCs w:val="20"/>
              </w:rPr>
              <w:t xml:space="preserve">nacionalnom </w:t>
            </w:r>
            <w:r w:rsidRPr="00361664">
              <w:rPr>
                <w:sz w:val="20"/>
                <w:szCs w:val="20"/>
              </w:rPr>
              <w:t xml:space="preserve">portalu </w:t>
            </w:r>
            <w:r w:rsidR="00611F2B" w:rsidRPr="00361664">
              <w:rPr>
                <w:sz w:val="20"/>
                <w:szCs w:val="20"/>
              </w:rPr>
              <w:t>za energetsku učinkovitost ww.</w:t>
            </w:r>
            <w:r w:rsidRPr="00361664">
              <w:rPr>
                <w:sz w:val="20"/>
                <w:szCs w:val="20"/>
              </w:rPr>
              <w:t>enu.hr će se objaviti i objasniti sadržaj računa uz grafički prikaz troškova.</w:t>
            </w:r>
          </w:p>
          <w:p w:rsidR="00C745B5" w:rsidRPr="00361664" w:rsidRDefault="00C745B5" w:rsidP="002B4068">
            <w:pPr>
              <w:jc w:val="both"/>
              <w:rPr>
                <w:sz w:val="20"/>
                <w:szCs w:val="20"/>
              </w:rPr>
            </w:pPr>
            <w:r w:rsidRPr="00361664">
              <w:rPr>
                <w:sz w:val="20"/>
                <w:szCs w:val="20"/>
              </w:rPr>
              <w:t xml:space="preserve">Prikaz i usporedba troškova za energiju važan su preduvjet promjene ponašanja potrošača energije te donošenja odluka o tehničkim zahvatima za uštede energije. Kako bi opskrbljivač odgovarajuće informirao potrošača, potrebno je uz mjesečne račune dostaviti podatke o usporedbi i kretanju mjesečnih potrošnji. Trenutni propisi (Zakon o energetskoj učinkovitosti) zahtijevaju godišnje informiranje potrošača o cjelokupnom kretanju potrošnje </w:t>
            </w:r>
            <w:r w:rsidRPr="00361664">
              <w:rPr>
                <w:sz w:val="20"/>
                <w:szCs w:val="20"/>
              </w:rPr>
              <w:lastRenderedPageBreak/>
              <w:t>te informiranje o izvorima koji pružaju informaciju o mogućim uštedama. Kao takvi, ne omogućuju mjesečnu regulaciju, obavijest o uštedi niti kontrolu krajnjeg korisnika u kraćim periodama od godinu dana. Iz tog razloga se predlaže mjera kojom bi se razvio Naputak za informiranje krajnjih korisnika energetske potrošnje, koji je obvezujući za sve opskrbljivače energijom. Naputkom bi se definirali svi potrebni podaci koji bi se prikazivali na mjesečnim računima, a u svrhu informiranja potrošača.</w:t>
            </w:r>
          </w:p>
          <w:p w:rsidR="00C745B5" w:rsidRPr="00361664" w:rsidRDefault="00C745B5" w:rsidP="002B4068">
            <w:pPr>
              <w:jc w:val="both"/>
              <w:rPr>
                <w:rFonts w:asciiTheme="minorHAnsi" w:hAnsiTheme="minorHAnsi"/>
                <w:sz w:val="20"/>
                <w:szCs w:val="20"/>
              </w:rPr>
            </w:pPr>
            <w:r w:rsidRPr="00361664">
              <w:rPr>
                <w:sz w:val="20"/>
                <w:szCs w:val="20"/>
              </w:rPr>
              <w:t xml:space="preserve">Mjesečni računi trebaju sadržavati informaciju o tome koliki dio iznosa računa se odnosi na poreze, mrežarine, trošarine, koliki dio računa iznosi naknada za odabranu snagu priključka te koliko iznosi račun stvarne potrošnje. NKT u suradnji s </w:t>
            </w:r>
            <w:r w:rsidR="00D76F3C" w:rsidRPr="00361664">
              <w:rPr>
                <w:sz w:val="20"/>
                <w:szCs w:val="20"/>
              </w:rPr>
              <w:t>MZOE</w:t>
            </w:r>
            <w:r w:rsidRPr="00361664">
              <w:rPr>
                <w:sz w:val="20"/>
                <w:szCs w:val="20"/>
              </w:rPr>
              <w:t xml:space="preserve"> će izraditi </w:t>
            </w:r>
            <w:r w:rsidR="00611F2B" w:rsidRPr="00361664">
              <w:rPr>
                <w:sz w:val="20"/>
                <w:szCs w:val="20"/>
              </w:rPr>
              <w:t>naputak</w:t>
            </w:r>
            <w:r w:rsidRPr="00361664">
              <w:rPr>
                <w:sz w:val="20"/>
                <w:szCs w:val="20"/>
              </w:rPr>
              <w:t xml:space="preserve"> kojim će se definirati način informiranja korisnika uz mjesečne račune – grafički prikazi, prikaz postotaka po iznosima. Ključno je da računi budu lako razumljivi potrošačima</w:t>
            </w:r>
            <w:r w:rsidR="00286490" w:rsidRPr="00361664">
              <w:rPr>
                <w:sz w:val="20"/>
                <w:szCs w:val="20"/>
              </w:rPr>
              <w:t xml:space="preserve"> (građanima i poduzećima). </w:t>
            </w:r>
          </w:p>
        </w:tc>
      </w:tr>
      <w:tr w:rsidR="00C745B5" w:rsidRPr="00361664" w:rsidTr="00C901FA">
        <w:trPr>
          <w:trHeight w:val="20"/>
        </w:trPr>
        <w:tc>
          <w:tcPr>
            <w:tcW w:w="654" w:type="pct"/>
            <w:vMerge/>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Financijska sredstva i izvori financiranja</w:t>
            </w:r>
          </w:p>
        </w:tc>
        <w:tc>
          <w:tcPr>
            <w:tcW w:w="3524" w:type="pct"/>
            <w:vAlign w:val="center"/>
          </w:tcPr>
          <w:p w:rsidR="00C745B5" w:rsidRPr="00361664" w:rsidRDefault="00A82815"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w:t>
            </w:r>
          </w:p>
        </w:tc>
      </w:tr>
      <w:tr w:rsidR="00C745B5" w:rsidRPr="00361664" w:rsidTr="00C901FA">
        <w:trPr>
          <w:trHeight w:val="20"/>
        </w:trPr>
        <w:tc>
          <w:tcPr>
            <w:tcW w:w="654" w:type="pct"/>
            <w:vMerge/>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Izvršno  tijelo</w:t>
            </w:r>
          </w:p>
        </w:tc>
        <w:tc>
          <w:tcPr>
            <w:tcW w:w="3524" w:type="pct"/>
            <w:vAlign w:val="center"/>
          </w:tcPr>
          <w:p w:rsidR="00194ED3" w:rsidRPr="00361664" w:rsidRDefault="00194ED3"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HERA</w:t>
            </w:r>
            <w:r w:rsidR="002B4068" w:rsidRPr="00361664">
              <w:rPr>
                <w:rFonts w:asciiTheme="minorHAnsi" w:hAnsiTheme="minorHAnsi"/>
                <w:sz w:val="20"/>
                <w:lang w:val="hr-HR"/>
              </w:rPr>
              <w:t xml:space="preserve"> – nadzor nad primjenom zakonskih propisa</w:t>
            </w:r>
          </w:p>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Operateri distribucijskih sustava, opskrbljivači</w:t>
            </w:r>
          </w:p>
          <w:p w:rsidR="00C745B5" w:rsidRPr="00361664" w:rsidRDefault="007F7700" w:rsidP="002B4068">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sz w:val="20"/>
                <w:lang w:val="hr-HR"/>
              </w:rPr>
              <w:t>NKT</w:t>
            </w:r>
            <w:r w:rsidR="00C745B5" w:rsidRPr="00361664">
              <w:rPr>
                <w:rFonts w:asciiTheme="minorHAnsi" w:hAnsiTheme="minorHAnsi"/>
                <w:sz w:val="20"/>
                <w:lang w:val="hr-HR"/>
              </w:rPr>
              <w:t>: izrađivanje naputka</w:t>
            </w:r>
          </w:p>
        </w:tc>
      </w:tr>
      <w:tr w:rsidR="00C745B5" w:rsidRPr="00361664" w:rsidTr="00C901FA">
        <w:trPr>
          <w:trHeight w:val="20"/>
        </w:trPr>
        <w:tc>
          <w:tcPr>
            <w:tcW w:w="654" w:type="pct"/>
            <w:vMerge/>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640C0B"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Tijelo za praćenje, mjerenje i verifikaciju ušteda</w:t>
            </w:r>
          </w:p>
        </w:tc>
        <w:tc>
          <w:tcPr>
            <w:tcW w:w="3524" w:type="pct"/>
            <w:vAlign w:val="center"/>
          </w:tcPr>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NKT </w:t>
            </w:r>
          </w:p>
        </w:tc>
      </w:tr>
      <w:tr w:rsidR="00C745B5" w:rsidRPr="00361664" w:rsidTr="00C901FA">
        <w:trPr>
          <w:trHeight w:val="20"/>
        </w:trPr>
        <w:tc>
          <w:tcPr>
            <w:tcW w:w="654" w:type="pct"/>
            <w:vMerge w:val="restart"/>
            <w:vAlign w:val="center"/>
          </w:tcPr>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color w:val="FF0000"/>
                <w:sz w:val="20"/>
                <w:lang w:val="hr-HR"/>
              </w:rPr>
            </w:pPr>
            <w:r w:rsidRPr="00361664">
              <w:rPr>
                <w:rFonts w:asciiTheme="minorHAnsi" w:hAnsiTheme="minorHAnsi"/>
                <w:sz w:val="20"/>
                <w:lang w:val="hr-HR"/>
              </w:rPr>
              <w:t>Uštede energije</w:t>
            </w:r>
          </w:p>
          <w:p w:rsidR="00C745B5" w:rsidRPr="00361664" w:rsidRDefault="00C745B5" w:rsidP="00C901FA">
            <w:pPr>
              <w:pStyle w:val="Tabletext"/>
              <w:tabs>
                <w:tab w:val="left" w:pos="1440"/>
                <w:tab w:val="left" w:pos="5040"/>
              </w:tabs>
              <w:spacing w:before="0" w:after="0" w:line="240" w:lineRule="auto"/>
              <w:jc w:val="center"/>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Metoda praćenja / mjerenja ušteda energije</w:t>
            </w:r>
          </w:p>
        </w:tc>
        <w:tc>
          <w:tcPr>
            <w:tcW w:w="3524" w:type="pct"/>
            <w:vAlign w:val="center"/>
          </w:tcPr>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Učinak ove mjere može se mjeriti TD pokazateljima prema preporukama Europske komisije (pokazatelji P1 i P3).</w:t>
            </w:r>
          </w:p>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(Pokazatelji: P1: Potrošnja energije za grijanje po jedinici površine s klimatskom korekcijom</w:t>
            </w:r>
          </w:p>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P3: Potrošnja energija za grijanje vode po stanovniku)</w:t>
            </w:r>
          </w:p>
          <w:p w:rsidR="00C745B5" w:rsidRPr="00361664" w:rsidRDefault="00C745B5" w:rsidP="002B4068">
            <w:pPr>
              <w:pStyle w:val="Tabletext"/>
              <w:tabs>
                <w:tab w:val="left" w:pos="1440"/>
                <w:tab w:val="left" w:pos="5040"/>
              </w:tabs>
              <w:spacing w:before="0" w:after="0" w:line="240" w:lineRule="auto"/>
              <w:rPr>
                <w:rFonts w:asciiTheme="minorHAnsi" w:hAnsiTheme="minorHAnsi"/>
                <w:sz w:val="20"/>
                <w:lang w:val="hr-HR"/>
              </w:rPr>
            </w:pPr>
          </w:p>
        </w:tc>
      </w:tr>
      <w:tr w:rsidR="00C745B5" w:rsidRPr="00361664" w:rsidTr="00C901FA">
        <w:trPr>
          <w:trHeight w:val="20"/>
        </w:trPr>
        <w:tc>
          <w:tcPr>
            <w:tcW w:w="654" w:type="pct"/>
            <w:vMerge/>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p>
        </w:tc>
        <w:tc>
          <w:tcPr>
            <w:tcW w:w="822" w:type="pct"/>
            <w:vAlign w:val="center"/>
          </w:tcPr>
          <w:p w:rsidR="00C745B5" w:rsidRPr="00361664" w:rsidRDefault="00870134" w:rsidP="00C901FA">
            <w:pPr>
              <w:pStyle w:val="Tabletext"/>
              <w:tabs>
                <w:tab w:val="left" w:pos="1440"/>
                <w:tab w:val="left" w:pos="5040"/>
              </w:tabs>
              <w:spacing w:before="0" w:after="0" w:line="240" w:lineRule="auto"/>
              <w:jc w:val="left"/>
              <w:rPr>
                <w:rFonts w:asciiTheme="minorHAnsi" w:hAnsiTheme="minorHAnsi"/>
                <w:color w:val="FF0000"/>
                <w:sz w:val="20"/>
                <w:lang w:val="hr-HR"/>
              </w:rPr>
            </w:pPr>
            <w:r w:rsidRPr="00361664">
              <w:rPr>
                <w:rFonts w:asciiTheme="minorHAnsi" w:hAnsiTheme="minorHAnsi"/>
                <w:sz w:val="20"/>
                <w:lang w:val="hr-HR"/>
              </w:rPr>
              <w:t>Očekivane uštede energije do kraja 2019.</w:t>
            </w:r>
          </w:p>
        </w:tc>
        <w:tc>
          <w:tcPr>
            <w:tcW w:w="3524" w:type="pct"/>
            <w:shd w:val="clear" w:color="auto" w:fill="auto"/>
            <w:vAlign w:val="center"/>
          </w:tcPr>
          <w:p w:rsidR="00C745B5" w:rsidRPr="00361664" w:rsidRDefault="004831DF"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tc>
      </w:tr>
      <w:tr w:rsidR="00C745B5" w:rsidRPr="00361664" w:rsidTr="00C901FA">
        <w:trPr>
          <w:trHeight w:val="20"/>
        </w:trPr>
        <w:tc>
          <w:tcPr>
            <w:tcW w:w="654" w:type="pct"/>
            <w:vMerge/>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p>
        </w:tc>
        <w:tc>
          <w:tcPr>
            <w:tcW w:w="822" w:type="pct"/>
            <w:vAlign w:val="center"/>
          </w:tcPr>
          <w:p w:rsidR="00C745B5" w:rsidRPr="00361664" w:rsidRDefault="004831DF" w:rsidP="00C901FA">
            <w:pPr>
              <w:pStyle w:val="Tabletext"/>
              <w:tabs>
                <w:tab w:val="left" w:pos="1440"/>
                <w:tab w:val="left" w:pos="5040"/>
              </w:tabs>
              <w:spacing w:before="0" w:after="0" w:line="240" w:lineRule="auto"/>
              <w:jc w:val="left"/>
              <w:rPr>
                <w:rFonts w:asciiTheme="minorHAnsi" w:hAnsiTheme="minorHAnsi"/>
                <w:sz w:val="20"/>
                <w:highlight w:val="yellow"/>
                <w:lang w:val="hr-HR"/>
              </w:rPr>
            </w:pPr>
            <w:r w:rsidRPr="00361664">
              <w:rPr>
                <w:rFonts w:asciiTheme="minorHAnsi" w:hAnsiTheme="minorHAnsi"/>
                <w:sz w:val="20"/>
                <w:lang w:val="hr-HR"/>
              </w:rPr>
              <w:t>Očekivane uštede energije do kraja 2020.</w:t>
            </w:r>
          </w:p>
        </w:tc>
        <w:tc>
          <w:tcPr>
            <w:tcW w:w="3524" w:type="pct"/>
            <w:vAlign w:val="center"/>
          </w:tcPr>
          <w:p w:rsidR="00C745B5" w:rsidRPr="00361664" w:rsidRDefault="004831DF" w:rsidP="002B406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tc>
      </w:tr>
      <w:tr w:rsidR="00C745B5" w:rsidRPr="00361664" w:rsidTr="00C901FA">
        <w:trPr>
          <w:trHeight w:val="20"/>
        </w:trPr>
        <w:tc>
          <w:tcPr>
            <w:tcW w:w="654" w:type="pct"/>
            <w:vMerge/>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color w:val="FF0000"/>
                <w:sz w:val="20"/>
                <w:lang w:val="hr-HR"/>
              </w:rPr>
            </w:pPr>
            <w:r w:rsidRPr="00361664">
              <w:rPr>
                <w:rFonts w:asciiTheme="minorHAnsi" w:hAnsiTheme="minorHAnsi"/>
                <w:sz w:val="20"/>
                <w:lang w:val="hr-HR"/>
              </w:rPr>
              <w:t>Pretpostavke</w:t>
            </w:r>
          </w:p>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p>
        </w:tc>
        <w:tc>
          <w:tcPr>
            <w:tcW w:w="3524" w:type="pct"/>
            <w:vAlign w:val="center"/>
          </w:tcPr>
          <w:p w:rsidR="00C745B5" w:rsidRPr="00361664" w:rsidRDefault="004831DF" w:rsidP="002B4068">
            <w:pPr>
              <w:pStyle w:val="Tabletext"/>
              <w:tabs>
                <w:tab w:val="left" w:pos="1440"/>
                <w:tab w:val="left" w:pos="5040"/>
              </w:tabs>
              <w:spacing w:before="0" w:after="0" w:line="240" w:lineRule="auto"/>
              <w:rPr>
                <w:rFonts w:asciiTheme="minorHAnsi" w:hAnsiTheme="minorHAnsi"/>
                <w:sz w:val="20"/>
                <w:highlight w:val="cyan"/>
                <w:lang w:val="hr-HR"/>
              </w:rPr>
            </w:pPr>
            <w:r w:rsidRPr="00361664">
              <w:rPr>
                <w:rFonts w:asciiTheme="minorHAnsi" w:hAnsiTheme="minorHAnsi"/>
                <w:sz w:val="20"/>
                <w:lang w:val="hr-HR"/>
              </w:rPr>
              <w:t>/</w:t>
            </w:r>
          </w:p>
        </w:tc>
      </w:tr>
      <w:tr w:rsidR="00C745B5" w:rsidRPr="00361664" w:rsidTr="00C901FA">
        <w:trPr>
          <w:trHeight w:val="20"/>
        </w:trPr>
        <w:tc>
          <w:tcPr>
            <w:tcW w:w="654" w:type="pct"/>
            <w:vMerge/>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p>
        </w:tc>
        <w:tc>
          <w:tcPr>
            <w:tcW w:w="822" w:type="pct"/>
            <w:vAlign w:val="center"/>
          </w:tcPr>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Preklapanja, efekt množenja, sinergija</w:t>
            </w:r>
          </w:p>
          <w:p w:rsidR="00C745B5" w:rsidRPr="00361664" w:rsidRDefault="00C745B5" w:rsidP="00C901FA">
            <w:pPr>
              <w:pStyle w:val="Tabletext"/>
              <w:tabs>
                <w:tab w:val="left" w:pos="1440"/>
                <w:tab w:val="left" w:pos="5040"/>
              </w:tabs>
              <w:spacing w:before="0" w:after="0" w:line="240" w:lineRule="auto"/>
              <w:jc w:val="left"/>
              <w:rPr>
                <w:rFonts w:asciiTheme="minorHAnsi" w:hAnsiTheme="minorHAnsi"/>
                <w:sz w:val="20"/>
                <w:lang w:val="hr-HR"/>
              </w:rPr>
            </w:pPr>
          </w:p>
        </w:tc>
        <w:tc>
          <w:tcPr>
            <w:tcW w:w="3524" w:type="pct"/>
            <w:vAlign w:val="center"/>
          </w:tcPr>
          <w:p w:rsidR="00C745B5" w:rsidRPr="00361664" w:rsidRDefault="00C745B5" w:rsidP="002B4068">
            <w:pPr>
              <w:tabs>
                <w:tab w:val="left" w:pos="1440"/>
                <w:tab w:val="left" w:pos="5040"/>
              </w:tabs>
              <w:spacing w:after="0" w:line="240" w:lineRule="auto"/>
              <w:jc w:val="both"/>
              <w:rPr>
                <w:rFonts w:asciiTheme="minorHAnsi" w:hAnsiTheme="minorHAnsi"/>
                <w:sz w:val="20"/>
                <w:szCs w:val="20"/>
              </w:rPr>
            </w:pPr>
            <w:r w:rsidRPr="00361664">
              <w:rPr>
                <w:rFonts w:asciiTheme="minorHAnsi" w:hAnsiTheme="minorHAnsi"/>
                <w:sz w:val="20"/>
                <w:szCs w:val="20"/>
              </w:rPr>
              <w:t>Ova mjera ima učinke prvenstveno u sektoru kućanstava te će se učinci u smislu energetskih ušteda prikazivati u tom sektoru. Računi trebaju sadržavati informacije o tome gdje je moguće dobiti savjete o učinkovitoj potrošnji energije što je i veza na sljedeću mjeru: Info kampanje, odnosno veza na Nacionalni portal energetske učinkovitosti – ENU.HR.</w:t>
            </w:r>
          </w:p>
        </w:tc>
      </w:tr>
    </w:tbl>
    <w:p w:rsidR="00C456A3" w:rsidRPr="00361664" w:rsidRDefault="00C456A3" w:rsidP="00651BCA">
      <w:pPr>
        <w:pStyle w:val="Tabletext"/>
        <w:tabs>
          <w:tab w:val="left" w:pos="1440"/>
          <w:tab w:val="left" w:pos="5040"/>
        </w:tabs>
        <w:spacing w:before="0" w:after="0" w:line="240" w:lineRule="auto"/>
        <w:rPr>
          <w:rFonts w:asciiTheme="minorHAnsi" w:hAnsiTheme="minorHAnsi"/>
          <w:b/>
          <w:sz w:val="20"/>
          <w:lang w:val="hr-HR"/>
        </w:rPr>
      </w:pPr>
    </w:p>
    <w:p w:rsidR="00C745B5" w:rsidRPr="00361664" w:rsidRDefault="00F1792A" w:rsidP="00C84DC5">
      <w:pPr>
        <w:rPr>
          <w:rFonts w:asciiTheme="minorHAnsi" w:hAnsiTheme="minorHAnsi"/>
          <w:b/>
          <w:sz w:val="20"/>
        </w:rPr>
      </w:pPr>
      <w:r w:rsidRPr="00361664">
        <w:rPr>
          <w:rFonts w:asciiTheme="minorHAnsi" w:hAnsiTheme="minorHAnsi"/>
          <w:b/>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540"/>
        <w:gridCol w:w="6388"/>
      </w:tblGrid>
      <w:tr w:rsidR="00AD7F64" w:rsidRPr="00361664" w:rsidTr="00AD7F64">
        <w:trPr>
          <w:trHeight w:val="20"/>
          <w:jc w:val="center"/>
        </w:trPr>
        <w:tc>
          <w:tcPr>
            <w:tcW w:w="1561" w:type="pct"/>
            <w:gridSpan w:val="2"/>
            <w:tcBorders>
              <w:top w:val="single" w:sz="4" w:space="0" w:color="auto"/>
              <w:left w:val="single" w:sz="4" w:space="0" w:color="auto"/>
              <w:bottom w:val="single" w:sz="4" w:space="0" w:color="auto"/>
              <w:right w:val="single" w:sz="4" w:space="0" w:color="auto"/>
            </w:tcBorders>
            <w:shd w:val="clear" w:color="auto" w:fill="CCFFCC"/>
          </w:tcPr>
          <w:p w:rsidR="00AD7F64" w:rsidRPr="00361664" w:rsidRDefault="00AD7F64" w:rsidP="00651BCA">
            <w:pPr>
              <w:spacing w:after="0" w:line="259" w:lineRule="auto"/>
              <w:jc w:val="both"/>
              <w:rPr>
                <w:rFonts w:eastAsia="Calibri" w:cs="Calibri"/>
                <w:b/>
                <w:sz w:val="20"/>
                <w:szCs w:val="20"/>
              </w:rPr>
            </w:pPr>
          </w:p>
        </w:tc>
        <w:tc>
          <w:tcPr>
            <w:tcW w:w="3439" w:type="pct"/>
            <w:tcBorders>
              <w:top w:val="single" w:sz="4" w:space="0" w:color="auto"/>
              <w:left w:val="single" w:sz="4" w:space="0" w:color="auto"/>
              <w:bottom w:val="single" w:sz="4" w:space="0" w:color="auto"/>
              <w:right w:val="single" w:sz="4" w:space="0" w:color="auto"/>
            </w:tcBorders>
            <w:shd w:val="clear" w:color="auto" w:fill="CCFFCC"/>
          </w:tcPr>
          <w:p w:rsidR="00AD7F64" w:rsidRPr="00361664" w:rsidRDefault="00AD7F64" w:rsidP="00651BCA">
            <w:pPr>
              <w:spacing w:after="0" w:line="259" w:lineRule="auto"/>
              <w:jc w:val="both"/>
              <w:rPr>
                <w:rFonts w:eastAsia="Calibri" w:cs="Calibri"/>
                <w:b/>
                <w:sz w:val="20"/>
                <w:szCs w:val="20"/>
              </w:rPr>
            </w:pPr>
            <w:r w:rsidRPr="00361664">
              <w:rPr>
                <w:rFonts w:eastAsia="Calibri" w:cs="Calibri"/>
                <w:b/>
                <w:sz w:val="20"/>
                <w:szCs w:val="20"/>
              </w:rPr>
              <w:t xml:space="preserve">Info kampanje i promocija energetskih usluga </w:t>
            </w:r>
          </w:p>
        </w:tc>
      </w:tr>
      <w:tr w:rsidR="00AD7F64" w:rsidRPr="00361664" w:rsidTr="00AD7F64">
        <w:trPr>
          <w:trHeight w:val="339"/>
          <w:jc w:val="center"/>
        </w:trPr>
        <w:tc>
          <w:tcPr>
            <w:tcW w:w="15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Indeks mjere</w:t>
            </w:r>
          </w:p>
        </w:tc>
        <w:tc>
          <w:tcPr>
            <w:tcW w:w="3439" w:type="pct"/>
            <w:tcBorders>
              <w:top w:val="single" w:sz="4" w:space="0" w:color="auto"/>
              <w:left w:val="single" w:sz="4" w:space="0" w:color="auto"/>
              <w:bottom w:val="single" w:sz="4" w:space="0" w:color="auto"/>
              <w:right w:val="single" w:sz="4" w:space="0" w:color="auto"/>
            </w:tcBorders>
            <w:shd w:val="clear" w:color="auto" w:fill="auto"/>
            <w:vAlign w:val="center"/>
          </w:tcPr>
          <w:p w:rsidR="00AD7F64" w:rsidRPr="00361664" w:rsidRDefault="00751A89" w:rsidP="00651BCA">
            <w:pPr>
              <w:spacing w:after="0" w:line="240" w:lineRule="auto"/>
              <w:jc w:val="both"/>
              <w:rPr>
                <w:rFonts w:eastAsia="Calibri" w:cs="Calibri"/>
                <w:sz w:val="20"/>
                <w:szCs w:val="20"/>
              </w:rPr>
            </w:pPr>
            <w:r w:rsidRPr="00361664">
              <w:rPr>
                <w:rFonts w:eastAsia="Calibri" w:cs="Calibri"/>
                <w:sz w:val="20"/>
                <w:szCs w:val="20"/>
              </w:rPr>
              <w:t>H.2</w:t>
            </w:r>
          </w:p>
        </w:tc>
      </w:tr>
      <w:tr w:rsidR="00AD7F64" w:rsidRPr="00361664" w:rsidTr="00AD7F64">
        <w:trPr>
          <w:trHeight w:val="20"/>
          <w:jc w:val="center"/>
        </w:trPr>
        <w:tc>
          <w:tcPr>
            <w:tcW w:w="732" w:type="pct"/>
            <w:vMerge w:val="restart"/>
            <w:vAlign w:val="center"/>
          </w:tcPr>
          <w:p w:rsidR="00AD7F64" w:rsidRPr="00361664" w:rsidRDefault="00AD7F64" w:rsidP="00651BCA">
            <w:pPr>
              <w:spacing w:after="0" w:line="259" w:lineRule="auto"/>
              <w:jc w:val="both"/>
              <w:rPr>
                <w:rFonts w:eastAsia="Calibri" w:cs="Calibri"/>
                <w:sz w:val="20"/>
                <w:szCs w:val="20"/>
              </w:rPr>
            </w:pPr>
          </w:p>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Opis</w:t>
            </w: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Kategorija</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Informacijske i obvezne informacijske mjere</w:t>
            </w:r>
          </w:p>
        </w:tc>
      </w:tr>
      <w:tr w:rsidR="00AD7F64" w:rsidRPr="00361664" w:rsidTr="00AD7F64">
        <w:trPr>
          <w:trHeight w:val="1158"/>
          <w:jc w:val="center"/>
        </w:trPr>
        <w:tc>
          <w:tcPr>
            <w:tcW w:w="732" w:type="pct"/>
            <w:vMerge/>
            <w:vAlign w:val="center"/>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Vremenski okvir</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Početak: 2007.</w:t>
            </w:r>
          </w:p>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Kraj:</w:t>
            </w:r>
            <w:r w:rsidR="009E557D">
              <w:rPr>
                <w:rFonts w:eastAsia="Calibri" w:cs="Calibri"/>
                <w:sz w:val="20"/>
                <w:szCs w:val="20"/>
              </w:rPr>
              <w:t xml:space="preserve"> </w:t>
            </w:r>
            <w:r w:rsidRPr="00361664">
              <w:rPr>
                <w:rFonts w:eastAsia="Calibri" w:cs="Calibri"/>
                <w:sz w:val="20"/>
                <w:szCs w:val="20"/>
              </w:rPr>
              <w:t>2025.</w:t>
            </w:r>
          </w:p>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Nastavlja se provedba dosadašnjih aktivnosti sa sufinanciranjem. </w:t>
            </w:r>
          </w:p>
        </w:tc>
      </w:tr>
      <w:tr w:rsidR="00AD7F64" w:rsidRPr="00361664" w:rsidTr="00AD7F64">
        <w:trPr>
          <w:trHeight w:val="20"/>
          <w:jc w:val="center"/>
        </w:trPr>
        <w:tc>
          <w:tcPr>
            <w:tcW w:w="732" w:type="pct"/>
            <w:vMerge/>
            <w:vAlign w:val="center"/>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Cilj / kratak opis</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Info kampanjama nastoji se podići svijest ciljanih skupina o koristima i mogućnostima poboljšanja energetske učinkovitosti. Najučinkovitije su kampanje u ograničenom razdoblju i usmjerene na specifične aktivnosti, primjerice na toplinsku izolaciju zgrada, na učinkovitiju rasvjetu i slično. Ciljanim info kampanjama potrebno je obuhvatiti sve sudionike koji učestvuju u postizanju cilja povećanja energetske učinkovitosti.</w:t>
            </w:r>
          </w:p>
        </w:tc>
      </w:tr>
      <w:tr w:rsidR="00AD7F64" w:rsidRPr="00361664" w:rsidTr="00AD7F64">
        <w:trPr>
          <w:trHeight w:val="20"/>
          <w:jc w:val="center"/>
        </w:trPr>
        <w:tc>
          <w:tcPr>
            <w:tcW w:w="732" w:type="pct"/>
            <w:vMerge/>
            <w:vAlign w:val="center"/>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Ciljna neposredna potrošnja</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Svi sektori i sva potrošnja (od građana do javnih tijela i gospodarstva). </w:t>
            </w:r>
          </w:p>
        </w:tc>
      </w:tr>
      <w:tr w:rsidR="00AD7F64" w:rsidRPr="00361664" w:rsidTr="00AD7F64">
        <w:trPr>
          <w:trHeight w:val="20"/>
          <w:jc w:val="center"/>
        </w:trPr>
        <w:tc>
          <w:tcPr>
            <w:tcW w:w="732" w:type="pct"/>
            <w:vMerge/>
            <w:vAlign w:val="center"/>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Ciljna skupina</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Ova mjera je dopuna većine ostalih mjera ovog akcijskog plana i kao takva ima učinak na sve krajnje korisnike tih mjera.</w:t>
            </w:r>
          </w:p>
        </w:tc>
      </w:tr>
      <w:tr w:rsidR="00AD7F64" w:rsidRPr="00361664" w:rsidTr="00AD7F64">
        <w:trPr>
          <w:trHeight w:val="20"/>
          <w:jc w:val="center"/>
        </w:trPr>
        <w:tc>
          <w:tcPr>
            <w:tcW w:w="732" w:type="pct"/>
            <w:vMerge/>
            <w:vAlign w:val="center"/>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Regionalna primjena</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Nacionalno</w:t>
            </w:r>
          </w:p>
        </w:tc>
      </w:tr>
      <w:tr w:rsidR="00AD7F64" w:rsidRPr="00361664" w:rsidTr="00AD7F64">
        <w:trPr>
          <w:trHeight w:val="20"/>
          <w:jc w:val="center"/>
        </w:trPr>
        <w:tc>
          <w:tcPr>
            <w:tcW w:w="732" w:type="pct"/>
            <w:vMerge w:val="restar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Informacije o  provedbi</w:t>
            </w: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Popis i opis aktivnosti za provođenje mjere </w:t>
            </w:r>
          </w:p>
        </w:tc>
        <w:tc>
          <w:tcPr>
            <w:tcW w:w="3439" w:type="pct"/>
            <w:vAlign w:val="center"/>
          </w:tcPr>
          <w:p w:rsidR="00AD7F64" w:rsidRPr="00361664" w:rsidRDefault="009E557D" w:rsidP="00651BCA">
            <w:pPr>
              <w:spacing w:after="0" w:line="259" w:lineRule="auto"/>
              <w:jc w:val="both"/>
              <w:rPr>
                <w:rFonts w:eastAsia="Calibri" w:cs="Calibri"/>
                <w:sz w:val="20"/>
                <w:szCs w:val="20"/>
              </w:rPr>
            </w:pPr>
            <w:r>
              <w:rPr>
                <w:rFonts w:eastAsia="Calibri" w:cs="Calibri"/>
                <w:sz w:val="20"/>
                <w:szCs w:val="20"/>
              </w:rPr>
              <w:t>A</w:t>
            </w:r>
            <w:r w:rsidR="00AD7F64" w:rsidRPr="00361664">
              <w:rPr>
                <w:rFonts w:eastAsia="Calibri" w:cs="Calibri"/>
                <w:sz w:val="20"/>
                <w:szCs w:val="20"/>
              </w:rPr>
              <w:t xml:space="preserve">ktivnosti: </w:t>
            </w:r>
          </w:p>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Opća nacionalna medijska kampanja više se ne provodi osim putem Nacionalnog portala za energetsku učinkovitost. Provodit će se ciljane aktivnosti usmjerene na pojedine skupine korisnika i/ili pojedine oblike neposredne potrošnje energije. Takve aktivnosti najčešće su popraćene financijskim potporama. Svaki program sufinanciranja kojeg uvodi određeno provedbeno tijelo prema mjerama definiranim u ovom NAPEnU mora biti praćen snažnim promotivnim aktivnostima. Svako pojedino provedbeno tijelo treba financirati ove aktivnosti te ih koordinirati s NKT. </w:t>
            </w:r>
          </w:p>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Ciljane aktivnosti usmjerene na pojedine skupine korisnika i/ili pojedine oblike neposredne potrošnje energije provodit će se Programom energetske obnove javnih zgrada, Programom energetske obnove obiteljskih kuća, Programom energetske obnove višestambenih zgrada,  Programom energetske obnove komercijalnih zgrada od 2014</w:t>
            </w:r>
            <w:r w:rsidR="00286490" w:rsidRPr="00361664">
              <w:rPr>
                <w:rFonts w:eastAsia="Calibri" w:cs="Calibri"/>
                <w:sz w:val="20"/>
                <w:szCs w:val="20"/>
              </w:rPr>
              <w:t>.</w:t>
            </w:r>
            <w:r w:rsidRPr="00361664">
              <w:rPr>
                <w:rFonts w:eastAsia="Calibri" w:cs="Calibri"/>
                <w:sz w:val="20"/>
                <w:szCs w:val="20"/>
              </w:rPr>
              <w:t xml:space="preserve"> do 2020. godine te Mrežom industrijske energetske efikasnosti kao mjerom koja potiče energetsku učinkovitost u gospodarstvu. Također, info kampanje će se redovito provoditi </w:t>
            </w:r>
            <w:r w:rsidR="00286490" w:rsidRPr="00361664">
              <w:rPr>
                <w:rFonts w:eastAsia="Calibri" w:cs="Calibri"/>
                <w:sz w:val="20"/>
                <w:szCs w:val="20"/>
              </w:rPr>
              <w:t xml:space="preserve">i pratiti </w:t>
            </w:r>
            <w:r w:rsidRPr="00361664">
              <w:rPr>
                <w:rFonts w:eastAsia="Calibri" w:cs="Calibri"/>
                <w:sz w:val="20"/>
                <w:szCs w:val="20"/>
              </w:rPr>
              <w:t>putem Nacionalnog portala za energetsku učinkovitost</w:t>
            </w:r>
            <w:r w:rsidR="00286490" w:rsidRPr="00361664">
              <w:rPr>
                <w:rFonts w:eastAsia="Calibri" w:cs="Calibri"/>
                <w:sz w:val="20"/>
                <w:szCs w:val="20"/>
              </w:rPr>
              <w:t xml:space="preserve"> www.enu.hr</w:t>
            </w:r>
            <w:r w:rsidRPr="00361664">
              <w:rPr>
                <w:rFonts w:eastAsia="Calibri" w:cs="Calibri"/>
                <w:sz w:val="20"/>
                <w:szCs w:val="20"/>
              </w:rPr>
              <w:t xml:space="preserve">. Nacionalni portal za energetsku učinkovitost je centralno mjesto o informiranju o aktualnostima u području ušteda energije u Republici Hrvatskoj. Sadržaj portala je grupiran oko tri temeljna nositelja promjena: </w:t>
            </w:r>
            <w:r w:rsidRPr="00361664">
              <w:rPr>
                <w:rFonts w:eastAsia="Calibri" w:cs="Calibri"/>
                <w:bCs/>
                <w:sz w:val="20"/>
                <w:szCs w:val="20"/>
              </w:rPr>
              <w:t>građani</w:t>
            </w:r>
            <w:r w:rsidRPr="00361664">
              <w:rPr>
                <w:rFonts w:eastAsia="Calibri" w:cs="Calibri"/>
                <w:sz w:val="20"/>
                <w:szCs w:val="20"/>
              </w:rPr>
              <w:t xml:space="preserve">, </w:t>
            </w:r>
            <w:r w:rsidRPr="00361664">
              <w:rPr>
                <w:rFonts w:eastAsia="Calibri" w:cs="Calibri"/>
                <w:bCs/>
                <w:sz w:val="20"/>
                <w:szCs w:val="20"/>
              </w:rPr>
              <w:t>javni sektor</w:t>
            </w:r>
            <w:r w:rsidRPr="00361664">
              <w:rPr>
                <w:rFonts w:eastAsia="Calibri" w:cs="Calibri"/>
                <w:sz w:val="20"/>
                <w:szCs w:val="20"/>
              </w:rPr>
              <w:t xml:space="preserve">, </w:t>
            </w:r>
            <w:r w:rsidRPr="00361664">
              <w:rPr>
                <w:rFonts w:eastAsia="Calibri" w:cs="Calibri"/>
                <w:bCs/>
                <w:sz w:val="20"/>
                <w:szCs w:val="20"/>
              </w:rPr>
              <w:t>komercijalni sektor</w:t>
            </w:r>
            <w:r w:rsidRPr="00361664">
              <w:rPr>
                <w:rFonts w:eastAsia="Calibri" w:cs="Calibri"/>
                <w:sz w:val="20"/>
                <w:szCs w:val="20"/>
              </w:rPr>
              <w:t xml:space="preserve"> uz rubriku </w:t>
            </w:r>
            <w:r w:rsidRPr="00361664">
              <w:rPr>
                <w:rFonts w:eastAsia="Calibri" w:cs="Calibri"/>
                <w:bCs/>
                <w:sz w:val="20"/>
                <w:szCs w:val="20"/>
              </w:rPr>
              <w:t>EE u Hrvatskoj</w:t>
            </w:r>
            <w:r w:rsidRPr="00361664">
              <w:rPr>
                <w:rFonts w:eastAsia="Calibri" w:cs="Calibri"/>
                <w:sz w:val="20"/>
                <w:szCs w:val="20"/>
              </w:rPr>
              <w:t>koja sadrži sve važne dokumente, strateška usmjerenja i informacije o institucijama koje djeluju unutar područja energetske učinkovitosti. Portal objavljuje sve informacije o aktivnostima, savjetima, događanjima, projektima, natječajima, novostima i obavezama vezanim uz energetsku učinkovitost u Republici Hrvatskoj.</w:t>
            </w:r>
          </w:p>
        </w:tc>
      </w:tr>
      <w:tr w:rsidR="00AD7F64" w:rsidRPr="00361664" w:rsidTr="00AD7F64">
        <w:trPr>
          <w:trHeight w:val="1177"/>
          <w:jc w:val="center"/>
        </w:trPr>
        <w:tc>
          <w:tcPr>
            <w:tcW w:w="732" w:type="pct"/>
            <w:vMerge/>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Financijska sredstva i izvori financiranja</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Planirana sredstva do kraja 2019.: Svako provedbeno tijelo treba osigurati potrebna sredstva za promociju mjera definiranih u NAPEnU</w:t>
            </w:r>
            <w:r w:rsidR="00A82815" w:rsidRPr="00361664">
              <w:rPr>
                <w:rFonts w:eastAsia="Calibri" w:cs="Calibri"/>
                <w:sz w:val="20"/>
                <w:szCs w:val="20"/>
              </w:rPr>
              <w:t>.</w:t>
            </w:r>
          </w:p>
          <w:p w:rsidR="00A82815" w:rsidRPr="00361664" w:rsidRDefault="00A82815" w:rsidP="00651BCA">
            <w:pPr>
              <w:spacing w:after="0" w:line="259" w:lineRule="auto"/>
              <w:jc w:val="both"/>
              <w:rPr>
                <w:rFonts w:eastAsia="Calibri" w:cs="Calibri"/>
                <w:sz w:val="20"/>
                <w:szCs w:val="20"/>
              </w:rPr>
            </w:pPr>
          </w:p>
          <w:p w:rsidR="00A82815" w:rsidRPr="00361664" w:rsidRDefault="00A82815" w:rsidP="00651BCA">
            <w:pPr>
              <w:spacing w:after="0" w:line="259" w:lineRule="auto"/>
              <w:jc w:val="both"/>
              <w:rPr>
                <w:rFonts w:eastAsia="Calibri" w:cs="Calibri"/>
                <w:sz w:val="20"/>
                <w:szCs w:val="20"/>
              </w:rPr>
            </w:pPr>
            <w:r w:rsidRPr="00361664">
              <w:rPr>
                <w:rFonts w:eastAsia="Calibri" w:cs="Calibri"/>
                <w:sz w:val="20"/>
                <w:szCs w:val="20"/>
              </w:rPr>
              <w:t xml:space="preserve">Za financiranje horizontalnih mjera za promidžbu i vidljivost projekata </w:t>
            </w:r>
            <w:r w:rsidRPr="00361664">
              <w:rPr>
                <w:rFonts w:eastAsia="Calibri" w:cs="Calibri"/>
                <w:sz w:val="20"/>
                <w:szCs w:val="20"/>
              </w:rPr>
              <w:lastRenderedPageBreak/>
              <w:t>koriste se sredstva namijenjena tematskom cilju „Podrška prelasku na ekonomiju s niskom razinom emisije CO</w:t>
            </w:r>
            <w:r w:rsidRPr="00361664">
              <w:rPr>
                <w:rFonts w:eastAsia="Calibri" w:cs="Calibri"/>
                <w:sz w:val="20"/>
                <w:szCs w:val="20"/>
                <w:vertAlign w:val="subscript"/>
              </w:rPr>
              <w:t>2</w:t>
            </w:r>
            <w:r w:rsidRPr="00361664">
              <w:rPr>
                <w:rFonts w:eastAsia="Calibri" w:cs="Calibri"/>
                <w:sz w:val="20"/>
                <w:szCs w:val="20"/>
              </w:rPr>
              <w:t xml:space="preserve"> u svim sektorima“, kao jedan od izabranih ciljeva u koji se usmjeravaju sredstva unutar Operativnog programa Konkurentnost i kohezija 2014. - . 2020. sve uz suradnju s posredničkim tijelima razine 1 uz stručno-tehničku suradnju s Fondom za zaštitu okoliša i energetsku učinkovitost. </w:t>
            </w:r>
          </w:p>
        </w:tc>
      </w:tr>
      <w:tr w:rsidR="00AD7F64" w:rsidRPr="00361664" w:rsidTr="00AD7F64">
        <w:trPr>
          <w:trHeight w:val="20"/>
          <w:jc w:val="center"/>
        </w:trPr>
        <w:tc>
          <w:tcPr>
            <w:tcW w:w="732" w:type="pct"/>
            <w:vMerge/>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Izvršno  tijelo</w:t>
            </w:r>
          </w:p>
        </w:tc>
        <w:tc>
          <w:tcPr>
            <w:tcW w:w="3439" w:type="pct"/>
            <w:vAlign w:val="center"/>
          </w:tcPr>
          <w:p w:rsidR="00AD7F64" w:rsidRPr="00361664" w:rsidRDefault="00AD7F64" w:rsidP="00651BCA">
            <w:pPr>
              <w:spacing w:after="0" w:line="240" w:lineRule="auto"/>
              <w:jc w:val="both"/>
              <w:rPr>
                <w:rFonts w:eastAsia="Calibri" w:cs="Calibri"/>
                <w:sz w:val="20"/>
                <w:szCs w:val="20"/>
              </w:rPr>
            </w:pPr>
            <w:r w:rsidRPr="00361664">
              <w:rPr>
                <w:rFonts w:eastAsia="Calibri" w:cs="Calibri"/>
                <w:sz w:val="20"/>
                <w:szCs w:val="20"/>
              </w:rPr>
              <w:t>NKT – koordinacija provedbe aktivnosti</w:t>
            </w:r>
            <w:r w:rsidR="00286490" w:rsidRPr="00361664">
              <w:rPr>
                <w:rFonts w:eastAsia="Calibri" w:cs="Calibri"/>
                <w:sz w:val="20"/>
                <w:szCs w:val="20"/>
              </w:rPr>
              <w:t xml:space="preserve"> i vođenje Nacionalnog portala za energetsku učinkovitost </w:t>
            </w:r>
            <w:hyperlink r:id="rId19" w:history="1">
              <w:r w:rsidR="00286490" w:rsidRPr="00361664">
                <w:rPr>
                  <w:rStyle w:val="Hiperveza"/>
                  <w:rFonts w:eastAsia="Calibri" w:cs="Calibri"/>
                  <w:sz w:val="20"/>
                  <w:szCs w:val="20"/>
                </w:rPr>
                <w:t>www.enu.hr</w:t>
              </w:r>
            </w:hyperlink>
          </w:p>
          <w:p w:rsidR="00AD7F64" w:rsidRPr="00361664" w:rsidRDefault="00AD7F64" w:rsidP="00651BCA">
            <w:pPr>
              <w:spacing w:after="0" w:line="240" w:lineRule="auto"/>
              <w:jc w:val="both"/>
              <w:rPr>
                <w:rFonts w:eastAsia="Calibri" w:cs="Calibri"/>
                <w:sz w:val="20"/>
                <w:szCs w:val="20"/>
              </w:rPr>
            </w:pPr>
            <w:r w:rsidRPr="00361664">
              <w:rPr>
                <w:rFonts w:eastAsia="Calibri" w:cs="Calibri"/>
                <w:sz w:val="20"/>
                <w:szCs w:val="20"/>
              </w:rPr>
              <w:t>Provedbena tijela  – osiguravanje sufinanciranja za promo</w:t>
            </w:r>
            <w:r w:rsidR="00A82815" w:rsidRPr="00361664">
              <w:rPr>
                <w:rFonts w:eastAsia="Calibri" w:cs="Calibri"/>
                <w:sz w:val="20"/>
                <w:szCs w:val="20"/>
              </w:rPr>
              <w:t xml:space="preserve">ciju mjera definiranih u NAPEnU, svako tijelo prema svojoj nadležnosti u koordinaciji s NKT. </w:t>
            </w:r>
          </w:p>
        </w:tc>
      </w:tr>
      <w:tr w:rsidR="00AD7F64" w:rsidRPr="00361664" w:rsidTr="00AD7F64">
        <w:trPr>
          <w:trHeight w:val="20"/>
          <w:jc w:val="center"/>
        </w:trPr>
        <w:tc>
          <w:tcPr>
            <w:tcW w:w="732" w:type="pct"/>
            <w:vMerge/>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640C0B" w:rsidP="00651BCA">
            <w:pPr>
              <w:spacing w:after="0" w:line="259" w:lineRule="auto"/>
              <w:jc w:val="both"/>
              <w:rPr>
                <w:rFonts w:eastAsia="Calibri" w:cs="Calibri"/>
                <w:sz w:val="20"/>
                <w:szCs w:val="20"/>
              </w:rPr>
            </w:pPr>
            <w:r w:rsidRPr="00361664">
              <w:rPr>
                <w:rFonts w:eastAsia="Calibri" w:cs="Calibri"/>
                <w:sz w:val="20"/>
                <w:szCs w:val="20"/>
              </w:rPr>
              <w:t>Tijelo za praćenje, mjerenje i verifikaciju ušteda</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NKT </w:t>
            </w:r>
          </w:p>
        </w:tc>
      </w:tr>
      <w:tr w:rsidR="00AD7F64" w:rsidRPr="00361664" w:rsidTr="00AD7F64">
        <w:trPr>
          <w:trHeight w:val="20"/>
          <w:jc w:val="center"/>
        </w:trPr>
        <w:tc>
          <w:tcPr>
            <w:tcW w:w="732" w:type="pct"/>
            <w:vMerge w:val="restar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Uštede energije</w:t>
            </w:r>
          </w:p>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Metoda praćenja / mjerenja ušteda energije</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Praćenje učinaka ove mjere ostvaruje se korištenjem preporučenih TD pokazatelja Europske komisije. Ona će imati učinke i u drugim sektorima, posebice u uslugama, pa će i tamo ti učinci biti uhvaćeni TD pokazateljima. Preporučeno je da se prije provođenja svake info kampanje napravi istraživanje tržišta te rezultati prikažu ponavljanjem istog ispitivanja nakon provedene kampanje.  </w:t>
            </w:r>
          </w:p>
        </w:tc>
      </w:tr>
      <w:tr w:rsidR="00AD7F64" w:rsidRPr="00361664" w:rsidTr="00AD7F64">
        <w:trPr>
          <w:trHeight w:val="20"/>
          <w:jc w:val="center"/>
        </w:trPr>
        <w:tc>
          <w:tcPr>
            <w:tcW w:w="732" w:type="pct"/>
            <w:vMerge/>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870134" w:rsidP="00651BCA">
            <w:pPr>
              <w:spacing w:after="0" w:line="259" w:lineRule="auto"/>
              <w:jc w:val="both"/>
              <w:rPr>
                <w:rFonts w:eastAsia="Calibri" w:cs="Calibri"/>
                <w:sz w:val="20"/>
                <w:szCs w:val="20"/>
              </w:rPr>
            </w:pPr>
            <w:r w:rsidRPr="00361664">
              <w:rPr>
                <w:rFonts w:eastAsia="Calibri" w:cs="Calibri"/>
                <w:sz w:val="20"/>
                <w:szCs w:val="20"/>
              </w:rPr>
              <w:t>Očekivane uštede energije do kraja 2019.</w:t>
            </w:r>
          </w:p>
        </w:tc>
        <w:tc>
          <w:tcPr>
            <w:tcW w:w="3439" w:type="pct"/>
            <w:shd w:val="clear" w:color="auto" w:fill="auto"/>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Nije </w:t>
            </w:r>
            <w:r w:rsidR="004831DF" w:rsidRPr="00361664">
              <w:rPr>
                <w:rFonts w:eastAsia="Calibri" w:cs="Calibri"/>
                <w:sz w:val="20"/>
                <w:szCs w:val="20"/>
              </w:rPr>
              <w:t>procijenjeno</w:t>
            </w:r>
          </w:p>
        </w:tc>
      </w:tr>
      <w:tr w:rsidR="00AD7F64" w:rsidRPr="00361664" w:rsidTr="00AD7F64">
        <w:trPr>
          <w:trHeight w:val="1610"/>
          <w:jc w:val="center"/>
        </w:trPr>
        <w:tc>
          <w:tcPr>
            <w:tcW w:w="732" w:type="pct"/>
            <w:vMerge/>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4831DF" w:rsidP="00651BCA">
            <w:pPr>
              <w:spacing w:after="0" w:line="259" w:lineRule="auto"/>
              <w:jc w:val="both"/>
              <w:rPr>
                <w:rFonts w:eastAsia="Calibri" w:cs="Calibri"/>
                <w:sz w:val="20"/>
                <w:szCs w:val="20"/>
              </w:rPr>
            </w:pPr>
            <w:r w:rsidRPr="00361664">
              <w:rPr>
                <w:rFonts w:eastAsia="Calibri" w:cs="Calibri"/>
                <w:sz w:val="20"/>
                <w:szCs w:val="20"/>
              </w:rPr>
              <w:t>Očekivane uštede energije do kraja 2020.</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Nije </w:t>
            </w:r>
            <w:r w:rsidR="004831DF" w:rsidRPr="00361664">
              <w:rPr>
                <w:rFonts w:eastAsia="Calibri" w:cs="Calibri"/>
                <w:sz w:val="20"/>
                <w:szCs w:val="20"/>
              </w:rPr>
              <w:t>procijenjeno</w:t>
            </w:r>
          </w:p>
        </w:tc>
      </w:tr>
      <w:tr w:rsidR="00AD7F64" w:rsidRPr="00361664" w:rsidTr="00AD7F64">
        <w:trPr>
          <w:trHeight w:val="20"/>
          <w:jc w:val="center"/>
        </w:trPr>
        <w:tc>
          <w:tcPr>
            <w:tcW w:w="732" w:type="pct"/>
            <w:vMerge/>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Pretpostavke</w:t>
            </w:r>
          </w:p>
          <w:p w:rsidR="00AD7F64" w:rsidRPr="00361664" w:rsidRDefault="00AD7F64" w:rsidP="00651BCA">
            <w:pPr>
              <w:spacing w:after="0" w:line="259" w:lineRule="auto"/>
              <w:jc w:val="both"/>
              <w:rPr>
                <w:rFonts w:eastAsia="Calibri" w:cs="Calibri"/>
                <w:sz w:val="20"/>
                <w:szCs w:val="20"/>
              </w:rPr>
            </w:pP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 xml:space="preserve">Praksa pokazuje da je učinke ove mjere nemoguće izolirati i da ju je najbolje pratiti korištenjem TD pokazatelja. Zbog toga se više ne daju procjene učinaka ove mjere. </w:t>
            </w:r>
          </w:p>
        </w:tc>
      </w:tr>
      <w:tr w:rsidR="00AD7F64" w:rsidRPr="00361664" w:rsidTr="00AD7F64">
        <w:trPr>
          <w:trHeight w:val="20"/>
          <w:jc w:val="center"/>
        </w:trPr>
        <w:tc>
          <w:tcPr>
            <w:tcW w:w="732" w:type="pct"/>
            <w:vMerge/>
          </w:tcPr>
          <w:p w:rsidR="00AD7F64" w:rsidRPr="00361664" w:rsidRDefault="00AD7F64" w:rsidP="00651BCA">
            <w:pPr>
              <w:spacing w:after="0" w:line="259" w:lineRule="auto"/>
              <w:jc w:val="both"/>
              <w:rPr>
                <w:rFonts w:eastAsia="Calibri" w:cs="Calibri"/>
                <w:sz w:val="20"/>
                <w:szCs w:val="20"/>
              </w:rPr>
            </w:pPr>
          </w:p>
        </w:tc>
        <w:tc>
          <w:tcPr>
            <w:tcW w:w="82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Preklapanja, efekt množenja, sinergija</w:t>
            </w:r>
          </w:p>
        </w:tc>
        <w:tc>
          <w:tcPr>
            <w:tcW w:w="3439" w:type="pct"/>
            <w:vAlign w:val="center"/>
          </w:tcPr>
          <w:p w:rsidR="00AD7F64" w:rsidRPr="00361664" w:rsidRDefault="00AD7F64" w:rsidP="00651BCA">
            <w:pPr>
              <w:spacing w:after="0" w:line="259" w:lineRule="auto"/>
              <w:jc w:val="both"/>
              <w:rPr>
                <w:rFonts w:eastAsia="Calibri" w:cs="Calibri"/>
                <w:sz w:val="20"/>
                <w:szCs w:val="20"/>
              </w:rPr>
            </w:pPr>
            <w:r w:rsidRPr="00361664">
              <w:rPr>
                <w:rFonts w:eastAsia="Calibri" w:cs="Calibri"/>
                <w:sz w:val="20"/>
                <w:szCs w:val="20"/>
              </w:rPr>
              <w:t>Ova se mjera preklapa i nadovezuje sa svim mjerama koje financira/sufinancira svako provedbeno tijelo ili provodi/koordinira NKT. Svako provedbeno tijelo treba financijski pratiti izvršenje promocije, edukcija i informiranja šire javnosti o svim mjerama koje financira/sufinancira pojedino provedbeno tijelo ili provodi/koordinira NKT.</w:t>
            </w:r>
          </w:p>
        </w:tc>
      </w:tr>
    </w:tbl>
    <w:p w:rsidR="00F1792A" w:rsidRPr="00361664" w:rsidRDefault="00F1792A" w:rsidP="00651BCA">
      <w:pPr>
        <w:jc w:val="both"/>
        <w:rPr>
          <w:lang w:eastAsia="de-DE"/>
        </w:rPr>
      </w:pPr>
    </w:p>
    <w:p w:rsidR="00221056" w:rsidRPr="00361664" w:rsidRDefault="00221056" w:rsidP="00651BCA">
      <w:pPr>
        <w:jc w:val="both"/>
        <w:rPr>
          <w:lang w:eastAsia="de-DE"/>
        </w:rPr>
      </w:pPr>
    </w:p>
    <w:p w:rsidR="00B90528" w:rsidRPr="00361664" w:rsidRDefault="00B90528">
      <w:pPr>
        <w:rPr>
          <w:lang w:eastAsia="de-DE"/>
        </w:rPr>
      </w:pPr>
      <w:r w:rsidRPr="00361664">
        <w:rPr>
          <w:lang w:eastAsia="de-D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095C3F" w:rsidRPr="00361664" w:rsidTr="00B34CA2">
        <w:trPr>
          <w:trHeight w:val="20"/>
        </w:trPr>
        <w:tc>
          <w:tcPr>
            <w:tcW w:w="1476" w:type="pct"/>
            <w:gridSpan w:val="2"/>
            <w:shd w:val="clear" w:color="auto" w:fill="CCFFCC"/>
          </w:tcPr>
          <w:p w:rsidR="00095C3F" w:rsidRPr="00361664" w:rsidRDefault="00095C3F" w:rsidP="00095C3F">
            <w:pPr>
              <w:tabs>
                <w:tab w:val="left" w:pos="1440"/>
                <w:tab w:val="left" w:pos="5040"/>
                <w:tab w:val="right" w:pos="8504"/>
              </w:tabs>
              <w:spacing w:after="0" w:line="240" w:lineRule="auto"/>
              <w:rPr>
                <w:b/>
                <w:sz w:val="20"/>
                <w:szCs w:val="20"/>
                <w:lang w:eastAsia="de-DE"/>
              </w:rPr>
            </w:pPr>
            <w:r w:rsidRPr="00361664">
              <w:rPr>
                <w:b/>
                <w:sz w:val="20"/>
                <w:szCs w:val="20"/>
                <w:lang w:eastAsia="de-DE"/>
              </w:rPr>
              <w:lastRenderedPageBreak/>
              <w:t xml:space="preserve">Naziv mjere </w:t>
            </w:r>
          </w:p>
        </w:tc>
        <w:tc>
          <w:tcPr>
            <w:tcW w:w="3524" w:type="pct"/>
            <w:shd w:val="clear" w:color="auto" w:fill="CCFFCC"/>
          </w:tcPr>
          <w:p w:rsidR="00095C3F" w:rsidRPr="00361664" w:rsidRDefault="00095C3F" w:rsidP="00095C3F">
            <w:pPr>
              <w:tabs>
                <w:tab w:val="left" w:pos="1440"/>
                <w:tab w:val="left" w:pos="5040"/>
                <w:tab w:val="right" w:pos="8504"/>
              </w:tabs>
              <w:spacing w:after="0" w:line="240" w:lineRule="auto"/>
              <w:jc w:val="both"/>
              <w:rPr>
                <w:b/>
                <w:sz w:val="20"/>
                <w:szCs w:val="20"/>
                <w:lang w:eastAsia="de-DE"/>
              </w:rPr>
            </w:pPr>
            <w:r w:rsidRPr="00361664">
              <w:rPr>
                <w:b/>
                <w:sz w:val="20"/>
                <w:szCs w:val="20"/>
                <w:lang w:eastAsia="de-DE"/>
              </w:rPr>
              <w:t>Izgradnja kapaciteta za suzbijanje energetskog siromaštva</w:t>
            </w:r>
          </w:p>
        </w:tc>
      </w:tr>
      <w:tr w:rsidR="00095C3F" w:rsidRPr="00361664" w:rsidTr="00B34CA2">
        <w:trPr>
          <w:trHeight w:val="20"/>
        </w:trPr>
        <w:tc>
          <w:tcPr>
            <w:tcW w:w="1476" w:type="pct"/>
            <w:gridSpan w:val="2"/>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Indeks mjere</w:t>
            </w:r>
          </w:p>
        </w:tc>
        <w:tc>
          <w:tcPr>
            <w:tcW w:w="3524" w:type="pct"/>
          </w:tcPr>
          <w:p w:rsidR="00095C3F" w:rsidRPr="00361664" w:rsidRDefault="00751A89" w:rsidP="00095C3F">
            <w:pPr>
              <w:tabs>
                <w:tab w:val="left" w:pos="1440"/>
                <w:tab w:val="left" w:pos="5040"/>
                <w:tab w:val="right" w:pos="8504"/>
              </w:tabs>
              <w:spacing w:after="0" w:line="240" w:lineRule="auto"/>
              <w:jc w:val="both"/>
              <w:rPr>
                <w:sz w:val="20"/>
                <w:szCs w:val="20"/>
                <w:lang w:eastAsia="de-DE"/>
              </w:rPr>
            </w:pPr>
            <w:r w:rsidRPr="00361664">
              <w:rPr>
                <w:sz w:val="20"/>
                <w:szCs w:val="20"/>
                <w:lang w:eastAsia="de-DE"/>
              </w:rPr>
              <w:t>H.3</w:t>
            </w:r>
          </w:p>
        </w:tc>
      </w:tr>
      <w:tr w:rsidR="00095C3F" w:rsidRPr="00361664" w:rsidTr="00B34CA2">
        <w:trPr>
          <w:trHeight w:val="20"/>
        </w:trPr>
        <w:tc>
          <w:tcPr>
            <w:tcW w:w="654" w:type="pct"/>
            <w:vMerge w:val="restart"/>
            <w:vAlign w:val="center"/>
          </w:tcPr>
          <w:p w:rsidR="00095C3F" w:rsidRPr="00361664" w:rsidRDefault="00095C3F" w:rsidP="00095C3F">
            <w:pPr>
              <w:tabs>
                <w:tab w:val="left" w:pos="1440"/>
                <w:tab w:val="left" w:pos="5040"/>
                <w:tab w:val="right" w:pos="8504"/>
              </w:tabs>
              <w:spacing w:after="0" w:line="240" w:lineRule="auto"/>
              <w:jc w:val="center"/>
              <w:rPr>
                <w:sz w:val="20"/>
                <w:szCs w:val="20"/>
                <w:lang w:eastAsia="de-DE"/>
              </w:rPr>
            </w:pPr>
          </w:p>
          <w:p w:rsidR="00095C3F" w:rsidRPr="00361664" w:rsidRDefault="00095C3F" w:rsidP="00095C3F">
            <w:pPr>
              <w:tabs>
                <w:tab w:val="left" w:pos="1440"/>
                <w:tab w:val="left" w:pos="5040"/>
                <w:tab w:val="right" w:pos="8504"/>
              </w:tabs>
              <w:spacing w:after="0" w:line="240" w:lineRule="auto"/>
              <w:jc w:val="center"/>
              <w:rPr>
                <w:sz w:val="20"/>
                <w:szCs w:val="20"/>
                <w:lang w:eastAsia="de-DE"/>
              </w:rPr>
            </w:pPr>
            <w:r w:rsidRPr="00361664">
              <w:rPr>
                <w:sz w:val="20"/>
                <w:szCs w:val="20"/>
                <w:lang w:eastAsia="de-DE"/>
              </w:rPr>
              <w:t>Opis</w:t>
            </w: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Kategorija</w:t>
            </w:r>
          </w:p>
        </w:tc>
        <w:tc>
          <w:tcPr>
            <w:tcW w:w="3524" w:type="pct"/>
            <w:vAlign w:val="center"/>
          </w:tcPr>
          <w:p w:rsidR="00095C3F" w:rsidRPr="00361664" w:rsidRDefault="00095C3F" w:rsidP="00095C3F">
            <w:pPr>
              <w:autoSpaceDE w:val="0"/>
              <w:autoSpaceDN w:val="0"/>
              <w:adjustRightInd w:val="0"/>
              <w:spacing w:after="0" w:line="240" w:lineRule="auto"/>
              <w:rPr>
                <w:rFonts w:eastAsia="Calibri" w:cs="Calibri"/>
                <w:color w:val="000000"/>
                <w:sz w:val="20"/>
                <w:szCs w:val="20"/>
              </w:rPr>
            </w:pPr>
            <w:r w:rsidRPr="00361664">
              <w:rPr>
                <w:rFonts w:eastAsia="Calibri" w:cs="Calibri"/>
                <w:color w:val="000000"/>
                <w:sz w:val="20"/>
                <w:szCs w:val="20"/>
              </w:rPr>
              <w:t xml:space="preserve">Informacijske i obvezne informacijske mjere </w:t>
            </w:r>
          </w:p>
        </w:tc>
      </w:tr>
      <w:tr w:rsidR="00095C3F" w:rsidRPr="00361664" w:rsidTr="00B34CA2">
        <w:trPr>
          <w:trHeight w:val="20"/>
        </w:trPr>
        <w:tc>
          <w:tcPr>
            <w:tcW w:w="654" w:type="pct"/>
            <w:vMerge/>
            <w:vAlign w:val="center"/>
          </w:tcPr>
          <w:p w:rsidR="00095C3F" w:rsidRPr="00361664" w:rsidRDefault="00095C3F" w:rsidP="00095C3F">
            <w:pPr>
              <w:tabs>
                <w:tab w:val="left" w:pos="1440"/>
                <w:tab w:val="left" w:pos="5040"/>
                <w:tab w:val="right" w:pos="8504"/>
              </w:tabs>
              <w:spacing w:after="0" w:line="240" w:lineRule="auto"/>
              <w:jc w:val="center"/>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Vremenski okvir</w:t>
            </w:r>
          </w:p>
        </w:tc>
        <w:tc>
          <w:tcPr>
            <w:tcW w:w="3524"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Početak: 2017.</w:t>
            </w:r>
          </w:p>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Kraj: kontinuirano</w:t>
            </w:r>
          </w:p>
        </w:tc>
      </w:tr>
      <w:tr w:rsidR="00095C3F" w:rsidRPr="00361664" w:rsidTr="00B34CA2">
        <w:trPr>
          <w:trHeight w:val="20"/>
        </w:trPr>
        <w:tc>
          <w:tcPr>
            <w:tcW w:w="654" w:type="pct"/>
            <w:vMerge/>
            <w:vAlign w:val="center"/>
          </w:tcPr>
          <w:p w:rsidR="00095C3F" w:rsidRPr="00361664" w:rsidRDefault="00095C3F" w:rsidP="00095C3F">
            <w:pPr>
              <w:tabs>
                <w:tab w:val="left" w:pos="1440"/>
                <w:tab w:val="left" w:pos="5040"/>
                <w:tab w:val="right" w:pos="8504"/>
              </w:tabs>
              <w:spacing w:after="0" w:line="240" w:lineRule="auto"/>
              <w:jc w:val="center"/>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Cilj / kratak opis</w:t>
            </w:r>
          </w:p>
        </w:tc>
        <w:tc>
          <w:tcPr>
            <w:tcW w:w="3524" w:type="pct"/>
            <w:vAlign w:val="center"/>
          </w:tcPr>
          <w:p w:rsidR="00095C3F" w:rsidRPr="00361664" w:rsidRDefault="00095C3F" w:rsidP="002B4068">
            <w:pPr>
              <w:spacing w:after="120"/>
              <w:jc w:val="both"/>
              <w:rPr>
                <w:sz w:val="20"/>
                <w:szCs w:val="20"/>
              </w:rPr>
            </w:pPr>
            <w:r w:rsidRPr="00361664">
              <w:rPr>
                <w:sz w:val="20"/>
                <w:szCs w:val="20"/>
              </w:rPr>
              <w:t>Cilj mjere je izgradnja kapaciteta za suzbijanje energetskog siromaštva unutar jedinica lokalne samouprave kao i u široj javnosti. Kapaciteti će se izgraditi pružanjem informacija o mjerama energetske učinkovitosti koje doprinose suzbijanju energetskog siromaštva, kao i o mogućnostima sufinanciranja aktivnosti na tom polju. Time će se doprinijeti ublažavanju energetskog siromaštva kao i stupnja ugroženosti njime te potaknuti korištenje dostupnih sredstava, iz ESI i nacionalnih izvora.</w:t>
            </w:r>
          </w:p>
          <w:p w:rsidR="00095C3F" w:rsidRPr="00361664" w:rsidRDefault="00095C3F" w:rsidP="002B4068">
            <w:pPr>
              <w:spacing w:after="120"/>
              <w:jc w:val="both"/>
              <w:rPr>
                <w:sz w:val="20"/>
                <w:szCs w:val="20"/>
              </w:rPr>
            </w:pPr>
            <w:r w:rsidRPr="00361664">
              <w:rPr>
                <w:sz w:val="20"/>
                <w:szCs w:val="20"/>
              </w:rPr>
              <w:t xml:space="preserve">U tu će se svrhu u 15 gradova s više od 30.000 stanovnika uspostaviti mehanizmi savjetovanja ugroženih kupaca, kao i provedbe mjera energetske učinkovitosti u kućanstvima u riziku od energetskog siromaštva. </w:t>
            </w:r>
          </w:p>
          <w:p w:rsidR="00095C3F" w:rsidRPr="00361664" w:rsidRDefault="00095C3F" w:rsidP="002B4068">
            <w:pPr>
              <w:spacing w:after="0"/>
              <w:jc w:val="both"/>
              <w:rPr>
                <w:sz w:val="20"/>
                <w:szCs w:val="20"/>
              </w:rPr>
            </w:pPr>
            <w:r w:rsidRPr="00361664">
              <w:rPr>
                <w:sz w:val="20"/>
                <w:szCs w:val="20"/>
              </w:rPr>
              <w:t>Radom savjetnika za energetski siromašne građane</w:t>
            </w:r>
            <w:r w:rsidR="002B4068" w:rsidRPr="00361664">
              <w:rPr>
                <w:sz w:val="20"/>
                <w:szCs w:val="20"/>
              </w:rPr>
              <w:t xml:space="preserve"> koordinirat će NKT</w:t>
            </w:r>
            <w:r w:rsidRPr="00361664">
              <w:rPr>
                <w:sz w:val="20"/>
                <w:szCs w:val="20"/>
              </w:rPr>
              <w:t>.</w:t>
            </w:r>
          </w:p>
        </w:tc>
      </w:tr>
      <w:tr w:rsidR="00095C3F" w:rsidRPr="00361664" w:rsidTr="00B34CA2">
        <w:trPr>
          <w:trHeight w:val="20"/>
        </w:trPr>
        <w:tc>
          <w:tcPr>
            <w:tcW w:w="654" w:type="pct"/>
            <w:vMerge/>
            <w:vAlign w:val="center"/>
          </w:tcPr>
          <w:p w:rsidR="00095C3F" w:rsidRPr="00361664" w:rsidRDefault="00095C3F" w:rsidP="00095C3F">
            <w:pPr>
              <w:tabs>
                <w:tab w:val="left" w:pos="1440"/>
                <w:tab w:val="left" w:pos="5040"/>
                <w:tab w:val="right" w:pos="8504"/>
              </w:tabs>
              <w:spacing w:after="0" w:line="240" w:lineRule="auto"/>
              <w:jc w:val="center"/>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Ciljna neposredna potrošnja</w:t>
            </w:r>
          </w:p>
        </w:tc>
        <w:tc>
          <w:tcPr>
            <w:tcW w:w="3524"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Potrošnja električne energije, toplinske energije, prirodnog plina, loživog ulja i vode u kućanstvima u riziku od energetskog siromaštva</w:t>
            </w:r>
          </w:p>
        </w:tc>
      </w:tr>
      <w:tr w:rsidR="00095C3F" w:rsidRPr="00361664" w:rsidTr="00B34CA2">
        <w:trPr>
          <w:trHeight w:val="20"/>
        </w:trPr>
        <w:tc>
          <w:tcPr>
            <w:tcW w:w="654" w:type="pct"/>
            <w:vMerge/>
            <w:vAlign w:val="center"/>
          </w:tcPr>
          <w:p w:rsidR="00095C3F" w:rsidRPr="00361664" w:rsidRDefault="00095C3F" w:rsidP="00095C3F">
            <w:pPr>
              <w:tabs>
                <w:tab w:val="left" w:pos="1440"/>
                <w:tab w:val="left" w:pos="5040"/>
                <w:tab w:val="right" w:pos="8504"/>
              </w:tabs>
              <w:spacing w:after="0" w:line="240" w:lineRule="auto"/>
              <w:jc w:val="center"/>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Ciljna skupina</w:t>
            </w:r>
          </w:p>
        </w:tc>
        <w:tc>
          <w:tcPr>
            <w:tcW w:w="3524"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Ugroženi kupci; građani u riziku od energetskog siromaštva</w:t>
            </w:r>
          </w:p>
        </w:tc>
      </w:tr>
      <w:tr w:rsidR="00095C3F" w:rsidRPr="00361664" w:rsidTr="00B34CA2">
        <w:trPr>
          <w:trHeight w:val="20"/>
        </w:trPr>
        <w:tc>
          <w:tcPr>
            <w:tcW w:w="654" w:type="pct"/>
            <w:vMerge/>
            <w:vAlign w:val="center"/>
          </w:tcPr>
          <w:p w:rsidR="00095C3F" w:rsidRPr="00361664" w:rsidRDefault="00095C3F" w:rsidP="00095C3F">
            <w:pPr>
              <w:tabs>
                <w:tab w:val="left" w:pos="1440"/>
                <w:tab w:val="left" w:pos="5040"/>
                <w:tab w:val="right" w:pos="8504"/>
              </w:tabs>
              <w:spacing w:after="0" w:line="240" w:lineRule="auto"/>
              <w:jc w:val="center"/>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Regionalna primjena</w:t>
            </w:r>
          </w:p>
        </w:tc>
        <w:tc>
          <w:tcPr>
            <w:tcW w:w="3524"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Nacionalno</w:t>
            </w:r>
          </w:p>
        </w:tc>
      </w:tr>
      <w:tr w:rsidR="00095C3F" w:rsidRPr="00361664" w:rsidTr="00B34CA2">
        <w:trPr>
          <w:trHeight w:val="20"/>
        </w:trPr>
        <w:tc>
          <w:tcPr>
            <w:tcW w:w="654" w:type="pct"/>
            <w:vAlign w:val="center"/>
          </w:tcPr>
          <w:p w:rsidR="00095C3F" w:rsidRPr="00361664" w:rsidRDefault="00095C3F" w:rsidP="00095C3F">
            <w:pPr>
              <w:tabs>
                <w:tab w:val="left" w:pos="1440"/>
                <w:tab w:val="left" w:pos="5040"/>
                <w:tab w:val="right" w:pos="8504"/>
              </w:tabs>
              <w:spacing w:after="0" w:line="240" w:lineRule="auto"/>
              <w:jc w:val="center"/>
              <w:rPr>
                <w:sz w:val="20"/>
                <w:szCs w:val="20"/>
                <w:lang w:eastAsia="de-DE"/>
              </w:rPr>
            </w:pPr>
            <w:r w:rsidRPr="00361664">
              <w:rPr>
                <w:sz w:val="20"/>
                <w:szCs w:val="20"/>
                <w:lang w:eastAsia="de-DE"/>
              </w:rPr>
              <w:t>Informacije o provedbi</w:t>
            </w: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 xml:space="preserve">Popis i opis aktivnosti za provođenje mjere </w:t>
            </w:r>
          </w:p>
        </w:tc>
        <w:tc>
          <w:tcPr>
            <w:tcW w:w="3524" w:type="pct"/>
            <w:vAlign w:val="center"/>
          </w:tcPr>
          <w:p w:rsidR="00095C3F" w:rsidRPr="00361664" w:rsidRDefault="00095C3F" w:rsidP="002B4068">
            <w:pPr>
              <w:jc w:val="both"/>
              <w:rPr>
                <w:sz w:val="20"/>
                <w:szCs w:val="20"/>
              </w:rPr>
            </w:pPr>
            <w:r w:rsidRPr="00361664">
              <w:rPr>
                <w:sz w:val="20"/>
                <w:szCs w:val="20"/>
              </w:rPr>
              <w:t>U 2017. godini</w:t>
            </w:r>
            <w:r w:rsidR="002B4068" w:rsidRPr="00361664">
              <w:rPr>
                <w:sz w:val="20"/>
                <w:szCs w:val="20"/>
              </w:rPr>
              <w:t xml:space="preserve"> NKT</w:t>
            </w:r>
            <w:r w:rsidR="00F22938" w:rsidRPr="00361664">
              <w:rPr>
                <w:sz w:val="20"/>
                <w:szCs w:val="20"/>
              </w:rPr>
              <w:t xml:space="preserve"> </w:t>
            </w:r>
            <w:r w:rsidR="007F7700" w:rsidRPr="00361664">
              <w:rPr>
                <w:sz w:val="20"/>
                <w:szCs w:val="20"/>
              </w:rPr>
              <w:t>je istražio</w:t>
            </w:r>
            <w:r w:rsidRPr="00361664">
              <w:rPr>
                <w:sz w:val="20"/>
                <w:szCs w:val="20"/>
              </w:rPr>
              <w:t xml:space="preserve"> postojeće kapacitete na polju energetskog savjetovanja, </w:t>
            </w:r>
            <w:r w:rsidR="007F7700" w:rsidRPr="00361664">
              <w:rPr>
                <w:sz w:val="20"/>
                <w:szCs w:val="20"/>
              </w:rPr>
              <w:t xml:space="preserve">temeljem čega će </w:t>
            </w:r>
            <w:r w:rsidRPr="00361664">
              <w:rPr>
                <w:sz w:val="20"/>
                <w:szCs w:val="20"/>
              </w:rPr>
              <w:t>razraditi mehanizam pružanja savjeta i kriterije za dodjelu sredstava zainteresiranim gradovima (postojanje educirane osobe koja će pružati informacije zainteresiranima, i</w:t>
            </w:r>
            <w:r w:rsidR="00F22938" w:rsidRPr="00361664">
              <w:rPr>
                <w:sz w:val="20"/>
                <w:szCs w:val="20"/>
              </w:rPr>
              <w:t xml:space="preserve"> </w:t>
            </w:r>
            <w:r w:rsidRPr="00361664">
              <w:rPr>
                <w:sz w:val="20"/>
                <w:szCs w:val="20"/>
              </w:rPr>
              <w:t>sl</w:t>
            </w:r>
            <w:r w:rsidR="00B51B6C" w:rsidRPr="00361664">
              <w:rPr>
                <w:sz w:val="20"/>
                <w:szCs w:val="20"/>
              </w:rPr>
              <w:t>.</w:t>
            </w:r>
            <w:r w:rsidRPr="00361664">
              <w:rPr>
                <w:sz w:val="20"/>
                <w:szCs w:val="20"/>
              </w:rPr>
              <w:t>) te osmisliti promotivne materijale. FZOEU će raspisati natječaj za najviše 3 grada s kojima će sklopiti ugovor o suradnji.</w:t>
            </w:r>
          </w:p>
          <w:p w:rsidR="00095C3F" w:rsidRPr="00361664" w:rsidRDefault="00095C3F" w:rsidP="002B4068">
            <w:pPr>
              <w:jc w:val="both"/>
              <w:rPr>
                <w:sz w:val="20"/>
                <w:szCs w:val="20"/>
              </w:rPr>
            </w:pPr>
            <w:r w:rsidRPr="00361664">
              <w:rPr>
                <w:sz w:val="20"/>
                <w:szCs w:val="20"/>
              </w:rPr>
              <w:t xml:space="preserve">U 2018. </w:t>
            </w:r>
            <w:r w:rsidR="007F7700" w:rsidRPr="00361664">
              <w:rPr>
                <w:sz w:val="20"/>
                <w:szCs w:val="20"/>
              </w:rPr>
              <w:t xml:space="preserve">i 2019. </w:t>
            </w:r>
            <w:r w:rsidRPr="00361664">
              <w:rPr>
                <w:sz w:val="20"/>
                <w:szCs w:val="20"/>
              </w:rPr>
              <w:t xml:space="preserve">godini </w:t>
            </w:r>
            <w:r w:rsidR="007F7700" w:rsidRPr="00361664">
              <w:rPr>
                <w:sz w:val="20"/>
                <w:szCs w:val="20"/>
              </w:rPr>
              <w:t xml:space="preserve">planirano je pokretanje </w:t>
            </w:r>
            <w:r w:rsidRPr="00361664">
              <w:rPr>
                <w:sz w:val="20"/>
                <w:szCs w:val="20"/>
              </w:rPr>
              <w:t>najviše 3 centra za suzbijanje</w:t>
            </w:r>
            <w:r w:rsidR="007F7700" w:rsidRPr="00361664">
              <w:rPr>
                <w:sz w:val="20"/>
                <w:szCs w:val="20"/>
              </w:rPr>
              <w:t xml:space="preserve"> energetskog siromaštva čijim bi radom koordinirao</w:t>
            </w:r>
            <w:r w:rsidR="00F339D7" w:rsidRPr="00361664">
              <w:rPr>
                <w:sz w:val="20"/>
                <w:szCs w:val="20"/>
              </w:rPr>
              <w:t xml:space="preserve"> </w:t>
            </w:r>
            <w:r w:rsidR="002B4068" w:rsidRPr="00361664">
              <w:rPr>
                <w:sz w:val="20"/>
                <w:szCs w:val="20"/>
              </w:rPr>
              <w:t>NKT</w:t>
            </w:r>
            <w:r w:rsidRPr="00361664">
              <w:rPr>
                <w:sz w:val="20"/>
                <w:szCs w:val="20"/>
              </w:rPr>
              <w:t xml:space="preserve">. </w:t>
            </w:r>
            <w:r w:rsidR="007F7700" w:rsidRPr="00361664">
              <w:rPr>
                <w:sz w:val="20"/>
                <w:szCs w:val="20"/>
              </w:rPr>
              <w:t>Prethodno</w:t>
            </w:r>
            <w:r w:rsidRPr="00361664">
              <w:rPr>
                <w:sz w:val="20"/>
                <w:szCs w:val="20"/>
              </w:rPr>
              <w:t xml:space="preserve"> će </w:t>
            </w:r>
            <w:r w:rsidR="002B4068" w:rsidRPr="00361664">
              <w:rPr>
                <w:sz w:val="20"/>
                <w:szCs w:val="20"/>
              </w:rPr>
              <w:t>NKT</w:t>
            </w:r>
            <w:r w:rsidRPr="00361664">
              <w:rPr>
                <w:sz w:val="20"/>
                <w:szCs w:val="20"/>
              </w:rPr>
              <w:t xml:space="preserve"> provesti početno istraživanje stupnja ugroženosti populacije kao i prosječne razine znanja i potreba ugroženih kućanstava te će provesti tri lokalne promotivne kampanje. U gradovima s kojima je FZOEU sklopio ugovore o suradnji pokrenut će se mehanizam savjetovanja ugroženih kupaca i kupaca u riziku od </w:t>
            </w:r>
            <w:r w:rsidR="00B51B6C" w:rsidRPr="00361664">
              <w:rPr>
                <w:sz w:val="20"/>
                <w:szCs w:val="20"/>
              </w:rPr>
              <w:t>energetskog</w:t>
            </w:r>
            <w:r w:rsidRPr="00361664">
              <w:rPr>
                <w:sz w:val="20"/>
                <w:szCs w:val="20"/>
              </w:rPr>
              <w:t xml:space="preserve"> siromaštva, kao i provedba tehničkih mjera. FZOEU će raspisati javni poziv za sve zainteresirane gradove s više od 30.000 stanovnika u kojima će se savjetovanje ugroženih kupaca i provedba tehničkih mjera u ugroženim kućanstvima uspostaviti u 2019. godini.</w:t>
            </w:r>
          </w:p>
          <w:p w:rsidR="00095C3F" w:rsidRPr="00361664" w:rsidRDefault="00095C3F" w:rsidP="007F7700">
            <w:pPr>
              <w:jc w:val="both"/>
              <w:rPr>
                <w:sz w:val="20"/>
                <w:szCs w:val="20"/>
              </w:rPr>
            </w:pPr>
            <w:r w:rsidRPr="00361664">
              <w:rPr>
                <w:sz w:val="20"/>
                <w:szCs w:val="20"/>
              </w:rPr>
              <w:t xml:space="preserve">U 2019. godini u svim gradovima s više od 30.000 stanovnika s kojima je FZOEU sklopio ugovor o suradnji </w:t>
            </w:r>
            <w:r w:rsidR="007F7700" w:rsidRPr="00361664">
              <w:rPr>
                <w:sz w:val="20"/>
                <w:szCs w:val="20"/>
              </w:rPr>
              <w:t xml:space="preserve">NKT </w:t>
            </w:r>
            <w:r w:rsidRPr="00361664">
              <w:rPr>
                <w:sz w:val="20"/>
                <w:szCs w:val="20"/>
              </w:rPr>
              <w:t xml:space="preserve">će provesti </w:t>
            </w:r>
            <w:r w:rsidR="00B51B6C" w:rsidRPr="00361664">
              <w:rPr>
                <w:sz w:val="20"/>
                <w:szCs w:val="20"/>
              </w:rPr>
              <w:t>inicijalno</w:t>
            </w:r>
            <w:r w:rsidRPr="00361664">
              <w:rPr>
                <w:sz w:val="20"/>
                <w:szCs w:val="20"/>
              </w:rPr>
              <w:t xml:space="preserve"> istraživanje i lokalne promotivne kampanje, te će se pokrenuti mehanizam savjetovanja ugroženih kupaca i kupaca u riziku od energetskog siromaštva.</w:t>
            </w:r>
          </w:p>
        </w:tc>
      </w:tr>
      <w:tr w:rsidR="00095C3F" w:rsidRPr="00361664" w:rsidTr="00B34CA2">
        <w:trPr>
          <w:trHeight w:val="20"/>
        </w:trPr>
        <w:tc>
          <w:tcPr>
            <w:tcW w:w="654" w:type="pct"/>
            <w:vMerge w:val="restart"/>
          </w:tcPr>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Financijska sredstva i izvori financiranja</w:t>
            </w:r>
          </w:p>
        </w:tc>
        <w:tc>
          <w:tcPr>
            <w:tcW w:w="3524" w:type="pct"/>
            <w:vAlign w:val="center"/>
          </w:tcPr>
          <w:p w:rsidR="00095C3F" w:rsidRPr="00361664" w:rsidRDefault="001C3505" w:rsidP="007F7700">
            <w:pPr>
              <w:tabs>
                <w:tab w:val="left" w:pos="1440"/>
                <w:tab w:val="left" w:pos="5040"/>
                <w:tab w:val="right" w:pos="8504"/>
              </w:tabs>
              <w:spacing w:after="0" w:line="240" w:lineRule="auto"/>
              <w:jc w:val="both"/>
              <w:rPr>
                <w:color w:val="FF0000"/>
                <w:sz w:val="20"/>
                <w:szCs w:val="20"/>
                <w:lang w:eastAsia="de-DE"/>
              </w:rPr>
            </w:pPr>
            <w:r w:rsidRPr="00361664">
              <w:rPr>
                <w:sz w:val="20"/>
                <w:szCs w:val="20"/>
                <w:lang w:eastAsia="de-DE"/>
              </w:rPr>
              <w:t xml:space="preserve">FZOEU - </w:t>
            </w:r>
            <w:r w:rsidRPr="00361664">
              <w:rPr>
                <w:rFonts w:asciiTheme="minorHAnsi" w:hAnsiTheme="minorHAnsi"/>
                <w:sz w:val="20"/>
              </w:rPr>
              <w:t>financiranje sredstvima stečenim od prodaje emisijskih jedinica putem dražbe na sustavu trgovanja emisijskim jedinicama EU-a temeljem Zakona o zaštiti zraka (</w:t>
            </w:r>
            <w:r w:rsidR="00C44613" w:rsidRPr="00361664">
              <w:rPr>
                <w:rFonts w:asciiTheme="minorHAnsi" w:hAnsiTheme="minorHAnsi"/>
                <w:sz w:val="20"/>
              </w:rPr>
              <w:t>NN 130/11, 47/14, 61/17</w:t>
            </w:r>
            <w:r w:rsidRPr="00361664">
              <w:rPr>
                <w:rFonts w:asciiTheme="minorHAnsi" w:hAnsiTheme="minorHAnsi"/>
                <w:sz w:val="20"/>
              </w:rPr>
              <w:t>)</w:t>
            </w:r>
            <w:r w:rsidR="005F6D57" w:rsidRPr="00361664">
              <w:rPr>
                <w:rFonts w:asciiTheme="minorHAnsi" w:hAnsiTheme="minorHAnsi"/>
                <w:sz w:val="20"/>
              </w:rPr>
              <w:t xml:space="preserve">: do kraja 2019. godine ukupno predviđena sredstva </w:t>
            </w:r>
            <w:r w:rsidR="007F7700" w:rsidRPr="00361664">
              <w:rPr>
                <w:rFonts w:asciiTheme="minorHAnsi" w:hAnsiTheme="minorHAnsi"/>
                <w:sz w:val="20"/>
              </w:rPr>
              <w:t>500.000</w:t>
            </w:r>
            <w:r w:rsidR="005F6D57" w:rsidRPr="00361664">
              <w:rPr>
                <w:rFonts w:asciiTheme="minorHAnsi" w:hAnsiTheme="minorHAnsi"/>
                <w:sz w:val="20"/>
              </w:rPr>
              <w:t>,00 kn.</w:t>
            </w:r>
          </w:p>
        </w:tc>
      </w:tr>
      <w:tr w:rsidR="00095C3F" w:rsidRPr="00361664" w:rsidTr="00B34CA2">
        <w:trPr>
          <w:trHeight w:val="20"/>
        </w:trPr>
        <w:tc>
          <w:tcPr>
            <w:tcW w:w="654" w:type="pct"/>
            <w:vMerge/>
          </w:tcPr>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Izvršno tijelo</w:t>
            </w:r>
          </w:p>
        </w:tc>
        <w:tc>
          <w:tcPr>
            <w:tcW w:w="3524" w:type="pct"/>
            <w:vAlign w:val="center"/>
          </w:tcPr>
          <w:p w:rsidR="002B4068" w:rsidRPr="00361664" w:rsidRDefault="002B4068" w:rsidP="002B4068">
            <w:pPr>
              <w:tabs>
                <w:tab w:val="left" w:pos="1440"/>
                <w:tab w:val="left" w:pos="5040"/>
                <w:tab w:val="right" w:pos="8504"/>
              </w:tabs>
              <w:spacing w:after="0" w:line="240" w:lineRule="auto"/>
              <w:jc w:val="both"/>
              <w:rPr>
                <w:sz w:val="20"/>
                <w:szCs w:val="20"/>
                <w:lang w:eastAsia="de-DE"/>
              </w:rPr>
            </w:pPr>
            <w:r w:rsidRPr="00361664">
              <w:rPr>
                <w:sz w:val="20"/>
                <w:szCs w:val="20"/>
                <w:lang w:eastAsia="de-DE"/>
              </w:rPr>
              <w:t>NKT - koordinacija aktivnosti</w:t>
            </w:r>
          </w:p>
          <w:p w:rsidR="00095C3F" w:rsidRPr="00361664" w:rsidRDefault="002B4068" w:rsidP="002B4068">
            <w:pPr>
              <w:tabs>
                <w:tab w:val="left" w:pos="1440"/>
                <w:tab w:val="left" w:pos="5040"/>
                <w:tab w:val="right" w:pos="8504"/>
              </w:tabs>
              <w:spacing w:after="0" w:line="240" w:lineRule="auto"/>
              <w:jc w:val="both"/>
              <w:rPr>
                <w:sz w:val="20"/>
                <w:szCs w:val="20"/>
                <w:lang w:eastAsia="de-DE"/>
              </w:rPr>
            </w:pPr>
            <w:r w:rsidRPr="00361664">
              <w:rPr>
                <w:sz w:val="20"/>
                <w:szCs w:val="20"/>
                <w:lang w:eastAsia="de-DE"/>
              </w:rPr>
              <w:lastRenderedPageBreak/>
              <w:t xml:space="preserve">FZOEU - </w:t>
            </w:r>
            <w:r w:rsidRPr="00361664">
              <w:rPr>
                <w:rFonts w:asciiTheme="minorHAnsi" w:hAnsiTheme="minorHAnsi"/>
                <w:sz w:val="20"/>
              </w:rPr>
              <w:t>financiranje sredstvima stečenim od prodaje emisijskih jedinica putem dražbe na sustavu trgovanja emisijskim jedinicama EU-a temeljem Zakona o zaštiti zraka (</w:t>
            </w:r>
            <w:r w:rsidR="00C44613" w:rsidRPr="00361664">
              <w:rPr>
                <w:rFonts w:asciiTheme="minorHAnsi" w:hAnsiTheme="minorHAnsi"/>
                <w:sz w:val="20"/>
              </w:rPr>
              <w:t>NN 130/11, 47/14, 61/17</w:t>
            </w:r>
            <w:r w:rsidRPr="00361664">
              <w:rPr>
                <w:rFonts w:asciiTheme="minorHAnsi" w:hAnsiTheme="minorHAnsi"/>
                <w:sz w:val="20"/>
              </w:rPr>
              <w:t>)</w:t>
            </w:r>
          </w:p>
        </w:tc>
      </w:tr>
      <w:tr w:rsidR="00095C3F" w:rsidRPr="00361664" w:rsidTr="00B34CA2">
        <w:trPr>
          <w:trHeight w:val="20"/>
        </w:trPr>
        <w:tc>
          <w:tcPr>
            <w:tcW w:w="654" w:type="pct"/>
            <w:vMerge/>
          </w:tcPr>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822" w:type="pct"/>
            <w:vAlign w:val="center"/>
          </w:tcPr>
          <w:p w:rsidR="00095C3F" w:rsidRPr="00361664" w:rsidRDefault="002B4068" w:rsidP="00095C3F">
            <w:pPr>
              <w:tabs>
                <w:tab w:val="left" w:pos="1440"/>
                <w:tab w:val="left" w:pos="5040"/>
                <w:tab w:val="right" w:pos="8504"/>
              </w:tabs>
              <w:spacing w:after="0" w:line="240" w:lineRule="auto"/>
              <w:rPr>
                <w:sz w:val="20"/>
                <w:szCs w:val="20"/>
                <w:lang w:eastAsia="de-DE"/>
              </w:rPr>
            </w:pPr>
            <w:r w:rsidRPr="00361664">
              <w:rPr>
                <w:sz w:val="20"/>
                <w:szCs w:val="20"/>
                <w:lang w:eastAsia="de-DE"/>
              </w:rPr>
              <w:t>Tijela za praćenje, mjerenje i verifikaciju ušteda</w:t>
            </w:r>
          </w:p>
        </w:tc>
        <w:tc>
          <w:tcPr>
            <w:tcW w:w="3524" w:type="pct"/>
            <w:vAlign w:val="center"/>
          </w:tcPr>
          <w:p w:rsidR="00095C3F" w:rsidRPr="00361664" w:rsidRDefault="002B4068" w:rsidP="00095C3F">
            <w:pPr>
              <w:tabs>
                <w:tab w:val="left" w:pos="1440"/>
                <w:tab w:val="left" w:pos="5040"/>
                <w:tab w:val="right" w:pos="8504"/>
              </w:tabs>
              <w:spacing w:after="0" w:line="240" w:lineRule="auto"/>
              <w:rPr>
                <w:sz w:val="20"/>
                <w:szCs w:val="20"/>
                <w:lang w:eastAsia="de-DE"/>
              </w:rPr>
            </w:pPr>
            <w:r w:rsidRPr="00361664">
              <w:rPr>
                <w:sz w:val="20"/>
                <w:szCs w:val="20"/>
                <w:lang w:eastAsia="de-DE"/>
              </w:rPr>
              <w:t>NKT</w:t>
            </w:r>
          </w:p>
        </w:tc>
      </w:tr>
      <w:tr w:rsidR="00095C3F" w:rsidRPr="00361664" w:rsidTr="00B34CA2">
        <w:trPr>
          <w:trHeight w:val="20"/>
        </w:trPr>
        <w:tc>
          <w:tcPr>
            <w:tcW w:w="654" w:type="pct"/>
            <w:vMerge w:val="restart"/>
            <w:vAlign w:val="center"/>
          </w:tcPr>
          <w:p w:rsidR="00095C3F" w:rsidRPr="00361664" w:rsidRDefault="00095C3F" w:rsidP="00095C3F">
            <w:pPr>
              <w:tabs>
                <w:tab w:val="left" w:pos="1440"/>
                <w:tab w:val="left" w:pos="5040"/>
                <w:tab w:val="right" w:pos="8504"/>
              </w:tabs>
              <w:spacing w:after="0" w:line="240" w:lineRule="auto"/>
              <w:jc w:val="center"/>
              <w:rPr>
                <w:color w:val="FF0000"/>
                <w:sz w:val="20"/>
                <w:szCs w:val="20"/>
                <w:lang w:eastAsia="de-DE"/>
              </w:rPr>
            </w:pPr>
            <w:r w:rsidRPr="00361664">
              <w:rPr>
                <w:sz w:val="20"/>
                <w:szCs w:val="20"/>
                <w:lang w:eastAsia="de-DE"/>
              </w:rPr>
              <w:t>Uštede energije</w:t>
            </w:r>
          </w:p>
          <w:p w:rsidR="00095C3F" w:rsidRPr="00361664" w:rsidRDefault="00095C3F" w:rsidP="00095C3F">
            <w:pPr>
              <w:tabs>
                <w:tab w:val="left" w:pos="1440"/>
                <w:tab w:val="left" w:pos="5040"/>
                <w:tab w:val="right" w:pos="8504"/>
              </w:tabs>
              <w:spacing w:after="0" w:line="240" w:lineRule="auto"/>
              <w:jc w:val="center"/>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Metoda praćenja / mjerenja ušteda energije</w:t>
            </w:r>
          </w:p>
        </w:tc>
        <w:tc>
          <w:tcPr>
            <w:tcW w:w="3524" w:type="pct"/>
            <w:vAlign w:val="center"/>
          </w:tcPr>
          <w:p w:rsidR="00095C3F" w:rsidRPr="00361664" w:rsidRDefault="00095C3F" w:rsidP="002B4068">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Ova mjera može se pratiti metodom na temelju istraživanja, ali na temelju prakse odlučeno je da se ne kvantificiraju uštede energije. Ova mjera preduvjet je za uspješnu provedbu Programa borbe protiv energetskog siromaštva. </w:t>
            </w:r>
          </w:p>
        </w:tc>
      </w:tr>
      <w:tr w:rsidR="00095C3F" w:rsidRPr="00361664" w:rsidTr="00B34CA2">
        <w:trPr>
          <w:trHeight w:val="20"/>
        </w:trPr>
        <w:tc>
          <w:tcPr>
            <w:tcW w:w="654" w:type="pct"/>
            <w:vMerge/>
          </w:tcPr>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color w:val="FF0000"/>
                <w:sz w:val="20"/>
                <w:szCs w:val="20"/>
                <w:lang w:eastAsia="de-DE"/>
              </w:rPr>
            </w:pPr>
            <w:r w:rsidRPr="00361664">
              <w:rPr>
                <w:sz w:val="20"/>
                <w:szCs w:val="20"/>
                <w:lang w:eastAsia="de-DE"/>
              </w:rPr>
              <w:t xml:space="preserve">Očekivane uštede energije u 2019. </w:t>
            </w:r>
          </w:p>
        </w:tc>
        <w:tc>
          <w:tcPr>
            <w:tcW w:w="3524" w:type="pct"/>
            <w:vAlign w:val="center"/>
          </w:tcPr>
          <w:p w:rsidR="00095C3F" w:rsidRPr="00361664" w:rsidRDefault="00D63319" w:rsidP="002B4068">
            <w:pPr>
              <w:tabs>
                <w:tab w:val="left" w:pos="1440"/>
                <w:tab w:val="left" w:pos="5040"/>
                <w:tab w:val="right" w:pos="8504"/>
              </w:tabs>
              <w:spacing w:after="0" w:line="240" w:lineRule="auto"/>
              <w:jc w:val="both"/>
              <w:rPr>
                <w:sz w:val="20"/>
                <w:szCs w:val="20"/>
                <w:lang w:eastAsia="de-DE"/>
              </w:rPr>
            </w:pPr>
            <w:r w:rsidRPr="00361664">
              <w:rPr>
                <w:sz w:val="20"/>
                <w:szCs w:val="20"/>
                <w:lang w:eastAsia="de-DE"/>
              </w:rPr>
              <w:t>Nije procijenjeno</w:t>
            </w:r>
          </w:p>
        </w:tc>
      </w:tr>
      <w:tr w:rsidR="00095C3F" w:rsidRPr="00361664" w:rsidTr="00B34CA2">
        <w:trPr>
          <w:trHeight w:val="20"/>
        </w:trPr>
        <w:tc>
          <w:tcPr>
            <w:tcW w:w="654" w:type="pct"/>
            <w:vMerge/>
          </w:tcPr>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highlight w:val="yellow"/>
                <w:lang w:eastAsia="de-DE"/>
              </w:rPr>
            </w:pPr>
            <w:r w:rsidRPr="00361664">
              <w:rPr>
                <w:sz w:val="20"/>
                <w:szCs w:val="20"/>
                <w:lang w:eastAsia="de-DE"/>
              </w:rPr>
              <w:t xml:space="preserve">Očekivani utjecaj na uštede energije za 2020. </w:t>
            </w:r>
          </w:p>
        </w:tc>
        <w:tc>
          <w:tcPr>
            <w:tcW w:w="3524" w:type="pct"/>
            <w:vAlign w:val="center"/>
          </w:tcPr>
          <w:p w:rsidR="00095C3F" w:rsidRPr="00361664" w:rsidRDefault="00D63319" w:rsidP="002B4068">
            <w:pPr>
              <w:tabs>
                <w:tab w:val="left" w:pos="1440"/>
                <w:tab w:val="left" w:pos="5040"/>
                <w:tab w:val="right" w:pos="8504"/>
              </w:tabs>
              <w:spacing w:after="0" w:line="240" w:lineRule="auto"/>
              <w:jc w:val="both"/>
              <w:rPr>
                <w:sz w:val="20"/>
                <w:szCs w:val="20"/>
                <w:lang w:eastAsia="de-DE"/>
              </w:rPr>
            </w:pPr>
            <w:r w:rsidRPr="00361664">
              <w:rPr>
                <w:sz w:val="20"/>
                <w:szCs w:val="20"/>
                <w:lang w:eastAsia="de-DE"/>
              </w:rPr>
              <w:t>Nije procijenjeno</w:t>
            </w:r>
          </w:p>
        </w:tc>
      </w:tr>
      <w:tr w:rsidR="00095C3F" w:rsidRPr="00361664" w:rsidTr="00B34CA2">
        <w:trPr>
          <w:trHeight w:val="20"/>
        </w:trPr>
        <w:tc>
          <w:tcPr>
            <w:tcW w:w="654" w:type="pct"/>
            <w:vMerge/>
          </w:tcPr>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color w:val="FF0000"/>
                <w:sz w:val="20"/>
                <w:szCs w:val="20"/>
                <w:lang w:eastAsia="de-DE"/>
              </w:rPr>
            </w:pPr>
            <w:r w:rsidRPr="00361664">
              <w:rPr>
                <w:sz w:val="20"/>
                <w:szCs w:val="20"/>
                <w:lang w:eastAsia="de-DE"/>
              </w:rPr>
              <w:t>Pretpostavke</w:t>
            </w:r>
          </w:p>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3524" w:type="pct"/>
            <w:vAlign w:val="center"/>
          </w:tcPr>
          <w:p w:rsidR="00095C3F" w:rsidRPr="00361664" w:rsidRDefault="00095C3F" w:rsidP="002B4068">
            <w:pPr>
              <w:autoSpaceDE w:val="0"/>
              <w:autoSpaceDN w:val="0"/>
              <w:adjustRightInd w:val="0"/>
              <w:spacing w:after="0" w:line="240" w:lineRule="auto"/>
              <w:jc w:val="both"/>
              <w:rPr>
                <w:rFonts w:eastAsia="Calibri" w:cs="Calibri"/>
                <w:color w:val="000000"/>
                <w:sz w:val="20"/>
                <w:szCs w:val="20"/>
              </w:rPr>
            </w:pPr>
            <w:r w:rsidRPr="00361664">
              <w:rPr>
                <w:rFonts w:eastAsia="Calibri" w:cs="Calibri"/>
                <w:color w:val="000000"/>
                <w:sz w:val="20"/>
                <w:szCs w:val="20"/>
              </w:rPr>
              <w:t xml:space="preserve">Praksa pokazuje da je učinke ove mjere nemoguće izolirati i da ju je najbolje pratiti korištenjem TD pokazatelja. Zbog toga se više ne daju procjene učinaka ove mjere. </w:t>
            </w:r>
          </w:p>
        </w:tc>
      </w:tr>
      <w:tr w:rsidR="00095C3F" w:rsidRPr="00361664" w:rsidTr="00B34CA2">
        <w:trPr>
          <w:trHeight w:val="785"/>
        </w:trPr>
        <w:tc>
          <w:tcPr>
            <w:tcW w:w="654" w:type="pct"/>
            <w:vMerge/>
          </w:tcPr>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822" w:type="pct"/>
            <w:vAlign w:val="center"/>
          </w:tcPr>
          <w:p w:rsidR="00095C3F" w:rsidRPr="00361664" w:rsidRDefault="00095C3F" w:rsidP="00095C3F">
            <w:pPr>
              <w:tabs>
                <w:tab w:val="left" w:pos="1440"/>
                <w:tab w:val="left" w:pos="5040"/>
                <w:tab w:val="right" w:pos="8504"/>
              </w:tabs>
              <w:spacing w:after="0" w:line="240" w:lineRule="auto"/>
              <w:rPr>
                <w:sz w:val="20"/>
                <w:szCs w:val="20"/>
                <w:lang w:eastAsia="de-DE"/>
              </w:rPr>
            </w:pPr>
            <w:r w:rsidRPr="00361664">
              <w:rPr>
                <w:sz w:val="20"/>
                <w:szCs w:val="20"/>
                <w:lang w:eastAsia="de-DE"/>
              </w:rPr>
              <w:t>Preklapanja, efekt množenja, sinergija</w:t>
            </w:r>
          </w:p>
          <w:p w:rsidR="00095C3F" w:rsidRPr="00361664" w:rsidRDefault="00095C3F" w:rsidP="00095C3F">
            <w:pPr>
              <w:tabs>
                <w:tab w:val="left" w:pos="1440"/>
                <w:tab w:val="left" w:pos="5040"/>
                <w:tab w:val="right" w:pos="8504"/>
              </w:tabs>
              <w:spacing w:after="0" w:line="240" w:lineRule="auto"/>
              <w:rPr>
                <w:sz w:val="20"/>
                <w:szCs w:val="20"/>
                <w:lang w:eastAsia="de-DE"/>
              </w:rPr>
            </w:pPr>
          </w:p>
        </w:tc>
        <w:tc>
          <w:tcPr>
            <w:tcW w:w="3524" w:type="pct"/>
            <w:vAlign w:val="center"/>
          </w:tcPr>
          <w:p w:rsidR="00095C3F" w:rsidRPr="00361664" w:rsidRDefault="00095C3F" w:rsidP="002B4068">
            <w:pPr>
              <w:autoSpaceDE w:val="0"/>
              <w:autoSpaceDN w:val="0"/>
              <w:adjustRightInd w:val="0"/>
              <w:spacing w:after="0" w:line="240" w:lineRule="auto"/>
              <w:jc w:val="both"/>
              <w:rPr>
                <w:rFonts w:eastAsia="Calibri" w:cs="Calibri"/>
                <w:color w:val="000000"/>
                <w:sz w:val="20"/>
                <w:szCs w:val="20"/>
              </w:rPr>
            </w:pPr>
            <w:r w:rsidRPr="00361664">
              <w:rPr>
                <w:rFonts w:eastAsia="Calibri" w:cs="Calibri"/>
                <w:color w:val="000000"/>
                <w:sz w:val="20"/>
                <w:szCs w:val="20"/>
              </w:rPr>
              <w:t xml:space="preserve">Ova se mjera preklapa i nadovezuje sa svim mjerama koje financira/sufinancira </w:t>
            </w:r>
            <w:r w:rsidR="00430D54" w:rsidRPr="00361664">
              <w:rPr>
                <w:rFonts w:eastAsia="Calibri" w:cs="Calibri"/>
                <w:color w:val="000000"/>
                <w:sz w:val="20"/>
                <w:szCs w:val="20"/>
              </w:rPr>
              <w:t>FZOEU ili provodi/koordinira NKT</w:t>
            </w:r>
            <w:r w:rsidRPr="00361664">
              <w:rPr>
                <w:rFonts w:eastAsia="Calibri" w:cs="Calibri"/>
                <w:color w:val="000000"/>
                <w:sz w:val="20"/>
                <w:szCs w:val="20"/>
              </w:rPr>
              <w:t xml:space="preserve"> a za ciljnu skupinu imaju građane. FZOEU treba financijski pratiti izvršenje obveza koje su sklapanjem ugovora preuzele JLS.</w:t>
            </w:r>
          </w:p>
        </w:tc>
      </w:tr>
    </w:tbl>
    <w:p w:rsidR="005D20FD" w:rsidRPr="00361664" w:rsidRDefault="005D20FD" w:rsidP="00651BCA">
      <w:pPr>
        <w:jc w:val="both"/>
        <w:rPr>
          <w:lang w:eastAsia="de-DE"/>
        </w:rPr>
      </w:pPr>
    </w:p>
    <w:p w:rsidR="00944F9E" w:rsidRPr="00361664" w:rsidRDefault="004E4418" w:rsidP="00651BCA">
      <w:pPr>
        <w:pStyle w:val="Naslov3"/>
        <w:rPr>
          <w:rStyle w:val="Jakoisticanje"/>
          <w:b/>
          <w:bCs w:val="0"/>
          <w:i/>
          <w:iCs w:val="0"/>
          <w:color w:val="375F91"/>
          <w:lang w:val="hr-HR"/>
        </w:rPr>
      </w:pPr>
      <w:bookmarkStart w:id="25" w:name="_Toc535245846"/>
      <w:r w:rsidRPr="00361664">
        <w:rPr>
          <w:rStyle w:val="Jakoisticanje"/>
          <w:b/>
          <w:bCs w:val="0"/>
          <w:i/>
          <w:iCs w:val="0"/>
          <w:color w:val="375F91"/>
          <w:lang w:val="hr-HR"/>
        </w:rPr>
        <w:t xml:space="preserve">Raspoloživost </w:t>
      </w:r>
      <w:r w:rsidR="003412CD" w:rsidRPr="00361664">
        <w:rPr>
          <w:rStyle w:val="Jakoisticanje"/>
          <w:b/>
          <w:bCs w:val="0"/>
          <w:i/>
          <w:iCs w:val="0"/>
          <w:color w:val="375F91"/>
          <w:lang w:val="hr-HR"/>
        </w:rPr>
        <w:t xml:space="preserve">kvalifikacijskih, </w:t>
      </w:r>
      <w:r w:rsidR="00716D5A" w:rsidRPr="00361664">
        <w:rPr>
          <w:rStyle w:val="Jakoisticanje"/>
          <w:b/>
          <w:bCs w:val="0"/>
          <w:i/>
          <w:iCs w:val="0"/>
          <w:color w:val="375F91"/>
          <w:lang w:val="hr-HR"/>
        </w:rPr>
        <w:t>akreditacijskih</w:t>
      </w:r>
      <w:r w:rsidR="003412CD" w:rsidRPr="00361664">
        <w:rPr>
          <w:rStyle w:val="Jakoisticanje"/>
          <w:b/>
          <w:bCs w:val="0"/>
          <w:i/>
          <w:iCs w:val="0"/>
          <w:color w:val="375F91"/>
          <w:lang w:val="hr-HR"/>
        </w:rPr>
        <w:t xml:space="preserve"> i certifikacijskih programa</w:t>
      </w:r>
      <w:r w:rsidR="00944F9E" w:rsidRPr="00361664">
        <w:rPr>
          <w:rStyle w:val="Jakoisticanje"/>
          <w:b/>
          <w:bCs w:val="0"/>
          <w:i/>
          <w:iCs w:val="0"/>
          <w:color w:val="375F91"/>
          <w:lang w:val="hr-HR"/>
        </w:rPr>
        <w:t xml:space="preserve"> (</w:t>
      </w:r>
      <w:r w:rsidRPr="00361664">
        <w:rPr>
          <w:rStyle w:val="Jakoisticanje"/>
          <w:b/>
          <w:bCs w:val="0"/>
          <w:i/>
          <w:iCs w:val="0"/>
          <w:color w:val="375F91"/>
          <w:lang w:val="hr-HR"/>
        </w:rPr>
        <w:t>čl</w:t>
      </w:r>
      <w:r w:rsidR="003412CD" w:rsidRPr="00361664">
        <w:rPr>
          <w:rStyle w:val="Jakoisticanje"/>
          <w:b/>
          <w:bCs w:val="0"/>
          <w:i/>
          <w:iCs w:val="0"/>
          <w:color w:val="375F91"/>
          <w:lang w:val="hr-HR"/>
        </w:rPr>
        <w:t>anak</w:t>
      </w:r>
      <w:r w:rsidR="00944F9E" w:rsidRPr="00361664">
        <w:rPr>
          <w:rStyle w:val="Jakoisticanje"/>
          <w:b/>
          <w:bCs w:val="0"/>
          <w:i/>
          <w:iCs w:val="0"/>
          <w:color w:val="375F91"/>
          <w:lang w:val="hr-HR"/>
        </w:rPr>
        <w:t xml:space="preserve"> 16</w:t>
      </w:r>
      <w:r w:rsidRPr="00361664">
        <w:rPr>
          <w:rStyle w:val="Jakoisticanje"/>
          <w:b/>
          <w:bCs w:val="0"/>
          <w:i/>
          <w:iCs w:val="0"/>
          <w:color w:val="375F91"/>
          <w:lang w:val="hr-HR"/>
        </w:rPr>
        <w:t>. DEU-a</w:t>
      </w:r>
      <w:r w:rsidR="00944F9E" w:rsidRPr="00361664">
        <w:rPr>
          <w:rStyle w:val="Jakoisticanje"/>
          <w:b/>
          <w:bCs w:val="0"/>
          <w:i/>
          <w:iCs w:val="0"/>
          <w:color w:val="375F91"/>
          <w:lang w:val="hr-HR"/>
        </w:rPr>
        <w:t>)</w:t>
      </w:r>
      <w:bookmarkEnd w:id="25"/>
      <w:r w:rsidR="00944F9E" w:rsidRPr="00361664">
        <w:rPr>
          <w:rStyle w:val="Jakoisticanje"/>
          <w:b/>
          <w:bCs w:val="0"/>
          <w:i/>
          <w:iCs w:val="0"/>
          <w:color w:val="375F91"/>
          <w:lang w:val="hr-HR"/>
        </w:rPr>
        <w:tab/>
      </w:r>
    </w:p>
    <w:p w:rsidR="00B31EE2" w:rsidRPr="00361664" w:rsidRDefault="00B31EE2" w:rsidP="00AE41EF">
      <w:pPr>
        <w:spacing w:after="0"/>
        <w:jc w:val="both"/>
        <w:rPr>
          <w:sz w:val="20"/>
        </w:rPr>
      </w:pPr>
    </w:p>
    <w:p w:rsidR="00AE41EF" w:rsidRPr="00361664" w:rsidRDefault="00AE41EF" w:rsidP="00AE41EF">
      <w:pPr>
        <w:spacing w:after="0"/>
        <w:jc w:val="both"/>
        <w:rPr>
          <w:sz w:val="20"/>
        </w:rPr>
      </w:pPr>
      <w:r w:rsidRPr="00361664">
        <w:rPr>
          <w:sz w:val="20"/>
        </w:rPr>
        <w:t>Energetski pregled i energetsko certificiranje zgrade provodi pravna i fizička osoba koja ima ovlaštenje Ministarstva graditeljstva i prostornog uređenja prema Pravilniku o osobama ovlaštenim za energetsko certificiranje, energetski pregled zgrade i redoviti pregled sustava grijanja i sustava hlađenja ili klimatizacije u zgradi (NN 73/15, 133/15).</w:t>
      </w:r>
    </w:p>
    <w:p w:rsidR="00AE41EF" w:rsidRPr="00361664" w:rsidRDefault="00AE41EF" w:rsidP="00AE41EF">
      <w:pPr>
        <w:spacing w:after="0"/>
        <w:jc w:val="both"/>
        <w:rPr>
          <w:sz w:val="20"/>
        </w:rPr>
      </w:pPr>
    </w:p>
    <w:p w:rsidR="00AE41EF" w:rsidRPr="00361664" w:rsidRDefault="00AE41EF" w:rsidP="00AE41EF">
      <w:pPr>
        <w:spacing w:after="0"/>
        <w:jc w:val="both"/>
        <w:rPr>
          <w:sz w:val="20"/>
        </w:rPr>
      </w:pPr>
      <w:r w:rsidRPr="00361664">
        <w:rPr>
          <w:sz w:val="20"/>
        </w:rPr>
        <w:t>Pravilnicima koji proizlaze iz Zakona o gradnji (NN 153/13) propisani su :</w:t>
      </w:r>
    </w:p>
    <w:p w:rsidR="00AE41EF" w:rsidRPr="00361664" w:rsidRDefault="00AE41EF" w:rsidP="00CD00FF">
      <w:pPr>
        <w:numPr>
          <w:ilvl w:val="0"/>
          <w:numId w:val="46"/>
        </w:numPr>
        <w:spacing w:after="0" w:line="240" w:lineRule="auto"/>
        <w:jc w:val="both"/>
        <w:rPr>
          <w:sz w:val="20"/>
        </w:rPr>
      </w:pPr>
      <w:r w:rsidRPr="00361664">
        <w:rPr>
          <w:sz w:val="20"/>
        </w:rPr>
        <w:t>Način i uvjeti provedbe energetskog pregleda zgrade i redovitih pregleda sustava grijanja i sustava hlađenja ili klimatizacije u zgradi</w:t>
      </w:r>
    </w:p>
    <w:p w:rsidR="00AE41EF" w:rsidRPr="00361664" w:rsidRDefault="00AE41EF" w:rsidP="00CD00FF">
      <w:pPr>
        <w:numPr>
          <w:ilvl w:val="0"/>
          <w:numId w:val="46"/>
        </w:numPr>
        <w:spacing w:after="0" w:line="240" w:lineRule="auto"/>
        <w:jc w:val="both"/>
        <w:rPr>
          <w:sz w:val="20"/>
        </w:rPr>
      </w:pPr>
      <w:r w:rsidRPr="00361664">
        <w:rPr>
          <w:sz w:val="20"/>
        </w:rPr>
        <w:t>sadržaj izvješća o tim pregledima, način energetskog certificiranja</w:t>
      </w:r>
    </w:p>
    <w:p w:rsidR="00AE41EF" w:rsidRPr="00361664" w:rsidRDefault="00AE41EF" w:rsidP="00CD00FF">
      <w:pPr>
        <w:numPr>
          <w:ilvl w:val="0"/>
          <w:numId w:val="46"/>
        </w:numPr>
        <w:spacing w:after="0" w:line="240" w:lineRule="auto"/>
        <w:jc w:val="both"/>
        <w:rPr>
          <w:sz w:val="20"/>
        </w:rPr>
      </w:pPr>
      <w:r w:rsidRPr="00361664">
        <w:rPr>
          <w:sz w:val="20"/>
        </w:rPr>
        <w:t>sadržaj i izgled energetskog certifikata</w:t>
      </w:r>
    </w:p>
    <w:p w:rsidR="00AE41EF" w:rsidRPr="00361664" w:rsidRDefault="00AE41EF" w:rsidP="00CD00FF">
      <w:pPr>
        <w:numPr>
          <w:ilvl w:val="0"/>
          <w:numId w:val="46"/>
        </w:numPr>
        <w:spacing w:after="0" w:line="240" w:lineRule="auto"/>
        <w:jc w:val="both"/>
        <w:rPr>
          <w:sz w:val="20"/>
        </w:rPr>
      </w:pPr>
      <w:r w:rsidRPr="00361664">
        <w:rPr>
          <w:sz w:val="20"/>
        </w:rPr>
        <w:t>zgrade s malim energetskim potrebama</w:t>
      </w:r>
    </w:p>
    <w:p w:rsidR="00AE41EF" w:rsidRPr="00361664" w:rsidRDefault="00AE41EF" w:rsidP="00CD00FF">
      <w:pPr>
        <w:numPr>
          <w:ilvl w:val="0"/>
          <w:numId w:val="46"/>
        </w:numPr>
        <w:spacing w:after="0" w:line="240" w:lineRule="auto"/>
        <w:jc w:val="both"/>
        <w:rPr>
          <w:sz w:val="20"/>
        </w:rPr>
      </w:pPr>
      <w:r w:rsidRPr="00361664">
        <w:rPr>
          <w:sz w:val="20"/>
        </w:rPr>
        <w:t>način i uvjeti provedbe neovisne kontrole energetskog certifikata i izvješća o redovitom pregledu sustava grijanja i sustava hlađenja ili klimatizacije u zgradi</w:t>
      </w:r>
    </w:p>
    <w:p w:rsidR="00AE41EF" w:rsidRPr="00361664" w:rsidRDefault="00AE41EF" w:rsidP="00CD00FF">
      <w:pPr>
        <w:numPr>
          <w:ilvl w:val="0"/>
          <w:numId w:val="46"/>
        </w:numPr>
        <w:spacing w:after="0" w:line="240" w:lineRule="auto"/>
        <w:jc w:val="both"/>
        <w:rPr>
          <w:sz w:val="20"/>
        </w:rPr>
      </w:pPr>
      <w:r w:rsidRPr="00361664">
        <w:rPr>
          <w:sz w:val="20"/>
        </w:rPr>
        <w:t>sadržaj i način provedbe programa stručnog osposobljavanja prema Modulu 1 i Modulu 2</w:t>
      </w:r>
    </w:p>
    <w:p w:rsidR="00AE41EF" w:rsidRPr="00361664" w:rsidRDefault="00AE41EF" w:rsidP="00CD00FF">
      <w:pPr>
        <w:numPr>
          <w:ilvl w:val="0"/>
          <w:numId w:val="46"/>
        </w:numPr>
        <w:spacing w:after="0" w:line="240" w:lineRule="auto"/>
        <w:jc w:val="both"/>
        <w:rPr>
          <w:sz w:val="20"/>
        </w:rPr>
      </w:pPr>
      <w:r w:rsidRPr="00361664">
        <w:rPr>
          <w:sz w:val="20"/>
        </w:rPr>
        <w:t>provjere znanja stručne osposobljenosti i obveznog usavršavanja ovlaštenih osoba</w:t>
      </w:r>
    </w:p>
    <w:p w:rsidR="00AE41EF" w:rsidRPr="00361664" w:rsidRDefault="00AE41EF" w:rsidP="00CD00FF">
      <w:pPr>
        <w:numPr>
          <w:ilvl w:val="0"/>
          <w:numId w:val="46"/>
        </w:numPr>
        <w:spacing w:after="0" w:line="240" w:lineRule="auto"/>
        <w:jc w:val="both"/>
        <w:rPr>
          <w:sz w:val="20"/>
        </w:rPr>
      </w:pPr>
      <w:r w:rsidRPr="00361664">
        <w:rPr>
          <w:sz w:val="20"/>
        </w:rPr>
        <w:t>sadržaj registra</w:t>
      </w:r>
    </w:p>
    <w:p w:rsidR="00AE41EF" w:rsidRPr="00361664" w:rsidRDefault="00AE41EF" w:rsidP="00CD00FF">
      <w:pPr>
        <w:numPr>
          <w:ilvl w:val="0"/>
          <w:numId w:val="46"/>
        </w:numPr>
        <w:spacing w:after="0" w:line="240" w:lineRule="auto"/>
        <w:jc w:val="both"/>
        <w:rPr>
          <w:sz w:val="20"/>
        </w:rPr>
      </w:pPr>
      <w:r w:rsidRPr="00361664">
        <w:rPr>
          <w:sz w:val="20"/>
        </w:rPr>
        <w:t>druga pitanja vezana uz provedbu energetskih pregleda, energetskog certificiranja zgrada i neovisne kontrole izvješća o energetskom pregledu i energetskog certifikata</w:t>
      </w:r>
    </w:p>
    <w:p w:rsidR="00AE41EF" w:rsidRPr="00361664" w:rsidRDefault="00AE41EF" w:rsidP="00AE41EF">
      <w:pPr>
        <w:spacing w:after="0"/>
        <w:jc w:val="both"/>
        <w:rPr>
          <w:rFonts w:eastAsiaTheme="minorHAnsi"/>
          <w:sz w:val="20"/>
        </w:rPr>
      </w:pPr>
    </w:p>
    <w:p w:rsidR="00AE41EF" w:rsidRPr="00361664" w:rsidRDefault="00AE41EF" w:rsidP="00AE41EF">
      <w:pPr>
        <w:spacing w:after="0"/>
        <w:jc w:val="both"/>
        <w:rPr>
          <w:sz w:val="20"/>
        </w:rPr>
      </w:pPr>
      <w:r w:rsidRPr="00361664">
        <w:rPr>
          <w:sz w:val="20"/>
        </w:rPr>
        <w:t xml:space="preserve">Pravilnicima koji proizlaze iz Zakona o energetskoj učinkovitosti (NN 127/14) propisani su: </w:t>
      </w:r>
    </w:p>
    <w:p w:rsidR="00AE41EF" w:rsidRPr="00361664" w:rsidRDefault="00AE41EF" w:rsidP="00CD00FF">
      <w:pPr>
        <w:numPr>
          <w:ilvl w:val="0"/>
          <w:numId w:val="47"/>
        </w:numPr>
        <w:spacing w:after="0"/>
        <w:contextualSpacing/>
        <w:jc w:val="both"/>
        <w:rPr>
          <w:sz w:val="20"/>
        </w:rPr>
      </w:pPr>
      <w:r w:rsidRPr="00361664">
        <w:rPr>
          <w:sz w:val="20"/>
        </w:rPr>
        <w:lastRenderedPageBreak/>
        <w:t xml:space="preserve">Sustav ovlašćivanja i/ili certificiranja, odnosno istovrijedan kvalifikacijski sustav za građevinske radnike koji ugrađuju građevne elemente povezane s energijom, instalatere dijelova zgrada povezanih s energijom, uključujući program certificiranja ili istovrijedni program kvalifikacije za instalatere manjih kotlova i peći na biomasu, fotonaponskih sustava, solarnih </w:t>
      </w:r>
      <w:r w:rsidR="008E3878" w:rsidRPr="00361664">
        <w:rPr>
          <w:sz w:val="20"/>
        </w:rPr>
        <w:t>toplinskih</w:t>
      </w:r>
      <w:r w:rsidRPr="00361664">
        <w:rPr>
          <w:sz w:val="20"/>
        </w:rPr>
        <w:t xml:space="preserve"> sustava, plitkih geotermalnih sustava i toplinskih </w:t>
      </w:r>
      <w:r w:rsidR="008E3878" w:rsidRPr="00361664">
        <w:rPr>
          <w:sz w:val="20"/>
        </w:rPr>
        <w:t>pumpi.</w:t>
      </w:r>
    </w:p>
    <w:p w:rsidR="008E3878" w:rsidRPr="00361664" w:rsidRDefault="008E3878" w:rsidP="008E3878">
      <w:pPr>
        <w:pStyle w:val="Odlomakpopisa"/>
        <w:spacing w:after="0"/>
        <w:jc w:val="both"/>
        <w:rPr>
          <w:sz w:val="20"/>
        </w:rPr>
      </w:pPr>
      <w:r w:rsidRPr="00361664">
        <w:rPr>
          <w:sz w:val="20"/>
        </w:rPr>
        <w:t>Radi se o slijedećim pravilnicima:</w:t>
      </w:r>
    </w:p>
    <w:p w:rsidR="008E3878" w:rsidRPr="00361664" w:rsidRDefault="008E3878" w:rsidP="008E3878">
      <w:pPr>
        <w:pStyle w:val="Odlomakpopisa"/>
        <w:numPr>
          <w:ilvl w:val="0"/>
          <w:numId w:val="65"/>
        </w:numPr>
        <w:spacing w:after="0"/>
        <w:jc w:val="both"/>
        <w:rPr>
          <w:sz w:val="20"/>
        </w:rPr>
      </w:pPr>
      <w:r w:rsidRPr="00361664">
        <w:rPr>
          <w:sz w:val="20"/>
        </w:rPr>
        <w:t>Pravilnik o sustavu izobrazbe i certificiranja građevinskih radnika koji ugrađuju dijelove zgrade koji utječu na energetsku učinkovitost u zgradarstvu(„Narodne novine“ broj 67/17.)</w:t>
      </w:r>
    </w:p>
    <w:p w:rsidR="008E3878" w:rsidRPr="00361664" w:rsidRDefault="008E3878" w:rsidP="008E3878">
      <w:pPr>
        <w:pStyle w:val="Odlomakpopisa"/>
        <w:numPr>
          <w:ilvl w:val="0"/>
          <w:numId w:val="65"/>
        </w:numPr>
        <w:spacing w:after="0"/>
        <w:jc w:val="both"/>
        <w:rPr>
          <w:sz w:val="20"/>
        </w:rPr>
      </w:pPr>
      <w:r w:rsidRPr="00361664">
        <w:rPr>
          <w:sz w:val="20"/>
        </w:rPr>
        <w:t>Pravilnik o uvjetima i mjerilima za utvrđivanje sustava kvalitete usluga i radova za certificiranje instalatera obnovljivih izvora energije - solarnih toplinskih sustava  („Narodne novine“ broj 33/15, 56/15, 12/17);</w:t>
      </w:r>
    </w:p>
    <w:p w:rsidR="008E3878" w:rsidRPr="00361664" w:rsidRDefault="008E3878" w:rsidP="008E3878">
      <w:pPr>
        <w:pStyle w:val="Odlomakpopisa"/>
        <w:numPr>
          <w:ilvl w:val="0"/>
          <w:numId w:val="65"/>
        </w:numPr>
        <w:spacing w:after="0"/>
        <w:jc w:val="both"/>
        <w:rPr>
          <w:sz w:val="20"/>
        </w:rPr>
      </w:pPr>
      <w:r w:rsidRPr="00361664">
        <w:rPr>
          <w:sz w:val="20"/>
        </w:rPr>
        <w:t>Pravilnik o uvjetima i mjerilima za utvrđivanje sustava kvalitete usluga i radova za certificiranje instalatera obnovljivih izvora energije - manjih kotlova i peći na biomasu  („Narodne novine“ broj 39/15, 56/15, 12/17);</w:t>
      </w:r>
    </w:p>
    <w:p w:rsidR="008E3878" w:rsidRPr="00361664" w:rsidRDefault="008E3878" w:rsidP="008E3878">
      <w:pPr>
        <w:pStyle w:val="Odlomakpopisa"/>
        <w:numPr>
          <w:ilvl w:val="0"/>
          <w:numId w:val="65"/>
        </w:numPr>
        <w:spacing w:after="0"/>
        <w:jc w:val="both"/>
        <w:rPr>
          <w:sz w:val="20"/>
        </w:rPr>
      </w:pPr>
      <w:r w:rsidRPr="00361664">
        <w:rPr>
          <w:sz w:val="20"/>
        </w:rPr>
        <w:t>Pravilnik o uvjetima i mjerilima za utvrđivanje sustava kvalitete usluga i radova za certificiranje instalatera obnovljivih izvora energije - plitkih geotermalnih sustava i dizalica topline  („Narodne novine“ broj 56/15, 12/17);</w:t>
      </w:r>
    </w:p>
    <w:p w:rsidR="008E3878" w:rsidRPr="00361664" w:rsidRDefault="008E3878" w:rsidP="008E3878">
      <w:pPr>
        <w:pStyle w:val="Odlomakpopisa"/>
        <w:numPr>
          <w:ilvl w:val="0"/>
          <w:numId w:val="65"/>
        </w:numPr>
        <w:spacing w:after="0"/>
        <w:jc w:val="both"/>
        <w:rPr>
          <w:sz w:val="20"/>
        </w:rPr>
      </w:pPr>
      <w:r w:rsidRPr="00361664">
        <w:rPr>
          <w:sz w:val="20"/>
        </w:rPr>
        <w:t>Pravilnik o uvjetima i mjerilima za utvrđivanje sustava kvalitete usluga i radova za certificiranje instalatera obnovljivih izvora energije - fotonaponskih sustava  („Narodne novine“ broj 56/15)</w:t>
      </w:r>
    </w:p>
    <w:p w:rsidR="008E3878" w:rsidRPr="00361664" w:rsidRDefault="008E3878" w:rsidP="008E3878">
      <w:pPr>
        <w:spacing w:after="0"/>
        <w:ind w:left="360"/>
        <w:contextualSpacing/>
        <w:jc w:val="both"/>
        <w:rPr>
          <w:sz w:val="20"/>
        </w:rPr>
      </w:pPr>
    </w:p>
    <w:p w:rsidR="00AE41EF" w:rsidRPr="00361664" w:rsidRDefault="00AE41EF" w:rsidP="009E557D">
      <w:pPr>
        <w:numPr>
          <w:ilvl w:val="0"/>
          <w:numId w:val="47"/>
        </w:numPr>
        <w:spacing w:after="0"/>
        <w:contextualSpacing/>
        <w:jc w:val="both"/>
        <w:rPr>
          <w:sz w:val="20"/>
        </w:rPr>
      </w:pPr>
      <w:r w:rsidRPr="00361664">
        <w:rPr>
          <w:sz w:val="20"/>
        </w:rPr>
        <w:t>Način upravljanja potrošnjom energije, analiza potrošnje energije i način izvještavanja</w:t>
      </w:r>
    </w:p>
    <w:p w:rsidR="009E557D" w:rsidRDefault="009E557D" w:rsidP="009E557D">
      <w:pPr>
        <w:spacing w:after="0"/>
        <w:contextualSpacing/>
        <w:jc w:val="both"/>
        <w:rPr>
          <w:sz w:val="20"/>
        </w:rPr>
      </w:pPr>
    </w:p>
    <w:p w:rsidR="00AE41EF" w:rsidRPr="00361664" w:rsidRDefault="008E3878" w:rsidP="009E557D">
      <w:pPr>
        <w:spacing w:after="0"/>
        <w:contextualSpacing/>
        <w:jc w:val="both"/>
        <w:rPr>
          <w:sz w:val="20"/>
        </w:rPr>
      </w:pPr>
      <w:r w:rsidRPr="00361664">
        <w:rPr>
          <w:sz w:val="20"/>
        </w:rPr>
        <w:t>Pravilnik o sustavnom gospodarenju energijom u javnom sektoru  („Narodne novine“ broj 18/15, 06/16.)</w:t>
      </w:r>
    </w:p>
    <w:p w:rsidR="009E557D" w:rsidRDefault="009E557D" w:rsidP="009E557D">
      <w:pPr>
        <w:spacing w:after="0"/>
        <w:jc w:val="both"/>
        <w:rPr>
          <w:sz w:val="20"/>
        </w:rPr>
      </w:pPr>
    </w:p>
    <w:p w:rsidR="00AE41EF" w:rsidRPr="00361664" w:rsidRDefault="00AE41EF" w:rsidP="009E557D">
      <w:pPr>
        <w:spacing w:after="0"/>
        <w:jc w:val="both"/>
        <w:rPr>
          <w:sz w:val="20"/>
        </w:rPr>
      </w:pPr>
      <w:r w:rsidRPr="00361664">
        <w:rPr>
          <w:sz w:val="20"/>
        </w:rPr>
        <w:t xml:space="preserve">Energetski certifikat i izvješće o redovitom pregledu sustava grijanja i sustava hlađenja ili klimatizacije u zgradi  podliježu neovisnoj kontroli koja je propisana člankom 39. i člankom 40.  Zakona o gradnji (NN 153/13). neovisnu kontrolu provode ovlaštene pravne osobe po nalogu Ministarstva. Energetski certifikat koji je u provedbi neovisne kontrole ocijenjen negativno, MGIPU proglašava rješenjem nevažećim. </w:t>
      </w:r>
    </w:p>
    <w:p w:rsidR="009E557D" w:rsidRDefault="009E557D" w:rsidP="00AE41EF">
      <w:pPr>
        <w:spacing w:after="0"/>
        <w:jc w:val="both"/>
        <w:rPr>
          <w:sz w:val="20"/>
        </w:rPr>
      </w:pPr>
    </w:p>
    <w:p w:rsidR="00AE41EF" w:rsidRPr="00361664" w:rsidRDefault="00AE41EF" w:rsidP="00AE41EF">
      <w:pPr>
        <w:spacing w:after="0"/>
        <w:jc w:val="both"/>
        <w:rPr>
          <w:sz w:val="20"/>
        </w:rPr>
      </w:pPr>
      <w:r w:rsidRPr="00361664">
        <w:rPr>
          <w:sz w:val="20"/>
        </w:rPr>
        <w:t xml:space="preserve">Zakonom o gradnji propisane su, između ostalog, novčane kazne za prekršaje fizičkih i pravnih osoba u svojstvu investitora ukoliko ne pribave energetski certifikat zgrade ili njezinog dijela, kao i novčane kazne za prekršaje osoba ovlaštenih za energetsko certificiranje i energetski pregled zgrade te osoba ovlaštenih za neovisnu kontrolu energetskih certifikata zgrada. </w:t>
      </w:r>
    </w:p>
    <w:p w:rsidR="00AE41EF" w:rsidRPr="00361664" w:rsidRDefault="00AE41EF" w:rsidP="00AE41EF">
      <w:pPr>
        <w:spacing w:after="0"/>
        <w:jc w:val="both"/>
        <w:rPr>
          <w:sz w:val="20"/>
        </w:rPr>
      </w:pPr>
    </w:p>
    <w:p w:rsidR="00B31EE2" w:rsidRPr="00361664" w:rsidRDefault="00AE41EF" w:rsidP="005C03DC">
      <w:pPr>
        <w:rPr>
          <w:sz w:val="20"/>
        </w:rPr>
      </w:pPr>
      <w:r w:rsidRPr="00361664">
        <w:rPr>
          <w:sz w:val="20"/>
        </w:rPr>
        <w:t>Registar fizičkih i pravnih osoba ovlaštenih za energetske preglede i energetsko certificiranje zgrada, nositelji Programa izobrazbe za osobe koje provode energetske preglede i energetsko certificiranje zgrada, Registar certificiranih instalatera sustava obnovljivih izvora energije, nositelji Programa osposobljavanja certificiranih instalatera sustava obnovljivih izvora energije,  kao i druge informacije za građane, objavljene su na web stranici MGIPU</w:t>
      </w:r>
      <w:r w:rsidR="008423CA" w:rsidRPr="00361664">
        <w:rPr>
          <w:sz w:val="20"/>
        </w:rPr>
        <w:t>.</w:t>
      </w:r>
    </w:p>
    <w:p w:rsidR="008423CA" w:rsidRPr="00361664" w:rsidRDefault="008423CA" w:rsidP="005C03DC">
      <w:pPr>
        <w:rPr>
          <w:sz w:val="20"/>
        </w:rPr>
      </w:pPr>
    </w:p>
    <w:p w:rsidR="008423CA" w:rsidRPr="00361664" w:rsidRDefault="008423CA" w:rsidP="005C03DC">
      <w:pPr>
        <w:rPr>
          <w:sz w:val="20"/>
        </w:rPr>
      </w:pPr>
    </w:p>
    <w:p w:rsidR="008423CA" w:rsidRPr="00361664" w:rsidRDefault="008423CA" w:rsidP="005C03DC">
      <w:pPr>
        <w:rPr>
          <w:sz w:val="20"/>
        </w:rPr>
      </w:pPr>
    </w:p>
    <w:p w:rsidR="008423CA" w:rsidRPr="00361664" w:rsidRDefault="008423CA" w:rsidP="005C03DC">
      <w:pPr>
        <w:rPr>
          <w:sz w:val="20"/>
        </w:rPr>
      </w:pPr>
    </w:p>
    <w:p w:rsidR="008423CA" w:rsidRPr="00361664" w:rsidRDefault="008423CA" w:rsidP="005C03DC">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8738C8" w:rsidRPr="00361664" w:rsidTr="00DB6123">
        <w:trPr>
          <w:trHeight w:val="20"/>
        </w:trPr>
        <w:tc>
          <w:tcPr>
            <w:tcW w:w="1476" w:type="pct"/>
            <w:gridSpan w:val="2"/>
            <w:shd w:val="clear" w:color="auto" w:fill="CCFFCC"/>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b/>
                <w:sz w:val="20"/>
                <w:lang w:val="hr-HR"/>
              </w:rPr>
            </w:pPr>
            <w:r w:rsidRPr="00361664">
              <w:rPr>
                <w:rFonts w:asciiTheme="minorHAnsi" w:hAnsiTheme="minorHAnsi" w:cstheme="minorHAnsi"/>
                <w:b/>
                <w:sz w:val="20"/>
                <w:lang w:val="hr-HR"/>
              </w:rPr>
              <w:lastRenderedPageBreak/>
              <w:t xml:space="preserve">Naziv mjere </w:t>
            </w:r>
          </w:p>
        </w:tc>
        <w:tc>
          <w:tcPr>
            <w:tcW w:w="3524" w:type="pct"/>
            <w:shd w:val="clear" w:color="auto" w:fill="CCFFCC"/>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b/>
                <w:sz w:val="20"/>
                <w:lang w:val="hr-HR"/>
              </w:rPr>
            </w:pPr>
            <w:r w:rsidRPr="00361664">
              <w:rPr>
                <w:rFonts w:asciiTheme="minorHAnsi" w:hAnsiTheme="minorHAnsi" w:cstheme="minorHAnsi"/>
                <w:b/>
                <w:sz w:val="20"/>
                <w:lang w:val="hr-HR"/>
              </w:rPr>
              <w:t xml:space="preserve">Obrazovanje u području energetske učinkovitosti </w:t>
            </w:r>
          </w:p>
        </w:tc>
      </w:tr>
      <w:tr w:rsidR="008738C8" w:rsidRPr="00361664" w:rsidTr="00DB6123">
        <w:trPr>
          <w:trHeight w:val="20"/>
        </w:trPr>
        <w:tc>
          <w:tcPr>
            <w:tcW w:w="1476" w:type="pct"/>
            <w:gridSpan w:val="2"/>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Indeks mjere</w:t>
            </w:r>
          </w:p>
        </w:tc>
        <w:tc>
          <w:tcPr>
            <w:tcW w:w="3524" w:type="pct"/>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H.4</w:t>
            </w:r>
          </w:p>
        </w:tc>
      </w:tr>
      <w:tr w:rsidR="008738C8" w:rsidRPr="00361664" w:rsidTr="00DB6123">
        <w:trPr>
          <w:trHeight w:val="20"/>
        </w:trPr>
        <w:tc>
          <w:tcPr>
            <w:tcW w:w="654" w:type="pct"/>
            <w:vMerge w:val="restar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Opis</w:t>
            </w: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Kategorija</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Obrazovne mjere </w:t>
            </w:r>
          </w:p>
        </w:tc>
      </w:tr>
      <w:tr w:rsidR="008738C8" w:rsidRPr="00361664" w:rsidTr="00DB6123">
        <w:trPr>
          <w:trHeight w:val="20"/>
        </w:trPr>
        <w:tc>
          <w:tcPr>
            <w:tcW w:w="654" w:type="pct"/>
            <w:vMerge/>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Vremenski okvir</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Početak: 2017.</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Kraj: 2020.</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Predviđene veće promjene, dopune, poboljšanja: </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Nadopunjena i ažurirana mjera.</w:t>
            </w:r>
          </w:p>
        </w:tc>
      </w:tr>
      <w:tr w:rsidR="008738C8" w:rsidRPr="00361664" w:rsidTr="00DB6123">
        <w:trPr>
          <w:trHeight w:val="20"/>
        </w:trPr>
        <w:tc>
          <w:tcPr>
            <w:tcW w:w="654" w:type="pct"/>
            <w:vMerge/>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Cilj / kratak opis</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Važnost formalnog, neformalnog i informalnog obrazovanja o energiji, energetskoj učinkovitosti, obnovljivim izvorima i održivom razvoju istaknuta je u nizu strateških dokumenata RH. Ovom mjerom definiraju se aktivnosti ostvarivanja tih ciljeva te koraci u provedbi.</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Aktivnosti:</w:t>
            </w:r>
          </w:p>
          <w:p w:rsidR="008738C8" w:rsidRPr="00361664" w:rsidRDefault="008738C8" w:rsidP="00DB6123">
            <w:pPr>
              <w:pStyle w:val="Tabletext"/>
              <w:numPr>
                <w:ilvl w:val="0"/>
                <w:numId w:val="12"/>
              </w:numPr>
              <w:tabs>
                <w:tab w:val="left" w:pos="1440"/>
                <w:tab w:val="left" w:pos="5040"/>
              </w:tabs>
              <w:spacing w:before="0" w:after="0" w:line="240" w:lineRule="auto"/>
              <w:ind w:left="377"/>
              <w:rPr>
                <w:rFonts w:asciiTheme="minorHAnsi" w:hAnsiTheme="minorHAnsi" w:cstheme="minorHAnsi"/>
                <w:sz w:val="20"/>
                <w:lang w:val="hr-HR"/>
              </w:rPr>
            </w:pPr>
            <w:r w:rsidRPr="00361664">
              <w:rPr>
                <w:rFonts w:asciiTheme="minorHAnsi" w:hAnsiTheme="minorHAnsi" w:cstheme="minorHAnsi"/>
                <w:sz w:val="20"/>
                <w:lang w:val="hr-HR"/>
              </w:rPr>
              <w:t>Uspostava sustava certifikacije i cjeloživotnog učenja građevinskih radnika u području energetske učinkovitosti</w:t>
            </w:r>
          </w:p>
          <w:p w:rsidR="008738C8" w:rsidRPr="00361664" w:rsidRDefault="008738C8" w:rsidP="00DB6123">
            <w:pPr>
              <w:pStyle w:val="Tabletext"/>
              <w:numPr>
                <w:ilvl w:val="0"/>
                <w:numId w:val="12"/>
              </w:numPr>
              <w:tabs>
                <w:tab w:val="left" w:pos="1440"/>
                <w:tab w:val="left" w:pos="5040"/>
              </w:tabs>
              <w:spacing w:before="0" w:after="0" w:line="240" w:lineRule="auto"/>
              <w:ind w:left="377"/>
              <w:rPr>
                <w:rFonts w:asciiTheme="minorHAnsi" w:hAnsiTheme="minorHAnsi" w:cstheme="minorHAnsi"/>
                <w:sz w:val="20"/>
                <w:lang w:val="hr-HR"/>
              </w:rPr>
            </w:pPr>
            <w:r w:rsidRPr="00361664">
              <w:rPr>
                <w:rFonts w:asciiTheme="minorHAnsi" w:hAnsiTheme="minorHAnsi" w:cstheme="minorHAnsi"/>
                <w:sz w:val="20"/>
                <w:lang w:val="hr-HR"/>
              </w:rPr>
              <w:t xml:space="preserve">Nadogradnja postojećih znanja i vještina radnika u graditeljstvu i građevinskom sektoru </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Također kroz obrazovanje u području energetske učinkovitosti postavit će se  i primjenjivati principi zelene gradnje: potrebno je potaknuti promicanje i implementaciju zelene gradnje (gradnje po principima održivosti) kao bitnog segmenta održivog razvoja i kružne ekonomije. Potrebno je osnažiti i pružiti potporu do sad donesenim politikama RH na području održivog razvitka, energetske učinkovitosti i nacionalnih smjernica za vrsnoću i kulturu građenja (ApolitikA), primjenjivati najbolje globalne standarde zelene gradnje, te jačati svijest o neiskorištenim prilikama i rizicima (ako ne provodimo) i svekolikim prilikama (ako provodimo) koje nastaju primjenom principa zelene gradnje na pojedinca i zajednicu u cjelini, na privatni i društveni sektor gospodarstva i ulaganja.</w:t>
            </w:r>
          </w:p>
        </w:tc>
      </w:tr>
      <w:tr w:rsidR="008738C8" w:rsidRPr="00361664" w:rsidTr="00DB6123">
        <w:trPr>
          <w:trHeight w:val="20"/>
        </w:trPr>
        <w:tc>
          <w:tcPr>
            <w:tcW w:w="654" w:type="pct"/>
            <w:vMerge/>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Ciljna neposredna potrošnja</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Svi segmenti potrošnje energije</w:t>
            </w:r>
          </w:p>
        </w:tc>
      </w:tr>
      <w:tr w:rsidR="008738C8" w:rsidRPr="00361664" w:rsidTr="00DB6123">
        <w:trPr>
          <w:trHeight w:val="20"/>
        </w:trPr>
        <w:tc>
          <w:tcPr>
            <w:tcW w:w="654" w:type="pct"/>
            <w:vMerge/>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Ciljna skupina</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Zaposleni i nezaposleni radnici u graditeljstvu i građevinskom sektoru, koji traže prekvalifikaciju i dodatnu izobrazbu, stručnjaci energetske učinkovitosti u zgradarstvu</w:t>
            </w:r>
          </w:p>
        </w:tc>
      </w:tr>
      <w:tr w:rsidR="008738C8" w:rsidRPr="00361664" w:rsidTr="00DB6123">
        <w:trPr>
          <w:trHeight w:val="20"/>
        </w:trPr>
        <w:tc>
          <w:tcPr>
            <w:tcW w:w="654" w:type="pct"/>
            <w:vMerge/>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Regionalna primjena</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Nacionalno</w:t>
            </w:r>
          </w:p>
        </w:tc>
      </w:tr>
      <w:tr w:rsidR="008738C8" w:rsidRPr="00361664" w:rsidTr="00DB6123">
        <w:trPr>
          <w:trHeight w:val="20"/>
        </w:trPr>
        <w:tc>
          <w:tcPr>
            <w:tcW w:w="654" w:type="pct"/>
            <w:vMerge w:val="restar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Informacije o  provedbi</w:t>
            </w: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Popis i opis aktivnosti za provođenje mjere </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u w:val="single"/>
                <w:lang w:val="hr-HR"/>
              </w:rPr>
            </w:pPr>
            <w:r w:rsidRPr="00361664">
              <w:rPr>
                <w:rFonts w:asciiTheme="minorHAnsi" w:hAnsiTheme="minorHAnsi" w:cstheme="minorHAnsi"/>
                <w:sz w:val="20"/>
                <w:u w:val="single"/>
                <w:lang w:val="hr-HR"/>
              </w:rPr>
              <w:t>Provedene aktivnosti:</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U Republici Hrvatskoj već postoji uspostavljen sustav za energetsko certificiranje zgrada, a certifikate izdaju ovlaštene pravne ili fizičke oso</w:t>
            </w:r>
            <w:r w:rsidR="00F22938" w:rsidRPr="00361664">
              <w:rPr>
                <w:rFonts w:asciiTheme="minorHAnsi" w:hAnsiTheme="minorHAnsi" w:cstheme="minorHAnsi"/>
                <w:sz w:val="20"/>
                <w:lang w:val="hr-HR"/>
              </w:rPr>
              <w:t>be  koje je ovlastilo MGIPU.</w:t>
            </w:r>
            <w:r w:rsidRPr="00361664">
              <w:rPr>
                <w:rFonts w:asciiTheme="minorHAnsi" w:hAnsiTheme="minorHAnsi" w:cstheme="minorHAnsi"/>
                <w:sz w:val="20"/>
                <w:lang w:val="hr-HR"/>
              </w:rPr>
              <w:t xml:space="preserve"> Energetski savjetnici na gotovo svim većim zgradama javnog sektora (središnja državna uprava, JLP(R)S) educirali su se kroz edukacijske programe koje su provodili MINGO i UNDP kroz EE Projekt. Kroz pilot projekt UNDP-a u Koprivničko-križevačkoj županiji educirani su i energetski savjetnici za energetski siromašna kućanstva. </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Radi uspostave sustava kontinuirane izobrazbe građevinskih radnika i obrtnika za gradnju na energetski učinkovit način, na Građevinskom fakultetu u Zagrebu je, na poticaj MGIPU, pokrenut projekt CROSKILLS. Određene su i kvantificirane potrebe i mogućnosti građevinskog sektora u Hrvatskoj kako bi se doprinijelo postizanju nacionalnih ciljeva energetske učinkovitosti te transformaciji građevinskog sektora novim tehnologijama i zahtjevima (</w:t>
            </w:r>
            <w:hyperlink r:id="rId20" w:history="1">
              <w:r w:rsidRPr="00361664">
                <w:rPr>
                  <w:rStyle w:val="Hiperveza"/>
                  <w:rFonts w:asciiTheme="minorHAnsi" w:eastAsia="Calibri" w:hAnsiTheme="minorHAnsi" w:cstheme="minorHAnsi"/>
                  <w:sz w:val="20"/>
                  <w:lang w:val="hr-HR"/>
                </w:rPr>
                <w:t>http://croskills.hr/assets/dokumenti/2015/Status-Quo-Analiza-HRV.pdf</w:t>
              </w:r>
            </w:hyperlink>
            <w:r w:rsidRPr="00361664">
              <w:rPr>
                <w:rFonts w:asciiTheme="minorHAnsi" w:hAnsiTheme="minorHAnsi" w:cstheme="minorHAnsi"/>
                <w:sz w:val="20"/>
                <w:lang w:val="hr-HR"/>
              </w:rPr>
              <w:t xml:space="preserve">). Uspostavljena je 2012. g. Nacionalna kvalifikacijska platforma kao savjetodavno tijelo projekta, te 2013. g izrađene Nacionalne smjernice za kontinuiranu izobrazbu građevinskih radnika u energetskoj učinkovitosti </w:t>
            </w:r>
            <w:r w:rsidRPr="00361664">
              <w:rPr>
                <w:rFonts w:asciiTheme="minorHAnsi" w:hAnsiTheme="minorHAnsi" w:cstheme="minorHAnsi"/>
                <w:sz w:val="20"/>
                <w:lang w:val="hr-HR"/>
              </w:rPr>
              <w:lastRenderedPageBreak/>
              <w:t>(</w:t>
            </w:r>
            <w:hyperlink r:id="rId21" w:history="1">
              <w:r w:rsidRPr="00361664">
                <w:rPr>
                  <w:rStyle w:val="Hiperveza"/>
                  <w:rFonts w:asciiTheme="minorHAnsi" w:eastAsia="Calibri" w:hAnsiTheme="minorHAnsi" w:cstheme="minorHAnsi"/>
                  <w:sz w:val="20"/>
                  <w:lang w:val="hr-HR"/>
                </w:rPr>
                <w:t>http://croskills.hr/assets/dokumenti/2015/Roadmap-Croatia-HR.pdf</w:t>
              </w:r>
            </w:hyperlink>
            <w:r w:rsidRPr="00361664">
              <w:rPr>
                <w:rFonts w:asciiTheme="minorHAnsi" w:hAnsiTheme="minorHAnsi" w:cstheme="minorHAnsi"/>
                <w:sz w:val="20"/>
                <w:lang w:val="hr-HR"/>
              </w:rPr>
              <w:t xml:space="preserve">), dok su 2016. g. izrađeni plan i program izobrazbe i pripremljeni trening materijali za obuku trenera, te odabrano 12 trening centara, koji će provesti probne treninge radnika po programu CROSKILLS. </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p w:rsidR="008738C8" w:rsidRPr="00361664" w:rsidRDefault="009E557D" w:rsidP="00DB6123">
            <w:pPr>
              <w:pStyle w:val="Tabletext"/>
              <w:tabs>
                <w:tab w:val="left" w:pos="1440"/>
                <w:tab w:val="left" w:pos="5040"/>
              </w:tabs>
              <w:spacing w:before="0" w:after="0" w:line="240" w:lineRule="auto"/>
              <w:rPr>
                <w:rFonts w:asciiTheme="minorHAnsi" w:hAnsiTheme="minorHAnsi" w:cstheme="minorHAnsi"/>
                <w:sz w:val="20"/>
                <w:u w:val="single"/>
                <w:lang w:val="hr-HR"/>
              </w:rPr>
            </w:pPr>
            <w:r>
              <w:rPr>
                <w:rFonts w:asciiTheme="minorHAnsi" w:hAnsiTheme="minorHAnsi" w:cstheme="minorHAnsi"/>
                <w:sz w:val="20"/>
                <w:u w:val="single"/>
                <w:lang w:val="hr-HR"/>
              </w:rPr>
              <w:t>A</w:t>
            </w:r>
            <w:r w:rsidR="008738C8" w:rsidRPr="00361664">
              <w:rPr>
                <w:rFonts w:asciiTheme="minorHAnsi" w:hAnsiTheme="minorHAnsi" w:cstheme="minorHAnsi"/>
                <w:sz w:val="20"/>
                <w:u w:val="single"/>
                <w:lang w:val="hr-HR"/>
              </w:rPr>
              <w:t>ktivnosti:</w:t>
            </w:r>
          </w:p>
          <w:p w:rsidR="008738C8" w:rsidRPr="00361664" w:rsidRDefault="008738C8" w:rsidP="00DB6123">
            <w:pPr>
              <w:pStyle w:val="Tabletext"/>
              <w:numPr>
                <w:ilvl w:val="0"/>
                <w:numId w:val="14"/>
              </w:numPr>
              <w:tabs>
                <w:tab w:val="left" w:pos="244"/>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Tijekom 2017.g.: provedba obuke trenera po programu CROSKILLS; provedba probnih treninga za oko 1200 radnika; ovlašćivanje prve grupe od 12 trening centara diljem Hrvatske za provedbu programa kontinuirane izobrazbe radnika po programu CROSKILLS </w:t>
            </w:r>
          </w:p>
          <w:p w:rsidR="008738C8" w:rsidRPr="00361664" w:rsidRDefault="008738C8" w:rsidP="00DB6123">
            <w:pPr>
              <w:pStyle w:val="Tabletext"/>
              <w:numPr>
                <w:ilvl w:val="0"/>
                <w:numId w:val="14"/>
              </w:numPr>
              <w:tabs>
                <w:tab w:val="left" w:pos="244"/>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Izrada plana održivosti sustava kontinuirane izobrazbe i certifikacije građevinskih radnika u EnU; izrada planova održivosti za sve centre ovlaštene u okviru projekta CROSKILLS. </w:t>
            </w:r>
          </w:p>
          <w:p w:rsidR="008738C8" w:rsidRPr="00361664" w:rsidRDefault="008738C8" w:rsidP="00DB6123">
            <w:pPr>
              <w:pStyle w:val="Tabletext"/>
              <w:numPr>
                <w:ilvl w:val="0"/>
                <w:numId w:val="14"/>
              </w:numPr>
              <w:tabs>
                <w:tab w:val="left" w:pos="244"/>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Od sredine 2017. godine: daljnja implementacija sustava kontinuirane izobrazbe i certifikacije građevinskih radnika - putem ovlaštenih CROSKILLS trening centara, a prema Pravilniku o sustavu izobrazbe i certificiranja građevinskih radnika koji ugrađuju dijelove zgrade koji utječu na energetsku učinkovitost u zgradarstvu. Ovo treba dovesti do povećane primjene energetske učinkovitosti i obnovljivih izvora energije u svakodnevnoj graditeljskoj praksi i povećane potražnje za educiranom radnom snagom, a putem povećanja praktičnih znanja radnika koji rade na licu mjesta i koji su specijalizirani za sve faze gradnje građevine i postupaka njezinog održavanja. </w:t>
            </w:r>
          </w:p>
          <w:p w:rsidR="008738C8" w:rsidRPr="00361664" w:rsidRDefault="008738C8" w:rsidP="00DB6123">
            <w:pPr>
              <w:pStyle w:val="Tabletext"/>
              <w:tabs>
                <w:tab w:val="left" w:pos="244"/>
                <w:tab w:val="left" w:pos="5040"/>
              </w:tabs>
              <w:spacing w:before="0" w:after="0" w:line="240" w:lineRule="auto"/>
              <w:rPr>
                <w:rFonts w:asciiTheme="minorHAnsi" w:hAnsiTheme="minorHAnsi" w:cstheme="minorHAnsi"/>
                <w:sz w:val="20"/>
                <w:lang w:val="hr-HR"/>
              </w:rPr>
            </w:pPr>
          </w:p>
          <w:p w:rsidR="008738C8" w:rsidRPr="00361664" w:rsidRDefault="008738C8" w:rsidP="00DB6123">
            <w:pPr>
              <w:spacing w:after="0"/>
              <w:jc w:val="both"/>
              <w:rPr>
                <w:rFonts w:asciiTheme="minorHAnsi" w:hAnsiTheme="minorHAnsi" w:cstheme="minorHAnsi"/>
                <w:sz w:val="20"/>
                <w:szCs w:val="20"/>
                <w:u w:val="single"/>
              </w:rPr>
            </w:pPr>
            <w:r w:rsidRPr="00361664">
              <w:rPr>
                <w:rFonts w:asciiTheme="minorHAnsi" w:hAnsiTheme="minorHAnsi" w:cstheme="minorHAnsi"/>
                <w:sz w:val="20"/>
                <w:szCs w:val="20"/>
                <w:u w:val="single"/>
              </w:rPr>
              <w:t xml:space="preserve">Aktivnosti za postavljanje i primjenu principa zelene gradnje </w:t>
            </w:r>
          </w:p>
          <w:p w:rsidR="008738C8" w:rsidRPr="00361664" w:rsidRDefault="008738C8" w:rsidP="00DB6123">
            <w:pPr>
              <w:spacing w:after="0"/>
              <w:jc w:val="both"/>
              <w:rPr>
                <w:rFonts w:asciiTheme="minorHAnsi" w:hAnsiTheme="minorHAnsi" w:cstheme="minorHAnsi"/>
                <w:sz w:val="20"/>
                <w:szCs w:val="20"/>
              </w:rPr>
            </w:pPr>
            <w:r w:rsidRPr="00361664">
              <w:rPr>
                <w:rFonts w:asciiTheme="minorHAnsi" w:hAnsiTheme="minorHAnsi" w:cstheme="minorHAnsi"/>
                <w:sz w:val="20"/>
                <w:szCs w:val="20"/>
              </w:rPr>
              <w:t>Aktivnosti za postavljanje i primjenu principa zelene gradnje će se vezati na Plan gospodarenja otpadom RH za period 2017.-2022., odnosno na mjeru 1.6. navedenog Plana koja se odnosi na promicanje održive gradnje te obuhvaća:</w:t>
            </w:r>
          </w:p>
          <w:p w:rsidR="008738C8" w:rsidRPr="00361664" w:rsidRDefault="008738C8" w:rsidP="00DB6123">
            <w:pPr>
              <w:pStyle w:val="m3772816718714091977msolistparagraph"/>
              <w:numPr>
                <w:ilvl w:val="0"/>
                <w:numId w:val="64"/>
              </w:numPr>
              <w:shd w:val="clear" w:color="auto" w:fill="FFFFFF"/>
              <w:spacing w:before="0" w:beforeAutospacing="0" w:after="0" w:afterAutospacing="0" w:line="154" w:lineRule="atLeast"/>
              <w:rPr>
                <w:rFonts w:ascii="Calibri" w:hAnsi="Calibri"/>
                <w:sz w:val="20"/>
                <w:szCs w:val="20"/>
              </w:rPr>
            </w:pPr>
            <w:r w:rsidRPr="00361664">
              <w:rPr>
                <w:rFonts w:ascii="Calibri" w:hAnsi="Calibri"/>
                <w:sz w:val="20"/>
                <w:szCs w:val="20"/>
              </w:rPr>
              <w:t>Izradu Vodiča i smjernica o zelenoj i održivoj gradnji</w:t>
            </w:r>
          </w:p>
          <w:p w:rsidR="008738C8" w:rsidRPr="00361664" w:rsidRDefault="008738C8" w:rsidP="00DB6123">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Potrebno je izraditi prijedlog smjernica(Vodiča) za zelenu gradnju čiji je cilj učiniti zelenu gradnju više dostupnom svim dionicima i na taj način potaknuti novi pristup planiranju, projektiranju i građenju, te upravljanju i održavanju zgrada, potaknuti razvoj novih zanimanja (konzultanti i ocjenitelji zelene gradnje, strukovna zanimanja…), ali i zeleni pristup za druge građevine osim zgrada. </w:t>
            </w:r>
          </w:p>
          <w:p w:rsidR="008738C8" w:rsidRPr="00361664" w:rsidRDefault="008738C8" w:rsidP="00DB6123">
            <w:pPr>
              <w:pStyle w:val="Odlomakpopisa"/>
              <w:numPr>
                <w:ilvl w:val="0"/>
                <w:numId w:val="64"/>
              </w:numPr>
              <w:spacing w:after="0"/>
              <w:jc w:val="both"/>
              <w:rPr>
                <w:rFonts w:asciiTheme="minorHAnsi" w:hAnsiTheme="minorHAnsi" w:cstheme="minorHAnsi"/>
                <w:sz w:val="20"/>
                <w:szCs w:val="20"/>
              </w:rPr>
            </w:pPr>
            <w:r w:rsidRPr="00361664">
              <w:rPr>
                <w:rFonts w:asciiTheme="minorHAnsi" w:hAnsiTheme="minorHAnsi" w:cstheme="minorHAnsi"/>
                <w:sz w:val="20"/>
                <w:szCs w:val="20"/>
              </w:rPr>
              <w:t>Izradu smjernica za RH certifikat Zelene gradnje</w:t>
            </w:r>
          </w:p>
          <w:p w:rsidR="008738C8" w:rsidRPr="00361664" w:rsidRDefault="008738C8" w:rsidP="00DB6123">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Postoji niz međunarodno priznatih sustava certificiranja i s tim u vezi izdanih certifikata za zelenu gradnju koji su primjenjivi i na zgrade građene u RH. Međutim, postoje određene barijere pa zelene zgrade, bolje rečeno certificiranje zelenih zgrada, teško prodire u praksu u Republici Hrvatskoj. Do 2016. imamo ili se provodi certifikacija za šest zgrada prema međunarodno priznatim sustavima certificiranja. Pojedini indikatori vezani su za lokalne uvjete pa postoji određeno opravdanje da se razvije jedan HR certifikacijski sustav. S druge strane kriteriji uz indikatore mogli bi biti prilagođeni našim lokalnim uvjetima (proizvodnja građevnih proizvoda, izvođenje, uvjeti okoliša, djelovanja i uvjeti građenja, svijest o zelenoj gradnji investitora, ekonomska moć investitora i dr.). </w:t>
            </w:r>
          </w:p>
          <w:p w:rsidR="008738C8" w:rsidRPr="00361664" w:rsidRDefault="008738C8" w:rsidP="00DB6123">
            <w:pPr>
              <w:pStyle w:val="m3772816718714091977msolistparagraph"/>
              <w:numPr>
                <w:ilvl w:val="0"/>
                <w:numId w:val="64"/>
              </w:numPr>
              <w:shd w:val="clear" w:color="auto" w:fill="FFFFFF"/>
              <w:spacing w:before="0" w:beforeAutospacing="0" w:after="0" w:afterAutospacing="0" w:line="154" w:lineRule="atLeast"/>
              <w:jc w:val="both"/>
              <w:rPr>
                <w:rFonts w:ascii="Calibri" w:hAnsi="Calibri"/>
                <w:sz w:val="20"/>
                <w:szCs w:val="20"/>
              </w:rPr>
            </w:pPr>
            <w:r w:rsidRPr="00361664">
              <w:rPr>
                <w:rFonts w:ascii="Calibri" w:hAnsi="Calibri"/>
                <w:sz w:val="20"/>
                <w:szCs w:val="20"/>
              </w:rPr>
              <w:t>Razmjenu znanja o zelenoj i održivoj gradnji, te edukaciju i promociju mjera</w:t>
            </w:r>
          </w:p>
          <w:p w:rsidR="008738C8" w:rsidRPr="00361664" w:rsidRDefault="008738C8" w:rsidP="00DB6123">
            <w:pPr>
              <w:pStyle w:val="Tabletext"/>
              <w:tabs>
                <w:tab w:val="left" w:pos="244"/>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Promocija mjera može biti na razne načine, a svakako je najučinkovitija kroz primjere dobre prakse. Da bi se to ostvarilo, potreban je određeni broj projekata za razne namjene građevina, što ovisi o dobivenim financijskim </w:t>
            </w:r>
            <w:r w:rsidRPr="00361664">
              <w:rPr>
                <w:rFonts w:asciiTheme="minorHAnsi" w:hAnsiTheme="minorHAnsi" w:cstheme="minorHAnsi"/>
                <w:sz w:val="20"/>
                <w:lang w:val="hr-HR"/>
              </w:rPr>
              <w:lastRenderedPageBreak/>
              <w:t xml:space="preserve">sredstvima za ove mjere u cjelini. Ova se aktivnost nadopunjava s mjerom B.2 Povećanje broja zgrada s gotovo nultom potrošnjom energije. Potrebno je provesti aktivnosti promocije, razmjene znanja te edukacije u obliku radionica, tečajeva i događanja za ciljne skupine. </w:t>
            </w:r>
          </w:p>
        </w:tc>
      </w:tr>
      <w:tr w:rsidR="008738C8" w:rsidRPr="00361664" w:rsidTr="00DB6123">
        <w:trPr>
          <w:trHeight w:val="20"/>
        </w:trPr>
        <w:tc>
          <w:tcPr>
            <w:tcW w:w="654" w:type="pct"/>
            <w:vMerge/>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Financijska sredstva i izvori financiranja</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Procijenjena potreba financiranja cjeloživotnog učenja (neformalne/informalne izobrazbe) radnika za energetsku učinkovitost: </w:t>
            </w:r>
            <w:r w:rsidR="00A526B6" w:rsidRPr="00361664">
              <w:rPr>
                <w:rFonts w:asciiTheme="minorHAnsi" w:hAnsiTheme="minorHAnsi" w:cstheme="minorHAnsi"/>
                <w:sz w:val="20"/>
                <w:lang w:val="hr-HR"/>
              </w:rPr>
              <w:t>556.250</w:t>
            </w:r>
            <w:r w:rsidR="00944985" w:rsidRPr="00361664">
              <w:rPr>
                <w:rFonts w:asciiTheme="minorHAnsi" w:hAnsiTheme="minorHAnsi" w:cstheme="minorHAnsi"/>
                <w:sz w:val="20"/>
                <w:lang w:val="hr-HR"/>
              </w:rPr>
              <w:t>,00 kn</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p w:rsidR="008738C8" w:rsidRPr="00361664" w:rsidRDefault="00F22938" w:rsidP="00DB6123">
            <w:pPr>
              <w:pStyle w:val="Tabletext"/>
              <w:numPr>
                <w:ilvl w:val="0"/>
                <w:numId w:val="16"/>
              </w:numPr>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S</w:t>
            </w:r>
            <w:r w:rsidR="008738C8" w:rsidRPr="00361664">
              <w:rPr>
                <w:rFonts w:asciiTheme="minorHAnsi" w:hAnsiTheme="minorHAnsi" w:cstheme="minorHAnsi"/>
                <w:sz w:val="20"/>
                <w:lang w:val="hr-HR"/>
              </w:rPr>
              <w:t>redstva u 2017.:</w:t>
            </w:r>
          </w:p>
          <w:p w:rsidR="008738C8" w:rsidRPr="00361664" w:rsidRDefault="008738C8" w:rsidP="00DB6123">
            <w:pPr>
              <w:pStyle w:val="Tabletext"/>
              <w:numPr>
                <w:ilvl w:val="0"/>
                <w:numId w:val="13"/>
              </w:numPr>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Projekt CROSKILLS (putem Građevinskog fakulteta Sveučilišta u Zagrebu) financira</w:t>
            </w:r>
            <w:r w:rsidR="00F22938" w:rsidRPr="00361664">
              <w:rPr>
                <w:rFonts w:asciiTheme="minorHAnsi" w:hAnsiTheme="minorHAnsi" w:cstheme="minorHAnsi"/>
                <w:sz w:val="20"/>
                <w:lang w:val="hr-HR"/>
              </w:rPr>
              <w:t>o</w:t>
            </w:r>
            <w:r w:rsidRPr="00361664">
              <w:rPr>
                <w:rFonts w:asciiTheme="minorHAnsi" w:hAnsiTheme="minorHAnsi" w:cstheme="minorHAnsi"/>
                <w:sz w:val="20"/>
                <w:lang w:val="hr-HR"/>
              </w:rPr>
              <w:t xml:space="preserve"> materijalne troškove provedbe probnih treninga, izrade trening materijala i početne uspostave sustava kontinuirane izobrazbe i certifikacije građevinskih radnika po programu CROSKILLS. </w:t>
            </w:r>
          </w:p>
          <w:p w:rsidR="008738C8" w:rsidRPr="00361664" w:rsidRDefault="008738C8" w:rsidP="00DB6123">
            <w:pPr>
              <w:pStyle w:val="Tabletext"/>
              <w:numPr>
                <w:ilvl w:val="0"/>
                <w:numId w:val="16"/>
              </w:numPr>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Europski socijalni fond – sufinanciranje troškova izobrazbe radnika: </w:t>
            </w:r>
          </w:p>
          <w:p w:rsidR="008738C8" w:rsidRPr="00361664" w:rsidRDefault="008738C8" w:rsidP="00DB6123">
            <w:pPr>
              <w:pStyle w:val="Default"/>
              <w:numPr>
                <w:ilvl w:val="0"/>
                <w:numId w:val="13"/>
              </w:numPr>
              <w:tabs>
                <w:tab w:val="left" w:pos="1440"/>
                <w:tab w:val="left" w:pos="5040"/>
              </w:tabs>
              <w:jc w:val="both"/>
              <w:rPr>
                <w:rFonts w:asciiTheme="minorHAnsi" w:hAnsiTheme="minorHAnsi" w:cstheme="minorHAnsi"/>
                <w:sz w:val="20"/>
                <w:szCs w:val="20"/>
              </w:rPr>
            </w:pPr>
            <w:r w:rsidRPr="00361664">
              <w:rPr>
                <w:rFonts w:asciiTheme="minorHAnsi" w:hAnsiTheme="minorHAnsi" w:cstheme="minorHAnsi"/>
                <w:sz w:val="20"/>
                <w:szCs w:val="20"/>
              </w:rPr>
              <w:t xml:space="preserve">MRMS, kao provedbeno tijelo za OP </w:t>
            </w:r>
            <w:r w:rsidRPr="00361664">
              <w:rPr>
                <w:rFonts w:asciiTheme="minorHAnsi" w:hAnsiTheme="minorHAnsi" w:cstheme="minorHAnsi"/>
                <w:i/>
                <w:sz w:val="20"/>
                <w:szCs w:val="20"/>
              </w:rPr>
              <w:t>Učinkoviti ljudski potencijali</w:t>
            </w:r>
            <w:r w:rsidRPr="00361664">
              <w:rPr>
                <w:rFonts w:asciiTheme="minorHAnsi" w:hAnsiTheme="minorHAnsi" w:cstheme="minorHAnsi"/>
                <w:sz w:val="20"/>
                <w:szCs w:val="20"/>
              </w:rPr>
              <w:t xml:space="preserve">  2014.-2020. – bespovratna sredstva u okviru Prioritetne osi 3 „Obrazovanje i cjeloživotno učenje“, Investicijski prioriteti 10.iii i 10.iv, npr. za izradu standarda zanimanja </w:t>
            </w:r>
          </w:p>
          <w:p w:rsidR="008738C8" w:rsidRPr="00361664" w:rsidRDefault="008738C8" w:rsidP="00DB6123">
            <w:pPr>
              <w:pStyle w:val="Tabletext"/>
              <w:numPr>
                <w:ilvl w:val="0"/>
                <w:numId w:val="13"/>
              </w:numPr>
              <w:tabs>
                <w:tab w:val="left" w:pos="1440"/>
                <w:tab w:val="left" w:pos="5040"/>
              </w:tabs>
              <w:spacing w:before="0" w:after="0" w:line="240" w:lineRule="auto"/>
              <w:rPr>
                <w:rFonts w:asciiTheme="minorHAnsi" w:eastAsia="Calibri" w:hAnsiTheme="minorHAnsi" w:cstheme="minorHAnsi"/>
                <w:color w:val="000000"/>
                <w:sz w:val="20"/>
                <w:lang w:val="hr-HR" w:eastAsia="hr-HR"/>
              </w:rPr>
            </w:pPr>
            <w:r w:rsidRPr="00361664">
              <w:rPr>
                <w:rFonts w:asciiTheme="minorHAnsi" w:eastAsia="Calibri" w:hAnsiTheme="minorHAnsi" w:cstheme="minorHAnsi"/>
                <w:color w:val="000000"/>
                <w:sz w:val="20"/>
                <w:lang w:val="hr-HR" w:eastAsia="hr-HR"/>
              </w:rPr>
              <w:t>MZO</w:t>
            </w:r>
            <w:r w:rsidR="00F22938" w:rsidRPr="00361664">
              <w:rPr>
                <w:rFonts w:asciiTheme="minorHAnsi" w:eastAsia="Calibri" w:hAnsiTheme="minorHAnsi" w:cstheme="minorHAnsi"/>
                <w:color w:val="000000"/>
                <w:sz w:val="20"/>
                <w:lang w:val="hr-HR" w:eastAsia="hr-HR"/>
              </w:rPr>
              <w:t>E</w:t>
            </w:r>
            <w:r w:rsidRPr="00361664">
              <w:rPr>
                <w:rFonts w:asciiTheme="minorHAnsi" w:eastAsia="Calibri" w:hAnsiTheme="minorHAnsi" w:cstheme="minorHAnsi"/>
                <w:color w:val="000000"/>
                <w:sz w:val="20"/>
                <w:lang w:val="hr-HR" w:eastAsia="hr-HR"/>
              </w:rPr>
              <w:t xml:space="preserve"> – bespovratna sredstva u okviru Prioritetne osi 3 „Obrazovanje i cjeloživotno učenje“, Investicijski prioriteti 10.iii i 10.iv (OP </w:t>
            </w:r>
            <w:r w:rsidRPr="00361664">
              <w:rPr>
                <w:rFonts w:asciiTheme="minorHAnsi" w:eastAsia="Calibri" w:hAnsiTheme="minorHAnsi" w:cstheme="minorHAnsi"/>
                <w:i/>
                <w:color w:val="000000"/>
                <w:sz w:val="20"/>
                <w:lang w:val="hr-HR" w:eastAsia="hr-HR"/>
              </w:rPr>
              <w:t>Učinkoviti ljudski potencijali</w:t>
            </w:r>
            <w:r w:rsidRPr="00361664">
              <w:rPr>
                <w:rFonts w:asciiTheme="minorHAnsi" w:eastAsia="Calibri" w:hAnsiTheme="minorHAnsi" w:cstheme="minorHAnsi"/>
                <w:color w:val="000000"/>
                <w:sz w:val="20"/>
                <w:lang w:val="hr-HR" w:eastAsia="hr-HR"/>
              </w:rPr>
              <w:t xml:space="preserve">), za implementaciju energetskih pitanja u postojeće sustave strukovnog obrazovanja i obrazovanja odraslih </w:t>
            </w:r>
          </w:p>
          <w:p w:rsidR="008738C8" w:rsidRPr="00361664" w:rsidRDefault="008738C8" w:rsidP="00DB6123">
            <w:pPr>
              <w:pStyle w:val="Tabletext"/>
              <w:numPr>
                <w:ilvl w:val="0"/>
                <w:numId w:val="16"/>
              </w:numPr>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Polaznici (radnici i poslodavci) sufinanciraju dio troškova izobrazbe u ovlaštenim trening centrima </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MGIPU – osigurava sredstva u proračunu za postavljanje i primjenu principa zelene gradnje </w:t>
            </w:r>
          </w:p>
        </w:tc>
      </w:tr>
      <w:tr w:rsidR="008738C8" w:rsidRPr="00361664" w:rsidTr="00DB6123">
        <w:trPr>
          <w:trHeight w:val="20"/>
        </w:trPr>
        <w:tc>
          <w:tcPr>
            <w:tcW w:w="654" w:type="pct"/>
            <w:vMerge/>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Izvršno  tijelo</w:t>
            </w:r>
          </w:p>
        </w:tc>
        <w:tc>
          <w:tcPr>
            <w:tcW w:w="3524" w:type="pct"/>
            <w:vAlign w:val="center"/>
          </w:tcPr>
          <w:p w:rsidR="008738C8" w:rsidRPr="00361664" w:rsidRDefault="008738C8" w:rsidP="00DB6123">
            <w:pPr>
              <w:pStyle w:val="Tabletext"/>
              <w:numPr>
                <w:ilvl w:val="0"/>
                <w:numId w:val="15"/>
              </w:numPr>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ASOO – sufinanciranje trening centara za provedbu izobrazbe radnika </w:t>
            </w:r>
          </w:p>
          <w:p w:rsidR="008738C8" w:rsidRPr="00361664" w:rsidRDefault="008738C8" w:rsidP="00DB6123">
            <w:pPr>
              <w:pStyle w:val="Tabletext"/>
              <w:numPr>
                <w:ilvl w:val="0"/>
                <w:numId w:val="15"/>
              </w:numPr>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HZZ – sufinanciranje izobrazbe/prekvalifikacije nezaposlenih </w:t>
            </w:r>
          </w:p>
          <w:p w:rsidR="008738C8" w:rsidRPr="00361664" w:rsidRDefault="008738C8" w:rsidP="00DB6123">
            <w:pPr>
              <w:pStyle w:val="Tabletext"/>
              <w:numPr>
                <w:ilvl w:val="0"/>
                <w:numId w:val="15"/>
              </w:numPr>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Građevinski fakultet u Zagrebu, u okviru projekta CROSKILLS </w:t>
            </w:r>
          </w:p>
          <w:p w:rsidR="008738C8" w:rsidRPr="00361664" w:rsidRDefault="008738C8" w:rsidP="00DB6123">
            <w:pPr>
              <w:pStyle w:val="Tabletext"/>
              <w:numPr>
                <w:ilvl w:val="0"/>
                <w:numId w:val="15"/>
              </w:numPr>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MGIPU – postavljanje i primjena principa zelene gradnje u suradnji sa Hrvatskim savjetom za zelenu gradnju</w:t>
            </w:r>
          </w:p>
        </w:tc>
      </w:tr>
      <w:tr w:rsidR="008738C8" w:rsidRPr="00361664" w:rsidTr="00DB6123">
        <w:trPr>
          <w:trHeight w:val="20"/>
        </w:trPr>
        <w:tc>
          <w:tcPr>
            <w:tcW w:w="654" w:type="pct"/>
            <w:vMerge/>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Tijelo za praćenje, mjerenje i verifikaciju ušteda </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NKT </w:t>
            </w:r>
          </w:p>
        </w:tc>
      </w:tr>
      <w:tr w:rsidR="008738C8" w:rsidRPr="00361664" w:rsidTr="00DB6123">
        <w:trPr>
          <w:trHeight w:val="20"/>
        </w:trPr>
        <w:tc>
          <w:tcPr>
            <w:tcW w:w="654" w:type="pct"/>
            <w:vMerge w:val="restar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color w:val="FF0000"/>
                <w:sz w:val="20"/>
                <w:lang w:val="hr-HR"/>
              </w:rPr>
            </w:pPr>
            <w:r w:rsidRPr="00361664">
              <w:rPr>
                <w:rFonts w:asciiTheme="minorHAnsi" w:hAnsiTheme="minorHAnsi" w:cstheme="minorHAnsi"/>
                <w:sz w:val="20"/>
                <w:lang w:val="hr-HR"/>
              </w:rPr>
              <w:t>Uštede energije</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Metoda praćenja / mjerenja ušteda energije</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Ova mjera može se pratiti metodom na temelju istraživanja potražnje za educiranim radnicima, i to među polaznicima izobrazbe, trening centrima/strukovnim školama koje provode programe obrazovanja odraslih, korisnicima usluga HZZ-a, javnim/privatnim investitorima u obnovu zgrada i sl. </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Ova mjera preduvjet je za informiranje svih dionika i ostvarivanje drugih mjera energetske učinkovitosti.</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r>
      <w:tr w:rsidR="008738C8" w:rsidRPr="00361664" w:rsidTr="00DB6123">
        <w:trPr>
          <w:trHeight w:val="20"/>
        </w:trPr>
        <w:tc>
          <w:tcPr>
            <w:tcW w:w="654" w:type="pct"/>
            <w:vMerge/>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color w:val="FF0000"/>
                <w:sz w:val="20"/>
                <w:lang w:val="hr-HR"/>
              </w:rPr>
            </w:pPr>
            <w:r w:rsidRPr="00361664">
              <w:rPr>
                <w:rFonts w:asciiTheme="minorHAnsi" w:hAnsiTheme="minorHAnsi" w:cstheme="minorHAnsi"/>
                <w:sz w:val="20"/>
                <w:lang w:val="hr-HR"/>
              </w:rPr>
              <w:t>Očekivane uštede energije do kraja 2019.</w:t>
            </w:r>
          </w:p>
        </w:tc>
        <w:tc>
          <w:tcPr>
            <w:tcW w:w="3524" w:type="pct"/>
            <w:shd w:val="clear" w:color="auto" w:fill="auto"/>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Nije procijenjeno  </w:t>
            </w:r>
          </w:p>
        </w:tc>
      </w:tr>
      <w:tr w:rsidR="008738C8" w:rsidRPr="00361664" w:rsidTr="00DB6123">
        <w:trPr>
          <w:trHeight w:val="20"/>
        </w:trPr>
        <w:tc>
          <w:tcPr>
            <w:tcW w:w="654" w:type="pct"/>
            <w:vMerge/>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highlight w:val="yellow"/>
                <w:lang w:val="hr-HR"/>
              </w:rPr>
            </w:pPr>
            <w:r w:rsidRPr="00361664">
              <w:rPr>
                <w:rFonts w:asciiTheme="minorHAnsi" w:hAnsiTheme="minorHAnsi" w:cstheme="minorHAnsi"/>
                <w:sz w:val="20"/>
                <w:lang w:val="hr-HR"/>
              </w:rPr>
              <w:t>Očekivane uštede energije do kraja 2020.</w:t>
            </w:r>
          </w:p>
        </w:tc>
        <w:tc>
          <w:tcPr>
            <w:tcW w:w="3524"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 Nije procijenjeno</w:t>
            </w:r>
          </w:p>
        </w:tc>
      </w:tr>
      <w:tr w:rsidR="008738C8" w:rsidRPr="00361664" w:rsidTr="00DB6123">
        <w:trPr>
          <w:trHeight w:val="20"/>
        </w:trPr>
        <w:tc>
          <w:tcPr>
            <w:tcW w:w="654" w:type="pct"/>
            <w:vMerge/>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color w:val="FF0000"/>
                <w:sz w:val="20"/>
                <w:lang w:val="hr-HR"/>
              </w:rPr>
            </w:pPr>
            <w:r w:rsidRPr="00361664">
              <w:rPr>
                <w:rFonts w:asciiTheme="minorHAnsi" w:hAnsiTheme="minorHAnsi" w:cstheme="minorHAnsi"/>
                <w:sz w:val="20"/>
                <w:lang w:val="hr-HR"/>
              </w:rPr>
              <w:t>Pretpostavke</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3524" w:type="pct"/>
            <w:vAlign w:val="center"/>
          </w:tcPr>
          <w:p w:rsidR="008738C8" w:rsidRPr="00361664" w:rsidRDefault="008738C8" w:rsidP="00DB6123">
            <w:pPr>
              <w:pStyle w:val="Odlomakpopisa"/>
              <w:numPr>
                <w:ilvl w:val="0"/>
                <w:numId w:val="17"/>
              </w:numPr>
              <w:spacing w:before="100" w:beforeAutospacing="1" w:after="100" w:afterAutospacing="1" w:line="240" w:lineRule="auto"/>
              <w:contextualSpacing w:val="0"/>
              <w:jc w:val="both"/>
              <w:rPr>
                <w:rFonts w:asciiTheme="minorHAnsi" w:hAnsiTheme="minorHAnsi" w:cstheme="minorHAnsi"/>
                <w:sz w:val="20"/>
                <w:szCs w:val="20"/>
              </w:rPr>
            </w:pPr>
            <w:r w:rsidRPr="00361664">
              <w:rPr>
                <w:rFonts w:asciiTheme="minorHAnsi" w:hAnsiTheme="minorHAnsi" w:cstheme="minorHAnsi"/>
                <w:sz w:val="20"/>
                <w:szCs w:val="20"/>
              </w:rPr>
              <w:lastRenderedPageBreak/>
              <w:t xml:space="preserve">Poticanje proizvodnje OIE: Očekujemo da će se info-kampanjama </w:t>
            </w:r>
            <w:r w:rsidRPr="00361664">
              <w:rPr>
                <w:rFonts w:asciiTheme="minorHAnsi" w:hAnsiTheme="minorHAnsi" w:cstheme="minorHAnsi"/>
                <w:sz w:val="20"/>
                <w:szCs w:val="20"/>
              </w:rPr>
              <w:lastRenderedPageBreak/>
              <w:t xml:space="preserve">projekta CROSKILLS o dostupnim mogućnostima izobrazbe za instalatere tehničkih sustava na OIE potaknuti potražnja za OIE sustavima i OIE edukacijom u vrijednosti oko </w:t>
            </w:r>
            <w:r w:rsidRPr="00361664">
              <w:rPr>
                <w:rFonts w:asciiTheme="minorHAnsi" w:hAnsiTheme="minorHAnsi" w:cstheme="minorHAnsi"/>
                <w:sz w:val="20"/>
                <w:szCs w:val="20"/>
                <w:u w:val="single"/>
              </w:rPr>
              <w:t>10% nacionalnog cilja proizvodnje OIE u zgradarstvu</w:t>
            </w:r>
            <w:r w:rsidRPr="00361664">
              <w:rPr>
                <w:rFonts w:asciiTheme="minorHAnsi" w:hAnsiTheme="minorHAnsi" w:cstheme="minorHAnsi"/>
                <w:sz w:val="20"/>
                <w:szCs w:val="20"/>
              </w:rPr>
              <w:t xml:space="preserve">. Obzirom na dinamiku info-kampanja u okviru projekta, očekuje se da će taj učinak proizvesti tek u zadnjoj godini projekta (09/2016-08/2017), te se sličan učinak (10% godišnje) može očekivati i do 2020. godine. </w:t>
            </w:r>
          </w:p>
          <w:p w:rsidR="008738C8" w:rsidRPr="00361664" w:rsidRDefault="008738C8" w:rsidP="00DB6123">
            <w:pPr>
              <w:pStyle w:val="Odlomakpopisa"/>
              <w:numPr>
                <w:ilvl w:val="0"/>
                <w:numId w:val="17"/>
              </w:numPr>
              <w:spacing w:before="100" w:beforeAutospacing="1" w:after="100" w:afterAutospacing="1" w:line="240" w:lineRule="auto"/>
              <w:contextualSpacing w:val="0"/>
              <w:jc w:val="both"/>
              <w:rPr>
                <w:rFonts w:asciiTheme="minorHAnsi" w:hAnsiTheme="minorHAnsi" w:cstheme="minorHAnsi"/>
                <w:sz w:val="20"/>
                <w:szCs w:val="20"/>
              </w:rPr>
            </w:pPr>
            <w:r w:rsidRPr="00361664">
              <w:rPr>
                <w:rFonts w:asciiTheme="minorHAnsi" w:hAnsiTheme="minorHAnsi" w:cstheme="minorHAnsi"/>
                <w:sz w:val="20"/>
                <w:szCs w:val="20"/>
              </w:rPr>
              <w:t xml:space="preserve">Energetske uštede i smanjenje emisija GHG izračunate su na temelju Status Quo analize provedene u projektu CROSKILLS (str. 19, </w:t>
            </w:r>
            <w:hyperlink r:id="rId22" w:history="1">
              <w:r w:rsidRPr="00361664">
                <w:rPr>
                  <w:rStyle w:val="Hiperveza"/>
                  <w:rFonts w:asciiTheme="minorHAnsi" w:hAnsiTheme="minorHAnsi" w:cstheme="minorHAnsi"/>
                  <w:sz w:val="20"/>
                  <w:szCs w:val="20"/>
                </w:rPr>
                <w:t>http://croskills.hr/assets/dokumenti/2015/Status-Quo-Analiza-HRV.pdf</w:t>
              </w:r>
            </w:hyperlink>
            <w:r w:rsidRPr="00361664">
              <w:rPr>
                <w:rFonts w:asciiTheme="minorHAnsi" w:hAnsiTheme="minorHAnsi" w:cstheme="minorHAnsi"/>
                <w:sz w:val="20"/>
                <w:szCs w:val="20"/>
              </w:rPr>
              <w:t xml:space="preserve">) vezano uz podatke o potrošnji energije u kućanstvima i potencijalu energetskih ušteda. </w:t>
            </w:r>
          </w:p>
          <w:p w:rsidR="008738C8" w:rsidRPr="00361664" w:rsidRDefault="008738C8" w:rsidP="00DB6123">
            <w:pPr>
              <w:pStyle w:val="Odlomakpopisa"/>
              <w:numPr>
                <w:ilvl w:val="0"/>
                <w:numId w:val="17"/>
              </w:numPr>
              <w:spacing w:before="100" w:beforeAutospacing="1" w:after="100" w:afterAutospacing="1" w:line="240" w:lineRule="auto"/>
              <w:contextualSpacing w:val="0"/>
              <w:jc w:val="both"/>
              <w:rPr>
                <w:rFonts w:asciiTheme="minorHAnsi" w:hAnsiTheme="minorHAnsi" w:cstheme="minorHAnsi"/>
                <w:sz w:val="20"/>
                <w:szCs w:val="20"/>
              </w:rPr>
            </w:pPr>
            <w:r w:rsidRPr="00361664">
              <w:rPr>
                <w:rFonts w:asciiTheme="minorHAnsi" w:hAnsiTheme="minorHAnsi" w:cstheme="minorHAnsi"/>
                <w:sz w:val="20"/>
                <w:szCs w:val="20"/>
              </w:rPr>
              <w:t xml:space="preserve">Očekivani utjecaj sva 3 indikatora za 2020. godinu izračunat je pod pretpostavkom da će se rezultati ostvareni projektom CROSKILLS nastaviti ostvarivati ujednačenim godišnjim tempom, te je vrijednost indikatora za 2020.g. izražena kao četverostruka vrijednost indikatora za 2017., što odgovara idućem 4-godišnjem razdoblju (2017. do 2020.) </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bCs/>
                <w:sz w:val="20"/>
                <w:lang w:val="hr-HR"/>
              </w:rPr>
              <w:t>Troškovi izobrazbe radnika procjenjuju se na oko 8.032.000 EUR, odnosno oko 400 EUR po radniku za ukupno procijenjenih 20.080 radnika koje je do 2020. g. potrebno educirati po pitanjima energetske učinkovitosti u zgradarstvu (trošak tijekom 2017. pokriva se već osiguranim financiranjem iz projekta CROSKILLS). Od sredine 2017. g., po završetku projekta CROSKILLS, ovlašteni trening centri bit će dužni sami snositi troškove daljnje provedbe izobrazbe radnika (iz različitih izvora)</w:t>
            </w:r>
            <w:r w:rsidRPr="00361664">
              <w:rPr>
                <w:rFonts w:asciiTheme="minorHAnsi" w:hAnsiTheme="minorHAnsi" w:cstheme="minorHAnsi"/>
                <w:sz w:val="20"/>
                <w:lang w:val="hr-HR"/>
              </w:rPr>
              <w:t xml:space="preserve">. </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bCs/>
                <w:sz w:val="20"/>
                <w:lang w:val="hr-HR"/>
              </w:rPr>
              <w:t>U 2019. očekivane su uštede u vidu p</w:t>
            </w:r>
            <w:r w:rsidRPr="00361664">
              <w:rPr>
                <w:rFonts w:asciiTheme="minorHAnsi" w:hAnsiTheme="minorHAnsi" w:cstheme="minorHAnsi"/>
                <w:sz w:val="20"/>
                <w:lang w:val="hr-HR"/>
              </w:rPr>
              <w:t>oticanja proizvodnje OIE: 23.810 Toe</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Energetske uštede u usporedbi s projekcijama: 150,000 Toe</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Smanjenje emisija stakleničkih plinova: 500,000 tona CO</w:t>
            </w:r>
            <w:r w:rsidRPr="00361664">
              <w:rPr>
                <w:rFonts w:asciiTheme="minorHAnsi" w:hAnsiTheme="minorHAnsi" w:cstheme="minorHAnsi"/>
                <w:sz w:val="20"/>
                <w:vertAlign w:val="subscript"/>
                <w:lang w:val="hr-HR"/>
              </w:rPr>
              <w:t>2</w:t>
            </w:r>
            <w:r w:rsidRPr="00361664">
              <w:rPr>
                <w:rFonts w:asciiTheme="minorHAnsi" w:hAnsiTheme="minorHAnsi" w:cstheme="minorHAnsi"/>
                <w:sz w:val="20"/>
                <w:lang w:val="hr-HR"/>
              </w:rPr>
              <w:t>e</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 xml:space="preserve">U 2020. </w:t>
            </w:r>
            <w:r w:rsidRPr="00361664">
              <w:rPr>
                <w:rFonts w:asciiTheme="minorHAnsi" w:hAnsiTheme="minorHAnsi" w:cstheme="minorHAnsi"/>
                <w:bCs/>
                <w:sz w:val="20"/>
                <w:lang w:val="hr-HR"/>
              </w:rPr>
              <w:t>očekivane su uštede u vidu p</w:t>
            </w:r>
            <w:r w:rsidRPr="00361664">
              <w:rPr>
                <w:rFonts w:asciiTheme="minorHAnsi" w:hAnsiTheme="minorHAnsi" w:cstheme="minorHAnsi"/>
                <w:sz w:val="20"/>
                <w:lang w:val="hr-HR"/>
              </w:rPr>
              <w:t>oticanja proizvodnje OIE: 95.240 Toe</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Energetske uštede u usporedbi s projekcijama: 600,000 Toe</w:t>
            </w:r>
          </w:p>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b/>
                <w:bCs/>
                <w:sz w:val="20"/>
                <w:lang w:val="hr-HR"/>
              </w:rPr>
            </w:pPr>
            <w:r w:rsidRPr="00361664">
              <w:rPr>
                <w:rFonts w:asciiTheme="minorHAnsi" w:hAnsiTheme="minorHAnsi" w:cstheme="minorHAnsi"/>
                <w:sz w:val="20"/>
                <w:lang w:val="hr-HR"/>
              </w:rPr>
              <w:t>Smanjenje emisija stakleničkih plinova: 2 milijuna tona CO</w:t>
            </w:r>
            <w:r w:rsidRPr="00361664">
              <w:rPr>
                <w:rFonts w:asciiTheme="minorHAnsi" w:hAnsiTheme="minorHAnsi" w:cstheme="minorHAnsi"/>
                <w:sz w:val="20"/>
                <w:vertAlign w:val="subscript"/>
                <w:lang w:val="hr-HR"/>
              </w:rPr>
              <w:t>2</w:t>
            </w:r>
            <w:r w:rsidRPr="00361664">
              <w:rPr>
                <w:rFonts w:asciiTheme="minorHAnsi" w:hAnsiTheme="minorHAnsi" w:cstheme="minorHAnsi"/>
                <w:sz w:val="20"/>
                <w:lang w:val="hr-HR"/>
              </w:rPr>
              <w:t>e</w:t>
            </w:r>
          </w:p>
        </w:tc>
      </w:tr>
      <w:tr w:rsidR="008738C8" w:rsidRPr="00361664" w:rsidTr="00DB6123">
        <w:trPr>
          <w:trHeight w:val="20"/>
        </w:trPr>
        <w:tc>
          <w:tcPr>
            <w:tcW w:w="654" w:type="pct"/>
            <w:vMerge/>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p>
        </w:tc>
        <w:tc>
          <w:tcPr>
            <w:tcW w:w="822" w:type="pct"/>
            <w:vAlign w:val="center"/>
          </w:tcPr>
          <w:p w:rsidR="008738C8" w:rsidRPr="00361664" w:rsidRDefault="008738C8" w:rsidP="00DB6123">
            <w:pPr>
              <w:pStyle w:val="Tabletext"/>
              <w:tabs>
                <w:tab w:val="left" w:pos="1440"/>
                <w:tab w:val="left" w:pos="5040"/>
              </w:tabs>
              <w:spacing w:before="0" w:after="0" w:line="240" w:lineRule="auto"/>
              <w:rPr>
                <w:rFonts w:asciiTheme="minorHAnsi" w:hAnsiTheme="minorHAnsi" w:cstheme="minorHAnsi"/>
                <w:sz w:val="20"/>
                <w:lang w:val="hr-HR"/>
              </w:rPr>
            </w:pPr>
            <w:r w:rsidRPr="00361664">
              <w:rPr>
                <w:rFonts w:asciiTheme="minorHAnsi" w:hAnsiTheme="minorHAnsi" w:cstheme="minorHAnsi"/>
                <w:sz w:val="20"/>
                <w:lang w:val="hr-HR"/>
              </w:rPr>
              <w:t>Preklapanja, efekt množenja, sinergija</w:t>
            </w:r>
          </w:p>
        </w:tc>
        <w:tc>
          <w:tcPr>
            <w:tcW w:w="3524" w:type="pct"/>
            <w:vAlign w:val="center"/>
          </w:tcPr>
          <w:p w:rsidR="008738C8" w:rsidRPr="00361664" w:rsidRDefault="008738C8" w:rsidP="00DB6123">
            <w:pPr>
              <w:tabs>
                <w:tab w:val="left" w:pos="1440"/>
                <w:tab w:val="left" w:pos="5040"/>
              </w:tabs>
              <w:spacing w:after="0" w:line="240" w:lineRule="auto"/>
              <w:jc w:val="both"/>
              <w:rPr>
                <w:rFonts w:cstheme="minorHAnsi"/>
                <w:sz w:val="20"/>
                <w:szCs w:val="20"/>
                <w:highlight w:val="yellow"/>
              </w:rPr>
            </w:pPr>
            <w:r w:rsidRPr="00361664">
              <w:rPr>
                <w:rFonts w:cstheme="minorHAnsi"/>
                <w:sz w:val="20"/>
                <w:szCs w:val="20"/>
              </w:rPr>
              <w:t xml:space="preserve">Ova se mjera nadopunjava s mjerom H.2 Info kampanje i promocija energetskih usluga, kroz koju će se također educirati šira javnost o energetskih uslugama, pružateljima energetskih usluga i ostalome. </w:t>
            </w:r>
          </w:p>
        </w:tc>
      </w:tr>
    </w:tbl>
    <w:p w:rsidR="008738C8" w:rsidRPr="00361664" w:rsidRDefault="008738C8" w:rsidP="005C03DC">
      <w:pPr>
        <w:rPr>
          <w:sz w:val="20"/>
        </w:rPr>
      </w:pPr>
    </w:p>
    <w:p w:rsidR="008738C8" w:rsidRPr="00361664" w:rsidRDefault="008738C8" w:rsidP="005C03DC">
      <w:pPr>
        <w:rPr>
          <w:sz w:val="20"/>
        </w:rPr>
      </w:pPr>
    </w:p>
    <w:p w:rsidR="00AD7F64" w:rsidRPr="00361664" w:rsidRDefault="00751A89" w:rsidP="00751A89">
      <w:pPr>
        <w:rPr>
          <w:sz w:val="20"/>
          <w:szCs w:val="20"/>
        </w:rPr>
      </w:pPr>
      <w:r w:rsidRPr="00361664">
        <w:rPr>
          <w:sz w:val="20"/>
          <w:szCs w:val="20"/>
        </w:rPr>
        <w:br w:type="page"/>
      </w:r>
    </w:p>
    <w:p w:rsidR="002F0075" w:rsidRPr="00361664" w:rsidRDefault="003412CD" w:rsidP="002E6655">
      <w:pPr>
        <w:pStyle w:val="Naslov3"/>
        <w:rPr>
          <w:lang w:val="hr-HR"/>
        </w:rPr>
      </w:pPr>
      <w:bookmarkStart w:id="26" w:name="_Toc535245847"/>
      <w:r w:rsidRPr="00361664">
        <w:rPr>
          <w:lang w:val="hr-HR"/>
        </w:rPr>
        <w:lastRenderedPageBreak/>
        <w:t>Energetske usluge</w:t>
      </w:r>
      <w:r w:rsidR="00944F9E" w:rsidRPr="00361664">
        <w:rPr>
          <w:lang w:val="hr-HR"/>
        </w:rPr>
        <w:t xml:space="preserve"> (</w:t>
      </w:r>
      <w:r w:rsidR="004E4418" w:rsidRPr="00361664">
        <w:rPr>
          <w:lang w:val="hr-HR"/>
        </w:rPr>
        <w:t>č</w:t>
      </w:r>
      <w:r w:rsidRPr="00361664">
        <w:rPr>
          <w:lang w:val="hr-HR"/>
        </w:rPr>
        <w:t>lanak</w:t>
      </w:r>
      <w:r w:rsidR="00944F9E" w:rsidRPr="00361664">
        <w:rPr>
          <w:lang w:val="hr-HR"/>
        </w:rPr>
        <w:t xml:space="preserve"> 18</w:t>
      </w:r>
      <w:r w:rsidR="004E4418" w:rsidRPr="00361664">
        <w:rPr>
          <w:lang w:val="hr-HR"/>
        </w:rPr>
        <w:t>. DEU-a</w:t>
      </w:r>
      <w:r w:rsidR="00944F9E" w:rsidRPr="00361664">
        <w:rPr>
          <w:lang w:val="hr-HR"/>
        </w:rPr>
        <w:t>)</w:t>
      </w:r>
      <w:bookmarkEnd w:id="26"/>
    </w:p>
    <w:p w:rsidR="00BE4600" w:rsidRPr="00361664" w:rsidRDefault="00BE4600" w:rsidP="00BE4600">
      <w:pPr>
        <w:spacing w:after="0"/>
        <w:jc w:val="both"/>
        <w:rPr>
          <w:rFonts w:asciiTheme="minorHAnsi" w:hAnsiTheme="minorHAnsi"/>
          <w:sz w:val="20"/>
          <w:szCs w:val="20"/>
        </w:rPr>
      </w:pPr>
      <w:r w:rsidRPr="00361664">
        <w:rPr>
          <w:rFonts w:asciiTheme="minorHAnsi" w:hAnsiTheme="minorHAnsi"/>
          <w:sz w:val="20"/>
          <w:szCs w:val="20"/>
        </w:rPr>
        <w:t xml:space="preserve">Prvi projekti energetske učinkovitosti po ESCO modelu i u privatnom i u javnom sektoru realizirani su tijekom prvog desetljeća 21. stoljeća. No, tada je na tržištu bio vrlo mali broj tvrtki koje su nudile energetske usluge odnosno ESCO usluge. Razlog tome je bio nedostatak zakonskog okvira o energetskoj učinkovitosti i reguliranju energetskih usluga kao zasebne djelatnosti. </w:t>
      </w:r>
    </w:p>
    <w:p w:rsidR="00F1792A" w:rsidRPr="00361664" w:rsidRDefault="00F1792A" w:rsidP="00BE4600">
      <w:pPr>
        <w:spacing w:after="0"/>
        <w:jc w:val="both"/>
        <w:rPr>
          <w:rFonts w:asciiTheme="minorHAnsi" w:hAnsiTheme="minorHAnsi"/>
          <w:sz w:val="20"/>
          <w:szCs w:val="20"/>
        </w:rPr>
      </w:pPr>
    </w:p>
    <w:p w:rsidR="00BE4600" w:rsidRPr="00361664" w:rsidRDefault="00BE4600" w:rsidP="00BE4600">
      <w:pPr>
        <w:spacing w:after="0"/>
        <w:jc w:val="both"/>
        <w:rPr>
          <w:rFonts w:asciiTheme="minorHAnsi" w:hAnsiTheme="minorHAnsi"/>
          <w:sz w:val="20"/>
          <w:szCs w:val="20"/>
        </w:rPr>
      </w:pPr>
      <w:r w:rsidRPr="00361664">
        <w:rPr>
          <w:rFonts w:asciiTheme="minorHAnsi" w:hAnsiTheme="minorHAnsi"/>
          <w:sz w:val="20"/>
          <w:szCs w:val="20"/>
        </w:rPr>
        <w:t>Od 2014. godine tržište ESCO tvrtki se započinje intenzivnije razvijati zbog sljedeća tri razloga:</w:t>
      </w:r>
    </w:p>
    <w:p w:rsidR="00BE4600" w:rsidRPr="00361664" w:rsidRDefault="00BE4600" w:rsidP="00BE4600">
      <w:pPr>
        <w:spacing w:after="0"/>
        <w:jc w:val="both"/>
        <w:rPr>
          <w:rFonts w:asciiTheme="minorHAnsi" w:hAnsiTheme="minorHAnsi"/>
          <w:sz w:val="20"/>
          <w:szCs w:val="20"/>
        </w:rPr>
      </w:pPr>
      <w:r w:rsidRPr="00361664">
        <w:rPr>
          <w:rFonts w:asciiTheme="minorHAnsi" w:hAnsiTheme="minorHAnsi"/>
          <w:sz w:val="20"/>
          <w:szCs w:val="20"/>
        </w:rPr>
        <w:t>•</w:t>
      </w:r>
      <w:r w:rsidRPr="00361664">
        <w:rPr>
          <w:rFonts w:asciiTheme="minorHAnsi" w:hAnsiTheme="minorHAnsi"/>
          <w:sz w:val="20"/>
          <w:szCs w:val="20"/>
        </w:rPr>
        <w:tab/>
        <w:t>rast cijena energenata potiče potrošače na uštedu,</w:t>
      </w:r>
    </w:p>
    <w:p w:rsidR="00BE4600" w:rsidRPr="00361664" w:rsidRDefault="00BE4600" w:rsidP="00BE4600">
      <w:pPr>
        <w:spacing w:after="0"/>
        <w:jc w:val="both"/>
        <w:rPr>
          <w:rFonts w:asciiTheme="minorHAnsi" w:hAnsiTheme="minorHAnsi"/>
          <w:sz w:val="20"/>
          <w:szCs w:val="20"/>
        </w:rPr>
      </w:pPr>
      <w:r w:rsidRPr="00361664">
        <w:rPr>
          <w:rFonts w:asciiTheme="minorHAnsi" w:hAnsiTheme="minorHAnsi"/>
          <w:sz w:val="20"/>
          <w:szCs w:val="20"/>
        </w:rPr>
        <w:t>•</w:t>
      </w:r>
      <w:r w:rsidRPr="00361664">
        <w:rPr>
          <w:rFonts w:asciiTheme="minorHAnsi" w:hAnsiTheme="minorHAnsi"/>
          <w:sz w:val="20"/>
          <w:szCs w:val="20"/>
        </w:rPr>
        <w:tab/>
        <w:t>donesen je Zakon o energetskoj učinkovitosti (NN 127/2014) i Uredba o ugovaranju i provedbi energetske usluge u javnom sektoru (NN 11/2015),</w:t>
      </w:r>
    </w:p>
    <w:p w:rsidR="00BE4600" w:rsidRPr="00361664" w:rsidRDefault="00BE4600" w:rsidP="00BE4600">
      <w:pPr>
        <w:spacing w:after="0"/>
        <w:jc w:val="both"/>
        <w:rPr>
          <w:rFonts w:asciiTheme="minorHAnsi" w:hAnsiTheme="minorHAnsi"/>
          <w:sz w:val="20"/>
          <w:szCs w:val="20"/>
        </w:rPr>
      </w:pPr>
      <w:r w:rsidRPr="00361664">
        <w:rPr>
          <w:rFonts w:asciiTheme="minorHAnsi" w:hAnsiTheme="minorHAnsi"/>
          <w:sz w:val="20"/>
          <w:szCs w:val="20"/>
        </w:rPr>
        <w:t>•</w:t>
      </w:r>
      <w:r w:rsidRPr="00361664">
        <w:rPr>
          <w:rFonts w:asciiTheme="minorHAnsi" w:hAnsiTheme="minorHAnsi"/>
          <w:sz w:val="20"/>
          <w:szCs w:val="20"/>
        </w:rPr>
        <w:tab/>
        <w:t>Fond za zaštitu okoliša i energetsku učinkovitosti nudi bespovratna sredstva za projekte energetske učinkovitosti u javnim objektima među ostalim i po ESCO modelu.</w:t>
      </w:r>
    </w:p>
    <w:p w:rsidR="002E7B11" w:rsidRPr="00361664" w:rsidRDefault="002E7B11" w:rsidP="00BE4600">
      <w:pPr>
        <w:spacing w:after="0"/>
        <w:jc w:val="both"/>
        <w:rPr>
          <w:rFonts w:asciiTheme="minorHAnsi" w:hAnsiTheme="minorHAnsi"/>
          <w:sz w:val="20"/>
          <w:szCs w:val="20"/>
        </w:rPr>
      </w:pPr>
    </w:p>
    <w:p w:rsidR="00BE4600" w:rsidRPr="00361664" w:rsidRDefault="00BE4600" w:rsidP="00BE4600">
      <w:pPr>
        <w:spacing w:after="0"/>
        <w:jc w:val="both"/>
        <w:rPr>
          <w:rFonts w:asciiTheme="minorHAnsi" w:hAnsiTheme="minorHAnsi"/>
          <w:sz w:val="20"/>
          <w:szCs w:val="20"/>
        </w:rPr>
      </w:pPr>
      <w:r w:rsidRPr="00361664">
        <w:rPr>
          <w:rFonts w:asciiTheme="minorHAnsi" w:hAnsiTheme="minorHAnsi"/>
          <w:sz w:val="20"/>
          <w:szCs w:val="20"/>
        </w:rPr>
        <w:t xml:space="preserve">Zbog toga je tijekom 2015. i 2016. godine putem otvorenih natječaja ugovoreno preko 50 projekata energetske učinkovitosti u javnom sektoru po ESCO modelu, 20-tak za projekte rekonstrukcije javne rasvjete i oko 30-tak za projekte obnove javnih zgrada. U najvećem broju slučajeva ugovori o energetskoj učinkovitosti se javno objavljuju na oglasniku javne nabave kao dio cjelokupne natječajne dokumentacije. Svi su projekti financirani od strane pružatelja energetskih usluga koji su odabrani na javnom nadmetanju kao ekonomski najpovoljniji ponuditelji. Na natječaje za projekte rekonstrukcije javne rasvjete po ESCO modelu najčešće su se javljali proizvođači i dobavljači opreme za javnu rasvjetu. U slučaju projekata rekonstrukcije javnih zgrada na natječaje su se obično javljale građevinske i inženjerske tvrtke. Na tim se natječajima također u velikom broju slučaja javlja zajednica ponuditelja čija je svrha međusobna podjela tehničkih, pravnih, komercijalnih i financijskih rizika, kao i rizika od jamčenja energetskih ušteda (tzv. 'performanceguarantee'). </w:t>
      </w:r>
    </w:p>
    <w:p w:rsidR="002E7B11" w:rsidRPr="00361664" w:rsidRDefault="002E7B11" w:rsidP="00BE4600">
      <w:pPr>
        <w:spacing w:after="0"/>
        <w:jc w:val="both"/>
        <w:rPr>
          <w:rFonts w:asciiTheme="minorHAnsi" w:hAnsiTheme="minorHAnsi"/>
          <w:sz w:val="20"/>
          <w:szCs w:val="20"/>
        </w:rPr>
      </w:pPr>
    </w:p>
    <w:p w:rsidR="00BE4600" w:rsidRPr="00361664" w:rsidRDefault="00BE4600" w:rsidP="00BE4600">
      <w:pPr>
        <w:spacing w:after="0"/>
        <w:jc w:val="both"/>
        <w:rPr>
          <w:rFonts w:asciiTheme="minorHAnsi" w:hAnsiTheme="minorHAnsi"/>
          <w:sz w:val="20"/>
          <w:szCs w:val="20"/>
        </w:rPr>
      </w:pPr>
      <w:r w:rsidRPr="00361664">
        <w:rPr>
          <w:rFonts w:asciiTheme="minorHAnsi" w:hAnsiTheme="minorHAnsi"/>
          <w:sz w:val="20"/>
          <w:szCs w:val="20"/>
        </w:rPr>
        <w:t>Danas u Hrvatskoj ima više od 15 pružatelja energetskih usluga te se u budućnosti očekuje sve veće zanimanje za pružanje i korištenje ovog tipa usluga, osobito ako dođe do daljnjeg rasta cijene energenata kao i mogućnostima za dobivanje bespovratnih sredstava i povoljnih kreditnih sredstava s nižim kamatama</w:t>
      </w:r>
      <w:r w:rsidR="002E7B11" w:rsidRPr="00361664">
        <w:rPr>
          <w:rFonts w:asciiTheme="minorHAnsi" w:hAnsiTheme="minorHAnsi"/>
          <w:sz w:val="20"/>
          <w:szCs w:val="20"/>
        </w:rPr>
        <w:t>.</w:t>
      </w:r>
    </w:p>
    <w:p w:rsidR="002E7B11" w:rsidRPr="00361664" w:rsidRDefault="002E7B11" w:rsidP="00BE4600">
      <w:pPr>
        <w:spacing w:after="0"/>
        <w:jc w:val="both"/>
        <w:rPr>
          <w:rFonts w:asciiTheme="minorHAnsi" w:hAnsiTheme="minorHAnsi"/>
          <w:sz w:val="20"/>
          <w:szCs w:val="20"/>
        </w:rPr>
      </w:pPr>
    </w:p>
    <w:p w:rsidR="002F0075" w:rsidRPr="00361664" w:rsidRDefault="002F0075" w:rsidP="002F0075">
      <w:pPr>
        <w:spacing w:after="0"/>
        <w:jc w:val="both"/>
      </w:pPr>
      <w:r w:rsidRPr="00361664">
        <w:rPr>
          <w:rFonts w:asciiTheme="minorHAnsi" w:hAnsiTheme="minorHAnsi"/>
          <w:sz w:val="20"/>
          <w:szCs w:val="20"/>
        </w:rPr>
        <w:t>Europska banka za razvoj i obnovu (EBRD) pokrenula je sredinom 2014. godine projekt pod nazivom WesternBalkansInvestment Framework: ESCO Project Pipeline</w:t>
      </w:r>
      <w:r w:rsidR="00F92F0C" w:rsidRPr="00361664">
        <w:rPr>
          <w:rFonts w:asciiTheme="minorHAnsi" w:hAnsiTheme="minorHAnsi"/>
          <w:sz w:val="20"/>
          <w:szCs w:val="20"/>
        </w:rPr>
        <w:t xml:space="preserve"> </w:t>
      </w:r>
      <w:r w:rsidRPr="00361664">
        <w:rPr>
          <w:rFonts w:asciiTheme="minorHAnsi" w:hAnsiTheme="minorHAnsi"/>
          <w:sz w:val="20"/>
          <w:szCs w:val="20"/>
        </w:rPr>
        <w:t xml:space="preserve">Preparationin Croatia u sklopu programa REGIONAL ENERGY EFFICIENCY PROGRAMME (Projekt). Projekt provodi konzorcij koji se sastoji od odvjetničkog ureda CMS i konzultantske tvrtke. Svrha Projekta je pružati tehničku pomoć jedinicama lokalne samouprave (JLS-ima) u pripremi i provođenju natječajne dokumentacije te pronalaženju odgovarajućih rješenja za projekte rekonstrukcije javne rasvjete po ESCO modelu sukladno postojećim hrvatskim zakonima prvenstveno vezanim uz javnu nabavu i energetsku učinkovitost. Tehnička pomoć je besplatna jer se u potpunosti financira iz sredstava Europske Unije i nije obvezujuća za JLS-ove, odnosno suradnju s projektom moguće je prekinuti u bilo kom trenutku bez ikakvih financijskih posljedica. Dodatno ponuđena je i promocija JLS-ova i njihovih izvedenih projekata rekonstrukcije javne rasvjete po ESCO modelu kroz službene stranice </w:t>
      </w:r>
      <w:hyperlink r:id="rId23" w:history="1">
        <w:r w:rsidRPr="00361664">
          <w:rPr>
            <w:rFonts w:asciiTheme="minorHAnsi" w:hAnsiTheme="minorHAnsi"/>
            <w:sz w:val="20"/>
            <w:szCs w:val="20"/>
          </w:rPr>
          <w:t>Projekta.</w:t>
        </w:r>
      </w:hyperlink>
      <w:r w:rsidRPr="00361664">
        <w:rPr>
          <w:rFonts w:asciiTheme="minorHAnsi" w:hAnsiTheme="minorHAnsi"/>
          <w:sz w:val="20"/>
          <w:szCs w:val="20"/>
        </w:rPr>
        <w:t>Dosada je 20 JLS-ova potpisalo neobvezujućih pisma namjere o korištenju tehničke pomoći. Vrijednost njihovih projekata iznosi preko 10 milijuna eura. Za 8 JLS-ova su pripremljene natječajne dokumentacije, a 5 ih je pokrenulo i okončalo postupak za javno nadmetanje</w:t>
      </w:r>
      <w:r w:rsidRPr="00361664">
        <w:t>.</w:t>
      </w:r>
    </w:p>
    <w:p w:rsidR="002E7B11" w:rsidRPr="00361664" w:rsidRDefault="002E7B11" w:rsidP="002F0075">
      <w:pPr>
        <w:spacing w:after="0"/>
        <w:jc w:val="both"/>
      </w:pPr>
    </w:p>
    <w:p w:rsidR="00EE6A0A" w:rsidRPr="00361664" w:rsidRDefault="00BE4600" w:rsidP="009E557D">
      <w:pPr>
        <w:spacing w:after="0"/>
        <w:jc w:val="both"/>
        <w:rPr>
          <w:rFonts w:asciiTheme="minorHAnsi" w:hAnsiTheme="minorHAnsi"/>
          <w:b/>
          <w:sz w:val="20"/>
        </w:rPr>
      </w:pPr>
      <w:r w:rsidRPr="00361664">
        <w:rPr>
          <w:rFonts w:asciiTheme="minorHAnsi" w:hAnsiTheme="minorHAnsi"/>
          <w:sz w:val="20"/>
          <w:szCs w:val="20"/>
        </w:rPr>
        <w:t>Dosada je preko 20 JLS-ova potpisalo neobvezujućih pisma namjere o korištenju tehničke pomoći. Vrijednost njihovih projekata iznosi preko 20 milijuna eura. Za 10 JLS-ova su pripremljene natječajne dokumentacije, a 5 ih je pokrenulo i okončalo postupak za javno nadmetanje. Projekti su prema EBRD-ovoj tehničkoj pomoći uspješno provedeni u 4 JLS-ova koji ostvaruju energetske uštede između 40% i 80%. Uz to, JLS-ovi sve više počinju koristiti obrazac natječajne dokumentacije razvijen po ovom Projektu i bez korištenja tehničke pomoći EBRD-a i njegovih konzultanata što dokazuje</w:t>
      </w:r>
      <w:r w:rsidR="00F92F0C" w:rsidRPr="00361664">
        <w:rPr>
          <w:rFonts w:asciiTheme="minorHAnsi" w:hAnsiTheme="minorHAnsi"/>
          <w:sz w:val="20"/>
          <w:szCs w:val="20"/>
        </w:rPr>
        <w:t xml:space="preserve"> njegovu širu upotrebljivost.</w:t>
      </w:r>
    </w:p>
    <w:p w:rsidR="001008FE" w:rsidRPr="00361664" w:rsidRDefault="00A061BE" w:rsidP="00651BCA">
      <w:pPr>
        <w:spacing w:before="120" w:after="120"/>
        <w:jc w:val="both"/>
        <w:rPr>
          <w:rFonts w:asciiTheme="minorHAnsi" w:hAnsiTheme="minorHAnsi"/>
          <w:b/>
          <w:sz w:val="20"/>
        </w:rPr>
      </w:pPr>
      <w:r w:rsidRPr="00361664">
        <w:rPr>
          <w:rFonts w:asciiTheme="minorHAnsi" w:hAnsiTheme="minorHAnsi"/>
          <w:b/>
          <w:sz w:val="20"/>
        </w:rPr>
        <w:lastRenderedPageBreak/>
        <w:t>PROGRAM ENERGETSKE OBNOVE ZGRADA JAVNOG SEKTORA</w:t>
      </w:r>
      <w:r w:rsidR="00F1792A" w:rsidRPr="00361664">
        <w:rPr>
          <w:rFonts w:asciiTheme="minorHAnsi" w:hAnsiTheme="minorHAnsi"/>
          <w:b/>
          <w:sz w:val="20"/>
        </w:rPr>
        <w:t xml:space="preserve"> 2016.-2020.</w:t>
      </w:r>
    </w:p>
    <w:p w:rsidR="00F1792A" w:rsidRPr="00361664" w:rsidRDefault="00F1792A" w:rsidP="00F1792A">
      <w:pPr>
        <w:spacing w:after="0"/>
        <w:jc w:val="both"/>
        <w:rPr>
          <w:rFonts w:asciiTheme="minorHAnsi" w:hAnsiTheme="minorHAnsi"/>
          <w:sz w:val="20"/>
          <w:szCs w:val="20"/>
        </w:rPr>
      </w:pPr>
      <w:r w:rsidRPr="00361664">
        <w:rPr>
          <w:rFonts w:asciiTheme="minorHAnsi" w:hAnsiTheme="minorHAnsi"/>
          <w:sz w:val="20"/>
          <w:szCs w:val="20"/>
        </w:rPr>
        <w:t>Cilj Programa energetske obnove zgrada javnog sektora je podizanje razine aktivnosti u energetskoj obnovi na 3% ukupnog fonda zgrada javnog sektora godišnje, smanjenje potrošnje energije za hlađenje/grijanje obnovljenih zgrada javnog sektora do 70%, odnosno godišnja ušteda od oko 50 GWh i ispunjenje ciljeva ušteda energije zgrada javnog sektora uključujući mjere alternativne politike određene u Trećem nacionalnom akcijskom planu energetske učinkovitosti za razdoblje 2014. - 2016.</w:t>
      </w:r>
    </w:p>
    <w:p w:rsidR="00F3498F" w:rsidRPr="00361664" w:rsidRDefault="00F3498F" w:rsidP="00F1792A">
      <w:pPr>
        <w:spacing w:after="0"/>
        <w:jc w:val="both"/>
        <w:rPr>
          <w:rFonts w:asciiTheme="minorHAnsi" w:hAnsiTheme="minorHAnsi"/>
          <w:sz w:val="20"/>
          <w:szCs w:val="20"/>
        </w:rPr>
      </w:pPr>
    </w:p>
    <w:p w:rsidR="00F1792A" w:rsidRPr="00361664" w:rsidRDefault="00F1792A" w:rsidP="00F1792A">
      <w:pPr>
        <w:spacing w:after="0"/>
        <w:jc w:val="both"/>
        <w:rPr>
          <w:rFonts w:asciiTheme="minorHAnsi" w:hAnsiTheme="minorHAnsi"/>
          <w:sz w:val="20"/>
          <w:szCs w:val="20"/>
        </w:rPr>
      </w:pPr>
      <w:r w:rsidRPr="00361664">
        <w:rPr>
          <w:rFonts w:asciiTheme="minorHAnsi" w:hAnsiTheme="minorHAnsi"/>
          <w:sz w:val="20"/>
          <w:szCs w:val="20"/>
        </w:rPr>
        <w:t>Program energetske obnove zgrada javnog sektora odnosi se na zgrade centralne države (ministarstva i tijela državne uprave) te zgrade jedinica lokalne i područne (regionalne) samouprave, odnosno zgrade u vlasništvu javnog sektora, u kojima se obavljaju društvene djelatnosti (odgoja, obrazovanja, prosvjete, znanosti, kulture, sporta, zdravstva i socijalne skrbi), djelatnosti državnih tijela i organizacija kao i tijela i organizacija lokalne i područne (regionalne) samouprave, djelatnosti pravnih osoba s javnim ovlastima, zatim zgrade za stanovanje zajednica, zgrade udruga građana i vjerskih zajednica.</w:t>
      </w:r>
    </w:p>
    <w:p w:rsidR="00F3498F" w:rsidRPr="00361664" w:rsidRDefault="00F3498F" w:rsidP="00F1792A">
      <w:pPr>
        <w:spacing w:after="0"/>
        <w:jc w:val="both"/>
        <w:rPr>
          <w:rFonts w:asciiTheme="minorHAnsi" w:hAnsiTheme="minorHAnsi"/>
          <w:sz w:val="20"/>
          <w:szCs w:val="20"/>
        </w:rPr>
      </w:pPr>
    </w:p>
    <w:p w:rsidR="00F1792A" w:rsidRDefault="00F1792A" w:rsidP="00F1792A">
      <w:pPr>
        <w:spacing w:after="0"/>
        <w:jc w:val="both"/>
        <w:rPr>
          <w:rFonts w:asciiTheme="minorHAnsi" w:hAnsiTheme="minorHAnsi"/>
          <w:sz w:val="20"/>
          <w:szCs w:val="20"/>
        </w:rPr>
      </w:pPr>
      <w:r w:rsidRPr="00361664">
        <w:rPr>
          <w:rFonts w:asciiTheme="minorHAnsi" w:hAnsiTheme="minorHAnsi"/>
          <w:sz w:val="20"/>
          <w:szCs w:val="20"/>
        </w:rPr>
        <w:t>Program osigurava kontinuitet ispunjenja zahtjeva sukladno Direktivi o energetskoj učinkovitosti, kojom se od država članica traži da od 1. siječnja 2014. godine, svake godine obnove 3% ukupne površine poda grijanih i/ili hlađenih zgrada u vlasništvu i uporabi središnje vlasti, odnosno da alternativnim pristupom postignu uštede energije u zgradama središnje vlasti jednak uštedama energije dobivenima putem stope obnove od 3%.</w:t>
      </w:r>
    </w:p>
    <w:p w:rsidR="009E557D" w:rsidRPr="00361664" w:rsidRDefault="009E557D" w:rsidP="00F1792A">
      <w:pPr>
        <w:spacing w:after="0"/>
        <w:jc w:val="both"/>
        <w:rPr>
          <w:rFonts w:asciiTheme="minorHAnsi" w:hAnsiTheme="minorHAnsi"/>
          <w:sz w:val="20"/>
          <w:szCs w:val="20"/>
        </w:rPr>
      </w:pPr>
    </w:p>
    <w:p w:rsidR="00F1792A" w:rsidRPr="00361664" w:rsidRDefault="00F1792A" w:rsidP="00F1792A">
      <w:pPr>
        <w:spacing w:after="0"/>
        <w:jc w:val="both"/>
        <w:rPr>
          <w:rFonts w:asciiTheme="minorHAnsi" w:hAnsiTheme="minorHAnsi"/>
          <w:sz w:val="20"/>
          <w:szCs w:val="20"/>
        </w:rPr>
      </w:pPr>
      <w:r w:rsidRPr="00361664">
        <w:rPr>
          <w:rFonts w:asciiTheme="minorHAnsi" w:hAnsiTheme="minorHAnsi"/>
          <w:sz w:val="20"/>
          <w:szCs w:val="20"/>
        </w:rPr>
        <w:t>Kako bi se iskoristio cjelokupni postojeći potencijal za uštedu energije cilj Programa je cjelovita obnova zgrada, uz maksimalno ulaganje privatnog kapitala na javnim zgradama, nastavak razvoja tržišta energetskih usluga i prenošenje iskustava sa zgrada javnog sektora na područje ugovaranja energetske usluge među privatnim subjektima. Potiču se investicije koje imaju pozitivan učinak na državni proračun, a kroz ESCO model se osigurava da se bez dodatnog trošenja proračunskih sredstava vlasnika/korisnika provedu mjere poboljšanja energetske učinkovitosti u zgradama javnog sektora.</w:t>
      </w:r>
    </w:p>
    <w:p w:rsidR="00F3498F" w:rsidRPr="00361664" w:rsidRDefault="00F3498F" w:rsidP="00F1792A">
      <w:pPr>
        <w:spacing w:after="0"/>
        <w:jc w:val="both"/>
        <w:rPr>
          <w:rFonts w:asciiTheme="minorHAnsi" w:hAnsiTheme="minorHAnsi"/>
          <w:sz w:val="20"/>
          <w:szCs w:val="20"/>
        </w:rPr>
      </w:pPr>
    </w:p>
    <w:p w:rsidR="00F1792A" w:rsidRPr="00361664" w:rsidRDefault="00F1792A" w:rsidP="00F1792A">
      <w:pPr>
        <w:spacing w:after="0"/>
        <w:jc w:val="both"/>
        <w:rPr>
          <w:rFonts w:asciiTheme="minorHAnsi" w:hAnsiTheme="minorHAnsi"/>
          <w:sz w:val="20"/>
          <w:szCs w:val="20"/>
        </w:rPr>
      </w:pPr>
      <w:r w:rsidRPr="00361664">
        <w:rPr>
          <w:rFonts w:asciiTheme="minorHAnsi" w:hAnsiTheme="minorHAnsi"/>
          <w:sz w:val="20"/>
          <w:szCs w:val="20"/>
        </w:rPr>
        <w:t>Programom energetske obnove primjenjuju se ekonomski opravdane, energetski učinkovite tehnologije i mjere u zgradama javnog sektora na području Republike Hrvatske, a prednost se daje zgradama javnog sektora s najnižim energetskim svojstvima, odnosno najvećom potrošnjom energije. Program će doprinijeti smanjenju potrošnje energenata, fosilnih goriva i električne energije te povećanju korištenja obnovljivih izvora energije.</w:t>
      </w:r>
    </w:p>
    <w:p w:rsidR="00F1792A" w:rsidRPr="00361664" w:rsidRDefault="00F1792A" w:rsidP="00F1792A">
      <w:pPr>
        <w:spacing w:after="0"/>
        <w:jc w:val="both"/>
        <w:rPr>
          <w:rFonts w:asciiTheme="minorHAnsi" w:hAnsiTheme="minorHAnsi"/>
          <w:sz w:val="20"/>
          <w:szCs w:val="20"/>
        </w:rPr>
      </w:pPr>
      <w:r w:rsidRPr="00361664">
        <w:rPr>
          <w:rFonts w:asciiTheme="minorHAnsi" w:hAnsiTheme="minorHAnsi"/>
          <w:sz w:val="20"/>
          <w:szCs w:val="20"/>
        </w:rPr>
        <w:t xml:space="preserve">Indirektno, Program energetske obnove javnih zgrada će rezultirati rastom aktivnosti građevinskog sektora te povećanim zapošljavanjem u obrtnom i građevinskom sektoru, inženjerskim djelatnostima kao i u proizvodnji građevinskih proizvoda. </w:t>
      </w:r>
    </w:p>
    <w:p w:rsidR="00F3498F" w:rsidRPr="00361664" w:rsidRDefault="00F3498F" w:rsidP="00F1792A">
      <w:pPr>
        <w:spacing w:after="0"/>
        <w:jc w:val="both"/>
        <w:rPr>
          <w:rFonts w:asciiTheme="minorHAnsi" w:hAnsiTheme="minorHAnsi"/>
          <w:sz w:val="20"/>
          <w:szCs w:val="20"/>
        </w:rPr>
      </w:pPr>
    </w:p>
    <w:p w:rsidR="00F1792A" w:rsidRPr="00361664" w:rsidRDefault="00F1792A" w:rsidP="00F1792A">
      <w:pPr>
        <w:spacing w:after="0"/>
        <w:jc w:val="both"/>
        <w:rPr>
          <w:rFonts w:asciiTheme="minorHAnsi" w:hAnsiTheme="minorHAnsi"/>
          <w:sz w:val="20"/>
          <w:szCs w:val="20"/>
        </w:rPr>
      </w:pPr>
      <w:r w:rsidRPr="00361664">
        <w:rPr>
          <w:rFonts w:asciiTheme="minorHAnsi" w:hAnsiTheme="minorHAnsi"/>
          <w:sz w:val="20"/>
          <w:szCs w:val="20"/>
        </w:rPr>
        <w:t>Program se sufinancira sredstvima Europskog fonda za regionalni razvoj u sklopu Prioritetne osi 4. Promicanje energetske učinkovitosti i obnovljivih izvora energije, Investicijskom prioritetu 4c Podupiranje energetske učinkovitosti, pametnog upravljanja energijom i korištenja OIE u javnoj infrastrukturi, uključujući javne zgrade i u stambenom sektoru, Specifičnom cilju 4c1 Smanjenje potrošnje energije u zgradama javnog sektora, Operativnog programa „Konkurentnost i kohezija 2014. - 2020.“ za koji je osigurano 211.810.805 eura što se prikazuje u Državnom proračunu RH na izvoru 563 – Europski fond za regionalni razvoj.</w:t>
      </w:r>
    </w:p>
    <w:p w:rsidR="00F3498F" w:rsidRPr="00361664" w:rsidRDefault="00F3498F" w:rsidP="00F1792A">
      <w:pPr>
        <w:spacing w:after="0"/>
        <w:jc w:val="both"/>
        <w:rPr>
          <w:rFonts w:asciiTheme="minorHAnsi" w:hAnsiTheme="minorHAnsi"/>
          <w:sz w:val="20"/>
          <w:szCs w:val="20"/>
        </w:rPr>
      </w:pPr>
    </w:p>
    <w:p w:rsidR="00F1792A" w:rsidRDefault="00F1792A" w:rsidP="00F1792A">
      <w:pPr>
        <w:spacing w:after="0"/>
        <w:jc w:val="both"/>
        <w:rPr>
          <w:rFonts w:asciiTheme="minorHAnsi" w:hAnsiTheme="minorHAnsi"/>
          <w:sz w:val="20"/>
          <w:szCs w:val="20"/>
        </w:rPr>
      </w:pPr>
      <w:r w:rsidRPr="00361664">
        <w:rPr>
          <w:rFonts w:asciiTheme="minorHAnsi" w:hAnsiTheme="minorHAnsi"/>
          <w:sz w:val="20"/>
          <w:szCs w:val="20"/>
        </w:rPr>
        <w:t xml:space="preserve">Na temelju analize dosadašnjih rezultata, iskustava, barijera i ograničenja s kojima se susreće javni sektor i pružatelji usluga u provedbi energetske obnove kroz provođenje Programa energetske obnove zgrada javnog sektora za razdoblje 2014. - 2015., te iskustava stečenih u provedbi Pilot projekta „Energetska obnova zgrada i korištenje obnovljivih izvora energije u javnim ustanovama koje obavljaju djelatnost odgoja i obrazovanja“ i „Izrada projektne dokumentacije za energetsku obnovu zgrada i korištenje obnovljivih izvora energije u javnim ustanovama koje obavljaju djelatnost odgoja i obrazovanja“, razrađen je model za nastavak Programa </w:t>
      </w:r>
      <w:r w:rsidRPr="00361664">
        <w:rPr>
          <w:rFonts w:asciiTheme="minorHAnsi" w:hAnsiTheme="minorHAnsi"/>
          <w:sz w:val="20"/>
          <w:szCs w:val="20"/>
        </w:rPr>
        <w:lastRenderedPageBreak/>
        <w:t>energetske obnove zgrada javnog sektora za razdoblje 2016. - 2020. uz maksimalno angažiranje sredstava iz ESI fondova.</w:t>
      </w:r>
    </w:p>
    <w:p w:rsidR="009E557D" w:rsidRPr="00361664" w:rsidRDefault="009E557D" w:rsidP="00F1792A">
      <w:pPr>
        <w:spacing w:after="0"/>
        <w:jc w:val="both"/>
        <w:rPr>
          <w:rFonts w:asciiTheme="minorHAnsi" w:hAnsiTheme="minorHAnsi"/>
          <w:sz w:val="20"/>
          <w:szCs w:val="20"/>
        </w:rPr>
      </w:pPr>
    </w:p>
    <w:p w:rsidR="00F1792A" w:rsidRPr="00361664" w:rsidRDefault="00F1792A" w:rsidP="00F1792A">
      <w:pPr>
        <w:spacing w:after="0"/>
        <w:jc w:val="both"/>
        <w:rPr>
          <w:rFonts w:asciiTheme="minorHAnsi" w:hAnsiTheme="minorHAnsi"/>
          <w:sz w:val="20"/>
          <w:szCs w:val="20"/>
        </w:rPr>
      </w:pPr>
      <w:r w:rsidRPr="00361664">
        <w:rPr>
          <w:rFonts w:asciiTheme="minorHAnsi" w:hAnsiTheme="minorHAnsi"/>
          <w:sz w:val="20"/>
          <w:szCs w:val="20"/>
        </w:rPr>
        <w:t>Prema analiziranim scenarijima koji nisu međusobno isključivi predviđa se rast intenziteta energetske obnove zgrada na 327.000 do 473.000 m² s očekivanim kumulativnim uštedama u primarnoj energiji od 394 do 552 GWh do 2020. godine. Detaljan opis programa nalazi se u mjeri P.2.</w:t>
      </w:r>
    </w:p>
    <w:p w:rsidR="00F3498F" w:rsidRPr="00361664" w:rsidRDefault="00F3498F" w:rsidP="00F1792A">
      <w:pPr>
        <w:spacing w:after="0"/>
        <w:jc w:val="both"/>
        <w:rPr>
          <w:rFonts w:asciiTheme="minorHAnsi" w:hAnsiTheme="minorHAnsi"/>
          <w:sz w:val="20"/>
          <w:szCs w:val="20"/>
        </w:rPr>
      </w:pPr>
    </w:p>
    <w:p w:rsidR="00944F9E" w:rsidRPr="00361664" w:rsidRDefault="003412CD" w:rsidP="008A4E53">
      <w:pPr>
        <w:pStyle w:val="Naslov3"/>
        <w:rPr>
          <w:rStyle w:val="Jakoisticanje"/>
          <w:b/>
          <w:bCs w:val="0"/>
          <w:i/>
          <w:iCs w:val="0"/>
          <w:color w:val="375F91"/>
          <w:lang w:val="hr-HR"/>
        </w:rPr>
      </w:pPr>
      <w:bookmarkStart w:id="27" w:name="_Toc535245848"/>
      <w:r w:rsidRPr="00361664">
        <w:rPr>
          <w:rStyle w:val="Jakoisticanje"/>
          <w:b/>
          <w:bCs w:val="0"/>
          <w:i/>
          <w:iCs w:val="0"/>
          <w:color w:val="375F91"/>
          <w:lang w:val="hr-HR"/>
        </w:rPr>
        <w:t>Ostale m</w:t>
      </w:r>
      <w:r w:rsidR="004E4418" w:rsidRPr="00361664">
        <w:rPr>
          <w:rStyle w:val="Jakoisticanje"/>
          <w:b/>
          <w:bCs w:val="0"/>
          <w:i/>
          <w:iCs w:val="0"/>
          <w:color w:val="375F91"/>
          <w:lang w:val="hr-HR"/>
        </w:rPr>
        <w:t>jere energetske učinkovitosti horizontalne naravi č</w:t>
      </w:r>
      <w:r w:rsidRPr="00361664">
        <w:rPr>
          <w:rStyle w:val="Jakoisticanje"/>
          <w:b/>
          <w:bCs w:val="0"/>
          <w:i/>
          <w:iCs w:val="0"/>
          <w:color w:val="375F91"/>
          <w:lang w:val="hr-HR"/>
        </w:rPr>
        <w:t>lanci 19</w:t>
      </w:r>
      <w:r w:rsidR="004E4418" w:rsidRPr="00361664">
        <w:rPr>
          <w:rStyle w:val="Jakoisticanje"/>
          <w:b/>
          <w:bCs w:val="0"/>
          <w:i/>
          <w:iCs w:val="0"/>
          <w:color w:val="375F91"/>
          <w:lang w:val="hr-HR"/>
        </w:rPr>
        <w:t>.</w:t>
      </w:r>
      <w:r w:rsidRPr="00361664">
        <w:rPr>
          <w:rStyle w:val="Jakoisticanje"/>
          <w:b/>
          <w:bCs w:val="0"/>
          <w:i/>
          <w:iCs w:val="0"/>
          <w:color w:val="375F91"/>
          <w:lang w:val="hr-HR"/>
        </w:rPr>
        <w:t xml:space="preserve"> i</w:t>
      </w:r>
      <w:r w:rsidR="00944F9E" w:rsidRPr="00361664">
        <w:rPr>
          <w:rStyle w:val="Jakoisticanje"/>
          <w:b/>
          <w:bCs w:val="0"/>
          <w:i/>
          <w:iCs w:val="0"/>
          <w:color w:val="375F91"/>
          <w:lang w:val="hr-HR"/>
        </w:rPr>
        <w:t xml:space="preserve"> 20</w:t>
      </w:r>
      <w:r w:rsidR="004E4418" w:rsidRPr="00361664">
        <w:rPr>
          <w:rStyle w:val="Jakoisticanje"/>
          <w:b/>
          <w:bCs w:val="0"/>
          <w:i/>
          <w:iCs w:val="0"/>
          <w:color w:val="375F91"/>
          <w:lang w:val="hr-HR"/>
        </w:rPr>
        <w:t>. DEU-a</w:t>
      </w:r>
      <w:r w:rsidR="00944F9E" w:rsidRPr="00361664">
        <w:rPr>
          <w:rStyle w:val="Jakoisticanje"/>
          <w:b/>
          <w:bCs w:val="0"/>
          <w:i/>
          <w:iCs w:val="0"/>
          <w:color w:val="375F91"/>
          <w:lang w:val="hr-HR"/>
        </w:rPr>
        <w:t>)</w:t>
      </w:r>
      <w:bookmarkEnd w:id="27"/>
    </w:p>
    <w:p w:rsidR="004D608F" w:rsidRPr="00361664" w:rsidRDefault="004D608F" w:rsidP="00651BCA">
      <w:pPr>
        <w:jc w:val="both"/>
        <w:rPr>
          <w:rFonts w:asciiTheme="minorHAnsi" w:hAnsiTheme="minorHAnsi"/>
          <w:sz w:val="20"/>
          <w:szCs w:val="20"/>
        </w:rPr>
      </w:pPr>
      <w:r w:rsidRPr="00361664">
        <w:rPr>
          <w:rFonts w:asciiTheme="minorHAnsi" w:hAnsiTheme="minorHAnsi"/>
          <w:sz w:val="20"/>
          <w:szCs w:val="20"/>
        </w:rPr>
        <w:t>Kao regulatorna prepreka provedbi energetske obnove višestambenih zgrada pokazuju se odredbe Zakona o vlasništvu, iz čijih odredbi proizlazi da je za obnovu zgrada potrebna suglasnost svih stanara (100% suglasnost). Takvo uređenje onemogućuje provedbu mjera energetske učinkovitosti, posebno za velike zgrade kod k</w:t>
      </w:r>
      <w:r w:rsidR="00052F2F" w:rsidRPr="00361664">
        <w:rPr>
          <w:rFonts w:asciiTheme="minorHAnsi" w:hAnsiTheme="minorHAnsi"/>
          <w:sz w:val="20"/>
          <w:szCs w:val="20"/>
        </w:rPr>
        <w:t xml:space="preserve">ojih je potencijal </w:t>
      </w:r>
      <w:r w:rsidRPr="00361664">
        <w:rPr>
          <w:rFonts w:asciiTheme="minorHAnsi" w:hAnsiTheme="minorHAnsi"/>
          <w:sz w:val="20"/>
          <w:szCs w:val="20"/>
        </w:rPr>
        <w:t xml:space="preserve">najveći. Razvojem </w:t>
      </w:r>
      <w:r w:rsidR="00052F2F" w:rsidRPr="00361664">
        <w:rPr>
          <w:rFonts w:asciiTheme="minorHAnsi" w:hAnsiTheme="minorHAnsi"/>
          <w:sz w:val="20"/>
          <w:szCs w:val="20"/>
        </w:rPr>
        <w:t>zakonskih odredbi za</w:t>
      </w:r>
      <w:r w:rsidRPr="00361664">
        <w:rPr>
          <w:rFonts w:asciiTheme="minorHAnsi" w:hAnsiTheme="minorHAnsi"/>
          <w:sz w:val="20"/>
          <w:szCs w:val="20"/>
        </w:rPr>
        <w:t xml:space="preserve"> energetske usluge i promjenama u Zakonu o vlasništvu planira se poboljšati regulatorni okvir za ostvarenje navedenih mjera.</w:t>
      </w:r>
    </w:p>
    <w:p w:rsidR="004D608F" w:rsidRPr="00361664" w:rsidRDefault="004D608F" w:rsidP="00651BCA">
      <w:pPr>
        <w:spacing w:before="120" w:after="120"/>
        <w:jc w:val="both"/>
        <w:rPr>
          <w:sz w:val="20"/>
          <w:szCs w:val="20"/>
        </w:rPr>
      </w:pPr>
      <w:r w:rsidRPr="00361664">
        <w:rPr>
          <w:sz w:val="20"/>
          <w:szCs w:val="20"/>
        </w:rPr>
        <w:t>Fond za zaštitu okoliša i energetsku učinkovitost (</w:t>
      </w:r>
      <w:r w:rsidRPr="00361664">
        <w:rPr>
          <w:i/>
          <w:sz w:val="20"/>
          <w:szCs w:val="20"/>
        </w:rPr>
        <w:t>u daljnjem tekstu: FZOEU</w:t>
      </w:r>
      <w:r w:rsidRPr="00361664">
        <w:rPr>
          <w:sz w:val="20"/>
          <w:szCs w:val="20"/>
        </w:rPr>
        <w:t>) osnovan je Zakonom o Fondu (</w:t>
      </w:r>
      <w:r w:rsidR="00052F2F" w:rsidRPr="00361664">
        <w:rPr>
          <w:sz w:val="20"/>
          <w:szCs w:val="20"/>
        </w:rPr>
        <w:t>NN</w:t>
      </w:r>
      <w:r w:rsidRPr="00361664">
        <w:rPr>
          <w:sz w:val="20"/>
          <w:szCs w:val="20"/>
        </w:rPr>
        <w:t xml:space="preserve"> 107/03, 144/12)</w:t>
      </w:r>
      <w:r w:rsidR="00052F2F" w:rsidRPr="00361664">
        <w:rPr>
          <w:sz w:val="20"/>
          <w:szCs w:val="20"/>
        </w:rPr>
        <w:t xml:space="preserve"> 2003.</w:t>
      </w:r>
      <w:r w:rsidR="00286490" w:rsidRPr="00361664">
        <w:rPr>
          <w:sz w:val="20"/>
          <w:szCs w:val="20"/>
        </w:rPr>
        <w:t xml:space="preserve">godine </w:t>
      </w:r>
      <w:r w:rsidRPr="00361664">
        <w:rPr>
          <w:sz w:val="20"/>
          <w:szCs w:val="20"/>
        </w:rPr>
        <w:t>kao izvanproračunski fond u svojstvu pravne osobe s javnim ovlastima, s ciljem prikupljanja namjenskih prihoda za financiranje pripreme, provedbe i razvoja programa i projekata i sličnih aktivnosti u području očuvanja, održivog korištenja, zaštite i unaprjeđivanja okoliša, sudjelovanja u financiranju nacionalnih energetskih programa imajući u vidu poboljšanje energetske učinkovitosti i povećanje korištenja obnovljivih izvora energije te organiziranja i provođenja sustava gospodarenja posebnim kategorijama otpada.</w:t>
      </w:r>
    </w:p>
    <w:p w:rsidR="004D608F" w:rsidRPr="00361664" w:rsidRDefault="000469EB" w:rsidP="00651BCA">
      <w:pPr>
        <w:tabs>
          <w:tab w:val="left" w:pos="5954"/>
        </w:tabs>
        <w:spacing w:before="120" w:after="120"/>
        <w:jc w:val="both"/>
        <w:rPr>
          <w:sz w:val="20"/>
          <w:szCs w:val="20"/>
        </w:rPr>
      </w:pPr>
      <w:r w:rsidRPr="00361664">
        <w:rPr>
          <w:sz w:val="20"/>
          <w:szCs w:val="20"/>
        </w:rPr>
        <w:t xml:space="preserve">FZOEU je </w:t>
      </w:r>
      <w:r w:rsidR="00052F2F" w:rsidRPr="00361664">
        <w:rPr>
          <w:sz w:val="20"/>
          <w:szCs w:val="20"/>
        </w:rPr>
        <w:t xml:space="preserve">nacionalni Fond, čije osnivanje je predloženo u članku 20. </w:t>
      </w:r>
      <w:r w:rsidR="004E30E5" w:rsidRPr="00361664">
        <w:rPr>
          <w:sz w:val="20"/>
          <w:szCs w:val="20"/>
        </w:rPr>
        <w:t>DEU-a</w:t>
      </w:r>
      <w:r w:rsidR="00052F2F" w:rsidRPr="00361664">
        <w:rPr>
          <w:sz w:val="20"/>
          <w:szCs w:val="20"/>
        </w:rPr>
        <w:t>, a zadužen je</w:t>
      </w:r>
      <w:r w:rsidR="003D3D0D" w:rsidRPr="00361664">
        <w:rPr>
          <w:sz w:val="20"/>
          <w:szCs w:val="20"/>
        </w:rPr>
        <w:t xml:space="preserve"> za </w:t>
      </w:r>
      <w:r w:rsidRPr="00361664">
        <w:rPr>
          <w:sz w:val="20"/>
          <w:szCs w:val="20"/>
        </w:rPr>
        <w:t xml:space="preserve">financiranje </w:t>
      </w:r>
      <w:r w:rsidR="004D608F" w:rsidRPr="00361664">
        <w:rPr>
          <w:sz w:val="20"/>
          <w:szCs w:val="20"/>
        </w:rPr>
        <w:t>provedb</w:t>
      </w:r>
      <w:r w:rsidRPr="00361664">
        <w:rPr>
          <w:sz w:val="20"/>
          <w:szCs w:val="20"/>
        </w:rPr>
        <w:t>e</w:t>
      </w:r>
      <w:r w:rsidR="004D608F" w:rsidRPr="00361664">
        <w:rPr>
          <w:sz w:val="20"/>
          <w:szCs w:val="20"/>
        </w:rPr>
        <w:t xml:space="preserve"> energetske politike Vlade Republike Hrvatske u dijelu poboljšanja energetske učinkovitosti i povećanja korištenja obnovljivih izvora energije. Pri tome Fond programe i projekte energetske učinkovitosti sufinancira u skladu sa Strategijom energetskog razvoja Republike Hrvatske (</w:t>
      </w:r>
      <w:r w:rsidR="003D3D0D" w:rsidRPr="00361664">
        <w:rPr>
          <w:sz w:val="20"/>
          <w:szCs w:val="20"/>
        </w:rPr>
        <w:t>NN</w:t>
      </w:r>
      <w:r w:rsidR="004D608F" w:rsidRPr="00361664">
        <w:rPr>
          <w:sz w:val="20"/>
          <w:szCs w:val="20"/>
        </w:rPr>
        <w:t xml:space="preserve"> 130/09), Nacionalnim programom energetske učinkovitosti za razdoblje 2008.-2016., nacionalnim akcijskim planovima energetske učinkovitosti, kao i ostalim programima koji proizlaze iz navedenih strateških dokumenata, a koje donose nadležna ministarstva iz područja energetike, graditeljstva, zaštite okoliša i prometa.</w:t>
      </w:r>
      <w:r w:rsidR="00BA231B" w:rsidRPr="00361664">
        <w:rPr>
          <w:sz w:val="20"/>
          <w:szCs w:val="20"/>
        </w:rPr>
        <w:t>.</w:t>
      </w:r>
    </w:p>
    <w:p w:rsidR="00141287" w:rsidRPr="00361664" w:rsidRDefault="00141287" w:rsidP="00141287">
      <w:pPr>
        <w:tabs>
          <w:tab w:val="left" w:pos="5954"/>
        </w:tabs>
        <w:spacing w:before="120" w:after="120"/>
        <w:jc w:val="both"/>
        <w:rPr>
          <w:sz w:val="20"/>
          <w:szCs w:val="20"/>
        </w:rPr>
      </w:pPr>
      <w:r w:rsidRPr="00361664">
        <w:rPr>
          <w:sz w:val="20"/>
          <w:szCs w:val="20"/>
        </w:rPr>
        <w:t xml:space="preserve">U skladu sa Zakonom o energetskoj učinkovitosti (NN 127/14) FZOEU za svoje djelatnosti koristi sredstva dobivena od prodaje emisijskih jedinica putem dražbi. FZOEU navedena sredstva koristi za sufinanciranja utvrđena Planom korištenja sredstava. Naime, Republika Hrvatska je danom pristupanja Europskoj uniji stekla pravo uključivanja u centralnu dražbovnu platformu radi prodaje emisijskih jedinica stakleničkih plinova putem dražbi u okviru sustava trgovanja emisijskim jedinicama stakleničkih plinova EU. Temeljem članka 99. stavka 4. Zakona o Zaštiti zraka, Vlada Republike Hrvatske donijela je Odluku o dražbovatelju za obavljanje poslova dražbe emisijskih jedinica i izboru dražbenog sustava (NN 84/14). Odlukom je utvrđeno da se Republika Hrvatska od 1.siječnja 2013. godine priključila na europski sustav trgovanja emisijskim jedinicama stakleničkih plinova te da se kao dražbeni sustav za provođenje dražbe koristi zajednička dražbena platforma EU. Istom Odlukom Fond je imenovan kao dražbovatelj koji u ime Republike Hrvatske obavlja poslove dražbe emisijskih jedinica stakleničkih plinova. </w:t>
      </w:r>
    </w:p>
    <w:p w:rsidR="00C9421B" w:rsidRPr="00361664" w:rsidRDefault="00141287" w:rsidP="00141287">
      <w:pPr>
        <w:tabs>
          <w:tab w:val="left" w:pos="5954"/>
        </w:tabs>
        <w:spacing w:before="120" w:after="120"/>
        <w:jc w:val="both"/>
        <w:rPr>
          <w:sz w:val="20"/>
          <w:szCs w:val="20"/>
        </w:rPr>
      </w:pPr>
      <w:r w:rsidRPr="00361664">
        <w:rPr>
          <w:sz w:val="20"/>
          <w:szCs w:val="20"/>
        </w:rPr>
        <w:t xml:space="preserve">Odredbama Zakona o zaštiti zraka propisano je da se financijska sredstva ostvarena prodajom emisijskih jedinica na dražbi koriste strogo namjenski u skladu s planom korištenja financijskih sredstava dobivenih od prodaje emisijskih jedinica putem dražbe (dalje u tekstu: Plan alokacije) kojeg donosi Vlada Republike Hrvatske na prijedlog MZOE. Plan alokacije sredstava razrađuje se prema prioritetnim područjima, sukladno namjenama korištenja raspoloživih sredstava predviđenih Zakonom. Sljedećim Planom alokacije utvrdit će se namjena korištenja sredstava ostvarenih prodajom emisijskih jedinica na dražbi za razdoblje 2017. – 2020.  </w:t>
      </w:r>
      <w:r w:rsidR="00F1792A" w:rsidRPr="00361664">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192C57" w:rsidRPr="00361664" w:rsidTr="00E169B5">
        <w:trPr>
          <w:trHeight w:val="20"/>
        </w:trPr>
        <w:tc>
          <w:tcPr>
            <w:tcW w:w="1476" w:type="pct"/>
            <w:gridSpan w:val="2"/>
            <w:shd w:val="clear" w:color="auto" w:fill="CCFFCC"/>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b/>
                <w:sz w:val="20"/>
                <w:szCs w:val="22"/>
                <w:lang w:val="hr-HR"/>
              </w:rPr>
            </w:pPr>
            <w:r w:rsidRPr="00361664">
              <w:rPr>
                <w:rFonts w:asciiTheme="minorHAnsi" w:hAnsiTheme="minorHAnsi" w:cstheme="minorHAnsi"/>
                <w:b/>
                <w:sz w:val="20"/>
                <w:szCs w:val="22"/>
                <w:lang w:val="hr-HR"/>
              </w:rPr>
              <w:lastRenderedPageBreak/>
              <w:t xml:space="preserve">Naziv mjere </w:t>
            </w:r>
          </w:p>
        </w:tc>
        <w:tc>
          <w:tcPr>
            <w:tcW w:w="3524" w:type="pct"/>
            <w:shd w:val="clear" w:color="auto" w:fill="CCFFCC"/>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b/>
                <w:sz w:val="20"/>
                <w:szCs w:val="22"/>
                <w:lang w:val="hr-HR"/>
              </w:rPr>
            </w:pPr>
            <w:r w:rsidRPr="00361664">
              <w:rPr>
                <w:rFonts w:asciiTheme="minorHAnsi" w:hAnsiTheme="minorHAnsi" w:cstheme="minorHAnsi"/>
                <w:b/>
                <w:iCs/>
                <w:sz w:val="20"/>
                <w:szCs w:val="22"/>
                <w:lang w:val="hr-HR"/>
              </w:rPr>
              <w:t>Program za suzbijanje energetskog siromaštva</w:t>
            </w:r>
          </w:p>
        </w:tc>
      </w:tr>
      <w:tr w:rsidR="00192C57" w:rsidRPr="00361664" w:rsidTr="00E169B5">
        <w:trPr>
          <w:trHeight w:val="20"/>
        </w:trPr>
        <w:tc>
          <w:tcPr>
            <w:tcW w:w="1476" w:type="pct"/>
            <w:gridSpan w:val="2"/>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Indeks mjere</w:t>
            </w:r>
          </w:p>
        </w:tc>
        <w:tc>
          <w:tcPr>
            <w:tcW w:w="3524" w:type="pct"/>
          </w:tcPr>
          <w:p w:rsidR="00EE6A0A" w:rsidRPr="00361664" w:rsidRDefault="00C745B5"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H</w:t>
            </w:r>
            <w:r w:rsidR="00EE6A0A" w:rsidRPr="00361664">
              <w:rPr>
                <w:rFonts w:asciiTheme="minorHAnsi" w:hAnsiTheme="minorHAnsi" w:cstheme="minorHAnsi"/>
                <w:sz w:val="20"/>
                <w:szCs w:val="22"/>
                <w:lang w:val="hr-HR"/>
              </w:rPr>
              <w:t>.5</w:t>
            </w:r>
          </w:p>
        </w:tc>
      </w:tr>
      <w:tr w:rsidR="00192C57" w:rsidRPr="00361664" w:rsidTr="00E169B5">
        <w:trPr>
          <w:trHeight w:val="20"/>
        </w:trPr>
        <w:tc>
          <w:tcPr>
            <w:tcW w:w="654" w:type="pct"/>
            <w:vMerge w:val="restar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Opis</w:t>
            </w: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Kategorija</w:t>
            </w:r>
          </w:p>
        </w:tc>
        <w:tc>
          <w:tcPr>
            <w:tcW w:w="3524"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Financijski instrumenti</w:t>
            </w:r>
          </w:p>
        </w:tc>
      </w:tr>
      <w:tr w:rsidR="00192C57" w:rsidRPr="00361664" w:rsidTr="00E169B5">
        <w:trPr>
          <w:trHeight w:val="20"/>
        </w:trPr>
        <w:tc>
          <w:tcPr>
            <w:tcW w:w="654" w:type="pct"/>
            <w:vMerge/>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Vremenski okvir</w:t>
            </w:r>
          </w:p>
        </w:tc>
        <w:tc>
          <w:tcPr>
            <w:tcW w:w="3524" w:type="pct"/>
            <w:vAlign w:val="center"/>
          </w:tcPr>
          <w:p w:rsidR="00192C57" w:rsidRPr="00361664" w:rsidRDefault="00192C57" w:rsidP="00651BCA">
            <w:pPr>
              <w:spacing w:after="0" w:line="240" w:lineRule="auto"/>
              <w:jc w:val="both"/>
              <w:rPr>
                <w:rFonts w:cstheme="minorHAnsi"/>
                <w:sz w:val="20"/>
              </w:rPr>
            </w:pPr>
            <w:r w:rsidRPr="00361664">
              <w:rPr>
                <w:rFonts w:cstheme="minorHAnsi"/>
                <w:sz w:val="20"/>
              </w:rPr>
              <w:t>Trajanje mjere: 1.1.2017.</w:t>
            </w:r>
            <w:r w:rsidR="00286490" w:rsidRPr="00361664">
              <w:rPr>
                <w:rFonts w:cstheme="minorHAnsi"/>
                <w:sz w:val="20"/>
              </w:rPr>
              <w:t xml:space="preserve"> - </w:t>
            </w:r>
            <w:r w:rsidRPr="00361664">
              <w:rPr>
                <w:rFonts w:cstheme="minorHAnsi"/>
                <w:sz w:val="20"/>
              </w:rPr>
              <w:t>31.12.2026.</w:t>
            </w:r>
          </w:p>
          <w:p w:rsidR="00192C57" w:rsidRPr="00361664" w:rsidRDefault="00192C57" w:rsidP="00651BCA">
            <w:pPr>
              <w:spacing w:after="0" w:line="240" w:lineRule="auto"/>
              <w:jc w:val="both"/>
              <w:rPr>
                <w:rFonts w:cstheme="minorHAnsi"/>
                <w:sz w:val="20"/>
              </w:rPr>
            </w:pPr>
          </w:p>
          <w:p w:rsidR="00192C57" w:rsidRPr="00361664" w:rsidRDefault="00192C57" w:rsidP="00651BCA">
            <w:pPr>
              <w:spacing w:after="0" w:line="240" w:lineRule="auto"/>
              <w:jc w:val="both"/>
              <w:rPr>
                <w:rFonts w:cstheme="minorHAnsi"/>
                <w:sz w:val="20"/>
              </w:rPr>
            </w:pPr>
            <w:r w:rsidRPr="00361664">
              <w:rPr>
                <w:rFonts w:cstheme="minorHAnsi"/>
                <w:sz w:val="20"/>
              </w:rPr>
              <w:t>1. Međurazdoblje: 1.1.2017.-31.12.2018.</w:t>
            </w:r>
          </w:p>
          <w:p w:rsidR="00192C57" w:rsidRPr="00361664" w:rsidRDefault="00192C57" w:rsidP="00651BCA">
            <w:pPr>
              <w:spacing w:after="0" w:line="240" w:lineRule="auto"/>
              <w:jc w:val="both"/>
              <w:rPr>
                <w:rFonts w:cstheme="minorHAnsi"/>
                <w:sz w:val="20"/>
              </w:rPr>
            </w:pPr>
            <w:r w:rsidRPr="00361664">
              <w:rPr>
                <w:rFonts w:cstheme="minorHAnsi"/>
                <w:sz w:val="20"/>
              </w:rPr>
              <w:t>2. Međurazdoblje: 1.1.2019.-31.12.2020.</w:t>
            </w:r>
          </w:p>
          <w:p w:rsidR="00192C57" w:rsidRPr="00361664" w:rsidRDefault="00192C57" w:rsidP="00651BCA">
            <w:pPr>
              <w:spacing w:after="0" w:line="240" w:lineRule="auto"/>
              <w:jc w:val="both"/>
              <w:rPr>
                <w:rFonts w:cstheme="minorHAnsi"/>
                <w:sz w:val="20"/>
              </w:rPr>
            </w:pPr>
            <w:r w:rsidRPr="00361664">
              <w:rPr>
                <w:rFonts w:cstheme="minorHAnsi"/>
                <w:sz w:val="20"/>
              </w:rPr>
              <w:t>3. Međurazdoblje: 1.1.2020.-31.12.2026.</w:t>
            </w:r>
          </w:p>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Kraj: 2026.</w:t>
            </w:r>
          </w:p>
        </w:tc>
      </w:tr>
      <w:tr w:rsidR="00192C57" w:rsidRPr="00361664" w:rsidTr="00E169B5">
        <w:trPr>
          <w:trHeight w:val="20"/>
        </w:trPr>
        <w:tc>
          <w:tcPr>
            <w:tcW w:w="654" w:type="pct"/>
            <w:vMerge/>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Cilj / kratak opis</w:t>
            </w:r>
          </w:p>
        </w:tc>
        <w:tc>
          <w:tcPr>
            <w:tcW w:w="3524" w:type="pct"/>
            <w:vAlign w:val="center"/>
          </w:tcPr>
          <w:p w:rsidR="00192C57" w:rsidRPr="00361664" w:rsidRDefault="00192C57" w:rsidP="00651BCA">
            <w:pPr>
              <w:spacing w:after="0" w:line="240" w:lineRule="auto"/>
              <w:jc w:val="both"/>
              <w:rPr>
                <w:rFonts w:cstheme="minorHAnsi"/>
                <w:sz w:val="20"/>
              </w:rPr>
            </w:pPr>
            <w:r w:rsidRPr="00361664">
              <w:rPr>
                <w:rFonts w:cstheme="minorHAnsi"/>
                <w:sz w:val="20"/>
              </w:rPr>
              <w:t>Ovom se mjerom predviđa osmišljavanje i pokretanje sustavnog programa borbe protiv energetskog siromaštva kroz provođenje mjera energetske učinkovitosti. Kroz Program će se utvrditi lista raspoloživih mjera i stope sufinanciranja pojedinih mjera. Preduvjet za sudjelovanje u programu sufinanciranja je stjecanje statusa ugroženog kupca energijom sukladno zakonskoj regulativi koja je na snazi u trenutku provođenja pojedine mjere. Specifični cilj mjere je uspostava sustava kojim bi se ugroženim kupcima energije omogućilo poboljšanje povećanje energetske učinkovitosti na razini kućanstva uz istovremeno poboljšanje uvjeta stanovanja. Programom će se odrediti kriteriji po kojima će se utvrđivati lista prioriteta za provedbu pojedinih mjera energetske učinkovitosti, a mjera uključuje sljedeće komponente:</w:t>
            </w:r>
          </w:p>
          <w:p w:rsidR="00192C57" w:rsidRPr="00361664" w:rsidRDefault="00192C57" w:rsidP="00CD00FF">
            <w:pPr>
              <w:pStyle w:val="Odlomakpopisa"/>
              <w:numPr>
                <w:ilvl w:val="0"/>
                <w:numId w:val="18"/>
              </w:numPr>
              <w:spacing w:after="0" w:line="240" w:lineRule="auto"/>
              <w:jc w:val="both"/>
              <w:rPr>
                <w:rFonts w:asciiTheme="minorHAnsi" w:hAnsiTheme="minorHAnsi" w:cstheme="minorHAnsi"/>
                <w:sz w:val="20"/>
              </w:rPr>
            </w:pPr>
            <w:r w:rsidRPr="00361664">
              <w:rPr>
                <w:rFonts w:asciiTheme="minorHAnsi" w:hAnsiTheme="minorHAnsi" w:cstheme="minorHAnsi"/>
                <w:sz w:val="20"/>
              </w:rPr>
              <w:t>Zamjena kućanskih uređaja po sistemu „staro za novo“</w:t>
            </w:r>
          </w:p>
          <w:p w:rsidR="00192C57" w:rsidRPr="00361664" w:rsidRDefault="00192C57" w:rsidP="00CD00FF">
            <w:pPr>
              <w:pStyle w:val="Odlomakpopisa"/>
              <w:numPr>
                <w:ilvl w:val="0"/>
                <w:numId w:val="18"/>
              </w:numPr>
              <w:spacing w:after="0" w:line="240" w:lineRule="auto"/>
              <w:jc w:val="both"/>
              <w:rPr>
                <w:rFonts w:asciiTheme="minorHAnsi" w:hAnsiTheme="minorHAnsi" w:cstheme="minorHAnsi"/>
                <w:sz w:val="20"/>
              </w:rPr>
            </w:pPr>
            <w:r w:rsidRPr="00361664">
              <w:rPr>
                <w:rFonts w:asciiTheme="minorHAnsi" w:hAnsiTheme="minorHAnsi" w:cstheme="minorHAnsi"/>
                <w:sz w:val="20"/>
              </w:rPr>
              <w:t>Unaprjeđenje ili zamjena sustava grijanja</w:t>
            </w:r>
            <w:r w:rsidR="008E3878" w:rsidRPr="00361664">
              <w:rPr>
                <w:rFonts w:asciiTheme="minorHAnsi" w:hAnsiTheme="minorHAnsi" w:cstheme="minorHAnsi"/>
                <w:sz w:val="20"/>
              </w:rPr>
              <w:t xml:space="preserve"> (poboljšanja učinkovitosti sustava grijanja i zamjene energenata (naročito električne energije i loživog ulja) okolišno, ekonomski i energetski povoljnijima, a poglavito sustavima koji koriste obnovljive izvore energije</w:t>
            </w:r>
          </w:p>
          <w:p w:rsidR="00192C57" w:rsidRPr="00361664" w:rsidRDefault="00192C57" w:rsidP="00CD00FF">
            <w:pPr>
              <w:pStyle w:val="Odlomakpopisa"/>
              <w:numPr>
                <w:ilvl w:val="0"/>
                <w:numId w:val="18"/>
              </w:numPr>
              <w:spacing w:after="0" w:line="240" w:lineRule="auto"/>
              <w:jc w:val="both"/>
              <w:rPr>
                <w:rFonts w:asciiTheme="minorHAnsi" w:eastAsia="Times New Roman" w:hAnsiTheme="minorHAnsi" w:cstheme="minorHAnsi"/>
                <w:sz w:val="20"/>
              </w:rPr>
            </w:pPr>
            <w:r w:rsidRPr="00361664">
              <w:rPr>
                <w:rFonts w:asciiTheme="minorHAnsi" w:hAnsiTheme="minorHAnsi" w:cstheme="minorHAnsi"/>
                <w:sz w:val="20"/>
              </w:rPr>
              <w:t>Jednostavne mjere energetske učinkovitosti</w:t>
            </w:r>
          </w:p>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Kroz mjeru će se uspostaviti i sustav praćenja socio-demografskih i energetskih pokazatelja kojima se opisuje energetsko siromaštvo na nacionalnoj razini, kroz već postojeći sustav prikupljanja podataka o potrošnji i navikama kućanstava (Državni zavod za statistiku), te će se u Programu razraditi moguće proširenje kriterija za stjecanje statusa ugroženih kupaca energije.</w:t>
            </w:r>
          </w:p>
        </w:tc>
      </w:tr>
      <w:tr w:rsidR="00192C57" w:rsidRPr="00361664" w:rsidTr="00E169B5">
        <w:trPr>
          <w:trHeight w:val="20"/>
        </w:trPr>
        <w:tc>
          <w:tcPr>
            <w:tcW w:w="654" w:type="pct"/>
            <w:vMerge/>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Ciljna neposredna potrošnja</w:t>
            </w:r>
          </w:p>
        </w:tc>
        <w:tc>
          <w:tcPr>
            <w:tcW w:w="3524"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Sektor kućanstava</w:t>
            </w:r>
          </w:p>
        </w:tc>
      </w:tr>
      <w:tr w:rsidR="00192C57" w:rsidRPr="00361664" w:rsidTr="00E169B5">
        <w:trPr>
          <w:trHeight w:val="20"/>
        </w:trPr>
        <w:tc>
          <w:tcPr>
            <w:tcW w:w="654" w:type="pct"/>
            <w:vMerge/>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Ciljna skupina</w:t>
            </w:r>
          </w:p>
        </w:tc>
        <w:tc>
          <w:tcPr>
            <w:tcW w:w="3524"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Ugroženi kupci energije</w:t>
            </w:r>
          </w:p>
        </w:tc>
      </w:tr>
      <w:tr w:rsidR="00192C57" w:rsidRPr="00361664" w:rsidTr="00E169B5">
        <w:trPr>
          <w:trHeight w:val="20"/>
        </w:trPr>
        <w:tc>
          <w:tcPr>
            <w:tcW w:w="654" w:type="pct"/>
            <w:vMerge/>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Regionalna primjena</w:t>
            </w:r>
          </w:p>
        </w:tc>
        <w:tc>
          <w:tcPr>
            <w:tcW w:w="3524"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Nacionalno</w:t>
            </w:r>
          </w:p>
        </w:tc>
      </w:tr>
      <w:tr w:rsidR="00192C57" w:rsidRPr="00361664" w:rsidTr="00E169B5">
        <w:trPr>
          <w:trHeight w:val="20"/>
        </w:trPr>
        <w:tc>
          <w:tcPr>
            <w:tcW w:w="654"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Informacije o  provedbi</w:t>
            </w: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Popis i opis aktivnosti za provođenje mjere </w:t>
            </w:r>
          </w:p>
        </w:tc>
        <w:tc>
          <w:tcPr>
            <w:tcW w:w="3524" w:type="pct"/>
            <w:vAlign w:val="center"/>
          </w:tcPr>
          <w:p w:rsidR="00192C57" w:rsidRPr="00361664" w:rsidRDefault="00192C57" w:rsidP="00651BCA">
            <w:pPr>
              <w:spacing w:after="0" w:line="240" w:lineRule="auto"/>
              <w:jc w:val="both"/>
              <w:rPr>
                <w:rFonts w:cstheme="minorHAnsi"/>
                <w:sz w:val="20"/>
              </w:rPr>
            </w:pPr>
            <w:r w:rsidRPr="00361664">
              <w:rPr>
                <w:rFonts w:cstheme="minorHAnsi"/>
                <w:sz w:val="20"/>
              </w:rPr>
              <w:t>Pred-aktivnost predviđa izradu Programa. Prije početka provođenja mjera potrebno je angažirati stručnjake te po participativnom modelu izraditi Program.</w:t>
            </w:r>
          </w:p>
          <w:p w:rsidR="00192C57" w:rsidRPr="00361664" w:rsidRDefault="00192C57" w:rsidP="00651BCA">
            <w:pPr>
              <w:spacing w:after="0" w:line="240" w:lineRule="auto"/>
              <w:jc w:val="both"/>
              <w:rPr>
                <w:rFonts w:cstheme="minorHAnsi"/>
                <w:sz w:val="20"/>
              </w:rPr>
            </w:pPr>
          </w:p>
          <w:p w:rsidR="00192C57" w:rsidRPr="00361664" w:rsidRDefault="00192C57" w:rsidP="00651BCA">
            <w:pPr>
              <w:spacing w:after="0" w:line="240" w:lineRule="auto"/>
              <w:jc w:val="both"/>
              <w:rPr>
                <w:rFonts w:cstheme="minorHAnsi"/>
                <w:sz w:val="20"/>
              </w:rPr>
            </w:pPr>
            <w:r w:rsidRPr="00361664">
              <w:rPr>
                <w:rFonts w:cstheme="minorHAnsi"/>
                <w:sz w:val="20"/>
              </w:rPr>
              <w:t>Programom će se odrediti kriteriji po kojima će se utvrđivati lista prioriteta za provedbu pojedinih mjera energetske učinkovitosti, a mjera uključuje sljedeće komponente:</w:t>
            </w:r>
          </w:p>
          <w:p w:rsidR="00192C57" w:rsidRPr="00361664" w:rsidRDefault="00192C57" w:rsidP="00CD00FF">
            <w:pPr>
              <w:pStyle w:val="Odlomakpopisa"/>
              <w:numPr>
                <w:ilvl w:val="0"/>
                <w:numId w:val="18"/>
              </w:numPr>
              <w:spacing w:after="0" w:line="240" w:lineRule="auto"/>
              <w:jc w:val="both"/>
              <w:rPr>
                <w:rFonts w:asciiTheme="minorHAnsi" w:hAnsiTheme="minorHAnsi" w:cstheme="minorHAnsi"/>
                <w:sz w:val="20"/>
              </w:rPr>
            </w:pPr>
            <w:r w:rsidRPr="00361664">
              <w:rPr>
                <w:rFonts w:asciiTheme="minorHAnsi" w:hAnsiTheme="minorHAnsi" w:cstheme="minorHAnsi"/>
                <w:sz w:val="20"/>
              </w:rPr>
              <w:t>Zamjena kućanskih uređaja po sistemu „staro za novo“</w:t>
            </w:r>
          </w:p>
          <w:p w:rsidR="00192C57" w:rsidRPr="00361664" w:rsidRDefault="00192C57" w:rsidP="00CD00FF">
            <w:pPr>
              <w:pStyle w:val="Odlomakpopisa"/>
              <w:numPr>
                <w:ilvl w:val="0"/>
                <w:numId w:val="18"/>
              </w:numPr>
              <w:spacing w:after="0" w:line="240" w:lineRule="auto"/>
              <w:jc w:val="both"/>
              <w:rPr>
                <w:rFonts w:asciiTheme="minorHAnsi" w:hAnsiTheme="minorHAnsi" w:cstheme="minorHAnsi"/>
                <w:sz w:val="20"/>
              </w:rPr>
            </w:pPr>
            <w:r w:rsidRPr="00361664">
              <w:rPr>
                <w:rFonts w:asciiTheme="minorHAnsi" w:hAnsiTheme="minorHAnsi" w:cstheme="minorHAnsi"/>
                <w:sz w:val="20"/>
              </w:rPr>
              <w:t>Unaprjeđenje ili zamjena sustava grijanja</w:t>
            </w:r>
            <w:r w:rsidR="008E3878" w:rsidRPr="00361664">
              <w:rPr>
                <w:rFonts w:asciiTheme="minorHAnsi" w:hAnsiTheme="minorHAnsi" w:cstheme="minorHAnsi"/>
                <w:sz w:val="20"/>
              </w:rPr>
              <w:t xml:space="preserve"> (poboljšanja učinkovitosti sustava grijanja i zamjene energenata (naročito električne energije i loživog ulja) okolišno, ekonomski i energetski povoljnijima, a poglavito sustavima koji koriste obnovljive izvore energije</w:t>
            </w:r>
          </w:p>
          <w:p w:rsidR="00192C57" w:rsidRPr="00361664" w:rsidRDefault="00192C57" w:rsidP="00CD00FF">
            <w:pPr>
              <w:pStyle w:val="Odlomakpopisa"/>
              <w:numPr>
                <w:ilvl w:val="0"/>
                <w:numId w:val="18"/>
              </w:numPr>
              <w:spacing w:after="0" w:line="240" w:lineRule="auto"/>
              <w:jc w:val="both"/>
              <w:rPr>
                <w:rFonts w:asciiTheme="minorHAnsi" w:eastAsia="Times New Roman" w:hAnsiTheme="minorHAnsi" w:cstheme="minorHAnsi"/>
                <w:sz w:val="20"/>
              </w:rPr>
            </w:pPr>
            <w:r w:rsidRPr="00361664">
              <w:rPr>
                <w:rFonts w:asciiTheme="minorHAnsi" w:hAnsiTheme="minorHAnsi" w:cstheme="minorHAnsi"/>
                <w:sz w:val="20"/>
              </w:rPr>
              <w:t>Jednostavne mjere energetske učinkovitosti</w:t>
            </w:r>
          </w:p>
          <w:p w:rsidR="00192C57" w:rsidRPr="00361664" w:rsidRDefault="00192C57" w:rsidP="00651BCA">
            <w:pPr>
              <w:pStyle w:val="Tabletext"/>
              <w:tabs>
                <w:tab w:val="left" w:pos="0"/>
                <w:tab w:val="left" w:pos="5040"/>
              </w:tabs>
              <w:spacing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Kroz mjeru će se uspostaviti i sustav praćenja socio-ekonomskih, demografskih i energetskih pokazatelja kojima se opisuje energetsko siromaštvo na nacionalnoj razini, kroz već postojeći sustav prikupljanja </w:t>
            </w:r>
            <w:r w:rsidRPr="00361664">
              <w:rPr>
                <w:rFonts w:asciiTheme="minorHAnsi" w:hAnsiTheme="minorHAnsi" w:cstheme="minorHAnsi"/>
                <w:sz w:val="20"/>
                <w:szCs w:val="22"/>
                <w:lang w:val="hr-HR"/>
              </w:rPr>
              <w:lastRenderedPageBreak/>
              <w:t>podataka o potrošnji i navikama kućanstava (Državni zavod za statistiku), te će se u Programu razraditi moguće proširenje kriterija za stjecanje statusa ugroženih kupaca energije.</w:t>
            </w:r>
          </w:p>
        </w:tc>
      </w:tr>
      <w:tr w:rsidR="00192C57" w:rsidRPr="00361664" w:rsidTr="00E169B5">
        <w:trPr>
          <w:trHeight w:val="20"/>
        </w:trPr>
        <w:tc>
          <w:tcPr>
            <w:tcW w:w="654" w:type="pct"/>
            <w:vMerge w:val="restart"/>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Financijska sredstva i izvori financiranja</w:t>
            </w:r>
          </w:p>
        </w:tc>
        <w:tc>
          <w:tcPr>
            <w:tcW w:w="3524" w:type="pct"/>
            <w:vAlign w:val="center"/>
          </w:tcPr>
          <w:p w:rsidR="00192C57" w:rsidRPr="00361664" w:rsidRDefault="00142864" w:rsidP="00651BCA">
            <w:pPr>
              <w:jc w:val="both"/>
              <w:rPr>
                <w:rFonts w:cstheme="minorHAnsi"/>
                <w:sz w:val="20"/>
              </w:rPr>
            </w:pPr>
            <w:r w:rsidRPr="00361664">
              <w:rPr>
                <w:rFonts w:cstheme="minorHAnsi"/>
                <w:sz w:val="20"/>
              </w:rPr>
              <w:t>U</w:t>
            </w:r>
            <w:r w:rsidR="00192C57" w:rsidRPr="00361664">
              <w:rPr>
                <w:rFonts w:cstheme="minorHAnsi"/>
                <w:sz w:val="20"/>
              </w:rPr>
              <w:t>kupne investicije za ov</w:t>
            </w:r>
            <w:r w:rsidR="007752BF" w:rsidRPr="00361664">
              <w:rPr>
                <w:rFonts w:cstheme="minorHAnsi"/>
                <w:sz w:val="20"/>
              </w:rPr>
              <w:t>aj program kroz 10 godina odnose se na provedbu</w:t>
            </w:r>
            <w:r w:rsidR="00192C57" w:rsidRPr="00361664">
              <w:rPr>
                <w:rFonts w:cstheme="minorHAnsi"/>
                <w:sz w:val="20"/>
              </w:rPr>
              <w:t xml:space="preserve"> mje</w:t>
            </w:r>
            <w:r w:rsidR="007752BF" w:rsidRPr="00361664">
              <w:rPr>
                <w:rFonts w:cstheme="minorHAnsi"/>
                <w:sz w:val="20"/>
              </w:rPr>
              <w:t xml:space="preserve">ra energetske učinkovitosti u </w:t>
            </w:r>
            <w:r w:rsidR="00D40586" w:rsidRPr="00361664">
              <w:rPr>
                <w:rFonts w:cstheme="minorHAnsi"/>
                <w:sz w:val="20"/>
              </w:rPr>
              <w:t>50.</w:t>
            </w:r>
            <w:r w:rsidR="00192C57" w:rsidRPr="00361664">
              <w:rPr>
                <w:rFonts w:cstheme="minorHAnsi"/>
                <w:sz w:val="20"/>
              </w:rPr>
              <w:t>000 kućanstava</w:t>
            </w:r>
            <w:r w:rsidR="007752BF" w:rsidRPr="00361664">
              <w:rPr>
                <w:rFonts w:cstheme="minorHAnsi"/>
                <w:sz w:val="20"/>
              </w:rPr>
              <w:t xml:space="preserve"> (koliko ih je trenutno sa statusom ugroženih kupaca energije) te</w:t>
            </w:r>
            <w:r w:rsidR="00192C57" w:rsidRPr="00361664">
              <w:rPr>
                <w:rFonts w:cstheme="minorHAnsi"/>
                <w:sz w:val="20"/>
              </w:rPr>
              <w:t xml:space="preserve"> 200.000</w:t>
            </w:r>
            <w:r w:rsidR="009E557D">
              <w:rPr>
                <w:rFonts w:cstheme="minorHAnsi"/>
                <w:sz w:val="20"/>
              </w:rPr>
              <w:t xml:space="preserve"> </w:t>
            </w:r>
            <w:r w:rsidR="00192C57" w:rsidRPr="00361664">
              <w:rPr>
                <w:rFonts w:cstheme="minorHAnsi"/>
                <w:sz w:val="20"/>
              </w:rPr>
              <w:t>kuna početne investicije za izradu Programa i razradu kriterija.</w:t>
            </w:r>
          </w:p>
          <w:p w:rsidR="00BD000F" w:rsidRPr="00361664" w:rsidRDefault="00BD000F" w:rsidP="00651BCA">
            <w:pPr>
              <w:jc w:val="both"/>
              <w:rPr>
                <w:rFonts w:cstheme="minorHAnsi"/>
                <w:sz w:val="20"/>
              </w:rPr>
            </w:pPr>
            <w:r w:rsidRPr="00361664">
              <w:rPr>
                <w:rFonts w:cstheme="minorHAnsi"/>
                <w:sz w:val="20"/>
              </w:rPr>
              <w:t>U razdoblju 4. NAPEnU programom će se obuhvatiti oko 330 kućanstava godišnje.</w:t>
            </w:r>
          </w:p>
          <w:p w:rsidR="002669B8" w:rsidRPr="00361664" w:rsidRDefault="00192C57" w:rsidP="00A526B6">
            <w:pPr>
              <w:jc w:val="both"/>
              <w:rPr>
                <w:rFonts w:cstheme="minorHAnsi"/>
                <w:sz w:val="20"/>
              </w:rPr>
            </w:pPr>
            <w:r w:rsidRPr="00361664">
              <w:rPr>
                <w:rFonts w:cstheme="minorHAnsi"/>
                <w:sz w:val="20"/>
              </w:rPr>
              <w:t>FZOEU – Financijska sredstva stečena od prodaje emisijskih jedinica putem dražbe na sustavu trgovanja emisijskim jedinicama EU-a temeljem Zakona o zaštiti zraka (</w:t>
            </w:r>
            <w:r w:rsidR="00C44613" w:rsidRPr="00361664">
              <w:rPr>
                <w:rFonts w:cstheme="minorHAnsi"/>
                <w:sz w:val="20"/>
              </w:rPr>
              <w:t>NN 130/11, 47/14, 61/17</w:t>
            </w:r>
            <w:r w:rsidRPr="00361664">
              <w:rPr>
                <w:rFonts w:cstheme="minorHAnsi"/>
                <w:sz w:val="20"/>
              </w:rPr>
              <w:t>)</w:t>
            </w:r>
            <w:r w:rsidR="00944985" w:rsidRPr="00361664">
              <w:rPr>
                <w:rFonts w:cstheme="minorHAnsi"/>
                <w:sz w:val="20"/>
              </w:rPr>
              <w:t xml:space="preserve">: u razdoblju do kraja 2019. godine ukupno predviđena sredstva </w:t>
            </w:r>
            <w:r w:rsidR="00A526B6" w:rsidRPr="00361664">
              <w:rPr>
                <w:rFonts w:cstheme="minorHAnsi"/>
                <w:sz w:val="20"/>
              </w:rPr>
              <w:t>650.000,00</w:t>
            </w:r>
            <w:r w:rsidR="00944985" w:rsidRPr="00361664">
              <w:rPr>
                <w:rFonts w:cstheme="minorHAnsi"/>
                <w:sz w:val="20"/>
              </w:rPr>
              <w:t xml:space="preserve"> kn </w:t>
            </w:r>
          </w:p>
        </w:tc>
      </w:tr>
      <w:tr w:rsidR="00192C57" w:rsidRPr="00361664" w:rsidTr="00E169B5">
        <w:trPr>
          <w:trHeight w:val="20"/>
        </w:trPr>
        <w:tc>
          <w:tcPr>
            <w:tcW w:w="654" w:type="pct"/>
            <w:vMerge/>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Izvršno  tijelo</w:t>
            </w:r>
          </w:p>
        </w:tc>
        <w:tc>
          <w:tcPr>
            <w:tcW w:w="3524" w:type="pct"/>
            <w:vAlign w:val="center"/>
          </w:tcPr>
          <w:p w:rsidR="009F4E58" w:rsidRPr="00361664" w:rsidRDefault="009F4E58" w:rsidP="00651BCA">
            <w:pPr>
              <w:pStyle w:val="Tabletext"/>
              <w:tabs>
                <w:tab w:val="left" w:pos="1440"/>
                <w:tab w:val="left" w:pos="5040"/>
              </w:tabs>
              <w:spacing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MZOE – nositelj Programa</w:t>
            </w:r>
            <w:r w:rsidR="0060474F" w:rsidRPr="00361664">
              <w:rPr>
                <w:rFonts w:asciiTheme="minorHAnsi" w:hAnsiTheme="minorHAnsi" w:cstheme="minorHAnsi"/>
                <w:sz w:val="20"/>
                <w:szCs w:val="22"/>
                <w:lang w:val="hr-HR"/>
              </w:rPr>
              <w:t xml:space="preserve"> u suradnji s MSPM</w:t>
            </w:r>
          </w:p>
          <w:p w:rsidR="00192C57" w:rsidRPr="00361664" w:rsidRDefault="00192C57" w:rsidP="0040487B">
            <w:pPr>
              <w:pStyle w:val="Tabletext"/>
              <w:tabs>
                <w:tab w:val="left" w:pos="1440"/>
                <w:tab w:val="left" w:pos="5040"/>
              </w:tabs>
              <w:spacing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FZOEU – uspostava sheme financiranja i sufinanciranja (uključujući </w:t>
            </w:r>
            <w:r w:rsidR="0040487B" w:rsidRPr="00361664">
              <w:rPr>
                <w:rFonts w:asciiTheme="minorHAnsi" w:hAnsiTheme="minorHAnsi" w:cstheme="minorHAnsi"/>
                <w:sz w:val="20"/>
                <w:szCs w:val="22"/>
                <w:lang w:val="hr-HR"/>
              </w:rPr>
              <w:t>mogućnost korištenja</w:t>
            </w:r>
            <w:r w:rsidRPr="00361664">
              <w:rPr>
                <w:rFonts w:asciiTheme="minorHAnsi" w:hAnsiTheme="minorHAnsi" w:cstheme="minorHAnsi"/>
                <w:sz w:val="20"/>
                <w:szCs w:val="22"/>
                <w:lang w:val="hr-HR"/>
              </w:rPr>
              <w:t xml:space="preserve"> sredstava iz strukturnih fondova EU)</w:t>
            </w:r>
          </w:p>
        </w:tc>
      </w:tr>
      <w:tr w:rsidR="00192C57" w:rsidRPr="00361664" w:rsidTr="00E169B5">
        <w:trPr>
          <w:trHeight w:val="20"/>
        </w:trPr>
        <w:tc>
          <w:tcPr>
            <w:tcW w:w="654" w:type="pct"/>
            <w:vMerge/>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640C0B"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Tijelo za praćenje, mjerenje i verifikaciju ušteda</w:t>
            </w:r>
          </w:p>
        </w:tc>
        <w:tc>
          <w:tcPr>
            <w:tcW w:w="3524"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NKT </w:t>
            </w:r>
          </w:p>
        </w:tc>
      </w:tr>
      <w:tr w:rsidR="00192C57" w:rsidRPr="00361664" w:rsidTr="00E169B5">
        <w:trPr>
          <w:trHeight w:val="20"/>
        </w:trPr>
        <w:tc>
          <w:tcPr>
            <w:tcW w:w="654" w:type="pct"/>
            <w:vMerge w:val="restar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color w:val="FF0000"/>
                <w:sz w:val="20"/>
                <w:szCs w:val="22"/>
                <w:lang w:val="hr-HR"/>
              </w:rPr>
            </w:pPr>
            <w:r w:rsidRPr="00361664">
              <w:rPr>
                <w:rFonts w:asciiTheme="minorHAnsi" w:hAnsiTheme="minorHAnsi" w:cstheme="minorHAnsi"/>
                <w:sz w:val="20"/>
                <w:szCs w:val="22"/>
                <w:lang w:val="hr-HR"/>
              </w:rPr>
              <w:t>Uštede energije</w:t>
            </w:r>
          </w:p>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Metoda praćenja / mjerenja ušteda energije</w:t>
            </w:r>
          </w:p>
        </w:tc>
        <w:tc>
          <w:tcPr>
            <w:tcW w:w="3524" w:type="pct"/>
            <w:vAlign w:val="center"/>
          </w:tcPr>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Procijenjene uštede</w:t>
            </w:r>
          </w:p>
          <w:p w:rsidR="00192C57" w:rsidRPr="00361664" w:rsidRDefault="00192C57" w:rsidP="00651BC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Prema Pravilniku o sustavu za praćenje, mjerenje i verifikaciju ušteda energije. </w:t>
            </w:r>
          </w:p>
          <w:p w:rsidR="00192C57" w:rsidRPr="00361664" w:rsidRDefault="00192C57" w:rsidP="00887D51">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Učinci mjere pratit će se </w:t>
            </w:r>
            <w:r w:rsidR="009028EE" w:rsidRPr="00361664">
              <w:rPr>
                <w:rFonts w:asciiTheme="minorHAnsi" w:hAnsiTheme="minorHAnsi" w:cstheme="minorHAnsi"/>
                <w:sz w:val="20"/>
                <w:szCs w:val="22"/>
                <w:lang w:val="hr-HR"/>
              </w:rPr>
              <w:t>kroz Sustav</w:t>
            </w:r>
            <w:r w:rsidRPr="00361664">
              <w:rPr>
                <w:rFonts w:asciiTheme="minorHAnsi" w:hAnsiTheme="minorHAnsi" w:cstheme="minorHAnsi"/>
                <w:sz w:val="20"/>
                <w:szCs w:val="22"/>
                <w:lang w:val="hr-HR"/>
              </w:rPr>
              <w:t xml:space="preserve"> za </w:t>
            </w:r>
            <w:r w:rsidR="009028EE" w:rsidRPr="00361664">
              <w:rPr>
                <w:rFonts w:asciiTheme="minorHAnsi" w:hAnsiTheme="minorHAnsi" w:cstheme="minorHAnsi"/>
                <w:sz w:val="20"/>
                <w:szCs w:val="22"/>
                <w:lang w:val="hr-HR"/>
              </w:rPr>
              <w:t xml:space="preserve">praćenje, </w:t>
            </w:r>
            <w:r w:rsidRPr="00361664">
              <w:rPr>
                <w:rFonts w:asciiTheme="minorHAnsi" w:hAnsiTheme="minorHAnsi" w:cstheme="minorHAnsi"/>
                <w:sz w:val="20"/>
                <w:szCs w:val="22"/>
                <w:lang w:val="hr-HR"/>
              </w:rPr>
              <w:t>mjerenje</w:t>
            </w:r>
            <w:r w:rsidR="00887D51" w:rsidRPr="00361664">
              <w:rPr>
                <w:rFonts w:asciiTheme="minorHAnsi" w:hAnsiTheme="minorHAnsi" w:cstheme="minorHAnsi"/>
                <w:sz w:val="20"/>
                <w:szCs w:val="22"/>
                <w:lang w:val="hr-HR"/>
              </w:rPr>
              <w:t xml:space="preserve"> i verifikaciju </w:t>
            </w:r>
            <w:r w:rsidR="009028EE" w:rsidRPr="00361664">
              <w:rPr>
                <w:rFonts w:asciiTheme="minorHAnsi" w:hAnsiTheme="minorHAnsi" w:cstheme="minorHAnsi"/>
                <w:sz w:val="20"/>
                <w:szCs w:val="22"/>
                <w:lang w:val="hr-HR"/>
              </w:rPr>
              <w:t xml:space="preserve">ušteda energije </w:t>
            </w:r>
            <w:r w:rsidR="00887D51" w:rsidRPr="00361664">
              <w:rPr>
                <w:rFonts w:asciiTheme="minorHAnsi" w:hAnsiTheme="minorHAnsi" w:cstheme="minorHAnsi"/>
                <w:sz w:val="20"/>
                <w:szCs w:val="22"/>
                <w:lang w:val="hr-HR"/>
              </w:rPr>
              <w:t xml:space="preserve">(SMIV). </w:t>
            </w:r>
          </w:p>
        </w:tc>
      </w:tr>
      <w:tr w:rsidR="00EE6A0A" w:rsidRPr="00361664" w:rsidTr="00E169B5">
        <w:trPr>
          <w:trHeight w:val="20"/>
        </w:trPr>
        <w:tc>
          <w:tcPr>
            <w:tcW w:w="654" w:type="pct"/>
            <w:vMerge/>
          </w:tcPr>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color w:val="FF0000"/>
                <w:sz w:val="20"/>
                <w:szCs w:val="22"/>
                <w:lang w:val="hr-HR"/>
              </w:rPr>
            </w:pPr>
            <w:r w:rsidRPr="00361664">
              <w:rPr>
                <w:rFonts w:asciiTheme="minorHAnsi" w:hAnsiTheme="minorHAnsi" w:cstheme="minorHAnsi"/>
                <w:sz w:val="20"/>
                <w:szCs w:val="22"/>
                <w:lang w:val="hr-HR"/>
              </w:rPr>
              <w:t>Očekivane uštede energije do kraja 2019.</w:t>
            </w:r>
          </w:p>
        </w:tc>
        <w:tc>
          <w:tcPr>
            <w:tcW w:w="3524" w:type="pct"/>
            <w:vAlign w:val="center"/>
          </w:tcPr>
          <w:p w:rsidR="00EE6A0A" w:rsidRPr="00361664" w:rsidRDefault="00944985" w:rsidP="00EE6A0A">
            <w:pPr>
              <w:jc w:val="both"/>
              <w:rPr>
                <w:rFonts w:cstheme="minorHAnsi"/>
                <w:color w:val="000000"/>
                <w:sz w:val="20"/>
              </w:rPr>
            </w:pPr>
            <w:r w:rsidRPr="00361664">
              <w:rPr>
                <w:rFonts w:cstheme="minorHAnsi"/>
                <w:color w:val="000000"/>
                <w:sz w:val="20"/>
              </w:rPr>
              <w:t xml:space="preserve">3,6 TJ </w:t>
            </w:r>
          </w:p>
        </w:tc>
      </w:tr>
      <w:tr w:rsidR="00EE6A0A" w:rsidRPr="00361664" w:rsidTr="00E169B5">
        <w:trPr>
          <w:trHeight w:val="20"/>
        </w:trPr>
        <w:tc>
          <w:tcPr>
            <w:tcW w:w="654" w:type="pct"/>
            <w:vMerge/>
          </w:tcPr>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sz w:val="20"/>
                <w:szCs w:val="22"/>
                <w:highlight w:val="yellow"/>
                <w:lang w:val="hr-HR"/>
              </w:rPr>
            </w:pPr>
            <w:r w:rsidRPr="00361664">
              <w:rPr>
                <w:rFonts w:asciiTheme="minorHAnsi" w:hAnsiTheme="minorHAnsi" w:cstheme="minorHAnsi"/>
                <w:sz w:val="20"/>
                <w:szCs w:val="22"/>
                <w:lang w:val="hr-HR"/>
              </w:rPr>
              <w:t>Očekivane uštede energije do kraja 2020.</w:t>
            </w:r>
          </w:p>
        </w:tc>
        <w:tc>
          <w:tcPr>
            <w:tcW w:w="3524" w:type="pct"/>
            <w:vAlign w:val="center"/>
          </w:tcPr>
          <w:p w:rsidR="00EE6A0A" w:rsidRPr="00361664" w:rsidRDefault="00944985" w:rsidP="00EE6A0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5,4 TJ </w:t>
            </w:r>
          </w:p>
        </w:tc>
      </w:tr>
      <w:tr w:rsidR="00EE6A0A" w:rsidRPr="00361664" w:rsidTr="00E169B5">
        <w:trPr>
          <w:trHeight w:val="20"/>
        </w:trPr>
        <w:tc>
          <w:tcPr>
            <w:tcW w:w="654" w:type="pct"/>
            <w:vMerge/>
          </w:tcPr>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color w:val="FF0000"/>
                <w:sz w:val="20"/>
                <w:szCs w:val="22"/>
                <w:lang w:val="hr-HR"/>
              </w:rPr>
            </w:pPr>
            <w:r w:rsidRPr="00361664">
              <w:rPr>
                <w:rFonts w:asciiTheme="minorHAnsi" w:hAnsiTheme="minorHAnsi" w:cstheme="minorHAnsi"/>
                <w:sz w:val="20"/>
                <w:szCs w:val="22"/>
                <w:lang w:val="hr-HR"/>
              </w:rPr>
              <w:t>Pretpostavke</w:t>
            </w:r>
          </w:p>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3524" w:type="pct"/>
            <w:vAlign w:val="center"/>
          </w:tcPr>
          <w:p w:rsidR="00EE6A0A" w:rsidRPr="00361664" w:rsidRDefault="00EE6A0A" w:rsidP="00EE6A0A">
            <w:pPr>
              <w:spacing w:after="0" w:line="240" w:lineRule="auto"/>
              <w:jc w:val="both"/>
              <w:rPr>
                <w:rFonts w:cstheme="minorHAnsi"/>
                <w:sz w:val="20"/>
              </w:rPr>
            </w:pPr>
            <w:r w:rsidRPr="00361664">
              <w:rPr>
                <w:rFonts w:cstheme="minorHAnsi"/>
                <w:sz w:val="20"/>
              </w:rPr>
              <w:t>Pretpostavlja se da će na godišnjoj r</w:t>
            </w:r>
            <w:r w:rsidR="00BD000F" w:rsidRPr="00361664">
              <w:rPr>
                <w:rFonts w:cstheme="minorHAnsi"/>
                <w:sz w:val="20"/>
              </w:rPr>
              <w:t>azini u programu sudjelovati 330</w:t>
            </w:r>
            <w:r w:rsidRPr="00361664">
              <w:rPr>
                <w:rFonts w:cstheme="minorHAnsi"/>
                <w:sz w:val="20"/>
              </w:rPr>
              <w:t xml:space="preserve"> kućanstava na području cijele Hrvatske  prosječne površine 70m</w:t>
            </w:r>
            <w:r w:rsidRPr="00361664">
              <w:rPr>
                <w:rFonts w:cstheme="minorHAnsi"/>
                <w:sz w:val="20"/>
                <w:vertAlign w:val="superscript"/>
              </w:rPr>
              <w:t>2</w:t>
            </w:r>
            <w:r w:rsidR="0079524F" w:rsidRPr="00361664">
              <w:rPr>
                <w:rFonts w:cstheme="minorHAnsi"/>
                <w:sz w:val="20"/>
              </w:rPr>
              <w:t xml:space="preserve"> životnog prostora </w:t>
            </w:r>
            <w:r w:rsidRPr="00361664">
              <w:rPr>
                <w:rFonts w:cstheme="minorHAnsi"/>
                <w:sz w:val="20"/>
              </w:rPr>
              <w:t>te da je prosje</w:t>
            </w:r>
            <w:r w:rsidR="0079524F" w:rsidRPr="00361664">
              <w:rPr>
                <w:rFonts w:cstheme="minorHAnsi"/>
                <w:sz w:val="20"/>
              </w:rPr>
              <w:t>čan energetski razred zgrade F.</w:t>
            </w:r>
          </w:p>
          <w:p w:rsidR="00EE6A0A" w:rsidRPr="00361664" w:rsidRDefault="00EE6A0A" w:rsidP="00EE6A0A">
            <w:pPr>
              <w:spacing w:after="0" w:line="240" w:lineRule="auto"/>
              <w:jc w:val="both"/>
              <w:rPr>
                <w:rFonts w:cstheme="minorHAnsi"/>
                <w:sz w:val="20"/>
              </w:rPr>
            </w:pPr>
            <w:r w:rsidRPr="00361664">
              <w:rPr>
                <w:rFonts w:cstheme="minorHAnsi"/>
                <w:sz w:val="20"/>
              </w:rPr>
              <w:t xml:space="preserve">Također se pretpostavlja da je u dijelu kućanstava potrebno zamijeniti kućanske uređaje - zamjena starog hladnjaka generacije 1989. do 2000. god. efikasnim hladnjakom klase A+ i zamjena stare perilice rublja generacije 1970. -1975. god. novom perilicom energetskog razreda A+++, čime se očekuje uštedjeti 370kWh, odnosno 248kWh, električne energije godišnje. </w:t>
            </w:r>
          </w:p>
          <w:p w:rsidR="00EE6A0A" w:rsidRPr="00361664" w:rsidRDefault="00EE6A0A" w:rsidP="00EE6A0A">
            <w:pPr>
              <w:spacing w:after="0" w:line="240" w:lineRule="auto"/>
              <w:jc w:val="both"/>
              <w:rPr>
                <w:rFonts w:cstheme="minorHAnsi"/>
                <w:sz w:val="20"/>
              </w:rPr>
            </w:pPr>
            <w:r w:rsidRPr="00361664">
              <w:rPr>
                <w:rFonts w:cstheme="minorHAnsi"/>
                <w:sz w:val="20"/>
              </w:rPr>
              <w:t xml:space="preserve">Pretpostavlja se da </w:t>
            </w:r>
            <w:r w:rsidR="009E557D">
              <w:rPr>
                <w:rFonts w:cstheme="minorHAnsi"/>
                <w:sz w:val="20"/>
              </w:rPr>
              <w:t>se na 60% kućansta</w:t>
            </w:r>
            <w:r w:rsidR="001A55EB" w:rsidRPr="00361664">
              <w:rPr>
                <w:rFonts w:cstheme="minorHAnsi"/>
                <w:sz w:val="20"/>
              </w:rPr>
              <w:t xml:space="preserve"> provesti</w:t>
            </w:r>
            <w:r w:rsidR="009E557D">
              <w:rPr>
                <w:rFonts w:cstheme="minorHAnsi"/>
                <w:sz w:val="20"/>
              </w:rPr>
              <w:t xml:space="preserve"> mjere obnove vanjske ovojnice</w:t>
            </w:r>
            <w:r w:rsidRPr="00361664">
              <w:rPr>
                <w:rFonts w:cstheme="minorHAnsi"/>
                <w:sz w:val="20"/>
              </w:rPr>
              <w:t xml:space="preserve">, </w:t>
            </w:r>
            <w:r w:rsidR="001A55EB" w:rsidRPr="00361664">
              <w:rPr>
                <w:rFonts w:cstheme="minorHAnsi"/>
                <w:sz w:val="20"/>
              </w:rPr>
              <w:t>a na</w:t>
            </w:r>
            <w:r w:rsidR="009E557D">
              <w:rPr>
                <w:rFonts w:cstheme="minorHAnsi"/>
                <w:sz w:val="20"/>
              </w:rPr>
              <w:t xml:space="preserve"> preostalih 40% kućanstava </w:t>
            </w:r>
            <w:r w:rsidRPr="00361664">
              <w:rPr>
                <w:rFonts w:cstheme="minorHAnsi"/>
                <w:sz w:val="20"/>
              </w:rPr>
              <w:t>jednostavne mjere energetske učinkovitosti (zamjena 5 žarulja LED rasvjetom, ugradnja štednog perlatora na slavinu koja se koristi samo u sanitarne svrhe i na slavinu za pranje posuđa, ugradnja štedne tuš slušalice, ugradnja 18m brtvi na prozore i vrata) provedbom kojih se štedi oko 900kWh toplinske i električne energije godišnje.</w:t>
            </w:r>
          </w:p>
          <w:p w:rsidR="00EE6A0A" w:rsidRPr="00361664" w:rsidRDefault="00EE6A0A" w:rsidP="00EE6A0A">
            <w:pPr>
              <w:tabs>
                <w:tab w:val="left" w:pos="1440"/>
                <w:tab w:val="left" w:pos="5040"/>
              </w:tabs>
              <w:spacing w:after="0" w:line="240" w:lineRule="auto"/>
              <w:jc w:val="both"/>
              <w:rPr>
                <w:rFonts w:cstheme="minorHAnsi"/>
                <w:sz w:val="20"/>
              </w:rPr>
            </w:pPr>
            <w:r w:rsidRPr="00361664">
              <w:rPr>
                <w:rFonts w:cstheme="minorHAnsi"/>
                <w:sz w:val="20"/>
              </w:rPr>
              <w:t>U 40% kućanstava će se zamijeniti hladnjak, a u 40% perilica rublja. Predviđa se provedba programa istom dinamikom do kraja 2026. godine.</w:t>
            </w:r>
          </w:p>
        </w:tc>
      </w:tr>
      <w:tr w:rsidR="00EE6A0A" w:rsidRPr="00361664" w:rsidTr="00E169B5">
        <w:trPr>
          <w:trHeight w:val="785"/>
        </w:trPr>
        <w:tc>
          <w:tcPr>
            <w:tcW w:w="654" w:type="pct"/>
            <w:vMerge/>
          </w:tcPr>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2" w:type="pct"/>
            <w:vAlign w:val="center"/>
          </w:tcPr>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Preklapanja, efekt množenja, sinergija</w:t>
            </w:r>
          </w:p>
          <w:p w:rsidR="00EE6A0A" w:rsidRPr="00361664" w:rsidRDefault="00EE6A0A" w:rsidP="00EE6A0A">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3524" w:type="pct"/>
            <w:vAlign w:val="center"/>
          </w:tcPr>
          <w:p w:rsidR="00EE6A0A" w:rsidRPr="00361664" w:rsidRDefault="00EE6A0A" w:rsidP="00151DC5">
            <w:pPr>
              <w:tabs>
                <w:tab w:val="left" w:pos="1440"/>
                <w:tab w:val="left" w:pos="5040"/>
              </w:tabs>
              <w:spacing w:after="0" w:line="240" w:lineRule="auto"/>
              <w:jc w:val="both"/>
              <w:rPr>
                <w:rFonts w:cstheme="minorHAnsi"/>
                <w:sz w:val="20"/>
              </w:rPr>
            </w:pPr>
            <w:r w:rsidRPr="00361664">
              <w:rPr>
                <w:rFonts w:cstheme="minorHAnsi"/>
                <w:sz w:val="20"/>
              </w:rPr>
              <w:t xml:space="preserve">Mjera se izravno povezuje s mjerom </w:t>
            </w:r>
            <w:r w:rsidR="00151DC5" w:rsidRPr="00361664">
              <w:rPr>
                <w:sz w:val="20"/>
                <w:szCs w:val="20"/>
                <w:lang w:eastAsia="de-DE"/>
              </w:rPr>
              <w:t>izgradnja kapaciteta za suzbijanje energetskog siromaštva</w:t>
            </w:r>
            <w:r w:rsidRPr="00361664">
              <w:rPr>
                <w:rFonts w:cstheme="minorHAnsi"/>
                <w:sz w:val="20"/>
              </w:rPr>
              <w:t>gdje će se kroz centre i obuku savjetnika moći osigurati podrška provedbi Programa za suzbijanje energetskog siromaštva. Nadalje, mjera je u izravnoj sinergiji s ostalim mjerama usmjerenim na sektor kućanstava uz pomicanje specifičnog fokusa na ugrožene kupce energije te općenito kućanstva koja su u riziku od energetskog siromaštva. Također, mjera se nadovezuje na mjeru Program energetske obnove obiteljskih kuća 2014.-2020. te se mjere međusobno nadopunjuju.</w:t>
            </w:r>
          </w:p>
          <w:p w:rsidR="0079524F" w:rsidRPr="00361664" w:rsidRDefault="0079524F" w:rsidP="0079524F">
            <w:pPr>
              <w:tabs>
                <w:tab w:val="left" w:pos="1440"/>
                <w:tab w:val="left" w:pos="5040"/>
              </w:tabs>
              <w:spacing w:after="0" w:line="240" w:lineRule="auto"/>
              <w:jc w:val="both"/>
              <w:rPr>
                <w:rFonts w:cstheme="minorHAnsi"/>
                <w:sz w:val="20"/>
              </w:rPr>
            </w:pPr>
            <w:r w:rsidRPr="00361664">
              <w:rPr>
                <w:rFonts w:cstheme="minorHAnsi"/>
                <w:sz w:val="20"/>
              </w:rPr>
              <w:t>Mjere  koje se odnose na ovojnicu zgrade, ( npr.  toplinska zaštita  i prozori)  provoditi će se u okviru javnih poziva za obiteljske kuće , sukladno Programu energetske obnove obiteljski</w:t>
            </w:r>
            <w:r w:rsidR="009E557D">
              <w:rPr>
                <w:rFonts w:cstheme="minorHAnsi"/>
                <w:sz w:val="20"/>
              </w:rPr>
              <w:t>h kuća za razdoblje 2014. -2020.</w:t>
            </w:r>
          </w:p>
          <w:p w:rsidR="0079524F" w:rsidRPr="00361664" w:rsidRDefault="0079524F" w:rsidP="001A55EB">
            <w:pPr>
              <w:tabs>
                <w:tab w:val="left" w:pos="1440"/>
                <w:tab w:val="left" w:pos="5040"/>
              </w:tabs>
              <w:spacing w:after="0" w:line="240" w:lineRule="auto"/>
              <w:jc w:val="both"/>
              <w:rPr>
                <w:rFonts w:cstheme="minorHAnsi"/>
                <w:sz w:val="20"/>
              </w:rPr>
            </w:pPr>
            <w:r w:rsidRPr="00361664">
              <w:rPr>
                <w:rFonts w:cstheme="minorHAnsi"/>
                <w:sz w:val="20"/>
              </w:rPr>
              <w:t xml:space="preserve"> Izmjenama i dopunama Programa energetske obnove obiteljskih kuća za razdoblje 2014. – 2020. bit će u svrhu provedbe Programa donesena definicija energetskog siromaštva kao bi se ranjivm skupinama građana  mogl</w:t>
            </w:r>
            <w:r w:rsidR="001A55EB" w:rsidRPr="00361664">
              <w:rPr>
                <w:rFonts w:cstheme="minorHAnsi"/>
                <w:sz w:val="20"/>
              </w:rPr>
              <w:t>a</w:t>
            </w:r>
            <w:r w:rsidRPr="00361664">
              <w:rPr>
                <w:rFonts w:cstheme="minorHAnsi"/>
                <w:sz w:val="20"/>
              </w:rPr>
              <w:t xml:space="preserve"> sufinancirati  cjelovita energetsk ovnova</w:t>
            </w:r>
            <w:r w:rsidR="001A55EB" w:rsidRPr="00361664">
              <w:rPr>
                <w:rFonts w:cstheme="minorHAnsi"/>
                <w:sz w:val="20"/>
              </w:rPr>
              <w:t>.</w:t>
            </w:r>
          </w:p>
        </w:tc>
      </w:tr>
    </w:tbl>
    <w:p w:rsidR="00F1792A" w:rsidRPr="00361664" w:rsidRDefault="00F1792A" w:rsidP="00651BCA">
      <w:pPr>
        <w:tabs>
          <w:tab w:val="left" w:pos="5954"/>
        </w:tabs>
        <w:spacing w:before="120" w:after="120"/>
        <w:jc w:val="both"/>
        <w:rPr>
          <w:sz w:val="20"/>
          <w:szCs w:val="20"/>
        </w:rPr>
      </w:pPr>
    </w:p>
    <w:tbl>
      <w:tblPr>
        <w:tblW w:w="5000" w:type="pct"/>
        <w:tblCellMar>
          <w:left w:w="0" w:type="dxa"/>
          <w:right w:w="0" w:type="dxa"/>
        </w:tblCellMar>
        <w:tblLook w:val="04A0" w:firstRow="1" w:lastRow="0" w:firstColumn="1" w:lastColumn="0" w:noHBand="0" w:noVBand="1"/>
      </w:tblPr>
      <w:tblGrid>
        <w:gridCol w:w="1215"/>
        <w:gridCol w:w="1527"/>
        <w:gridCol w:w="6546"/>
      </w:tblGrid>
      <w:tr w:rsidR="00C023CF" w:rsidRPr="00361664" w:rsidTr="001159DC">
        <w:trPr>
          <w:trHeight w:val="20"/>
        </w:trPr>
        <w:tc>
          <w:tcPr>
            <w:tcW w:w="1476" w:type="pct"/>
            <w:gridSpan w:val="2"/>
            <w:tcBorders>
              <w:top w:val="single" w:sz="8" w:space="0" w:color="auto"/>
              <w:left w:val="single" w:sz="8" w:space="0" w:color="auto"/>
              <w:bottom w:val="single" w:sz="4" w:space="0" w:color="auto"/>
              <w:right w:val="single" w:sz="8" w:space="0" w:color="auto"/>
            </w:tcBorders>
            <w:shd w:val="clear" w:color="auto" w:fill="CCFFCC"/>
            <w:tcMar>
              <w:top w:w="0" w:type="dxa"/>
              <w:left w:w="108" w:type="dxa"/>
              <w:bottom w:w="0" w:type="dxa"/>
              <w:right w:w="108" w:type="dxa"/>
            </w:tcMar>
            <w:hideMark/>
          </w:tcPr>
          <w:p w:rsidR="00C023CF" w:rsidRPr="00361664" w:rsidRDefault="00C023CF">
            <w:pPr>
              <w:pStyle w:val="Tabletext"/>
              <w:spacing w:before="0" w:after="0" w:line="240" w:lineRule="auto"/>
              <w:rPr>
                <w:rFonts w:ascii="Calibri" w:hAnsi="Calibri" w:cs="Calibri"/>
                <w:b/>
                <w:bCs/>
                <w:sz w:val="20"/>
                <w:szCs w:val="22"/>
                <w:lang w:val="hr-HR"/>
              </w:rPr>
            </w:pPr>
            <w:r w:rsidRPr="00361664">
              <w:rPr>
                <w:rFonts w:ascii="Calibri" w:hAnsi="Calibri" w:cs="Calibri"/>
                <w:b/>
                <w:bCs/>
                <w:sz w:val="20"/>
                <w:szCs w:val="22"/>
                <w:lang w:val="hr-HR"/>
              </w:rPr>
              <w:t xml:space="preserve">Naziv mjere </w:t>
            </w:r>
          </w:p>
        </w:tc>
        <w:tc>
          <w:tcPr>
            <w:tcW w:w="3524" w:type="pct"/>
            <w:tcBorders>
              <w:top w:val="single" w:sz="4" w:space="0" w:color="auto"/>
              <w:left w:val="single" w:sz="8" w:space="0" w:color="auto"/>
              <w:bottom w:val="single" w:sz="4" w:space="0" w:color="auto"/>
              <w:right w:val="single" w:sz="8" w:space="0" w:color="auto"/>
            </w:tcBorders>
            <w:shd w:val="clear" w:color="auto" w:fill="CCFFCC"/>
            <w:tcMar>
              <w:top w:w="0" w:type="dxa"/>
              <w:left w:w="108" w:type="dxa"/>
              <w:bottom w:w="0" w:type="dxa"/>
              <w:right w:w="108" w:type="dxa"/>
            </w:tcMar>
            <w:hideMark/>
          </w:tcPr>
          <w:p w:rsidR="00C023CF" w:rsidRPr="00361664" w:rsidRDefault="00C023CF">
            <w:pPr>
              <w:pStyle w:val="Tabletext"/>
              <w:spacing w:before="0" w:after="0" w:line="240" w:lineRule="auto"/>
              <w:rPr>
                <w:rFonts w:ascii="Calibri" w:hAnsi="Calibri" w:cs="Calibri"/>
                <w:b/>
                <w:bCs/>
                <w:sz w:val="20"/>
                <w:szCs w:val="22"/>
                <w:lang w:val="hr-HR"/>
              </w:rPr>
            </w:pPr>
            <w:r w:rsidRPr="00361664">
              <w:rPr>
                <w:rFonts w:ascii="Calibri" w:hAnsi="Calibri" w:cs="Calibri"/>
                <w:b/>
                <w:bCs/>
                <w:sz w:val="20"/>
                <w:szCs w:val="22"/>
                <w:lang w:val="hr-HR"/>
              </w:rPr>
              <w:t xml:space="preserve">Uspostavljanje i razvoj integriranog informacijskog sustava za praćenje provedbe politike energetske učinkovitosti </w:t>
            </w:r>
          </w:p>
        </w:tc>
      </w:tr>
      <w:tr w:rsidR="00C023CF" w:rsidRPr="00361664" w:rsidTr="00C023CF">
        <w:trPr>
          <w:trHeight w:val="20"/>
        </w:trPr>
        <w:tc>
          <w:tcPr>
            <w:tcW w:w="1476"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Indeks mjere</w:t>
            </w:r>
          </w:p>
        </w:tc>
        <w:tc>
          <w:tcPr>
            <w:tcW w:w="352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H</w:t>
            </w:r>
            <w:r w:rsidR="00327C08" w:rsidRPr="00361664">
              <w:rPr>
                <w:rFonts w:ascii="Calibri" w:hAnsi="Calibri" w:cs="Calibri"/>
                <w:sz w:val="20"/>
                <w:szCs w:val="22"/>
                <w:lang w:val="hr-HR"/>
              </w:rPr>
              <w:t>.6</w:t>
            </w:r>
          </w:p>
        </w:tc>
      </w:tr>
      <w:tr w:rsidR="00C023CF" w:rsidRPr="00361664" w:rsidTr="00C023CF">
        <w:trPr>
          <w:trHeight w:val="20"/>
        </w:trPr>
        <w:tc>
          <w:tcPr>
            <w:tcW w:w="654" w:type="pct"/>
            <w:vMerge w:val="restart"/>
            <w:tcBorders>
              <w:top w:val="nil"/>
              <w:left w:val="single" w:sz="8" w:space="0" w:color="auto"/>
              <w:right w:val="single" w:sz="8" w:space="0" w:color="auto"/>
            </w:tcBorders>
            <w:tcMar>
              <w:top w:w="0" w:type="dxa"/>
              <w:left w:w="108" w:type="dxa"/>
              <w:bottom w:w="0" w:type="dxa"/>
              <w:right w:w="108" w:type="dxa"/>
            </w:tcMar>
            <w:vAlign w:val="center"/>
          </w:tcPr>
          <w:p w:rsidR="00C023CF" w:rsidRPr="00361664" w:rsidRDefault="00C023CF">
            <w:pPr>
              <w:pStyle w:val="Tabletext"/>
              <w:spacing w:before="0" w:after="0" w:line="240" w:lineRule="auto"/>
              <w:rPr>
                <w:rFonts w:ascii="Calibri" w:hAnsi="Calibri" w:cs="Calibri"/>
                <w:sz w:val="20"/>
                <w:szCs w:val="22"/>
                <w:lang w:val="hr-HR"/>
              </w:rPr>
            </w:pPr>
          </w:p>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Opis</w:t>
            </w:r>
          </w:p>
        </w:tc>
        <w:tc>
          <w:tcPr>
            <w:tcW w:w="822" w:type="pct"/>
            <w:tcBorders>
              <w:top w:val="nil"/>
              <w:left w:val="nil"/>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Kategorija</w:t>
            </w:r>
          </w:p>
        </w:tc>
        <w:tc>
          <w:tcPr>
            <w:tcW w:w="3524" w:type="pct"/>
            <w:tcBorders>
              <w:top w:val="nil"/>
              <w:left w:val="nil"/>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Mehanizmi za ostvarivanje i praćenje ušteda energije</w:t>
            </w:r>
          </w:p>
        </w:tc>
      </w:tr>
      <w:tr w:rsidR="00C023CF" w:rsidRPr="00361664" w:rsidTr="00C023CF">
        <w:trPr>
          <w:trHeight w:val="20"/>
        </w:trPr>
        <w:tc>
          <w:tcPr>
            <w:tcW w:w="0" w:type="auto"/>
            <w:vMerge/>
            <w:tcBorders>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Vremenski okvir</w:t>
            </w:r>
          </w:p>
        </w:tc>
        <w:tc>
          <w:tcPr>
            <w:tcW w:w="3524" w:type="pct"/>
            <w:tcBorders>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Početak: 2014.</w:t>
            </w:r>
          </w:p>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Kraj: 2025.</w:t>
            </w:r>
          </w:p>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Predviđene veće promjene, dopune, poboljšanja: </w:t>
            </w:r>
          </w:p>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Revidirana mjera kojom se uspostavlja i nadograđuje integrirani sustav za praćenje, analiziranje, mjerenje i verifikaciju ušteda energije, te izvješćivanje, informiranje i pripremu mehanizama i planova u provedbi politike energetske učinkovitosti.  </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Cilj / kratak opis</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Integrirani informacijski sustav temelji se na Nacionalnom Sustavu za mjerenje i verifikaciju ušteda energije kao alatu koji služi za </w:t>
            </w:r>
            <w:r w:rsidR="00411708" w:rsidRPr="00361664">
              <w:rPr>
                <w:rFonts w:ascii="Calibri" w:hAnsi="Calibri" w:cs="Calibri"/>
                <w:sz w:val="20"/>
                <w:szCs w:val="22"/>
                <w:lang w:val="hr-HR"/>
              </w:rPr>
              <w:t>planiranje</w:t>
            </w:r>
            <w:r w:rsidRPr="00361664">
              <w:rPr>
                <w:rFonts w:ascii="Calibri" w:hAnsi="Calibri" w:cs="Calibri"/>
                <w:sz w:val="20"/>
                <w:szCs w:val="22"/>
                <w:lang w:val="hr-HR"/>
              </w:rPr>
              <w:t>, analizu i izvještavanje te mjerenje i verifikaciju ušteda energije</w:t>
            </w:r>
            <w:r w:rsidR="00D85379" w:rsidRPr="00361664">
              <w:rPr>
                <w:rFonts w:ascii="Calibri" w:hAnsi="Calibri" w:cs="Calibri"/>
                <w:sz w:val="20"/>
                <w:szCs w:val="22"/>
                <w:lang w:val="hr-HR"/>
              </w:rPr>
              <w:t xml:space="preserve"> i smanjenja CO</w:t>
            </w:r>
            <w:r w:rsidR="00D85379" w:rsidRPr="00361664">
              <w:rPr>
                <w:rFonts w:ascii="Calibri" w:hAnsi="Calibri" w:cs="Calibri"/>
                <w:sz w:val="20"/>
                <w:szCs w:val="22"/>
                <w:vertAlign w:val="subscript"/>
                <w:lang w:val="hr-HR"/>
              </w:rPr>
              <w:t>2</w:t>
            </w:r>
            <w:r w:rsidRPr="00361664">
              <w:rPr>
                <w:rFonts w:ascii="Calibri" w:hAnsi="Calibri" w:cs="Calibri"/>
                <w:sz w:val="20"/>
                <w:szCs w:val="22"/>
                <w:lang w:val="hr-HR"/>
              </w:rPr>
              <w:t>.</w:t>
            </w:r>
          </w:p>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Integrirani sustav služi kao podloga provedbi mjera određenih Nacionalnim akcijskim planovima u smislu praćenja provedbe svih mjera, metodoloških izračuna ušteda, izrade propisa iz područja energetske učinkovitosti, olakšavanju provedbe mjera integraciju svih sudionika i krajnjih korisnika.</w:t>
            </w:r>
          </w:p>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Ova mjera zadovoljava i olakšava ispunjavanje obveza iz direktiva EU (EPBD i </w:t>
            </w:r>
            <w:r w:rsidR="004E30E5" w:rsidRPr="00361664">
              <w:rPr>
                <w:rFonts w:ascii="Calibri" w:hAnsi="Calibri" w:cs="Calibri"/>
                <w:sz w:val="20"/>
                <w:szCs w:val="22"/>
                <w:lang w:val="hr-HR"/>
              </w:rPr>
              <w:t>DEU-a</w:t>
            </w:r>
            <w:r w:rsidRPr="00361664">
              <w:rPr>
                <w:rFonts w:ascii="Calibri" w:hAnsi="Calibri" w:cs="Calibri"/>
                <w:sz w:val="20"/>
                <w:szCs w:val="22"/>
                <w:lang w:val="hr-HR"/>
              </w:rPr>
              <w:t>), a posebno:</w:t>
            </w:r>
          </w:p>
          <w:p w:rsidR="00C023CF" w:rsidRPr="00361664" w:rsidRDefault="00C023CF" w:rsidP="00CD00FF">
            <w:pPr>
              <w:pStyle w:val="Tabletext"/>
              <w:numPr>
                <w:ilvl w:val="0"/>
                <w:numId w:val="48"/>
              </w:numPr>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Članak 7. koji navodi obvezu formiranja nadzornog sustava za praćenje mjera energetske učinkovitosti te će se sve alternativne mjere koje služe zadovoljenju obveznih ušteda, mjeriti po kriterijima koje propisuje </w:t>
            </w:r>
            <w:r w:rsidR="004E30E5" w:rsidRPr="00361664">
              <w:rPr>
                <w:rFonts w:ascii="Calibri" w:hAnsi="Calibri" w:cs="Calibri"/>
                <w:sz w:val="20"/>
                <w:szCs w:val="22"/>
                <w:lang w:val="hr-HR"/>
              </w:rPr>
              <w:t>DEU</w:t>
            </w:r>
            <w:r w:rsidRPr="00361664">
              <w:rPr>
                <w:rFonts w:ascii="Calibri" w:hAnsi="Calibri" w:cs="Calibri"/>
                <w:sz w:val="20"/>
                <w:szCs w:val="22"/>
                <w:lang w:val="hr-HR"/>
              </w:rPr>
              <w:t xml:space="preserve"> za čl. 7</w:t>
            </w:r>
          </w:p>
          <w:p w:rsidR="00C023CF" w:rsidRPr="00361664" w:rsidRDefault="00C023CF" w:rsidP="00CD00FF">
            <w:pPr>
              <w:pStyle w:val="Tabletext"/>
              <w:numPr>
                <w:ilvl w:val="0"/>
                <w:numId w:val="48"/>
              </w:numPr>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Mjerenje ušteda iz provedenih mjera koje služe zadovoljenju cilja iz članka 3. i 5. </w:t>
            </w:r>
            <w:r w:rsidR="004E30E5" w:rsidRPr="00361664">
              <w:rPr>
                <w:rFonts w:ascii="Calibri" w:hAnsi="Calibri" w:cs="Calibri"/>
                <w:sz w:val="20"/>
                <w:szCs w:val="22"/>
                <w:lang w:val="hr-HR"/>
              </w:rPr>
              <w:t>DEU-a</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Ciljna potrošnja</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Primarna i neposredna potrošnja. Provedba mjera, programa, planova i projekata energetske učinkovitosti u svim sektorima neposredne i primarne potrošnje. </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Ciljna skupina</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Svi obveznici provedbe mjera (izvršna tijela) definirani ovim akcijskim planom, obveznici planiranja (definirani Zakonom kojim se definira politika energetske učinkovitosti), operatori prijenosnih i distribucijskih sustava i opskrbljivači električnom energijom, toplinskom energijom i prirodnim plinom, JLP(R)S, FZOEU, tvrtke koje vrše energetske usluge (ESCO)</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Regionalna primjena</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Nacionalno</w:t>
            </w:r>
          </w:p>
        </w:tc>
      </w:tr>
      <w:tr w:rsidR="00C023CF" w:rsidRPr="00361664" w:rsidTr="009937D7">
        <w:trPr>
          <w:trHeight w:val="560"/>
        </w:trPr>
        <w:tc>
          <w:tcPr>
            <w:tcW w:w="6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lastRenderedPageBreak/>
              <w:t>Informacije o  provedbi</w:t>
            </w: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Popis i opis aktivnosti za provođenje mjere </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Integrirani informacijski sustav omogućava:</w:t>
            </w:r>
          </w:p>
          <w:p w:rsidR="00C023CF" w:rsidRPr="00361664" w:rsidRDefault="00C023CF" w:rsidP="00C023CF">
            <w:pPr>
              <w:pStyle w:val="Tabletext"/>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1. Redovito izvještavanje o provedbi mjera, programi planova energetske učinkovitosti prema ministarstvima zaduženim za ene</w:t>
            </w:r>
            <w:r w:rsidR="00CD40A6" w:rsidRPr="00361664">
              <w:rPr>
                <w:rFonts w:ascii="Calibri" w:hAnsi="Calibri" w:cs="Calibri"/>
                <w:sz w:val="20"/>
                <w:szCs w:val="22"/>
                <w:lang w:val="hr-HR"/>
              </w:rPr>
              <w:t>rgetiku, graditeljstvo i promet</w:t>
            </w:r>
            <w:r w:rsidRPr="00361664">
              <w:rPr>
                <w:rFonts w:ascii="Calibri" w:hAnsi="Calibri" w:cs="Calibri"/>
                <w:sz w:val="20"/>
                <w:szCs w:val="22"/>
                <w:lang w:val="hr-HR"/>
              </w:rPr>
              <w:t>, Vladi RH i Europskoj komisiji</w:t>
            </w:r>
          </w:p>
          <w:p w:rsidR="00C023CF" w:rsidRPr="00361664" w:rsidRDefault="00C023CF" w:rsidP="00C023CF">
            <w:pPr>
              <w:pStyle w:val="Tabletext"/>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2. Analizu provedbe mjera, programa i planova te preporuke za buduće razdoblje, revizije planova, mjera i programa</w:t>
            </w:r>
          </w:p>
          <w:p w:rsidR="00C023CF" w:rsidRPr="00361664" w:rsidRDefault="00C023CF" w:rsidP="00C023CF">
            <w:pPr>
              <w:pStyle w:val="Tabletext"/>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3. Lakše prepoznavanje prepreka pri provedbi mjera, planova i programa</w:t>
            </w:r>
          </w:p>
          <w:p w:rsidR="00C023CF" w:rsidRPr="00361664" w:rsidRDefault="00C023CF" w:rsidP="00C023CF">
            <w:pPr>
              <w:pStyle w:val="Tabletext"/>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4. Podršku koordinaciji provedbe politike energetske učinkovitosti</w:t>
            </w:r>
          </w:p>
          <w:p w:rsidR="00C023CF" w:rsidRPr="00361664" w:rsidRDefault="00C023CF" w:rsidP="00C023CF">
            <w:pPr>
              <w:pStyle w:val="Tabletext"/>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5. Podršku izradi nacionalnih propisa iz područja energetske učinkovitosti te podrška izradi nacionalnih planskih dokumenata</w:t>
            </w:r>
          </w:p>
          <w:p w:rsidR="00C023CF" w:rsidRPr="00361664" w:rsidRDefault="00C023CF" w:rsidP="00C023CF">
            <w:pPr>
              <w:pStyle w:val="Tabletext"/>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6. Doprinos cjelokupnom sustavu provedbe politike energetske učinkovitosti</w:t>
            </w:r>
          </w:p>
          <w:p w:rsidR="00C023CF" w:rsidRPr="00361664" w:rsidRDefault="00C023CF">
            <w:pPr>
              <w:pStyle w:val="Tabletext"/>
              <w:spacing w:before="0" w:after="0" w:line="240" w:lineRule="auto"/>
              <w:rPr>
                <w:rFonts w:ascii="Calibri" w:hAnsi="Calibri" w:cs="Calibri"/>
                <w:sz w:val="20"/>
                <w:szCs w:val="22"/>
                <w:lang w:val="hr-HR"/>
              </w:rPr>
            </w:pPr>
          </w:p>
          <w:p w:rsidR="00C023CF" w:rsidRPr="00361664" w:rsidRDefault="009937D7">
            <w:pPr>
              <w:pStyle w:val="Tabletext"/>
              <w:spacing w:before="0" w:after="0" w:line="240" w:lineRule="auto"/>
              <w:rPr>
                <w:rFonts w:ascii="Calibri" w:hAnsi="Calibri" w:cs="Calibri"/>
                <w:sz w:val="20"/>
                <w:szCs w:val="22"/>
                <w:lang w:val="hr-HR"/>
              </w:rPr>
            </w:pPr>
            <w:r>
              <w:rPr>
                <w:rFonts w:ascii="Calibri" w:hAnsi="Calibri" w:cs="Calibri"/>
                <w:sz w:val="20"/>
                <w:szCs w:val="22"/>
                <w:lang w:val="hr-HR"/>
              </w:rPr>
              <w:t>A</w:t>
            </w:r>
            <w:r w:rsidR="00C023CF" w:rsidRPr="00361664">
              <w:rPr>
                <w:rFonts w:ascii="Calibri" w:hAnsi="Calibri" w:cs="Calibri"/>
                <w:sz w:val="20"/>
                <w:szCs w:val="22"/>
                <w:lang w:val="hr-HR"/>
              </w:rPr>
              <w:t>ktivnosti:</w:t>
            </w:r>
          </w:p>
          <w:p w:rsidR="00C023CF" w:rsidRPr="00361664" w:rsidRDefault="00C023CF" w:rsidP="00CD00FF">
            <w:pPr>
              <w:pStyle w:val="Tabletext"/>
              <w:numPr>
                <w:ilvl w:val="0"/>
                <w:numId w:val="49"/>
              </w:numPr>
              <w:tabs>
                <w:tab w:val="clear" w:pos="8504"/>
              </w:tabs>
              <w:spacing w:before="0" w:after="0" w:line="240" w:lineRule="auto"/>
              <w:rPr>
                <w:rFonts w:ascii="Calibri" w:hAnsi="Calibri" w:cs="Calibri"/>
                <w:sz w:val="20"/>
                <w:szCs w:val="22"/>
                <w:lang w:val="hr-HR"/>
              </w:rPr>
            </w:pPr>
            <w:r w:rsidRPr="00361664">
              <w:rPr>
                <w:rFonts w:ascii="Calibri" w:hAnsi="Calibri" w:cs="Calibri"/>
                <w:sz w:val="20"/>
                <w:szCs w:val="22"/>
                <w:lang w:val="hr-HR"/>
              </w:rPr>
              <w:t>Daljnja nadogradnja i razvoj integriranog informacijskog i informatičkog sustava za praćenje provedbe politike energetske učinkovitosti koji provodi NKT</w:t>
            </w:r>
          </w:p>
          <w:p w:rsidR="00C023CF" w:rsidRPr="00361664" w:rsidRDefault="009937D7" w:rsidP="00CD00FF">
            <w:pPr>
              <w:numPr>
                <w:ilvl w:val="0"/>
                <w:numId w:val="50"/>
              </w:numPr>
              <w:spacing w:after="0" w:line="240" w:lineRule="auto"/>
              <w:rPr>
                <w:rFonts w:cs="Calibri"/>
                <w:sz w:val="20"/>
              </w:rPr>
            </w:pPr>
            <w:r>
              <w:rPr>
                <w:sz w:val="20"/>
              </w:rPr>
              <w:t xml:space="preserve"> </w:t>
            </w:r>
            <w:r w:rsidR="00C023CF" w:rsidRPr="00361664">
              <w:rPr>
                <w:sz w:val="20"/>
              </w:rPr>
              <w:t xml:space="preserve">Analiza potencijalnih alternativnih mjera politike prihvatljivih po čl.7. </w:t>
            </w:r>
            <w:r w:rsidR="004E30E5" w:rsidRPr="00361664">
              <w:rPr>
                <w:sz w:val="20"/>
              </w:rPr>
              <w:t>DEU</w:t>
            </w:r>
          </w:p>
          <w:p w:rsidR="00C023CF" w:rsidRPr="00361664" w:rsidRDefault="00C023CF" w:rsidP="00CD00FF">
            <w:pPr>
              <w:numPr>
                <w:ilvl w:val="0"/>
                <w:numId w:val="49"/>
              </w:numPr>
              <w:spacing w:after="0" w:line="240" w:lineRule="auto"/>
              <w:rPr>
                <w:sz w:val="20"/>
              </w:rPr>
            </w:pPr>
            <w:r w:rsidRPr="00361664">
              <w:rPr>
                <w:sz w:val="20"/>
              </w:rPr>
              <w:t>Studija izrade metodologije za izračun ušteda energije i emisija CO</w:t>
            </w:r>
            <w:r w:rsidRPr="00361664">
              <w:rPr>
                <w:sz w:val="20"/>
                <w:vertAlign w:val="subscript"/>
              </w:rPr>
              <w:t>2</w:t>
            </w:r>
            <w:r w:rsidRPr="00361664">
              <w:rPr>
                <w:sz w:val="20"/>
              </w:rPr>
              <w:t xml:space="preserve"> za nove mjere energetske učinkovitosti prema metodi odozdo prema gore (BU)</w:t>
            </w:r>
          </w:p>
          <w:p w:rsidR="00C023CF" w:rsidRPr="00361664" w:rsidRDefault="00C023CF" w:rsidP="00CD00FF">
            <w:pPr>
              <w:numPr>
                <w:ilvl w:val="0"/>
                <w:numId w:val="49"/>
              </w:numPr>
              <w:spacing w:after="0" w:line="240" w:lineRule="auto"/>
              <w:rPr>
                <w:sz w:val="20"/>
              </w:rPr>
            </w:pPr>
            <w:r w:rsidRPr="00361664">
              <w:rPr>
                <w:sz w:val="20"/>
              </w:rPr>
              <w:t xml:space="preserve">Analiza prijedloga potencijalnih mjera prihvatljivih u skladu sa Sustavom obveza energetske učinkovitosti </w:t>
            </w:r>
          </w:p>
          <w:p w:rsidR="00C023CF" w:rsidRPr="00361664" w:rsidRDefault="00C023CF" w:rsidP="00CD00FF">
            <w:pPr>
              <w:numPr>
                <w:ilvl w:val="0"/>
                <w:numId w:val="49"/>
              </w:numPr>
              <w:spacing w:after="0" w:line="240" w:lineRule="auto"/>
              <w:rPr>
                <w:sz w:val="20"/>
              </w:rPr>
            </w:pPr>
            <w:r w:rsidRPr="00361664">
              <w:rPr>
                <w:sz w:val="20"/>
              </w:rPr>
              <w:t>Izračun rezultata ušteda energije i emisija CO</w:t>
            </w:r>
            <w:r w:rsidRPr="00361664">
              <w:rPr>
                <w:sz w:val="20"/>
                <w:vertAlign w:val="subscript"/>
              </w:rPr>
              <w:t>2</w:t>
            </w:r>
            <w:r w:rsidRPr="00361664">
              <w:rPr>
                <w:sz w:val="20"/>
              </w:rPr>
              <w:t xml:space="preserve"> za provedbu mjere porezne politike „Uspostava posebnog poreza na motorna vozila na temelju emisija CO</w:t>
            </w:r>
            <w:r w:rsidRPr="00361664">
              <w:rPr>
                <w:sz w:val="20"/>
                <w:vertAlign w:val="subscript"/>
              </w:rPr>
              <w:t>2</w:t>
            </w:r>
            <w:r w:rsidRPr="00361664">
              <w:rPr>
                <w:sz w:val="20"/>
              </w:rPr>
              <w:t>“</w:t>
            </w:r>
          </w:p>
          <w:p w:rsidR="00C023CF" w:rsidRPr="00361664" w:rsidRDefault="00C023CF" w:rsidP="00CD00FF">
            <w:pPr>
              <w:numPr>
                <w:ilvl w:val="0"/>
                <w:numId w:val="49"/>
              </w:numPr>
              <w:spacing w:after="0" w:line="240" w:lineRule="auto"/>
              <w:rPr>
                <w:sz w:val="20"/>
              </w:rPr>
            </w:pPr>
            <w:r w:rsidRPr="00361664">
              <w:rPr>
                <w:sz w:val="20"/>
              </w:rPr>
              <w:t>Stručna tehnička i pravna analiza prihvatljivosti mjera EnU u neposrednoj potrošnji u skladu s kriterijima materijalnosti i dodatnosti</w:t>
            </w:r>
          </w:p>
          <w:p w:rsidR="00C023CF" w:rsidRPr="00361664" w:rsidRDefault="00C023CF" w:rsidP="00CD00FF">
            <w:pPr>
              <w:numPr>
                <w:ilvl w:val="0"/>
                <w:numId w:val="49"/>
              </w:numPr>
              <w:spacing w:after="0" w:line="240" w:lineRule="auto"/>
              <w:rPr>
                <w:sz w:val="20"/>
              </w:rPr>
            </w:pPr>
            <w:r w:rsidRPr="00361664">
              <w:rPr>
                <w:sz w:val="20"/>
              </w:rPr>
              <w:t>Jačanje kapaciteta TDU za izračun i praćenje indikatora uspješnosti provedbe Operativnog programa Konkurentnost i kohezija (TD analiza po sektorima energetske učinkovitosti)</w:t>
            </w:r>
          </w:p>
          <w:p w:rsidR="00C023CF" w:rsidRPr="00361664" w:rsidRDefault="00C023CF" w:rsidP="00CD00FF">
            <w:pPr>
              <w:numPr>
                <w:ilvl w:val="0"/>
                <w:numId w:val="49"/>
              </w:numPr>
              <w:spacing w:after="0" w:line="240" w:lineRule="auto"/>
              <w:rPr>
                <w:sz w:val="20"/>
              </w:rPr>
            </w:pPr>
            <w:r w:rsidRPr="00361664">
              <w:rPr>
                <w:sz w:val="20"/>
              </w:rPr>
              <w:t>Tehničko-stručne podloge za izradu Pravilnika o energetskim pregledima javne rasvjete prema Zakonu o energetskoj učinkovitosti</w:t>
            </w:r>
          </w:p>
          <w:p w:rsidR="00C023CF" w:rsidRPr="00361664" w:rsidRDefault="00C023CF" w:rsidP="00CD00FF">
            <w:pPr>
              <w:numPr>
                <w:ilvl w:val="0"/>
                <w:numId w:val="49"/>
              </w:numPr>
              <w:spacing w:after="0" w:line="240" w:lineRule="auto"/>
              <w:rPr>
                <w:sz w:val="20"/>
              </w:rPr>
            </w:pPr>
            <w:r w:rsidRPr="00361664">
              <w:rPr>
                <w:sz w:val="20"/>
              </w:rPr>
              <w:t xml:space="preserve">Nabava usluge tehničke pomoći pri uspostavi i razvoju sustava obveze energetske učinkovitosti </w:t>
            </w:r>
          </w:p>
          <w:p w:rsidR="00C023CF" w:rsidRPr="00361664" w:rsidRDefault="00C023CF" w:rsidP="00CD00FF">
            <w:pPr>
              <w:numPr>
                <w:ilvl w:val="0"/>
                <w:numId w:val="49"/>
              </w:numPr>
              <w:spacing w:after="0" w:line="240" w:lineRule="auto"/>
              <w:rPr>
                <w:sz w:val="20"/>
              </w:rPr>
            </w:pPr>
            <w:r w:rsidRPr="00361664">
              <w:rPr>
                <w:sz w:val="20"/>
              </w:rPr>
              <w:t xml:space="preserve">Nabava pravne usluge izrade Pravilnika o energetskim pregledima javne rasvjete i Pravilnika o sustavu obveze energetske učinkovitosti </w:t>
            </w:r>
          </w:p>
          <w:p w:rsidR="00C023CF" w:rsidRPr="00361664" w:rsidRDefault="00C023CF" w:rsidP="00CD00FF">
            <w:pPr>
              <w:numPr>
                <w:ilvl w:val="0"/>
                <w:numId w:val="49"/>
              </w:numPr>
              <w:spacing w:after="0" w:line="240" w:lineRule="auto"/>
              <w:rPr>
                <w:sz w:val="20"/>
              </w:rPr>
            </w:pPr>
            <w:r w:rsidRPr="00361664">
              <w:rPr>
                <w:sz w:val="20"/>
              </w:rPr>
              <w:t>Izrada podloga za tržišni model i poreznu politiku pri uspostavi infrastrukture za alternativna goriva</w:t>
            </w:r>
          </w:p>
          <w:p w:rsidR="00C023CF" w:rsidRPr="00361664" w:rsidRDefault="00C023CF" w:rsidP="00CD00FF">
            <w:pPr>
              <w:numPr>
                <w:ilvl w:val="0"/>
                <w:numId w:val="49"/>
              </w:numPr>
              <w:spacing w:after="0" w:line="240" w:lineRule="auto"/>
              <w:rPr>
                <w:sz w:val="20"/>
              </w:rPr>
            </w:pPr>
            <w:r w:rsidRPr="00361664">
              <w:rPr>
                <w:sz w:val="20"/>
              </w:rPr>
              <w:t>Nabava usluge izrade edukativnih i promotivnih materijala za planiranje JLRS (gradovi i županije)</w:t>
            </w:r>
          </w:p>
          <w:p w:rsidR="00C023CF" w:rsidRPr="00361664" w:rsidRDefault="00C023CF" w:rsidP="00CD00FF">
            <w:pPr>
              <w:numPr>
                <w:ilvl w:val="0"/>
                <w:numId w:val="49"/>
              </w:numPr>
              <w:spacing w:after="0" w:line="240" w:lineRule="auto"/>
              <w:rPr>
                <w:sz w:val="20"/>
              </w:rPr>
            </w:pPr>
            <w:r w:rsidRPr="00361664">
              <w:rPr>
                <w:sz w:val="20"/>
              </w:rPr>
              <w:t xml:space="preserve">Nabava usluge izrade edukativnih i promotivnih materijala za korisnike Sustava za praćenje, mjerenje i verifikaciju ušteda energije </w:t>
            </w:r>
          </w:p>
          <w:p w:rsidR="00C023CF" w:rsidRPr="00361664" w:rsidRDefault="00C023CF" w:rsidP="00CD00FF">
            <w:pPr>
              <w:numPr>
                <w:ilvl w:val="0"/>
                <w:numId w:val="49"/>
              </w:numPr>
              <w:spacing w:after="0" w:line="240" w:lineRule="auto"/>
              <w:rPr>
                <w:sz w:val="20"/>
              </w:rPr>
            </w:pPr>
            <w:r w:rsidRPr="00361664">
              <w:rPr>
                <w:sz w:val="20"/>
              </w:rPr>
              <w:t xml:space="preserve">Nabava usluga nadogradnje i adaptivnog održavanja Sustava za praćenje, mjerenje i verifikaciju ušteda energije </w:t>
            </w:r>
          </w:p>
          <w:p w:rsidR="00C023CF" w:rsidRPr="00361664" w:rsidRDefault="00C023CF" w:rsidP="00CD00FF">
            <w:pPr>
              <w:numPr>
                <w:ilvl w:val="0"/>
                <w:numId w:val="49"/>
              </w:numPr>
              <w:spacing w:after="0" w:line="240" w:lineRule="auto"/>
              <w:rPr>
                <w:sz w:val="20"/>
              </w:rPr>
            </w:pPr>
            <w:r w:rsidRPr="00361664">
              <w:rPr>
                <w:sz w:val="20"/>
              </w:rPr>
              <w:t>Nabava usluge izrade modula aplikacija baza energetskih pregleda za poduzeća u SMIVu</w:t>
            </w:r>
          </w:p>
          <w:p w:rsidR="00C023CF" w:rsidRPr="00361664" w:rsidRDefault="00C023CF" w:rsidP="00CD00FF">
            <w:pPr>
              <w:numPr>
                <w:ilvl w:val="0"/>
                <w:numId w:val="49"/>
              </w:numPr>
              <w:spacing w:after="0" w:line="240" w:lineRule="auto"/>
              <w:rPr>
                <w:sz w:val="20"/>
              </w:rPr>
            </w:pPr>
            <w:r w:rsidRPr="00361664">
              <w:rPr>
                <w:sz w:val="20"/>
              </w:rPr>
              <w:t xml:space="preserve">Dizajn i izrada aplikacije Kalkulator troška i ušteda mjera energetske učinkovitosti </w:t>
            </w:r>
          </w:p>
          <w:p w:rsidR="00C023CF" w:rsidRPr="00361664" w:rsidRDefault="00C023CF" w:rsidP="00CD00FF">
            <w:pPr>
              <w:numPr>
                <w:ilvl w:val="0"/>
                <w:numId w:val="49"/>
              </w:numPr>
              <w:spacing w:after="0" w:line="240" w:lineRule="auto"/>
              <w:rPr>
                <w:sz w:val="20"/>
              </w:rPr>
            </w:pPr>
            <w:r w:rsidRPr="00361664">
              <w:rPr>
                <w:sz w:val="20"/>
              </w:rPr>
              <w:t>Izrada interaktivne karte RH za punionice za vozila na alternativni pogon (punionice za električna vozila, SPP, UPP…)</w:t>
            </w:r>
          </w:p>
          <w:p w:rsidR="00C023CF" w:rsidRPr="00361664" w:rsidRDefault="00C023CF" w:rsidP="00CD00FF">
            <w:pPr>
              <w:numPr>
                <w:ilvl w:val="0"/>
                <w:numId w:val="49"/>
              </w:numPr>
              <w:spacing w:after="0" w:line="240" w:lineRule="auto"/>
              <w:rPr>
                <w:sz w:val="20"/>
              </w:rPr>
            </w:pPr>
            <w:r w:rsidRPr="00361664">
              <w:rPr>
                <w:sz w:val="20"/>
              </w:rPr>
              <w:t>Analiza i izrada podloga za uvođenje provedbenih mjera politike za uspostavu infrastrukture za alternativna goriva</w:t>
            </w:r>
          </w:p>
          <w:p w:rsidR="00C023CF" w:rsidRPr="00361664" w:rsidRDefault="00C023CF" w:rsidP="00CD00FF">
            <w:pPr>
              <w:numPr>
                <w:ilvl w:val="0"/>
                <w:numId w:val="49"/>
              </w:numPr>
              <w:spacing w:after="0" w:line="240" w:lineRule="auto"/>
              <w:rPr>
                <w:sz w:val="20"/>
              </w:rPr>
            </w:pPr>
            <w:r w:rsidRPr="00361664">
              <w:rPr>
                <w:sz w:val="20"/>
              </w:rPr>
              <w:t>Stručne podloge za uređenje uvjeta priključka na elektro-energetski sustav za punionice, uvijete distribuiranja, naplate i  jediničnu cijenu alternativnih energenata koji se koriste u prometu</w:t>
            </w:r>
          </w:p>
          <w:p w:rsidR="009937D7" w:rsidRDefault="00C023CF" w:rsidP="009937D7">
            <w:pPr>
              <w:numPr>
                <w:ilvl w:val="0"/>
                <w:numId w:val="49"/>
              </w:numPr>
              <w:spacing w:after="0" w:line="240" w:lineRule="auto"/>
              <w:rPr>
                <w:rFonts w:cs="Calibri"/>
                <w:sz w:val="20"/>
              </w:rPr>
            </w:pPr>
            <w:r w:rsidRPr="00361664">
              <w:rPr>
                <w:sz w:val="20"/>
              </w:rPr>
              <w:t xml:space="preserve">Stručna i tehnička pomoć pri izradi 5. Nacionalnog akcijskog plana </w:t>
            </w:r>
            <w:r w:rsidRPr="00361664">
              <w:rPr>
                <w:sz w:val="20"/>
              </w:rPr>
              <w:lastRenderedPageBreak/>
              <w:t>energetske učinkovitosti</w:t>
            </w:r>
          </w:p>
          <w:p w:rsidR="009937D7" w:rsidRDefault="009937D7" w:rsidP="009937D7">
            <w:pPr>
              <w:rPr>
                <w:rFonts w:cs="Calibri"/>
                <w:sz w:val="20"/>
              </w:rPr>
            </w:pPr>
          </w:p>
          <w:p w:rsidR="00C023CF" w:rsidRPr="009937D7" w:rsidRDefault="00C023CF" w:rsidP="009937D7">
            <w:pPr>
              <w:rPr>
                <w:rFonts w:cs="Calibri"/>
                <w:sz w:val="20"/>
              </w:rPr>
            </w:pP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Financijska sredstva i izvori financiranja</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944985">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 Nisu procijenjena potrebna sredstva </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Izvršno  tijelo</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194ED3">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MZOE</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640C0B">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Tijelo za praćenje, mjerenje i verifikaciju ušteda</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194ED3">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NKT</w:t>
            </w:r>
          </w:p>
        </w:tc>
      </w:tr>
      <w:tr w:rsidR="00C023CF" w:rsidRPr="00361664" w:rsidTr="00C023CF">
        <w:trPr>
          <w:trHeight w:val="20"/>
        </w:trPr>
        <w:tc>
          <w:tcPr>
            <w:tcW w:w="6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23CF" w:rsidRPr="00361664" w:rsidRDefault="00C023CF">
            <w:pPr>
              <w:pStyle w:val="Tabletext"/>
              <w:spacing w:before="0" w:after="0" w:line="240" w:lineRule="auto"/>
              <w:rPr>
                <w:rFonts w:ascii="Calibri" w:hAnsi="Calibri" w:cs="Calibri"/>
                <w:color w:val="FF0000"/>
                <w:sz w:val="20"/>
                <w:szCs w:val="22"/>
                <w:lang w:val="hr-HR"/>
              </w:rPr>
            </w:pPr>
            <w:r w:rsidRPr="00361664">
              <w:rPr>
                <w:rFonts w:ascii="Calibri" w:hAnsi="Calibri" w:cs="Calibri"/>
                <w:sz w:val="20"/>
                <w:szCs w:val="22"/>
                <w:lang w:val="hr-HR"/>
              </w:rPr>
              <w:t>Uštede energije</w:t>
            </w:r>
          </w:p>
          <w:p w:rsidR="00C023CF" w:rsidRPr="00361664" w:rsidRDefault="00C023CF">
            <w:pPr>
              <w:pStyle w:val="Tabletext"/>
              <w:spacing w:before="0" w:after="0" w:line="240" w:lineRule="auto"/>
              <w:rPr>
                <w:rFonts w:ascii="Calibri" w:hAnsi="Calibri" w:cs="Calibri"/>
                <w:sz w:val="20"/>
                <w:szCs w:val="22"/>
                <w:lang w:val="hr-HR"/>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Metoda praćenja / mjerenja ušteda energije</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Ovom mjerom na nacionalnoj razini se primjenjuje izračun o provedenim mjerama, programima, planovima energetske učinkovitosti prema metodama BU i TD kao i dopune i izmjene Pravilnika o metodologiji za praćenje mjerenje i verifikaciju ušteda energije. Mjera je preduvjet za kvantificiranje rezultata svih provedenih mjera.</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A9135D">
            <w:pPr>
              <w:pStyle w:val="Tabletext"/>
              <w:spacing w:before="0" w:after="0" w:line="240" w:lineRule="auto"/>
              <w:rPr>
                <w:rFonts w:ascii="Calibri" w:hAnsi="Calibri" w:cs="Calibri"/>
                <w:sz w:val="20"/>
                <w:szCs w:val="22"/>
                <w:highlight w:val="yellow"/>
                <w:lang w:val="hr-HR"/>
              </w:rPr>
            </w:pPr>
            <w:r w:rsidRPr="00361664">
              <w:rPr>
                <w:rFonts w:ascii="Calibri" w:hAnsi="Calibri" w:cs="Calibri"/>
                <w:sz w:val="20"/>
                <w:szCs w:val="22"/>
                <w:lang w:val="hr-HR"/>
              </w:rPr>
              <w:t>Očekivane uštede energije do kraja 2019.</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84DC5">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Nije procijenjeno</w:t>
            </w:r>
          </w:p>
        </w:tc>
      </w:tr>
      <w:tr w:rsidR="00A9135D"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tcPr>
          <w:p w:rsidR="00A9135D" w:rsidRPr="00361664" w:rsidRDefault="00A9135D">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tcPr>
          <w:p w:rsidR="00A9135D" w:rsidRPr="00361664" w:rsidRDefault="004831DF">
            <w:pPr>
              <w:pStyle w:val="Tabletext"/>
              <w:spacing w:before="0" w:after="0" w:line="240" w:lineRule="auto"/>
              <w:rPr>
                <w:rFonts w:ascii="Calibri" w:hAnsi="Calibri"/>
                <w:sz w:val="20"/>
                <w:lang w:val="hr-HR"/>
              </w:rPr>
            </w:pPr>
            <w:r w:rsidRPr="00361664">
              <w:rPr>
                <w:rFonts w:ascii="Calibri" w:hAnsi="Calibri" w:cs="Calibri"/>
                <w:sz w:val="20"/>
                <w:szCs w:val="22"/>
                <w:lang w:val="hr-HR"/>
              </w:rPr>
              <w:t>Očekivane</w:t>
            </w:r>
            <w:r w:rsidRPr="00361664">
              <w:rPr>
                <w:rFonts w:ascii="Calibri" w:hAnsi="Calibri"/>
                <w:sz w:val="20"/>
                <w:lang w:val="hr-HR"/>
              </w:rPr>
              <w:t xml:space="preserve"> uštede energije </w:t>
            </w:r>
            <w:r w:rsidRPr="00361664">
              <w:rPr>
                <w:rFonts w:ascii="Calibri" w:hAnsi="Calibri" w:cs="Calibri"/>
                <w:sz w:val="20"/>
                <w:szCs w:val="22"/>
                <w:lang w:val="hr-HR"/>
              </w:rPr>
              <w:t>do kraja</w:t>
            </w:r>
            <w:r w:rsidRPr="00361664">
              <w:rPr>
                <w:rFonts w:ascii="Calibri" w:hAnsi="Calibri"/>
                <w:sz w:val="20"/>
                <w:lang w:val="hr-HR"/>
              </w:rPr>
              <w:t xml:space="preserve"> 2020.</w:t>
            </w: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tcPr>
          <w:p w:rsidR="00A9135D" w:rsidRPr="00361664" w:rsidRDefault="00A9135D">
            <w:pPr>
              <w:pStyle w:val="Tabletext"/>
              <w:spacing w:before="0" w:after="0" w:line="240" w:lineRule="auto"/>
              <w:rPr>
                <w:rFonts w:ascii="Calibri" w:hAnsi="Calibri" w:cs="Calibri"/>
                <w:sz w:val="20"/>
                <w:szCs w:val="22"/>
                <w:lang w:val="hr-HR"/>
              </w:rPr>
            </w:pPr>
            <w:r w:rsidRPr="00361664">
              <w:rPr>
                <w:rFonts w:asciiTheme="minorHAnsi" w:hAnsiTheme="minorHAnsi"/>
                <w:sz w:val="20"/>
                <w:lang w:val="hr-HR"/>
              </w:rPr>
              <w:t xml:space="preserve">Nije </w:t>
            </w:r>
            <w:r w:rsidRPr="00361664">
              <w:rPr>
                <w:rFonts w:ascii="Calibri" w:hAnsi="Calibri"/>
                <w:sz w:val="20"/>
                <w:lang w:val="hr-HR"/>
              </w:rPr>
              <w:t>procijenjeno</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tcPr>
          <w:p w:rsidR="00C023CF" w:rsidRPr="00361664" w:rsidRDefault="00C023CF">
            <w:pPr>
              <w:pStyle w:val="Tabletext"/>
              <w:spacing w:before="0" w:after="0" w:line="240" w:lineRule="auto"/>
              <w:rPr>
                <w:rFonts w:ascii="Calibri" w:hAnsi="Calibri" w:cs="Calibri"/>
                <w:color w:val="FF0000"/>
                <w:sz w:val="20"/>
                <w:szCs w:val="22"/>
                <w:lang w:val="hr-HR"/>
              </w:rPr>
            </w:pPr>
            <w:r w:rsidRPr="00361664">
              <w:rPr>
                <w:rFonts w:ascii="Calibri" w:hAnsi="Calibri" w:cs="Calibri"/>
                <w:sz w:val="20"/>
                <w:szCs w:val="22"/>
                <w:lang w:val="hr-HR"/>
              </w:rPr>
              <w:t>Pretpostavke</w:t>
            </w:r>
          </w:p>
          <w:p w:rsidR="00C023CF" w:rsidRPr="00361664" w:rsidRDefault="00C023CF">
            <w:pPr>
              <w:pStyle w:val="Tabletext"/>
              <w:spacing w:before="0" w:after="0" w:line="240" w:lineRule="auto"/>
              <w:rPr>
                <w:rFonts w:ascii="Calibri" w:hAnsi="Calibri" w:cs="Calibri"/>
                <w:sz w:val="20"/>
                <w:szCs w:val="22"/>
                <w:lang w:val="hr-HR"/>
              </w:rPr>
            </w:pP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 xml:space="preserve">/  </w:t>
            </w:r>
          </w:p>
        </w:tc>
      </w:tr>
      <w:tr w:rsidR="00C023CF" w:rsidRPr="00361664" w:rsidTr="00C023CF">
        <w:trPr>
          <w:trHeight w:val="20"/>
        </w:trPr>
        <w:tc>
          <w:tcPr>
            <w:tcW w:w="0" w:type="auto"/>
            <w:vMerge/>
            <w:tcBorders>
              <w:top w:val="nil"/>
              <w:left w:val="single" w:sz="8" w:space="0" w:color="auto"/>
              <w:bottom w:val="single" w:sz="8" w:space="0" w:color="auto"/>
              <w:right w:val="single" w:sz="8" w:space="0" w:color="auto"/>
            </w:tcBorders>
            <w:vAlign w:val="center"/>
            <w:hideMark/>
          </w:tcPr>
          <w:p w:rsidR="00C023CF" w:rsidRPr="00361664" w:rsidRDefault="00C023CF">
            <w:pPr>
              <w:rPr>
                <w:rFonts w:eastAsiaTheme="minorHAnsi" w:cs="Calibri"/>
                <w:sz w:val="20"/>
                <w:lang w:eastAsia="de-DE"/>
              </w:rPr>
            </w:pPr>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tcPr>
          <w:p w:rsidR="00C023CF" w:rsidRPr="00361664" w:rsidRDefault="00C023CF">
            <w:pPr>
              <w:pStyle w:val="Tabletext"/>
              <w:spacing w:before="0" w:after="0" w:line="240" w:lineRule="auto"/>
              <w:rPr>
                <w:rFonts w:ascii="Calibri" w:hAnsi="Calibri" w:cs="Calibri"/>
                <w:sz w:val="20"/>
                <w:szCs w:val="22"/>
                <w:lang w:val="hr-HR"/>
              </w:rPr>
            </w:pPr>
            <w:r w:rsidRPr="00361664">
              <w:rPr>
                <w:rFonts w:ascii="Calibri" w:hAnsi="Calibri" w:cs="Calibri"/>
                <w:sz w:val="20"/>
                <w:szCs w:val="22"/>
                <w:lang w:val="hr-HR"/>
              </w:rPr>
              <w:t>Preklapanja, efekt množenja, sinergija</w:t>
            </w:r>
          </w:p>
          <w:p w:rsidR="00C023CF" w:rsidRPr="00361664" w:rsidRDefault="00C023CF">
            <w:pPr>
              <w:pStyle w:val="Tabletext"/>
              <w:spacing w:before="0" w:after="0" w:line="240" w:lineRule="auto"/>
              <w:rPr>
                <w:rFonts w:ascii="Calibri" w:hAnsi="Calibri" w:cs="Calibri"/>
                <w:sz w:val="20"/>
                <w:szCs w:val="22"/>
                <w:lang w:val="hr-HR"/>
              </w:rPr>
            </w:pPr>
          </w:p>
        </w:tc>
        <w:tc>
          <w:tcPr>
            <w:tcW w:w="3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3CF" w:rsidRPr="00361664" w:rsidRDefault="00C023CF">
            <w:pPr>
              <w:jc w:val="both"/>
              <w:rPr>
                <w:rFonts w:cs="Calibri"/>
                <w:sz w:val="20"/>
              </w:rPr>
            </w:pPr>
            <w:r w:rsidRPr="00361664">
              <w:rPr>
                <w:sz w:val="20"/>
              </w:rPr>
              <w:t xml:space="preserve">Ova mjera kompatibilna je sa svim mjerama navedenim u akcijskim planovima, ali i na ostale obveznike provedbe zakona kojim se definira politika energetske učinkovitosti. Ova mjera utječe i na buduća razdoblja pripreme mjera energetske učinkovitosti (nakon 2016.godine), jer će se sustavnim integriranim praćenjem provedbe mjera i razvoja opće politike energetske učinkovitosti, steći informacije i kvalitetno planirati buduća razdoblja. </w:t>
            </w:r>
          </w:p>
        </w:tc>
      </w:tr>
    </w:tbl>
    <w:p w:rsidR="008C0DE2" w:rsidRPr="00361664" w:rsidRDefault="008C0DE2" w:rsidP="00651BCA">
      <w:pPr>
        <w:jc w:val="both"/>
        <w:rPr>
          <w:lang w:eastAsia="de-DE"/>
        </w:rPr>
      </w:pPr>
    </w:p>
    <w:p w:rsidR="000A1D30" w:rsidRPr="00361036" w:rsidRDefault="00275F4E" w:rsidP="00361036">
      <w:pPr>
        <w:pStyle w:val="Naslov3"/>
        <w:rPr>
          <w:rStyle w:val="Jakoisticanje"/>
          <w:b/>
          <w:bCs w:val="0"/>
          <w:i/>
          <w:iCs w:val="0"/>
          <w:color w:val="375F91"/>
        </w:rPr>
      </w:pPr>
      <w:bookmarkStart w:id="28" w:name="_Toc535245849"/>
      <w:r w:rsidRPr="00361036">
        <w:rPr>
          <w:rStyle w:val="Jakoisticanje"/>
          <w:b/>
          <w:bCs w:val="0"/>
          <w:i/>
          <w:iCs w:val="0"/>
          <w:color w:val="375F91"/>
        </w:rPr>
        <w:t>U</w:t>
      </w:r>
      <w:r w:rsidR="003412CD" w:rsidRPr="00361036">
        <w:rPr>
          <w:rStyle w:val="Jakoisticanje"/>
          <w:b/>
          <w:bCs w:val="0"/>
          <w:i/>
          <w:iCs w:val="0"/>
          <w:color w:val="375F91"/>
        </w:rPr>
        <w:t xml:space="preserve">štede koje </w:t>
      </w:r>
      <w:r w:rsidR="00716D5A" w:rsidRPr="00361036">
        <w:rPr>
          <w:rStyle w:val="Jakoisticanje"/>
          <w:b/>
          <w:bCs w:val="0"/>
          <w:i/>
          <w:iCs w:val="0"/>
          <w:color w:val="375F91"/>
        </w:rPr>
        <w:t>proizlaze</w:t>
      </w:r>
      <w:r w:rsidR="003412CD" w:rsidRPr="00361036">
        <w:rPr>
          <w:rStyle w:val="Jakoisticanje"/>
          <w:b/>
          <w:bCs w:val="0"/>
          <w:i/>
          <w:iCs w:val="0"/>
          <w:color w:val="375F91"/>
        </w:rPr>
        <w:t xml:space="preserve"> iz horizontalnih mjera</w:t>
      </w:r>
      <w:bookmarkEnd w:id="28"/>
    </w:p>
    <w:p w:rsidR="00944F9E" w:rsidRPr="00361664" w:rsidRDefault="004B1C0A" w:rsidP="00651BCA">
      <w:pPr>
        <w:spacing w:line="300" w:lineRule="atLeast"/>
        <w:jc w:val="both"/>
        <w:rPr>
          <w:rFonts w:asciiTheme="minorHAnsi" w:hAnsiTheme="minorHAnsi"/>
          <w:bCs/>
          <w:sz w:val="20"/>
          <w:szCs w:val="20"/>
        </w:rPr>
      </w:pPr>
      <w:r w:rsidRPr="00361664">
        <w:rPr>
          <w:rFonts w:asciiTheme="minorHAnsi" w:hAnsiTheme="minorHAnsi"/>
          <w:bCs/>
          <w:sz w:val="20"/>
          <w:szCs w:val="20"/>
        </w:rPr>
        <w:t>Prethodno o</w:t>
      </w:r>
      <w:r w:rsidR="000A1D30" w:rsidRPr="00361664">
        <w:rPr>
          <w:rFonts w:asciiTheme="minorHAnsi" w:hAnsiTheme="minorHAnsi"/>
          <w:bCs/>
          <w:sz w:val="20"/>
          <w:szCs w:val="20"/>
        </w:rPr>
        <w:t xml:space="preserve">pisano </w:t>
      </w:r>
      <w:r w:rsidR="00716D5A" w:rsidRPr="00361664">
        <w:rPr>
          <w:rFonts w:asciiTheme="minorHAnsi" w:hAnsiTheme="minorHAnsi"/>
          <w:bCs/>
          <w:sz w:val="20"/>
          <w:szCs w:val="20"/>
        </w:rPr>
        <w:t>u svakoj</w:t>
      </w:r>
      <w:r w:rsidR="000A1D30" w:rsidRPr="00361664">
        <w:rPr>
          <w:rFonts w:asciiTheme="minorHAnsi" w:hAnsiTheme="minorHAnsi"/>
          <w:bCs/>
          <w:sz w:val="20"/>
          <w:szCs w:val="20"/>
        </w:rPr>
        <w:t xml:space="preserve"> mjeri pojedinačno.</w:t>
      </w:r>
      <w:r w:rsidR="00944F9E" w:rsidRPr="00361664">
        <w:rPr>
          <w:rFonts w:asciiTheme="minorHAnsi" w:hAnsiTheme="minorHAnsi"/>
          <w:bCs/>
          <w:sz w:val="20"/>
          <w:szCs w:val="20"/>
        </w:rPr>
        <w:tab/>
      </w:r>
    </w:p>
    <w:p w:rsidR="000A1D30" w:rsidRPr="00361036" w:rsidRDefault="00944F9E" w:rsidP="00361036">
      <w:pPr>
        <w:pStyle w:val="Naslov3"/>
        <w:rPr>
          <w:rStyle w:val="Jakoisticanje"/>
          <w:b/>
          <w:bCs w:val="0"/>
          <w:i/>
          <w:iCs w:val="0"/>
          <w:color w:val="375F91"/>
        </w:rPr>
      </w:pPr>
      <w:bookmarkStart w:id="29" w:name="_Toc535245850"/>
      <w:r w:rsidRPr="00361036">
        <w:rPr>
          <w:rStyle w:val="Jakoisticanje"/>
          <w:b/>
          <w:bCs w:val="0"/>
          <w:i/>
          <w:iCs w:val="0"/>
          <w:color w:val="375F91"/>
        </w:rPr>
        <w:t>Financi</w:t>
      </w:r>
      <w:r w:rsidR="003412CD" w:rsidRPr="00361036">
        <w:rPr>
          <w:rStyle w:val="Jakoisticanje"/>
          <w:b/>
          <w:bCs w:val="0"/>
          <w:i/>
          <w:iCs w:val="0"/>
          <w:color w:val="375F91"/>
        </w:rPr>
        <w:t>ranje horizontalnih mjera</w:t>
      </w:r>
      <w:bookmarkEnd w:id="29"/>
    </w:p>
    <w:p w:rsidR="000A1D30" w:rsidRPr="00361664" w:rsidRDefault="004B1C0A" w:rsidP="00EE6A0A">
      <w:pPr>
        <w:spacing w:line="300" w:lineRule="atLeast"/>
        <w:jc w:val="both"/>
        <w:rPr>
          <w:rStyle w:val="Jakoisticanje"/>
          <w:b w:val="0"/>
          <w:iCs w:val="0"/>
          <w:color w:val="365F91"/>
        </w:rPr>
      </w:pPr>
      <w:r w:rsidRPr="00361664">
        <w:rPr>
          <w:rFonts w:asciiTheme="minorHAnsi" w:hAnsiTheme="minorHAnsi"/>
          <w:bCs/>
          <w:sz w:val="20"/>
          <w:szCs w:val="20"/>
        </w:rPr>
        <w:t xml:space="preserve">Prethodno opisano </w:t>
      </w:r>
      <w:r w:rsidR="00716D5A" w:rsidRPr="00361664">
        <w:rPr>
          <w:rFonts w:asciiTheme="minorHAnsi" w:hAnsiTheme="minorHAnsi"/>
          <w:bCs/>
          <w:sz w:val="20"/>
          <w:szCs w:val="20"/>
        </w:rPr>
        <w:t>u svakoj</w:t>
      </w:r>
      <w:r w:rsidRPr="00361664">
        <w:rPr>
          <w:rFonts w:asciiTheme="minorHAnsi" w:hAnsiTheme="minorHAnsi"/>
          <w:bCs/>
          <w:sz w:val="20"/>
          <w:szCs w:val="20"/>
        </w:rPr>
        <w:t xml:space="preserve"> mjeri pojedinačno.</w:t>
      </w:r>
      <w:r w:rsidR="00944F9E" w:rsidRPr="00361664">
        <w:rPr>
          <w:rStyle w:val="Jakoisticanje"/>
          <w:b w:val="0"/>
          <w:iCs w:val="0"/>
          <w:color w:val="365F91"/>
        </w:rPr>
        <w:tab/>
      </w:r>
      <w:r w:rsidR="000A1D30" w:rsidRPr="00361664">
        <w:rPr>
          <w:rStyle w:val="Jakoisticanje"/>
          <w:b w:val="0"/>
          <w:bCs w:val="0"/>
          <w:color w:val="365F91"/>
        </w:rPr>
        <w:br w:type="page"/>
      </w:r>
    </w:p>
    <w:p w:rsidR="008314D6" w:rsidRPr="00361036" w:rsidRDefault="001D5B34" w:rsidP="00C745B5">
      <w:pPr>
        <w:pStyle w:val="Naslov2"/>
        <w:rPr>
          <w:i w:val="0"/>
        </w:rPr>
      </w:pPr>
      <w:bookmarkStart w:id="30" w:name="_Toc535245851"/>
      <w:r w:rsidRPr="00361036">
        <w:rPr>
          <w:i w:val="0"/>
        </w:rPr>
        <w:lastRenderedPageBreak/>
        <w:t>Energetska</w:t>
      </w:r>
      <w:r w:rsidRPr="00361036">
        <w:rPr>
          <w:rStyle w:val="Jakoisticanje"/>
          <w:b/>
          <w:bCs/>
          <w:i/>
          <w:iCs/>
          <w:color w:val="375F91"/>
        </w:rPr>
        <w:t xml:space="preserve"> </w:t>
      </w:r>
      <w:r w:rsidRPr="00361036">
        <w:rPr>
          <w:rStyle w:val="Jakoisticanje"/>
          <w:b/>
          <w:bCs/>
          <w:iCs/>
          <w:color w:val="375F91"/>
        </w:rPr>
        <w:t>učinkovitost</w:t>
      </w:r>
      <w:r w:rsidR="003412CD" w:rsidRPr="00361036">
        <w:rPr>
          <w:rStyle w:val="Jakoisticanje"/>
          <w:b/>
          <w:bCs/>
          <w:iCs/>
          <w:color w:val="375F91"/>
        </w:rPr>
        <w:t xml:space="preserve"> u zgradarstvu</w:t>
      </w:r>
      <w:bookmarkEnd w:id="30"/>
      <w:r w:rsidR="004B7242" w:rsidRPr="00361036">
        <w:rPr>
          <w:rStyle w:val="Jakoisticanje"/>
          <w:b/>
          <w:bCs/>
          <w:iCs/>
          <w:color w:val="375F91"/>
        </w:rPr>
        <w:br/>
      </w:r>
    </w:p>
    <w:p w:rsidR="006745E8" w:rsidRPr="00361664" w:rsidRDefault="006745E8" w:rsidP="006745E8">
      <w:pPr>
        <w:jc w:val="both"/>
        <w:rPr>
          <w:sz w:val="20"/>
        </w:rPr>
      </w:pPr>
      <w:r w:rsidRPr="00361664">
        <w:rPr>
          <w:sz w:val="20"/>
        </w:rPr>
        <w:t>Provedba većina mjera energetske učinkovitosti u zgradarstvu iz 3. NAPEnU nastavlja se pri čemu su mjere ažurirane i prilagođene novim uvjetima sufinanciranja. Sredstva se od 2016. počinju povlačiti iz Europskih fondova, u sklopu Operativnog programa Konkurentnost i kohezija</w:t>
      </w:r>
      <w:r w:rsidR="008D023C" w:rsidRPr="00361664">
        <w:rPr>
          <w:sz w:val="20"/>
        </w:rPr>
        <w:t xml:space="preserve"> (OPKK)</w:t>
      </w:r>
      <w:r w:rsidRPr="00361664">
        <w:rPr>
          <w:sz w:val="20"/>
        </w:rPr>
        <w:t xml:space="preserve">.  </w:t>
      </w:r>
      <w:r w:rsidR="008D023C" w:rsidRPr="00361664">
        <w:rPr>
          <w:sz w:val="20"/>
        </w:rPr>
        <w:t>U 4. NAPEnU glavni nositelji povećanja energetske učinkovitosti u zgrada</w:t>
      </w:r>
      <w:r w:rsidR="00411708" w:rsidRPr="00361664">
        <w:rPr>
          <w:sz w:val="20"/>
        </w:rPr>
        <w:t>r</w:t>
      </w:r>
      <w:r w:rsidR="008D023C" w:rsidRPr="00361664">
        <w:rPr>
          <w:sz w:val="20"/>
        </w:rPr>
        <w:t xml:space="preserve">stvu su programi energetske obnove </w:t>
      </w:r>
      <w:r w:rsidR="0079524F" w:rsidRPr="00361664">
        <w:rPr>
          <w:sz w:val="20"/>
        </w:rPr>
        <w:t xml:space="preserve">zgrada javnog sektora, </w:t>
      </w:r>
      <w:r w:rsidR="008D023C" w:rsidRPr="00361664">
        <w:rPr>
          <w:sz w:val="20"/>
        </w:rPr>
        <w:t xml:space="preserve">višestambenih zgrada, obiteljskih kuća i komercijalnih nestambenih zgrada. </w:t>
      </w:r>
    </w:p>
    <w:p w:rsidR="0079524F" w:rsidRPr="00361664" w:rsidRDefault="0079524F" w:rsidP="006745E8">
      <w:pPr>
        <w:jc w:val="both"/>
        <w:rPr>
          <w:sz w:val="20"/>
        </w:rPr>
      </w:pPr>
      <w:r w:rsidRPr="00361664">
        <w:rPr>
          <w:sz w:val="20"/>
        </w:rPr>
        <w:t>Investicije u energetsku obnovu višestambenih zgrada i obiteljskih kuća su velike. Dosadašnja realizacija plana je pokazala da je zapravo interes građana veći nego je planirano. Od 2016. godine za ovu svrhu se više ne koriste nacionalna sredstva već isključivo EU sredstva osigurana u sklopu Operativnog programa Konkurentnost i kohezija 2014-2020. Cilj ovih mjera je doprinjeti klimatsko-energetskim ciljevima Strategije Europa 2020 te povećati vrijednost nacionalnog postojećeg stambenog bloka poboljšanjem energetske učinkovitosti i smanjenjem potrošnje energije.</w:t>
      </w:r>
    </w:p>
    <w:p w:rsidR="001001E5" w:rsidRPr="00361664" w:rsidRDefault="001001E5" w:rsidP="001001E5">
      <w:pPr>
        <w:rPr>
          <w:sz w:val="20"/>
        </w:rPr>
      </w:pPr>
      <w:r w:rsidRPr="00361664">
        <w:rPr>
          <w:sz w:val="20"/>
        </w:rPr>
        <w:t>Ministarstvo graditeljstva i prostornoga uređenja najavilo je objavu Poziva na dostavu projektnih prijedloga „Energetska obnova i korištenje obnovljivih izvora energije u zgradama javnog sektora“, tijekom IV. kvartala 2017. godine kojim će se podupirati provedba mjera energetske obnove i korištenje obnovljivih izvora energije, posebno integriranim pristupom, u zgradama javnog sektora. Prijavitelji mogu biti:</w:t>
      </w:r>
    </w:p>
    <w:p w:rsidR="001001E5" w:rsidRPr="00361664" w:rsidRDefault="001001E5" w:rsidP="001001E5">
      <w:pPr>
        <w:pStyle w:val="Odlomakpopisa"/>
        <w:numPr>
          <w:ilvl w:val="0"/>
          <w:numId w:val="66"/>
        </w:numPr>
        <w:rPr>
          <w:sz w:val="20"/>
        </w:rPr>
      </w:pPr>
      <w:r w:rsidRPr="00361664">
        <w:rPr>
          <w:sz w:val="20"/>
        </w:rPr>
        <w:t>Ministarstva, središnji državni uredi, državne upravne organizacije i uredi državne uprave u županijama</w:t>
      </w:r>
    </w:p>
    <w:p w:rsidR="001001E5" w:rsidRPr="00361664" w:rsidRDefault="001001E5" w:rsidP="001001E5">
      <w:pPr>
        <w:pStyle w:val="Odlomakpopisa"/>
        <w:numPr>
          <w:ilvl w:val="0"/>
          <w:numId w:val="66"/>
        </w:numPr>
        <w:rPr>
          <w:sz w:val="20"/>
        </w:rPr>
      </w:pPr>
      <w:r w:rsidRPr="00361664">
        <w:rPr>
          <w:sz w:val="20"/>
        </w:rPr>
        <w:t>Jedinice lokalne ili područne (regionalne) samouprave</w:t>
      </w:r>
    </w:p>
    <w:p w:rsidR="001001E5" w:rsidRPr="00361664" w:rsidRDefault="001001E5" w:rsidP="001001E5">
      <w:pPr>
        <w:pStyle w:val="Odlomakpopisa"/>
        <w:numPr>
          <w:ilvl w:val="0"/>
          <w:numId w:val="66"/>
        </w:numPr>
        <w:rPr>
          <w:sz w:val="20"/>
        </w:rPr>
      </w:pPr>
      <w:r w:rsidRPr="00361664">
        <w:rPr>
          <w:sz w:val="20"/>
        </w:rPr>
        <w:t>Javne ustanove ili ustanove koje obavljaju društvene djelatnosti</w:t>
      </w:r>
    </w:p>
    <w:p w:rsidR="001001E5" w:rsidRPr="00361664" w:rsidRDefault="001001E5" w:rsidP="001001E5">
      <w:pPr>
        <w:pStyle w:val="Odlomakpopisa"/>
        <w:numPr>
          <w:ilvl w:val="0"/>
          <w:numId w:val="66"/>
        </w:numPr>
        <w:rPr>
          <w:sz w:val="20"/>
        </w:rPr>
      </w:pPr>
      <w:r w:rsidRPr="00361664">
        <w:rPr>
          <w:sz w:val="20"/>
        </w:rPr>
        <w:t>Vjerske zajednice koje obavljaju društvene djelatnosti</w:t>
      </w:r>
    </w:p>
    <w:p w:rsidR="001001E5" w:rsidRPr="00361664" w:rsidRDefault="001001E5" w:rsidP="001001E5">
      <w:pPr>
        <w:rPr>
          <w:sz w:val="20"/>
        </w:rPr>
      </w:pPr>
      <w:r w:rsidRPr="00361664">
        <w:rPr>
          <w:sz w:val="20"/>
        </w:rPr>
        <w:t>Za dodjelu u okviru ovog Poziva raspoloživo je 380 milijuna kuna u Državnom proračunu RH osigurano iz Europskog fonda za regionalni razvoj.</w:t>
      </w:r>
    </w:p>
    <w:p w:rsidR="001001E5" w:rsidRPr="00361664" w:rsidRDefault="001001E5" w:rsidP="001001E5">
      <w:pPr>
        <w:rPr>
          <w:sz w:val="20"/>
        </w:rPr>
      </w:pPr>
      <w:r w:rsidRPr="00361664">
        <w:rPr>
          <w:sz w:val="20"/>
        </w:rPr>
        <w:t>Cilj Poziva je smanjenje potrošnje energije za grijanje/hlađenje (QH,nd) na godišnjoj razini (kWh/god) od najmanje 50% u odnosu na godišnju potrošnju energije za grijanje/hlađenje prije provedbe mjera energetske obnove i korištenje obnovljivih izvora energije u zgradama javnog sektora.</w:t>
      </w:r>
    </w:p>
    <w:p w:rsidR="001001E5" w:rsidRPr="00361664" w:rsidRDefault="001001E5" w:rsidP="001001E5">
      <w:pPr>
        <w:rPr>
          <w:sz w:val="20"/>
        </w:rPr>
      </w:pPr>
      <w:r w:rsidRPr="00361664">
        <w:rPr>
          <w:sz w:val="20"/>
        </w:rPr>
        <w:t xml:space="preserve"> U okviru ovog Poziva sredstva će se dodijeliti projektima izrade projektne dokumentacije za energetsku obnovu zgrada i provedbe energetske obnove zgrada javnog sektora u kojima tijela državne uprave, jedinice lokalne ili područne (regionalne) samouprave, javne ustanove, ustanove i vjerske zajednice obavljaju društvene djelatnosti.</w:t>
      </w:r>
    </w:p>
    <w:p w:rsidR="001001E5" w:rsidRPr="00361664" w:rsidRDefault="001001E5" w:rsidP="001001E5">
      <w:pPr>
        <w:rPr>
          <w:sz w:val="20"/>
        </w:rPr>
      </w:pPr>
      <w:r w:rsidRPr="00361664">
        <w:rPr>
          <w:sz w:val="20"/>
        </w:rPr>
        <w:t xml:space="preserve"> Društvenim djelatnostima smatraju se: predškolski odgoj, osnovnoškolski i srednjoškolski odgoj i obrazovanje, visoko obrazovanje, formalno obrazovanje odraslih, znanstvena djelatnost, kazališna djelatnost, audiovizualne djelatnosti, knjižnična djelatnost, arhivska djelatnost, muzejska djelatnost, zdravstvena djelatnost, djelatnost socijalne skrbi, upravna i/ili uredska djelatnost, sportska djelatnost, stanovanje zajednica i vatrogasna djelatnost.</w:t>
      </w:r>
    </w:p>
    <w:p w:rsidR="00F7665D" w:rsidRPr="00361664" w:rsidRDefault="001001E5" w:rsidP="001001E5">
      <w:pPr>
        <w:rPr>
          <w:sz w:val="20"/>
        </w:rPr>
      </w:pPr>
      <w:r w:rsidRPr="00361664">
        <w:rPr>
          <w:sz w:val="20"/>
        </w:rPr>
        <w:t>Planirano trajanje Poziva, odnosno rok za podnošenje projektnih prijedloga je do iskorištenja financijskih sredstava, a najkasnije do 31.12.2020. godine</w:t>
      </w:r>
      <w:r w:rsidR="00F7665D" w:rsidRPr="00361664">
        <w:rPr>
          <w:sz w:val="20"/>
        </w:rPr>
        <w:t>.</w:t>
      </w:r>
    </w:p>
    <w:p w:rsidR="008D023C" w:rsidRPr="00361664" w:rsidRDefault="00F7665D" w:rsidP="00F7665D">
      <w:pPr>
        <w:jc w:val="both"/>
        <w:rPr>
          <w:sz w:val="20"/>
        </w:rPr>
      </w:pPr>
      <w:r w:rsidRPr="00361664">
        <w:rPr>
          <w:sz w:val="20"/>
        </w:rPr>
        <w:t xml:space="preserve">Mjere u zgradama komercijalne nestambene namjene imaju svrhu razvoja novih djelatnosti i poduzetništva, kontinuiranog i sustavnog gospodarenja energijom, strateškog planiranja i održivog upravljanja energetskim resursima na nacionalnoj, regionalnoj i lokalnoj razini. </w:t>
      </w:r>
      <w:r w:rsidR="00F1792A" w:rsidRPr="00361664">
        <w:rPr>
          <w:sz w:val="20"/>
        </w:rPr>
        <w:br w:type="page"/>
      </w:r>
    </w:p>
    <w:p w:rsidR="003C6A5C" w:rsidRPr="00361036" w:rsidRDefault="003412CD" w:rsidP="00361036">
      <w:pPr>
        <w:pStyle w:val="Naslov3"/>
        <w:rPr>
          <w:rStyle w:val="Jakoisticanje"/>
          <w:b/>
          <w:bCs w:val="0"/>
          <w:i/>
          <w:iCs w:val="0"/>
          <w:color w:val="375F91"/>
        </w:rPr>
      </w:pPr>
      <w:bookmarkStart w:id="31" w:name="_Toc535245852"/>
      <w:r w:rsidRPr="00361036">
        <w:rPr>
          <w:rStyle w:val="Jakoisticanje"/>
          <w:b/>
          <w:bCs w:val="0"/>
          <w:i/>
          <w:iCs w:val="0"/>
          <w:color w:val="375F91"/>
        </w:rPr>
        <w:lastRenderedPageBreak/>
        <w:t>Rj</w:t>
      </w:r>
      <w:r w:rsidR="00CE07A7" w:rsidRPr="00361036">
        <w:rPr>
          <w:rStyle w:val="Jakoisticanje"/>
          <w:b/>
          <w:bCs w:val="0"/>
          <w:i/>
          <w:iCs w:val="0"/>
          <w:color w:val="375F91"/>
        </w:rPr>
        <w:t>ešavanje zahtjeva EPB direktive</w:t>
      </w:r>
      <w:r w:rsidR="00944F9E" w:rsidRPr="00361036">
        <w:rPr>
          <w:rStyle w:val="Jakoisticanje"/>
          <w:b/>
          <w:bCs w:val="0"/>
          <w:i/>
          <w:iCs w:val="0"/>
          <w:color w:val="375F91"/>
        </w:rPr>
        <w:t xml:space="preserve"> (2010/31/EU)</w:t>
      </w:r>
      <w:bookmarkEnd w:id="3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528"/>
        <w:gridCol w:w="6552"/>
      </w:tblGrid>
      <w:tr w:rsidR="002A36F8" w:rsidRPr="00361664" w:rsidTr="00E550DF">
        <w:trPr>
          <w:trHeight w:val="20"/>
        </w:trPr>
        <w:tc>
          <w:tcPr>
            <w:tcW w:w="1475" w:type="pct"/>
            <w:gridSpan w:val="2"/>
            <w:tcBorders>
              <w:top w:val="single" w:sz="4" w:space="0" w:color="auto"/>
              <w:left w:val="single" w:sz="4" w:space="0" w:color="auto"/>
              <w:bottom w:val="single" w:sz="4" w:space="0" w:color="auto"/>
              <w:right w:val="single" w:sz="4" w:space="0" w:color="auto"/>
            </w:tcBorders>
            <w:shd w:val="clear" w:color="auto" w:fill="CCFFCC"/>
          </w:tcPr>
          <w:p w:rsidR="002A36F8" w:rsidRPr="00361664" w:rsidRDefault="002A36F8" w:rsidP="00B31EE2">
            <w:pPr>
              <w:spacing w:after="0" w:line="240" w:lineRule="auto"/>
              <w:rPr>
                <w:b/>
                <w:sz w:val="20"/>
              </w:rPr>
            </w:pPr>
            <w:r w:rsidRPr="00361664">
              <w:rPr>
                <w:b/>
                <w:sz w:val="20"/>
              </w:rPr>
              <w:t xml:space="preserve">Naziv mjere </w:t>
            </w:r>
          </w:p>
        </w:tc>
        <w:tc>
          <w:tcPr>
            <w:tcW w:w="3525" w:type="pct"/>
            <w:tcBorders>
              <w:top w:val="single" w:sz="4" w:space="0" w:color="auto"/>
              <w:left w:val="single" w:sz="4" w:space="0" w:color="auto"/>
              <w:bottom w:val="single" w:sz="4" w:space="0" w:color="auto"/>
              <w:right w:val="single" w:sz="4" w:space="0" w:color="auto"/>
            </w:tcBorders>
            <w:shd w:val="clear" w:color="auto" w:fill="CCFFCC"/>
          </w:tcPr>
          <w:p w:rsidR="002A36F8" w:rsidRPr="00361664" w:rsidRDefault="002A36F8" w:rsidP="00B31EE2">
            <w:pPr>
              <w:spacing w:after="0" w:line="240" w:lineRule="auto"/>
              <w:rPr>
                <w:b/>
                <w:sz w:val="20"/>
              </w:rPr>
            </w:pPr>
            <w:r w:rsidRPr="00361664">
              <w:rPr>
                <w:b/>
                <w:sz w:val="20"/>
              </w:rPr>
              <w:t>Građevinska regulativa i provedba</w:t>
            </w:r>
          </w:p>
        </w:tc>
      </w:tr>
      <w:tr w:rsidR="002A36F8" w:rsidRPr="00361664" w:rsidTr="00E550DF">
        <w:trPr>
          <w:trHeight w:val="220"/>
        </w:trPr>
        <w:tc>
          <w:tcPr>
            <w:tcW w:w="1475" w:type="pct"/>
            <w:gridSpan w:val="2"/>
            <w:tcBorders>
              <w:top w:val="single" w:sz="4" w:space="0" w:color="auto"/>
              <w:left w:val="single" w:sz="4" w:space="0" w:color="auto"/>
              <w:bottom w:val="single" w:sz="4" w:space="0" w:color="auto"/>
              <w:right w:val="single" w:sz="4" w:space="0" w:color="auto"/>
            </w:tcBorders>
            <w:shd w:val="clear" w:color="auto" w:fill="auto"/>
          </w:tcPr>
          <w:p w:rsidR="002A36F8" w:rsidRPr="00361664" w:rsidRDefault="002A36F8" w:rsidP="00B31EE2">
            <w:pPr>
              <w:spacing w:after="0" w:line="240" w:lineRule="auto"/>
              <w:rPr>
                <w:sz w:val="20"/>
              </w:rPr>
            </w:pPr>
            <w:r w:rsidRPr="00361664">
              <w:rPr>
                <w:sz w:val="20"/>
              </w:rPr>
              <w:t>Indeks mjere</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2A36F8" w:rsidRPr="00361664" w:rsidRDefault="002A36F8" w:rsidP="00B31EE2">
            <w:pPr>
              <w:tabs>
                <w:tab w:val="left" w:pos="2115"/>
                <w:tab w:val="left" w:pos="5820"/>
                <w:tab w:val="right" w:pos="6374"/>
              </w:tabs>
              <w:spacing w:after="0" w:line="240" w:lineRule="auto"/>
              <w:rPr>
                <w:rFonts w:asciiTheme="minorHAnsi" w:eastAsiaTheme="minorHAnsi" w:hAnsiTheme="minorHAnsi" w:cstheme="minorHAnsi"/>
                <w:sz w:val="20"/>
                <w:szCs w:val="20"/>
              </w:rPr>
            </w:pPr>
            <w:r w:rsidRPr="00361664">
              <w:rPr>
                <w:rFonts w:asciiTheme="minorHAnsi" w:eastAsiaTheme="minorHAnsi" w:hAnsiTheme="minorHAnsi" w:cstheme="minorHAnsi"/>
                <w:sz w:val="20"/>
                <w:szCs w:val="20"/>
              </w:rPr>
              <w:t>B.1</w:t>
            </w:r>
          </w:p>
        </w:tc>
      </w:tr>
      <w:tr w:rsidR="002A36F8" w:rsidRPr="00361664" w:rsidTr="00E550DF">
        <w:trPr>
          <w:trHeight w:val="20"/>
        </w:trPr>
        <w:tc>
          <w:tcPr>
            <w:tcW w:w="653" w:type="pct"/>
            <w:vMerge w:val="restart"/>
            <w:vAlign w:val="center"/>
          </w:tcPr>
          <w:p w:rsidR="002A36F8" w:rsidRPr="00361664" w:rsidRDefault="002A36F8" w:rsidP="00B31EE2">
            <w:pPr>
              <w:spacing w:after="0" w:line="240" w:lineRule="auto"/>
              <w:rPr>
                <w:sz w:val="20"/>
              </w:rPr>
            </w:pPr>
          </w:p>
          <w:p w:rsidR="002A36F8" w:rsidRPr="00361664" w:rsidRDefault="002A36F8" w:rsidP="00B31EE2">
            <w:pPr>
              <w:spacing w:after="0" w:line="240" w:lineRule="auto"/>
              <w:rPr>
                <w:sz w:val="20"/>
              </w:rPr>
            </w:pPr>
            <w:r w:rsidRPr="00361664">
              <w:rPr>
                <w:sz w:val="20"/>
              </w:rPr>
              <w:t>Opis</w:t>
            </w:r>
          </w:p>
        </w:tc>
        <w:tc>
          <w:tcPr>
            <w:tcW w:w="822" w:type="pct"/>
            <w:vAlign w:val="center"/>
          </w:tcPr>
          <w:p w:rsidR="002A36F8" w:rsidRPr="00361664" w:rsidRDefault="002A36F8" w:rsidP="00B31EE2">
            <w:pPr>
              <w:spacing w:after="0" w:line="240" w:lineRule="auto"/>
              <w:rPr>
                <w:sz w:val="20"/>
              </w:rPr>
            </w:pPr>
            <w:r w:rsidRPr="00361664">
              <w:rPr>
                <w:sz w:val="20"/>
              </w:rPr>
              <w:t>Kategorija</w:t>
            </w:r>
          </w:p>
        </w:tc>
        <w:tc>
          <w:tcPr>
            <w:tcW w:w="3525" w:type="pct"/>
            <w:vAlign w:val="center"/>
          </w:tcPr>
          <w:p w:rsidR="002A36F8" w:rsidRPr="00361664" w:rsidRDefault="002A36F8" w:rsidP="00B31EE2">
            <w:pPr>
              <w:spacing w:after="0" w:line="240" w:lineRule="auto"/>
              <w:rPr>
                <w:sz w:val="20"/>
              </w:rPr>
            </w:pPr>
            <w:r w:rsidRPr="00361664">
              <w:rPr>
                <w:sz w:val="20"/>
              </w:rPr>
              <w:t>Regulativa</w:t>
            </w:r>
          </w:p>
        </w:tc>
      </w:tr>
      <w:tr w:rsidR="002A36F8" w:rsidRPr="00361664" w:rsidTr="00E550DF">
        <w:trPr>
          <w:trHeight w:val="20"/>
        </w:trPr>
        <w:tc>
          <w:tcPr>
            <w:tcW w:w="653" w:type="pct"/>
            <w:vMerge/>
            <w:vAlign w:val="center"/>
          </w:tcPr>
          <w:p w:rsidR="002A36F8" w:rsidRPr="00361664" w:rsidRDefault="002A36F8" w:rsidP="00B31EE2">
            <w:pPr>
              <w:spacing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line="240" w:lineRule="auto"/>
              <w:rPr>
                <w:rFonts w:asciiTheme="minorHAnsi" w:hAnsiTheme="minorHAnsi" w:cstheme="minorHAnsi"/>
                <w:sz w:val="20"/>
                <w:szCs w:val="20"/>
              </w:rPr>
            </w:pPr>
            <w:r w:rsidRPr="00361664">
              <w:rPr>
                <w:rFonts w:asciiTheme="minorHAnsi" w:hAnsiTheme="minorHAnsi" w:cstheme="minorHAnsi"/>
                <w:sz w:val="20"/>
                <w:szCs w:val="20"/>
              </w:rPr>
              <w:t>Vremenski okvir</w:t>
            </w:r>
          </w:p>
        </w:tc>
        <w:tc>
          <w:tcPr>
            <w:tcW w:w="3525" w:type="pct"/>
            <w:vAlign w:val="center"/>
          </w:tcPr>
          <w:p w:rsidR="002A36F8" w:rsidRPr="00361664" w:rsidRDefault="002A36F8" w:rsidP="00B31EE2">
            <w:pPr>
              <w:spacing w:after="0" w:line="240" w:lineRule="auto"/>
              <w:rPr>
                <w:sz w:val="20"/>
              </w:rPr>
            </w:pPr>
            <w:r w:rsidRPr="00361664">
              <w:rPr>
                <w:sz w:val="20"/>
              </w:rPr>
              <w:t>Početak: 2014.</w:t>
            </w:r>
          </w:p>
          <w:p w:rsidR="002A36F8" w:rsidRPr="00361664" w:rsidRDefault="002A36F8" w:rsidP="00B31EE2">
            <w:pPr>
              <w:spacing w:after="0" w:line="240" w:lineRule="auto"/>
              <w:rPr>
                <w:sz w:val="20"/>
              </w:rPr>
            </w:pPr>
            <w:r w:rsidRPr="00361664">
              <w:rPr>
                <w:sz w:val="20"/>
              </w:rPr>
              <w:t>Kraj: 2020.</w:t>
            </w:r>
          </w:p>
          <w:p w:rsidR="002A36F8" w:rsidRPr="00361664" w:rsidRDefault="002A36F8" w:rsidP="00B31EE2">
            <w:pPr>
              <w:spacing w:after="0" w:line="240" w:lineRule="auto"/>
              <w:rPr>
                <w:sz w:val="20"/>
              </w:rPr>
            </w:pPr>
            <w:r w:rsidRPr="00361664">
              <w:rPr>
                <w:sz w:val="20"/>
              </w:rPr>
              <w:t>Predviđene veće promjene, dopune, poboljšanja:</w:t>
            </w:r>
          </w:p>
          <w:p w:rsidR="002A36F8" w:rsidRPr="00361664" w:rsidRDefault="002A36F8" w:rsidP="00B31EE2">
            <w:pPr>
              <w:spacing w:after="0" w:line="240" w:lineRule="auto"/>
              <w:jc w:val="both"/>
              <w:rPr>
                <w:rFonts w:asciiTheme="minorHAnsi" w:hAnsiTheme="minorHAnsi" w:cstheme="minorHAnsi"/>
                <w:sz w:val="20"/>
                <w:szCs w:val="20"/>
              </w:rPr>
            </w:pPr>
            <w:r w:rsidRPr="00361664">
              <w:rPr>
                <w:sz w:val="20"/>
              </w:rPr>
              <w:t>Mjera je revidirana stvarnim ostvarenim uštedama i sukladno predviđenim budućim aktivnostima na usklađivanju sa zahtjevima EPBD II.</w:t>
            </w:r>
          </w:p>
        </w:tc>
      </w:tr>
      <w:tr w:rsidR="002A36F8" w:rsidRPr="00361664" w:rsidTr="00E550DF">
        <w:trPr>
          <w:trHeight w:val="20"/>
        </w:trPr>
        <w:tc>
          <w:tcPr>
            <w:tcW w:w="653" w:type="pct"/>
            <w:vMerge/>
            <w:vAlign w:val="center"/>
          </w:tcPr>
          <w:p w:rsidR="002A36F8" w:rsidRPr="00361664" w:rsidRDefault="002A36F8" w:rsidP="00B31EE2">
            <w:pPr>
              <w:spacing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line="240" w:lineRule="auto"/>
              <w:rPr>
                <w:rFonts w:asciiTheme="minorHAnsi" w:hAnsiTheme="minorHAnsi" w:cstheme="minorHAnsi"/>
                <w:sz w:val="20"/>
                <w:szCs w:val="20"/>
              </w:rPr>
            </w:pPr>
            <w:r w:rsidRPr="00361664">
              <w:rPr>
                <w:rFonts w:asciiTheme="minorHAnsi" w:hAnsiTheme="minorHAnsi" w:cstheme="minorHAnsi"/>
                <w:sz w:val="20"/>
                <w:szCs w:val="20"/>
              </w:rPr>
              <w:t>Cilj / kratak opis</w:t>
            </w:r>
          </w:p>
        </w:tc>
        <w:tc>
          <w:tcPr>
            <w:tcW w:w="3525" w:type="pct"/>
            <w:vAlign w:val="center"/>
          </w:tcPr>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Građevinska regulativa i njezina provedba je učinkovita mjera kojom se osigurava poštivanje najboljih standarda energetske učinkovitosti zgrada. Razvoj regulative za energetsku učinkovitost zgrada usko je vezan uz zadovoljavanje zahtjeva EPBD, pa će se u narednom razdoblju izvršavati aktivnosti koje će se temeljiti na zahtjevima EPBD II. Mehanizmi provedbe uključuju inspekcijski nadzor, obveze certificiranja novih zgrada prije početka uporabe, te kontrolu ispravnosti energetskih certifikata.</w:t>
            </w:r>
          </w:p>
        </w:tc>
      </w:tr>
      <w:tr w:rsidR="002A36F8" w:rsidRPr="00361664" w:rsidTr="00E550DF">
        <w:trPr>
          <w:trHeight w:val="716"/>
        </w:trPr>
        <w:tc>
          <w:tcPr>
            <w:tcW w:w="653" w:type="pct"/>
            <w:vMerge/>
            <w:vAlign w:val="center"/>
          </w:tcPr>
          <w:p w:rsidR="002A36F8" w:rsidRPr="00361664" w:rsidRDefault="002A36F8" w:rsidP="00B31EE2">
            <w:pPr>
              <w:spacing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line="240" w:lineRule="auto"/>
              <w:rPr>
                <w:rFonts w:asciiTheme="minorHAnsi" w:hAnsiTheme="minorHAnsi" w:cstheme="minorHAnsi"/>
                <w:sz w:val="20"/>
                <w:szCs w:val="20"/>
              </w:rPr>
            </w:pPr>
            <w:r w:rsidRPr="00361664">
              <w:rPr>
                <w:rFonts w:asciiTheme="minorHAnsi" w:hAnsiTheme="minorHAnsi" w:cstheme="minorHAnsi"/>
                <w:sz w:val="20"/>
                <w:szCs w:val="20"/>
              </w:rPr>
              <w:t>Ciljna neposredna potrošnja</w:t>
            </w:r>
          </w:p>
        </w:tc>
        <w:tc>
          <w:tcPr>
            <w:tcW w:w="3525" w:type="pct"/>
            <w:vAlign w:val="center"/>
          </w:tcPr>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Nove</w:t>
            </w:r>
            <w:r w:rsidR="00F7665D" w:rsidRPr="00361664">
              <w:rPr>
                <w:rFonts w:asciiTheme="minorHAnsi" w:hAnsiTheme="minorHAnsi" w:cstheme="minorHAnsi"/>
                <w:sz w:val="20"/>
                <w:szCs w:val="20"/>
              </w:rPr>
              <w:t xml:space="preserve"> zgrade</w:t>
            </w:r>
            <w:r w:rsidRPr="00361664">
              <w:rPr>
                <w:rFonts w:asciiTheme="minorHAnsi" w:hAnsiTheme="minorHAnsi" w:cstheme="minorHAnsi"/>
                <w:sz w:val="20"/>
                <w:szCs w:val="20"/>
              </w:rPr>
              <w:t xml:space="preserve"> i postojeće zgrade (prilikom velikih rekonstrukcija)</w:t>
            </w:r>
          </w:p>
        </w:tc>
      </w:tr>
      <w:tr w:rsidR="002A36F8" w:rsidRPr="00361664" w:rsidTr="00E550DF">
        <w:trPr>
          <w:trHeight w:val="20"/>
        </w:trPr>
        <w:tc>
          <w:tcPr>
            <w:tcW w:w="653" w:type="pct"/>
            <w:vMerge/>
            <w:vAlign w:val="center"/>
          </w:tcPr>
          <w:p w:rsidR="002A36F8" w:rsidRPr="00361664" w:rsidRDefault="002A36F8" w:rsidP="00B31EE2">
            <w:pPr>
              <w:spacing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line="240" w:lineRule="auto"/>
              <w:rPr>
                <w:rFonts w:asciiTheme="minorHAnsi" w:hAnsiTheme="minorHAnsi" w:cstheme="minorHAnsi"/>
                <w:sz w:val="20"/>
                <w:szCs w:val="20"/>
              </w:rPr>
            </w:pPr>
            <w:r w:rsidRPr="00361664">
              <w:rPr>
                <w:rFonts w:asciiTheme="minorHAnsi" w:hAnsiTheme="minorHAnsi" w:cstheme="minorHAnsi"/>
                <w:sz w:val="20"/>
                <w:szCs w:val="20"/>
              </w:rPr>
              <w:t>Ciljna skupina</w:t>
            </w:r>
          </w:p>
        </w:tc>
        <w:tc>
          <w:tcPr>
            <w:tcW w:w="3525" w:type="pct"/>
            <w:vAlign w:val="center"/>
          </w:tcPr>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Sudionici u građenju, vlasnici</w:t>
            </w:r>
            <w:r w:rsidR="00F7665D" w:rsidRPr="00361664">
              <w:rPr>
                <w:rFonts w:asciiTheme="minorHAnsi" w:hAnsiTheme="minorHAnsi" w:cstheme="minorHAnsi"/>
                <w:sz w:val="20"/>
                <w:szCs w:val="20"/>
              </w:rPr>
              <w:t xml:space="preserve"> ili suvlasnici</w:t>
            </w:r>
            <w:r w:rsidRPr="00361664">
              <w:rPr>
                <w:rFonts w:asciiTheme="minorHAnsi" w:hAnsiTheme="minorHAnsi" w:cstheme="minorHAnsi"/>
                <w:sz w:val="20"/>
                <w:szCs w:val="20"/>
              </w:rPr>
              <w:t xml:space="preserve"> zgrada koje se rekonstruiraju</w:t>
            </w:r>
          </w:p>
        </w:tc>
      </w:tr>
      <w:tr w:rsidR="002A36F8" w:rsidRPr="00361664" w:rsidTr="00E550DF">
        <w:trPr>
          <w:trHeight w:val="20"/>
        </w:trPr>
        <w:tc>
          <w:tcPr>
            <w:tcW w:w="653" w:type="pct"/>
            <w:vMerge/>
            <w:vAlign w:val="center"/>
          </w:tcPr>
          <w:p w:rsidR="002A36F8" w:rsidRPr="00361664" w:rsidRDefault="002A36F8" w:rsidP="00B31EE2">
            <w:pPr>
              <w:spacing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line="240" w:lineRule="auto"/>
              <w:rPr>
                <w:rFonts w:asciiTheme="minorHAnsi" w:hAnsiTheme="minorHAnsi" w:cstheme="minorHAnsi"/>
                <w:sz w:val="20"/>
                <w:szCs w:val="20"/>
              </w:rPr>
            </w:pPr>
            <w:r w:rsidRPr="00361664">
              <w:rPr>
                <w:rFonts w:asciiTheme="minorHAnsi" w:hAnsiTheme="minorHAnsi" w:cstheme="minorHAnsi"/>
                <w:sz w:val="20"/>
                <w:szCs w:val="20"/>
              </w:rPr>
              <w:t>Regionalna primjena</w:t>
            </w:r>
          </w:p>
        </w:tc>
        <w:tc>
          <w:tcPr>
            <w:tcW w:w="3525" w:type="pct"/>
            <w:vAlign w:val="center"/>
          </w:tcPr>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Nacionalno</w:t>
            </w:r>
          </w:p>
        </w:tc>
      </w:tr>
      <w:tr w:rsidR="002A36F8" w:rsidRPr="00361664" w:rsidTr="00E550DF">
        <w:trPr>
          <w:trHeight w:val="20"/>
        </w:trPr>
        <w:tc>
          <w:tcPr>
            <w:tcW w:w="653" w:type="pct"/>
            <w:vMerge w:val="restart"/>
            <w:vAlign w:val="center"/>
          </w:tcPr>
          <w:p w:rsidR="002A36F8" w:rsidRPr="00361664" w:rsidRDefault="002A36F8" w:rsidP="00B31EE2">
            <w:pPr>
              <w:spacing w:line="240" w:lineRule="auto"/>
              <w:rPr>
                <w:rFonts w:asciiTheme="minorHAnsi" w:hAnsiTheme="minorHAnsi" w:cstheme="minorHAnsi"/>
                <w:sz w:val="20"/>
                <w:szCs w:val="20"/>
              </w:rPr>
            </w:pPr>
            <w:r w:rsidRPr="00361664">
              <w:rPr>
                <w:rFonts w:asciiTheme="minorHAnsi" w:hAnsiTheme="minorHAnsi" w:cstheme="minorHAnsi"/>
                <w:sz w:val="20"/>
                <w:szCs w:val="20"/>
              </w:rPr>
              <w:t>Informacije o  provedbi</w:t>
            </w:r>
          </w:p>
        </w:tc>
        <w:tc>
          <w:tcPr>
            <w:tcW w:w="822" w:type="pct"/>
            <w:vAlign w:val="center"/>
          </w:tcPr>
          <w:p w:rsidR="002A36F8" w:rsidRPr="00361664" w:rsidRDefault="002A36F8" w:rsidP="00B31EE2">
            <w:pPr>
              <w:spacing w:line="240" w:lineRule="auto"/>
              <w:rPr>
                <w:rFonts w:asciiTheme="minorHAnsi" w:hAnsiTheme="minorHAnsi" w:cstheme="minorHAnsi"/>
                <w:sz w:val="20"/>
                <w:szCs w:val="20"/>
              </w:rPr>
            </w:pPr>
            <w:r w:rsidRPr="00361664">
              <w:rPr>
                <w:rFonts w:asciiTheme="minorHAnsi" w:hAnsiTheme="minorHAnsi" w:cstheme="minorHAnsi"/>
                <w:sz w:val="20"/>
                <w:szCs w:val="20"/>
              </w:rPr>
              <w:t xml:space="preserve">Popis i opis aktivnosti za provođenje mjere </w:t>
            </w:r>
          </w:p>
        </w:tc>
        <w:tc>
          <w:tcPr>
            <w:tcW w:w="3525" w:type="pct"/>
            <w:vAlign w:val="center"/>
          </w:tcPr>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 Definicija energetskog svojstva implementirana je u  Zakona o gradnji (Narodne novine, broj 153/13</w:t>
            </w:r>
            <w:r w:rsidR="00F7665D" w:rsidRPr="00361664">
              <w:rPr>
                <w:rFonts w:asciiTheme="minorHAnsi" w:hAnsiTheme="minorHAnsi" w:cstheme="minorHAnsi"/>
                <w:sz w:val="20"/>
                <w:szCs w:val="20"/>
              </w:rPr>
              <w:t>, 20/17</w:t>
            </w:r>
            <w:r w:rsidRPr="00361664">
              <w:rPr>
                <w:rFonts w:asciiTheme="minorHAnsi" w:hAnsiTheme="minorHAnsi" w:cstheme="minorHAnsi"/>
                <w:sz w:val="20"/>
                <w:szCs w:val="20"/>
              </w:rPr>
              <w:t>) te je energetsko svojstvo zgrade propisano odredbama od članka 20. do 47. Zakona dok su u prekršajnim odredbama Zakona propisane kazne za prekršaje investitora, projektanta, izvođača, vlasnika građevine te osoba ovlaštenih za energetsko certificiranje. U Zakon je poglavito uključen prijenos svih zahtjeva iz EPBD II koji se odnose na: zahtjeve energetske učinkovitosti, elaborat alternativnih sustava opskrbe energijom, redoviti pregled sustava grijanja i sustava hlađenja ili klimatizacije u zgradi, energetski certifikat zgrade, energetski pregled zgrade, ovlaštenja osoba za energetsko certificiranje, energetski pregled zgrade i redoviti pregled sustava grijanja i sustava hlađenja ili klimatizacije u zgradi, mogućnost obavljanja poslova energetskih pregleda i energetskog certificiranja osoba iz država ugovornica Ugovora o Europskom gospodarskom prostoru u Republici Hrvatskoj, potvrdu za ostvarivanje prava pružanja usluga energetskog certificiranja i energetskog pregleda zgrade hrvatskih državljana i pravnih osoba u zemljama ugovornicama navedenog Ugovora, provedbu programa izobrazbe, neovisnu kontrolu energetskog certifikata i izvješća o redovitom pregledu sustava grijanja i sustava hlađenja ili klimatizacije u zgradi, ukidanje ovlaštenja i ovlaštenja za kontrolu, registar, te pravilnike kojima se propisuje i uređuje ovo područje.</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2. Pravilnik o energetskom pregledu zgrad</w:t>
            </w:r>
            <w:r w:rsidR="00F7665D" w:rsidRPr="00361664">
              <w:rPr>
                <w:rFonts w:asciiTheme="minorHAnsi" w:hAnsiTheme="minorHAnsi" w:cstheme="minorHAnsi"/>
                <w:sz w:val="20"/>
                <w:szCs w:val="20"/>
              </w:rPr>
              <w:t>e i energetskom certificiranju (Narodne novine, broj 88/17.).</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xml:space="preserve">3. Pravilnik o uvjetima i načinu izdavanja potvrde hrvatskim državljanima i pravnim osobama za ostvarivanje prava pružanja usluga regulirane profesije energetskog certificiranja i energetskog pregleda zgrade u državama ugovornicama Ugovora o </w:t>
            </w:r>
            <w:r w:rsidR="00F7665D" w:rsidRPr="00361664">
              <w:rPr>
                <w:rFonts w:asciiTheme="minorHAnsi" w:hAnsiTheme="minorHAnsi" w:cstheme="minorHAnsi"/>
                <w:sz w:val="20"/>
                <w:szCs w:val="20"/>
              </w:rPr>
              <w:t>Europskom ekonomskom prostoru (Narodne novine, broj 47/14).</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lastRenderedPageBreak/>
              <w:t>4. Pravilnik o uvjetima i načinu izdavanja potvrde osobama iz država ugovornica Ugovora o europskom gospodarskom prostoru za pružanje usluge energetskog certificiranja i energetskog pregleda zgrade u Republici Hrvatskoj te priznavanju inozemnih stručnih kvalifikacija za pružanje usluga energetskog certificiranja i energetskog pregleda zgrade</w:t>
            </w:r>
            <w:r w:rsidR="00F7665D" w:rsidRPr="00361664">
              <w:rPr>
                <w:rFonts w:asciiTheme="minorHAnsi" w:hAnsiTheme="minorHAnsi" w:cstheme="minorHAnsi"/>
                <w:bCs/>
                <w:sz w:val="20"/>
                <w:szCs w:val="20"/>
              </w:rPr>
              <w:t>u Republici Hrvatskoj te priznavanju inozemnih stručnih kvalifikacija za pružanje usluga energetskog certificiranja i energetskog pregleda zgrade</w:t>
            </w:r>
            <w:r w:rsidRPr="00361664">
              <w:rPr>
                <w:rFonts w:asciiTheme="minorHAnsi" w:hAnsiTheme="minorHAnsi" w:cstheme="minorHAnsi"/>
                <w:sz w:val="20"/>
                <w:szCs w:val="20"/>
              </w:rPr>
              <w:t xml:space="preserve"> (Narodne novine, broj  77/15)</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5. Zakon o energetskoj učinkovitosti (Narodne novine, broj 127/14)</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6. Uredba o ugovaranju i provedbi energetske usluge u javnom sektoru (Narodne novine, broj 11/15)</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7. Pravilnik o osobama ovlaštenim za energetsko certificiranje, energetski pregled zgrade i redoviti pregled sustava grijanja i sustava hlađenja ili klimatizacije u zgradi (Narodne novine, br.  73/15., 133/15.)</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8. Pravilnik o kontroli energetskog certifikata zgrade i izvješća o redovitom pregledu sustava grijanja i sustava hlađenja ili klimatizacije u zgradi (Narodne novine, broj  73/15)</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9. Pravilnik o uvjetima i mjerilima za utvrđivanje sustava kvalitete usluga i radova za certificiranje instalatera obnovljivih izvora energije - fotonaponskih sustava (Narodne novine, broj 56/15)</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10. Pravilnik o uvjetima i mjerilima za utvrđivanje sustava kvalitete usluga i radova za certificiranje instalatera obnovljivih izvora energije - solarnih toplinskih sustava (Narodne novine</w:t>
            </w:r>
            <w:r w:rsidR="00F7665D" w:rsidRPr="00361664">
              <w:rPr>
                <w:rFonts w:asciiTheme="minorHAnsi" w:hAnsiTheme="minorHAnsi" w:cstheme="minorHAnsi"/>
                <w:sz w:val="20"/>
                <w:szCs w:val="20"/>
              </w:rPr>
              <w:t>, br. 33/15, 56/15 i 12/17</w:t>
            </w:r>
            <w:r w:rsidRPr="00361664">
              <w:rPr>
                <w:rFonts w:asciiTheme="minorHAnsi" w:hAnsiTheme="minorHAnsi" w:cstheme="minorHAnsi"/>
                <w:sz w:val="20"/>
                <w:szCs w:val="20"/>
              </w:rPr>
              <w:t>)</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11. Pravilnik o uvjetima i mjerilima za utvrđivanje sustava kvalitete usluga i radova za certificiranje instalatera obnovljivih izvora energije - manjih kotlova i peći na biom</w:t>
            </w:r>
            <w:r w:rsidR="00F7665D" w:rsidRPr="00361664">
              <w:rPr>
                <w:rFonts w:asciiTheme="minorHAnsi" w:hAnsiTheme="minorHAnsi" w:cstheme="minorHAnsi"/>
                <w:sz w:val="20"/>
                <w:szCs w:val="20"/>
              </w:rPr>
              <w:t>asu (Narodne novine, br. 39/15,</w:t>
            </w:r>
            <w:r w:rsidRPr="00361664">
              <w:rPr>
                <w:rFonts w:asciiTheme="minorHAnsi" w:hAnsiTheme="minorHAnsi" w:cstheme="minorHAnsi"/>
                <w:sz w:val="20"/>
                <w:szCs w:val="20"/>
              </w:rPr>
              <w:t xml:space="preserve"> 56/15</w:t>
            </w:r>
            <w:r w:rsidR="00F7665D" w:rsidRPr="00361664">
              <w:rPr>
                <w:rFonts w:asciiTheme="minorHAnsi" w:hAnsiTheme="minorHAnsi" w:cstheme="minorHAnsi"/>
                <w:sz w:val="20"/>
                <w:szCs w:val="20"/>
              </w:rPr>
              <w:t xml:space="preserve"> i 12/17</w:t>
            </w:r>
            <w:r w:rsidRPr="00361664">
              <w:rPr>
                <w:rFonts w:asciiTheme="minorHAnsi" w:hAnsiTheme="minorHAnsi" w:cstheme="minorHAnsi"/>
                <w:sz w:val="20"/>
                <w:szCs w:val="20"/>
              </w:rPr>
              <w:t>)</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12. Pravilnik o uvjetima i mjerilima za utvrđivanje sustava kvalitete usluga i radova za certificiranje instalatera obnovljivih izvora energije - plitkih geotermalnih sustava i dizalic</w:t>
            </w:r>
            <w:r w:rsidR="00F7665D" w:rsidRPr="00361664">
              <w:rPr>
                <w:rFonts w:asciiTheme="minorHAnsi" w:hAnsiTheme="minorHAnsi" w:cstheme="minorHAnsi"/>
                <w:sz w:val="20"/>
                <w:szCs w:val="20"/>
              </w:rPr>
              <w:t xml:space="preserve">a topline (Narodne novine, br. </w:t>
            </w:r>
            <w:r w:rsidRPr="00361664">
              <w:rPr>
                <w:rFonts w:asciiTheme="minorHAnsi" w:hAnsiTheme="minorHAnsi" w:cstheme="minorHAnsi"/>
                <w:sz w:val="20"/>
                <w:szCs w:val="20"/>
              </w:rPr>
              <w:t>56/15</w:t>
            </w:r>
            <w:r w:rsidR="00F7665D" w:rsidRPr="00361664">
              <w:rPr>
                <w:rFonts w:asciiTheme="minorHAnsi" w:hAnsiTheme="minorHAnsi" w:cstheme="minorHAnsi"/>
                <w:sz w:val="20"/>
                <w:szCs w:val="20"/>
              </w:rPr>
              <w:t xml:space="preserve"> i 12/17</w:t>
            </w:r>
            <w:r w:rsidRPr="00361664">
              <w:rPr>
                <w:rFonts w:asciiTheme="minorHAnsi" w:hAnsiTheme="minorHAnsi" w:cstheme="minorHAnsi"/>
                <w:sz w:val="20"/>
                <w:szCs w:val="20"/>
              </w:rPr>
              <w:t>)</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13. Pravilnik o sustavnom gospodarenju energijom u javnom sek</w:t>
            </w:r>
            <w:r w:rsidR="00F7665D" w:rsidRPr="00361664">
              <w:rPr>
                <w:rFonts w:asciiTheme="minorHAnsi" w:hAnsiTheme="minorHAnsi" w:cstheme="minorHAnsi"/>
                <w:sz w:val="20"/>
                <w:szCs w:val="20"/>
              </w:rPr>
              <w:t>toru (Narodne novine, br. 18/15 i</w:t>
            </w:r>
            <w:r w:rsidRPr="00361664">
              <w:rPr>
                <w:rFonts w:asciiTheme="minorHAnsi" w:hAnsiTheme="minorHAnsi" w:cstheme="minorHAnsi"/>
                <w:sz w:val="20"/>
                <w:szCs w:val="20"/>
              </w:rPr>
              <w:t xml:space="preserve"> 06/16.)</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14. Tehnički propis o racionalnoj uporabi energije i toplinskoj zaštiti u zgradama (Narodne novine, broj 128/15)</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Ostali važeći akti:</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 Odluka o načinu dostave izvješća o provedenim energetskim pregledima građevina odnosno izdanim energetskim certifikatima zgrade</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xml:space="preserve">2. Studija primjenjivosti alternativnih sustava </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xml:space="preserve">3. </w:t>
            </w:r>
            <w:r w:rsidR="00F7665D" w:rsidRPr="00361664">
              <w:rPr>
                <w:rFonts w:asciiTheme="minorHAnsi" w:hAnsiTheme="minorHAnsi" w:cstheme="minorHAnsi"/>
                <w:sz w:val="20"/>
                <w:szCs w:val="20"/>
              </w:rPr>
              <w:t xml:space="preserve">Plan za povećanje broja zgrada gotovo nulte energije do 2020. godine  </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xml:space="preserve">4. </w:t>
            </w:r>
            <w:r w:rsidR="00F7665D" w:rsidRPr="00361664">
              <w:rPr>
                <w:rFonts w:asciiTheme="minorHAnsi" w:hAnsiTheme="minorHAnsi" w:cstheme="minorHAnsi"/>
                <w:sz w:val="20"/>
                <w:szCs w:val="20"/>
              </w:rPr>
              <w:t>Metodologija provođenja energetskog pregleda zgrada - primjenjuje se od 30. rujna 2017. sAlgoritmima za izračun energetskih svojstava zgrada (objavljen 15. svibnja 2017. - u obveznoj primjeni od 30. rujna 2017.)</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xml:space="preserve">5. </w:t>
            </w:r>
            <w:r w:rsidR="000B152F" w:rsidRPr="00361664">
              <w:rPr>
                <w:rFonts w:asciiTheme="minorHAnsi" w:hAnsiTheme="minorHAnsi" w:cstheme="minorHAnsi"/>
                <w:sz w:val="20"/>
                <w:szCs w:val="20"/>
              </w:rPr>
              <w:t>Faktori primarne energije i emisija CO2 (u primjeni od 30. rujna 2017.)</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lastRenderedPageBreak/>
              <w:t>6. Algoritam za proračun potrebne energije za grijanje i hlađenje prostora zgrade prema HRN EN ISO 13790</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7. Algoritam za određivanje energijskih zahtjeva i učinkovitosti  termotehničkih sustava u zgradama  (Sustavi grijanja prostora i pripreme potrošne tople vode)</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8. Algoritam za određivanje energetskih zahtjeva i učinkovitost termotehničkih sustava u zgradama (Sustavi kogeneracije, sustavi daljinskog grijanja, fotonaponski su</w:t>
            </w:r>
            <w:r w:rsidR="00411708" w:rsidRPr="00361664">
              <w:rPr>
                <w:rFonts w:asciiTheme="minorHAnsi" w:hAnsiTheme="minorHAnsi" w:cstheme="minorHAnsi"/>
                <w:sz w:val="20"/>
                <w:szCs w:val="20"/>
              </w:rPr>
              <w:t>s</w:t>
            </w:r>
            <w:r w:rsidRPr="00361664">
              <w:rPr>
                <w:rFonts w:asciiTheme="minorHAnsi" w:hAnsiTheme="minorHAnsi" w:cstheme="minorHAnsi"/>
                <w:sz w:val="20"/>
                <w:szCs w:val="20"/>
              </w:rPr>
              <w:t>tavi)</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9. Algoritam za određivanje energetske učinkovitosti sustava rasvjete u zgradama (Energetski zahtjevi za rasvjetu)</w:t>
            </w:r>
          </w:p>
          <w:p w:rsidR="000B152F" w:rsidRPr="00361664" w:rsidRDefault="000B152F"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10. Algoritam za proračun potrebne energije za primjenu ventilacijskih i klimatizacijskih sustava kod grijanja i hlađenja prostora zgrade</w:t>
            </w:r>
          </w:p>
          <w:p w:rsidR="002A36F8" w:rsidRPr="00361664" w:rsidRDefault="000B152F"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11</w:t>
            </w:r>
            <w:r w:rsidR="002A36F8" w:rsidRPr="00361664">
              <w:rPr>
                <w:rFonts w:asciiTheme="minorHAnsi" w:hAnsiTheme="minorHAnsi" w:cstheme="minorHAnsi"/>
                <w:sz w:val="20"/>
                <w:szCs w:val="20"/>
              </w:rPr>
              <w:t>. Pravilnik o sustavu izobrazbe i certificiranja građevinskih radnika koji ugrađuju dijelove zgrade koji utječu na energetsku učinkovitost u zgradarstvu (Croskilss)</w:t>
            </w:r>
            <w:r w:rsidRPr="00361664">
              <w:rPr>
                <w:rFonts w:asciiTheme="minorHAnsi" w:hAnsiTheme="minorHAnsi" w:cstheme="minorHAnsi"/>
                <w:sz w:val="20"/>
                <w:szCs w:val="20"/>
              </w:rPr>
              <w:t>(Narodne novine, broj  67/17.)</w:t>
            </w:r>
          </w:p>
          <w:p w:rsidR="000B152F" w:rsidRPr="00361664" w:rsidRDefault="000B152F" w:rsidP="000B152F">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Izvješće prema članku 5(2) Direktive 2010/31/EU i članku 6 Uredbe (EU) 244/2012 od 16.1.2012.: Minimalni zahtjevi na energetsko svojstvo višestambene zgrade za kontinentalnu i primorsku Hrvatsku, za razdoblje do 1970., 1971. - 2005., iza 2006., i gotovo nula energetske zgrade</w:t>
            </w:r>
          </w:p>
          <w:p w:rsidR="000B152F" w:rsidRPr="00361664" w:rsidRDefault="000B152F" w:rsidP="000B152F">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Izvještaj prema članku 5(2) Direktive 2010/31/EU i članku 6 Uredbe (EU) 244/2012 od 16.1.2012.: Minimalni zahtjevi na energetsko svojstvo jednoobiteljske zgrade za kontinentalnu i primorsku Hrvatsku, za razdoblje do 1970., 1970. - 1987., iza 1987., i gotovo nula energetske zgrade</w:t>
            </w:r>
          </w:p>
          <w:p w:rsidR="000B152F" w:rsidRPr="00361664" w:rsidRDefault="000B152F" w:rsidP="000B152F">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xml:space="preserve">• Izvještaj prema članku 5(2) Direktive 2010/31/EU i članku 6 Uredbe (EU) 244/2012 od 16.1.2012.: Minimalni zahtjevi na energetsko svojstvo uredske zgrade za kontinentalnu i primorsku Hrvatsku, za razdoblje do 1970., 1971. - 2005., iza 2006., i gotovo nula energetske zgrade  </w:t>
            </w:r>
          </w:p>
          <w:p w:rsidR="000B152F" w:rsidRPr="00361664" w:rsidRDefault="000B152F" w:rsidP="000B152F">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Izvješće prema članku 5(2) Direktive 2010/31/EU i članku 6 Uredbe (EU) 244/2012 od 16.1.2012.: Minimalni zahtjevi na energetsko svojstvo zgrada za obrazovanje za kontinentalnu i primorsku Hrvatsku, za razdoblje do 1970., 1971. - 2005., iza 2006., i gotovo nula energetske zgrade</w:t>
            </w:r>
          </w:p>
          <w:p w:rsidR="000B152F" w:rsidRPr="00361664" w:rsidRDefault="000B152F" w:rsidP="000B152F">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Izvješće prema članku 5(2) Direktive 2010/31/EU i članku 6 Uredbe (EU) 244/2012 od 16.1.2012.: Minimalni zahtjevi na energetsko svojstvo zgrada hotela i restorana za kontinentalnu i primorsku Hrvatsku, za razdoblje do 1970., 1971. - 2005., iza 2006., i gotovo nula energetske zgrade</w:t>
            </w:r>
          </w:p>
          <w:p w:rsidR="000B152F" w:rsidRPr="00361664" w:rsidRDefault="000B152F" w:rsidP="000B152F">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Izvješće prema članku 5(2) Direktive 2010/31/EU i članku 6 Uredbe (EU) 244/2012 od 16.1.2012.: Minimalni zahtjevi na energetsko svojstvo zgrade za maloprodaju i veleprodaju za kontinentalnu i primorsku Hrvatsku, za razdoblje do 1970., 1971. - 2005., iza 2006., i gotovo nula energetske zgrade</w:t>
            </w:r>
          </w:p>
          <w:p w:rsidR="000B152F" w:rsidRPr="00361664" w:rsidRDefault="000B152F" w:rsidP="000B152F">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Izvješće prema članku 5(2) Direktive 2010/31/EU i članku 6 Uredbe (EU) 244/2012 od 16.1.2012.: Minimalni zahtjevi na energetsko svojstvo zgrada bolnica  za kontinentalnu i primorsku Hrvatsku, za razdoblje do 1970., 1971. - 2005., iza 2006., i gotovo nula energetske zgrade</w:t>
            </w:r>
          </w:p>
          <w:p w:rsidR="000B152F" w:rsidRPr="00361664" w:rsidRDefault="000B152F"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 xml:space="preserve">• Izvješće prema članku 5(2) Direktive 2010/31/EU i članku 6 Uredbe (EU) 244/2012 od 16.1.2012.: Minimalni zahtjevi na energetsko svojstvo zgrada </w:t>
            </w:r>
            <w:r w:rsidRPr="00361664">
              <w:rPr>
                <w:rFonts w:asciiTheme="minorHAnsi" w:hAnsiTheme="minorHAnsi" w:cstheme="minorHAnsi"/>
                <w:sz w:val="20"/>
                <w:szCs w:val="20"/>
              </w:rPr>
              <w:lastRenderedPageBreak/>
              <w:t>sportskih dvorana za kontinentalnu i primorsku Hrvatsku, za razdoblje do 1970., 1971. - 2005., iza 2006., i gotovo nula energetske zgrade</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U izradi:</w:t>
            </w:r>
          </w:p>
          <w:p w:rsidR="000B152F" w:rsidRPr="00361664" w:rsidRDefault="000B152F"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12. Izmjene i dopune Uredbe o ugovaranju i provedbi energetske usluge u javnom sektoru (NN broj 11/15) radi uključivanja standardiziranog ugovora o energetskom učinku kao prilog Uredbi</w:t>
            </w:r>
          </w:p>
          <w:p w:rsidR="002A36F8" w:rsidRPr="00361664" w:rsidRDefault="002A36F8" w:rsidP="00B31EE2">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w:t>
            </w:r>
            <w:r w:rsidR="000B152F" w:rsidRPr="00361664">
              <w:rPr>
                <w:rFonts w:asciiTheme="minorHAnsi" w:hAnsiTheme="minorHAnsi" w:cstheme="minorHAnsi"/>
                <w:sz w:val="20"/>
                <w:szCs w:val="20"/>
              </w:rPr>
              <w:t>3</w:t>
            </w:r>
            <w:r w:rsidRPr="00361664">
              <w:rPr>
                <w:rFonts w:asciiTheme="minorHAnsi" w:hAnsiTheme="minorHAnsi" w:cstheme="minorHAnsi"/>
                <w:sz w:val="20"/>
                <w:szCs w:val="20"/>
              </w:rPr>
              <w:t>. Program poticanja gradnje novih i obnavljanja postojećih zgrada do standarda gotovo nulte energije.</w:t>
            </w:r>
          </w:p>
        </w:tc>
      </w:tr>
      <w:tr w:rsidR="002A36F8" w:rsidRPr="00361664" w:rsidTr="00E550DF">
        <w:trPr>
          <w:trHeight w:val="20"/>
        </w:trPr>
        <w:tc>
          <w:tcPr>
            <w:tcW w:w="653" w:type="pct"/>
            <w:vMerge/>
          </w:tcPr>
          <w:p w:rsidR="002A36F8" w:rsidRPr="00361664" w:rsidRDefault="002A36F8" w:rsidP="00B31EE2">
            <w:pPr>
              <w:spacing w:after="0"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after="0" w:line="240" w:lineRule="auto"/>
              <w:rPr>
                <w:rFonts w:asciiTheme="minorHAnsi" w:hAnsiTheme="minorHAnsi" w:cstheme="minorHAnsi"/>
                <w:sz w:val="20"/>
                <w:szCs w:val="20"/>
              </w:rPr>
            </w:pPr>
            <w:r w:rsidRPr="00361664">
              <w:rPr>
                <w:rFonts w:asciiTheme="minorHAnsi" w:hAnsiTheme="minorHAnsi" w:cstheme="minorHAnsi"/>
                <w:sz w:val="20"/>
                <w:szCs w:val="20"/>
              </w:rPr>
              <w:t>Financijska sredstva i izvori financiranja</w:t>
            </w:r>
          </w:p>
        </w:tc>
        <w:tc>
          <w:tcPr>
            <w:tcW w:w="3525" w:type="pct"/>
            <w:vAlign w:val="center"/>
          </w:tcPr>
          <w:p w:rsidR="002A36F8" w:rsidRPr="00361664" w:rsidRDefault="002A36F8" w:rsidP="00A526B6">
            <w:pPr>
              <w:spacing w:after="0" w:line="240" w:lineRule="auto"/>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MGIPU: predviđaju se u sklopu proračuna Ministarstva</w:t>
            </w:r>
            <w:r w:rsidR="005A7484" w:rsidRPr="00361664">
              <w:rPr>
                <w:rFonts w:asciiTheme="minorHAnsi" w:hAnsiTheme="minorHAnsi" w:cstheme="minorHAnsi"/>
                <w:color w:val="000000"/>
                <w:sz w:val="20"/>
                <w:szCs w:val="20"/>
                <w:lang w:eastAsia="hr-HR" w:bidi="hr-HR"/>
              </w:rPr>
              <w:t xml:space="preserve"> i do kraja 2019. godine iznose </w:t>
            </w:r>
            <w:r w:rsidR="00A526B6" w:rsidRPr="00361664">
              <w:rPr>
                <w:rFonts w:asciiTheme="minorHAnsi" w:hAnsiTheme="minorHAnsi" w:cstheme="minorHAnsi"/>
                <w:color w:val="000000"/>
                <w:sz w:val="20"/>
                <w:szCs w:val="20"/>
                <w:lang w:eastAsia="hr-HR" w:bidi="hr-HR"/>
              </w:rPr>
              <w:t>2.686.250,00</w:t>
            </w:r>
            <w:r w:rsidR="005A7484" w:rsidRPr="00361664">
              <w:rPr>
                <w:rFonts w:asciiTheme="minorHAnsi" w:hAnsiTheme="minorHAnsi" w:cstheme="minorHAnsi"/>
                <w:color w:val="000000"/>
                <w:sz w:val="20"/>
                <w:szCs w:val="20"/>
                <w:lang w:eastAsia="hr-HR" w:bidi="hr-HR"/>
              </w:rPr>
              <w:t xml:space="preserve"> kn.</w:t>
            </w:r>
          </w:p>
        </w:tc>
      </w:tr>
      <w:tr w:rsidR="002A36F8" w:rsidRPr="00361664" w:rsidTr="00E550DF">
        <w:trPr>
          <w:trHeight w:val="20"/>
        </w:trPr>
        <w:tc>
          <w:tcPr>
            <w:tcW w:w="653" w:type="pct"/>
            <w:vMerge/>
          </w:tcPr>
          <w:p w:rsidR="002A36F8" w:rsidRPr="00361664" w:rsidRDefault="002A36F8" w:rsidP="00B31EE2">
            <w:pPr>
              <w:spacing w:after="0"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after="0" w:line="240" w:lineRule="auto"/>
              <w:rPr>
                <w:rFonts w:asciiTheme="minorHAnsi" w:hAnsiTheme="minorHAnsi" w:cstheme="minorHAnsi"/>
                <w:sz w:val="20"/>
                <w:szCs w:val="20"/>
              </w:rPr>
            </w:pPr>
            <w:r w:rsidRPr="00361664">
              <w:rPr>
                <w:rFonts w:asciiTheme="minorHAnsi" w:hAnsiTheme="minorHAnsi" w:cstheme="minorHAnsi"/>
                <w:sz w:val="20"/>
                <w:szCs w:val="20"/>
              </w:rPr>
              <w:t>Izvršno  tijelo</w:t>
            </w:r>
          </w:p>
        </w:tc>
        <w:tc>
          <w:tcPr>
            <w:tcW w:w="3525" w:type="pct"/>
            <w:vAlign w:val="center"/>
          </w:tcPr>
          <w:p w:rsidR="002A36F8" w:rsidRPr="00361664" w:rsidRDefault="002A36F8" w:rsidP="00B31EE2">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MGIPU (pripremne aktivnosti i izrada izmjena propisa), MGIPU (dorada metodologije za provođenje energetskih pregleda sustava za grijanje i klimatizaciju zgrada)</w:t>
            </w:r>
          </w:p>
        </w:tc>
      </w:tr>
      <w:tr w:rsidR="002A36F8" w:rsidRPr="00361664" w:rsidTr="00E550DF">
        <w:trPr>
          <w:trHeight w:val="20"/>
        </w:trPr>
        <w:tc>
          <w:tcPr>
            <w:tcW w:w="653" w:type="pct"/>
            <w:vMerge/>
          </w:tcPr>
          <w:p w:rsidR="002A36F8" w:rsidRPr="00361664" w:rsidRDefault="002A36F8" w:rsidP="00B31EE2">
            <w:pPr>
              <w:spacing w:after="0" w:line="240" w:lineRule="auto"/>
              <w:rPr>
                <w:rFonts w:asciiTheme="minorHAnsi" w:hAnsiTheme="minorHAnsi" w:cstheme="minorHAnsi"/>
                <w:sz w:val="20"/>
                <w:szCs w:val="20"/>
              </w:rPr>
            </w:pPr>
          </w:p>
        </w:tc>
        <w:tc>
          <w:tcPr>
            <w:tcW w:w="822" w:type="pct"/>
            <w:vAlign w:val="center"/>
          </w:tcPr>
          <w:p w:rsidR="002A36F8" w:rsidRPr="00361664" w:rsidRDefault="00640C0B" w:rsidP="00B31EE2">
            <w:pPr>
              <w:spacing w:after="0" w:line="240" w:lineRule="auto"/>
              <w:rPr>
                <w:rFonts w:asciiTheme="minorHAnsi" w:hAnsiTheme="minorHAnsi" w:cstheme="minorHAnsi"/>
                <w:sz w:val="20"/>
                <w:szCs w:val="20"/>
              </w:rPr>
            </w:pPr>
            <w:r w:rsidRPr="00361664">
              <w:rPr>
                <w:rFonts w:asciiTheme="minorHAnsi" w:hAnsiTheme="minorHAnsi" w:cstheme="minorHAnsi"/>
                <w:sz w:val="20"/>
                <w:szCs w:val="20"/>
              </w:rPr>
              <w:t>Tijelo za praćenje, mjerenje i verifikaciju ušteda</w:t>
            </w:r>
          </w:p>
        </w:tc>
        <w:tc>
          <w:tcPr>
            <w:tcW w:w="3525" w:type="pct"/>
            <w:vAlign w:val="center"/>
          </w:tcPr>
          <w:p w:rsidR="002A36F8" w:rsidRPr="00361664" w:rsidRDefault="00194ED3" w:rsidP="00B31EE2">
            <w:pPr>
              <w:spacing w:after="0" w:line="240" w:lineRule="auto"/>
              <w:jc w:val="both"/>
              <w:rPr>
                <w:rFonts w:asciiTheme="minorHAnsi" w:hAnsiTheme="minorHAnsi" w:cstheme="minorHAnsi"/>
                <w:sz w:val="20"/>
                <w:szCs w:val="20"/>
              </w:rPr>
            </w:pPr>
            <w:r w:rsidRPr="00361664">
              <w:rPr>
                <w:rFonts w:asciiTheme="minorHAnsi" w:hAnsiTheme="minorHAnsi" w:cstheme="minorHAnsi"/>
                <w:sz w:val="20"/>
                <w:szCs w:val="20"/>
              </w:rPr>
              <w:t>NKT</w:t>
            </w:r>
          </w:p>
        </w:tc>
      </w:tr>
      <w:tr w:rsidR="002A36F8" w:rsidRPr="00361664" w:rsidTr="00E550DF">
        <w:trPr>
          <w:trHeight w:val="20"/>
        </w:trPr>
        <w:tc>
          <w:tcPr>
            <w:tcW w:w="653" w:type="pct"/>
            <w:vMerge w:val="restart"/>
            <w:vAlign w:val="center"/>
          </w:tcPr>
          <w:p w:rsidR="002A36F8" w:rsidRPr="00361664" w:rsidRDefault="002A36F8" w:rsidP="00B31EE2">
            <w:pPr>
              <w:spacing w:after="0" w:line="240" w:lineRule="auto"/>
              <w:rPr>
                <w:rFonts w:asciiTheme="minorHAnsi" w:hAnsiTheme="minorHAnsi" w:cstheme="minorHAnsi"/>
                <w:sz w:val="20"/>
                <w:szCs w:val="20"/>
              </w:rPr>
            </w:pPr>
            <w:r w:rsidRPr="00361664">
              <w:rPr>
                <w:rFonts w:asciiTheme="minorHAnsi" w:hAnsiTheme="minorHAnsi" w:cstheme="minorHAnsi"/>
                <w:sz w:val="20"/>
                <w:szCs w:val="20"/>
              </w:rPr>
              <w:t>Uštede energije</w:t>
            </w:r>
          </w:p>
          <w:p w:rsidR="002A36F8" w:rsidRPr="00361664" w:rsidRDefault="002A36F8" w:rsidP="00B31EE2">
            <w:pPr>
              <w:spacing w:after="0"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after="0" w:line="240" w:lineRule="auto"/>
              <w:rPr>
                <w:rFonts w:asciiTheme="minorHAnsi" w:hAnsiTheme="minorHAnsi" w:cstheme="minorHAnsi"/>
                <w:sz w:val="20"/>
                <w:szCs w:val="20"/>
              </w:rPr>
            </w:pPr>
            <w:r w:rsidRPr="00361664">
              <w:rPr>
                <w:rFonts w:asciiTheme="minorHAnsi" w:hAnsiTheme="minorHAnsi" w:cstheme="minorHAnsi"/>
                <w:sz w:val="20"/>
                <w:szCs w:val="20"/>
              </w:rPr>
              <w:t>Metoda praćenja / mjerenja ušteda energije</w:t>
            </w:r>
          </w:p>
        </w:tc>
        <w:tc>
          <w:tcPr>
            <w:tcW w:w="3525" w:type="pct"/>
            <w:vAlign w:val="center"/>
          </w:tcPr>
          <w:p w:rsidR="002A36F8" w:rsidRPr="00361664" w:rsidRDefault="002A36F8" w:rsidP="00B31EE2">
            <w:pPr>
              <w:spacing w:after="0" w:line="240" w:lineRule="auto"/>
              <w:jc w:val="both"/>
              <w:rPr>
                <w:rFonts w:asciiTheme="minorHAnsi" w:hAnsiTheme="minorHAnsi" w:cstheme="minorHAnsi"/>
                <w:sz w:val="20"/>
                <w:szCs w:val="20"/>
              </w:rPr>
            </w:pPr>
            <w:r w:rsidRPr="00361664">
              <w:rPr>
                <w:rFonts w:asciiTheme="minorHAnsi" w:hAnsiTheme="minorHAnsi" w:cstheme="minorHAnsi"/>
                <w:sz w:val="20"/>
                <w:szCs w:val="20"/>
              </w:rPr>
              <w:t>Mjera će se dodatno pratiti za korisnike iz javnog sektora i učinci analizirati kroz Modul daljinskog mjerenja i Modul energetska obnova kroz ISGE.</w:t>
            </w:r>
          </w:p>
        </w:tc>
      </w:tr>
      <w:tr w:rsidR="002A36F8" w:rsidRPr="00361664" w:rsidTr="00E550DF">
        <w:trPr>
          <w:trHeight w:val="20"/>
        </w:trPr>
        <w:tc>
          <w:tcPr>
            <w:tcW w:w="653" w:type="pct"/>
            <w:vMerge/>
          </w:tcPr>
          <w:p w:rsidR="002A36F8" w:rsidRPr="00361664" w:rsidRDefault="002A36F8" w:rsidP="00B31EE2">
            <w:pPr>
              <w:spacing w:after="0" w:line="240" w:lineRule="auto"/>
              <w:rPr>
                <w:rFonts w:asciiTheme="minorHAnsi" w:hAnsiTheme="minorHAnsi" w:cstheme="minorHAnsi"/>
                <w:sz w:val="20"/>
                <w:szCs w:val="20"/>
              </w:rPr>
            </w:pPr>
          </w:p>
        </w:tc>
        <w:tc>
          <w:tcPr>
            <w:tcW w:w="822" w:type="pct"/>
            <w:vAlign w:val="center"/>
          </w:tcPr>
          <w:p w:rsidR="002A36F8" w:rsidRPr="00361664" w:rsidRDefault="00A9135D" w:rsidP="00B31EE2">
            <w:pPr>
              <w:spacing w:after="0" w:line="240" w:lineRule="auto"/>
              <w:rPr>
                <w:rFonts w:asciiTheme="minorHAnsi" w:hAnsiTheme="minorHAnsi" w:cstheme="minorHAnsi"/>
                <w:sz w:val="20"/>
                <w:szCs w:val="20"/>
              </w:rPr>
            </w:pPr>
            <w:r w:rsidRPr="00361664">
              <w:rPr>
                <w:sz w:val="20"/>
              </w:rPr>
              <w:t xml:space="preserve">Očekivane uštede energije </w:t>
            </w:r>
            <w:r w:rsidRPr="00361664">
              <w:rPr>
                <w:rFonts w:cs="Calibri"/>
                <w:sz w:val="20"/>
              </w:rPr>
              <w:t>do kraja</w:t>
            </w:r>
            <w:r w:rsidRPr="00361664">
              <w:rPr>
                <w:sz w:val="20"/>
              </w:rPr>
              <w:t xml:space="preserve"> 2019</w:t>
            </w:r>
          </w:p>
        </w:tc>
        <w:tc>
          <w:tcPr>
            <w:tcW w:w="3525" w:type="pct"/>
            <w:shd w:val="clear" w:color="auto" w:fill="auto"/>
            <w:vAlign w:val="center"/>
          </w:tcPr>
          <w:p w:rsidR="002A36F8" w:rsidRPr="00361664" w:rsidRDefault="00CF7D05" w:rsidP="00B31EE2">
            <w:pPr>
              <w:spacing w:after="0" w:line="240" w:lineRule="auto"/>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K</w:t>
            </w:r>
            <w:r w:rsidR="002A36F8" w:rsidRPr="00361664">
              <w:rPr>
                <w:rFonts w:asciiTheme="minorHAnsi" w:hAnsiTheme="minorHAnsi" w:cstheme="minorHAnsi"/>
                <w:color w:val="000000"/>
                <w:sz w:val="20"/>
                <w:szCs w:val="20"/>
                <w:lang w:eastAsia="hr-HR" w:bidi="hr-HR"/>
              </w:rPr>
              <w:t>ućanstva: 156 TJ</w:t>
            </w:r>
          </w:p>
          <w:p w:rsidR="002A36F8" w:rsidRPr="00361664" w:rsidRDefault="00CF7D05" w:rsidP="00B31EE2">
            <w:pPr>
              <w:spacing w:after="0" w:line="240" w:lineRule="auto"/>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U</w:t>
            </w:r>
            <w:r w:rsidR="002A36F8" w:rsidRPr="00361664">
              <w:rPr>
                <w:rFonts w:asciiTheme="minorHAnsi" w:hAnsiTheme="minorHAnsi" w:cstheme="minorHAnsi"/>
                <w:color w:val="000000"/>
                <w:sz w:val="20"/>
                <w:szCs w:val="20"/>
                <w:lang w:eastAsia="hr-HR" w:bidi="hr-HR"/>
              </w:rPr>
              <w:t>sluge (javne i komercijalne): 349 TJ</w:t>
            </w:r>
          </w:p>
          <w:p w:rsidR="00CF7D05" w:rsidRPr="00361664" w:rsidRDefault="00CF7D05" w:rsidP="00B31EE2">
            <w:pPr>
              <w:spacing w:after="0" w:line="240" w:lineRule="auto"/>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Ukupno: 505 TJ</w:t>
            </w:r>
          </w:p>
          <w:p w:rsidR="00CF7D05" w:rsidRPr="00361664" w:rsidRDefault="00CF7D05" w:rsidP="00B31EE2">
            <w:pPr>
              <w:spacing w:after="0" w:line="240" w:lineRule="auto"/>
              <w:jc w:val="both"/>
              <w:rPr>
                <w:rFonts w:asciiTheme="minorHAnsi" w:hAnsiTheme="minorHAnsi" w:cstheme="minorHAnsi"/>
                <w:color w:val="000000"/>
                <w:sz w:val="20"/>
                <w:szCs w:val="20"/>
                <w:lang w:eastAsia="hr-HR" w:bidi="hr-HR"/>
              </w:rPr>
            </w:pPr>
          </w:p>
          <w:p w:rsidR="002A36F8" w:rsidRPr="00361664" w:rsidRDefault="00D63319" w:rsidP="00B31EE2">
            <w:pPr>
              <w:spacing w:after="0" w:line="240" w:lineRule="auto"/>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Uštede su rezultat strožih zahtjeva nove regulative koja je usvojena u 2013. Učinci zbog regulative iz 2006. godine više se ne razmatraju. Odnosi se samo na zgrade izgrađene za vrijeme trajanja 3. NAPEnU.</w:t>
            </w:r>
          </w:p>
        </w:tc>
      </w:tr>
      <w:tr w:rsidR="002A36F8" w:rsidRPr="00361664" w:rsidTr="00E550DF">
        <w:trPr>
          <w:trHeight w:val="20"/>
        </w:trPr>
        <w:tc>
          <w:tcPr>
            <w:tcW w:w="653" w:type="pct"/>
            <w:vMerge/>
          </w:tcPr>
          <w:p w:rsidR="002A36F8" w:rsidRPr="00361664" w:rsidRDefault="002A36F8" w:rsidP="00B31EE2">
            <w:pPr>
              <w:spacing w:after="0" w:line="240" w:lineRule="auto"/>
              <w:rPr>
                <w:rFonts w:asciiTheme="minorHAnsi" w:hAnsiTheme="minorHAnsi" w:cstheme="minorHAnsi"/>
                <w:sz w:val="20"/>
                <w:szCs w:val="20"/>
              </w:rPr>
            </w:pPr>
          </w:p>
        </w:tc>
        <w:tc>
          <w:tcPr>
            <w:tcW w:w="822" w:type="pct"/>
            <w:vAlign w:val="center"/>
          </w:tcPr>
          <w:p w:rsidR="002A36F8" w:rsidRPr="00361664" w:rsidRDefault="004831DF" w:rsidP="00B31EE2">
            <w:pPr>
              <w:spacing w:after="0" w:line="240" w:lineRule="auto"/>
              <w:rPr>
                <w:rFonts w:asciiTheme="minorHAnsi" w:hAnsiTheme="minorHAnsi" w:cstheme="minorHAnsi"/>
                <w:sz w:val="20"/>
                <w:szCs w:val="20"/>
              </w:rPr>
            </w:pPr>
            <w:r w:rsidRPr="00361664">
              <w:rPr>
                <w:rFonts w:asciiTheme="minorHAnsi" w:hAnsiTheme="minorHAnsi" w:cstheme="minorHAnsi"/>
                <w:sz w:val="20"/>
                <w:szCs w:val="20"/>
              </w:rPr>
              <w:t>Očekivane uštede energije do kraja 2020.</w:t>
            </w:r>
          </w:p>
        </w:tc>
        <w:tc>
          <w:tcPr>
            <w:tcW w:w="3525" w:type="pct"/>
            <w:vAlign w:val="center"/>
          </w:tcPr>
          <w:p w:rsidR="002A36F8" w:rsidRPr="00361664" w:rsidRDefault="00CF7D05" w:rsidP="00B31EE2">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K</w:t>
            </w:r>
            <w:r w:rsidR="002A36F8" w:rsidRPr="00361664">
              <w:rPr>
                <w:rFonts w:asciiTheme="minorHAnsi" w:hAnsiTheme="minorHAnsi" w:cstheme="minorHAnsi"/>
                <w:color w:val="000000"/>
                <w:sz w:val="20"/>
                <w:szCs w:val="20"/>
                <w:lang w:eastAsia="hr-HR" w:bidi="hr-HR"/>
              </w:rPr>
              <w:t>ućanstva: 156 TJ</w:t>
            </w:r>
          </w:p>
          <w:p w:rsidR="002A36F8" w:rsidRPr="00361664" w:rsidRDefault="002A36F8" w:rsidP="00B31EE2">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usluge (javne i komercijalne): 349 TJ</w:t>
            </w:r>
          </w:p>
          <w:p w:rsidR="00CF7D05" w:rsidRPr="00361664" w:rsidRDefault="00CF7D05" w:rsidP="00CF7D05">
            <w:pPr>
              <w:spacing w:after="0" w:line="240" w:lineRule="auto"/>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Ukupno: 505 TJ</w:t>
            </w:r>
          </w:p>
          <w:p w:rsidR="00CF7D05" w:rsidRPr="00361664" w:rsidRDefault="00CF7D05" w:rsidP="00B31EE2">
            <w:pPr>
              <w:spacing w:after="0" w:line="240" w:lineRule="auto"/>
              <w:jc w:val="both"/>
              <w:rPr>
                <w:rFonts w:asciiTheme="minorHAnsi" w:hAnsiTheme="minorHAnsi" w:cstheme="minorHAnsi"/>
                <w:color w:val="000000"/>
                <w:sz w:val="20"/>
                <w:szCs w:val="20"/>
                <w:lang w:eastAsia="hr-HR" w:bidi="hr-HR"/>
              </w:rPr>
            </w:pPr>
          </w:p>
          <w:p w:rsidR="002A36F8" w:rsidRPr="00361664" w:rsidRDefault="002A36F8" w:rsidP="00B31EE2">
            <w:pPr>
              <w:spacing w:after="0" w:line="240" w:lineRule="auto"/>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Uštede su rezultat strožih zahtjeva nove regulative koja je usvojena u 2013. učinci zbog regulative iz 2006. godine više se ne razmatraju. Odnosi se samo na zgrade izgrađene za vrijeme trajanja 3. NAPEnU.</w:t>
            </w:r>
          </w:p>
        </w:tc>
      </w:tr>
      <w:tr w:rsidR="002A36F8" w:rsidRPr="00361664" w:rsidTr="00E550DF">
        <w:trPr>
          <w:trHeight w:val="20"/>
        </w:trPr>
        <w:tc>
          <w:tcPr>
            <w:tcW w:w="653" w:type="pct"/>
            <w:vMerge/>
          </w:tcPr>
          <w:p w:rsidR="002A36F8" w:rsidRPr="00361664" w:rsidRDefault="002A36F8" w:rsidP="00B31EE2">
            <w:pPr>
              <w:spacing w:after="0"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after="0" w:line="240" w:lineRule="auto"/>
              <w:rPr>
                <w:rFonts w:asciiTheme="minorHAnsi" w:hAnsiTheme="minorHAnsi" w:cstheme="minorHAnsi"/>
                <w:sz w:val="20"/>
                <w:szCs w:val="20"/>
              </w:rPr>
            </w:pPr>
            <w:r w:rsidRPr="00361664">
              <w:rPr>
                <w:rFonts w:asciiTheme="minorHAnsi" w:hAnsiTheme="minorHAnsi" w:cstheme="minorHAnsi"/>
                <w:sz w:val="20"/>
                <w:szCs w:val="20"/>
              </w:rPr>
              <w:t>Pretpostavke</w:t>
            </w:r>
          </w:p>
          <w:p w:rsidR="002A36F8" w:rsidRPr="00361664" w:rsidRDefault="002A36F8" w:rsidP="00B31EE2">
            <w:pPr>
              <w:spacing w:after="0" w:line="240" w:lineRule="auto"/>
              <w:rPr>
                <w:rFonts w:asciiTheme="minorHAnsi" w:hAnsiTheme="minorHAnsi" w:cstheme="minorHAnsi"/>
                <w:sz w:val="20"/>
                <w:szCs w:val="20"/>
              </w:rPr>
            </w:pPr>
          </w:p>
        </w:tc>
        <w:tc>
          <w:tcPr>
            <w:tcW w:w="3525" w:type="pct"/>
            <w:vAlign w:val="center"/>
          </w:tcPr>
          <w:p w:rsidR="002A36F8" w:rsidRPr="00361664" w:rsidRDefault="002A36F8" w:rsidP="00B31EE2">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U 2013. izgrađeno je 999.924 m</w:t>
            </w:r>
            <w:r w:rsidRPr="00361664">
              <w:rPr>
                <w:rFonts w:asciiTheme="minorHAnsi" w:hAnsiTheme="minorHAnsi" w:cstheme="minorHAnsi"/>
                <w:color w:val="000000"/>
                <w:sz w:val="20"/>
                <w:szCs w:val="20"/>
                <w:vertAlign w:val="superscript"/>
                <w:lang w:eastAsia="hr-HR" w:bidi="hr-HR"/>
              </w:rPr>
              <w:t>2</w:t>
            </w:r>
            <w:r w:rsidRPr="00361664">
              <w:rPr>
                <w:rFonts w:asciiTheme="minorHAnsi" w:hAnsiTheme="minorHAnsi" w:cstheme="minorHAnsi"/>
                <w:color w:val="000000"/>
                <w:sz w:val="20"/>
                <w:szCs w:val="20"/>
                <w:lang w:eastAsia="hr-HR" w:bidi="hr-HR"/>
              </w:rPr>
              <w:t xml:space="preserve"> u stambenim zgradama i 730.438 m</w:t>
            </w:r>
            <w:r w:rsidRPr="00361664">
              <w:rPr>
                <w:rFonts w:asciiTheme="minorHAnsi" w:hAnsiTheme="minorHAnsi" w:cstheme="minorHAnsi"/>
                <w:color w:val="000000"/>
                <w:sz w:val="20"/>
                <w:szCs w:val="20"/>
                <w:vertAlign w:val="superscript"/>
                <w:lang w:eastAsia="hr-HR" w:bidi="hr-HR"/>
              </w:rPr>
              <w:t>2</w:t>
            </w:r>
            <w:r w:rsidRPr="00361664">
              <w:rPr>
                <w:rFonts w:asciiTheme="minorHAnsi" w:hAnsiTheme="minorHAnsi" w:cstheme="minorHAnsi"/>
                <w:color w:val="000000"/>
                <w:sz w:val="20"/>
                <w:szCs w:val="20"/>
                <w:lang w:eastAsia="hr-HR" w:bidi="hr-HR"/>
              </w:rPr>
              <w:t xml:space="preserve"> u novim nestambenim zgradama uslužnog sektora. Od 2010</w:t>
            </w:r>
            <w:r w:rsidR="007A525E" w:rsidRPr="00361664">
              <w:rPr>
                <w:rFonts w:asciiTheme="minorHAnsi" w:hAnsiTheme="minorHAnsi" w:cstheme="minorHAnsi"/>
                <w:color w:val="000000"/>
                <w:sz w:val="20"/>
                <w:szCs w:val="20"/>
                <w:lang w:eastAsia="hr-HR" w:bidi="hr-HR"/>
              </w:rPr>
              <w:t>.</w:t>
            </w:r>
            <w:r w:rsidRPr="00361664">
              <w:rPr>
                <w:rFonts w:asciiTheme="minorHAnsi" w:hAnsiTheme="minorHAnsi" w:cstheme="minorHAnsi"/>
                <w:color w:val="000000"/>
                <w:sz w:val="20"/>
                <w:szCs w:val="20"/>
                <w:lang w:eastAsia="hr-HR" w:bidi="hr-HR"/>
              </w:rPr>
              <w:t xml:space="preserve"> rast izgradnje stambenih zgrada kontinuirano pada </w:t>
            </w:r>
            <w:r w:rsidR="005908C4" w:rsidRPr="00361664">
              <w:rPr>
                <w:rFonts w:asciiTheme="minorHAnsi" w:hAnsiTheme="minorHAnsi" w:cstheme="minorHAnsi"/>
                <w:color w:val="000000"/>
                <w:sz w:val="20"/>
                <w:szCs w:val="20"/>
                <w:lang w:eastAsia="hr-HR" w:bidi="hr-HR"/>
              </w:rPr>
              <w:t xml:space="preserve">25% </w:t>
            </w:r>
            <w:r w:rsidRPr="00361664">
              <w:rPr>
                <w:rFonts w:asciiTheme="minorHAnsi" w:hAnsiTheme="minorHAnsi" w:cstheme="minorHAnsi"/>
                <w:color w:val="000000"/>
                <w:sz w:val="20"/>
                <w:szCs w:val="20"/>
                <w:lang w:eastAsia="hr-HR" w:bidi="hr-HR"/>
              </w:rPr>
              <w:t>godišnje, a tren</w:t>
            </w:r>
            <w:r w:rsidR="005908C4" w:rsidRPr="00361664">
              <w:rPr>
                <w:rFonts w:asciiTheme="minorHAnsi" w:hAnsiTheme="minorHAnsi" w:cstheme="minorHAnsi"/>
                <w:color w:val="000000"/>
                <w:sz w:val="20"/>
                <w:szCs w:val="20"/>
                <w:lang w:eastAsia="hr-HR" w:bidi="hr-HR"/>
              </w:rPr>
              <w:t>d</w:t>
            </w:r>
            <w:r w:rsidRPr="00361664">
              <w:rPr>
                <w:rFonts w:asciiTheme="minorHAnsi" w:hAnsiTheme="minorHAnsi" w:cstheme="minorHAnsi"/>
                <w:color w:val="000000"/>
                <w:sz w:val="20"/>
                <w:szCs w:val="20"/>
                <w:lang w:eastAsia="hr-HR" w:bidi="hr-HR"/>
              </w:rPr>
              <w:t xml:space="preserve"> rasta nestambenih zgrada pada 20 % godišnje. S tim pretpostavkama, od 2014. do kraja 2016. godine predviđa se da će biti izgrađeno ukupno 1.734.243 m</w:t>
            </w:r>
            <w:r w:rsidRPr="00361664">
              <w:rPr>
                <w:rFonts w:asciiTheme="minorHAnsi" w:hAnsiTheme="minorHAnsi" w:cstheme="minorHAnsi"/>
                <w:color w:val="000000"/>
                <w:sz w:val="20"/>
                <w:szCs w:val="20"/>
                <w:vertAlign w:val="superscript"/>
                <w:lang w:eastAsia="hr-HR" w:bidi="hr-HR"/>
              </w:rPr>
              <w:t>2</w:t>
            </w:r>
            <w:r w:rsidRPr="00361664">
              <w:rPr>
                <w:rFonts w:asciiTheme="minorHAnsi" w:hAnsiTheme="minorHAnsi" w:cstheme="minorHAnsi"/>
                <w:color w:val="000000"/>
                <w:sz w:val="20"/>
                <w:szCs w:val="20"/>
                <w:lang w:eastAsia="hr-HR" w:bidi="hr-HR"/>
              </w:rPr>
              <w:t xml:space="preserve"> stambene i 1.425.875 m</w:t>
            </w:r>
            <w:r w:rsidRPr="00361664">
              <w:rPr>
                <w:rFonts w:asciiTheme="minorHAnsi" w:hAnsiTheme="minorHAnsi" w:cstheme="minorHAnsi"/>
                <w:color w:val="000000"/>
                <w:sz w:val="20"/>
                <w:szCs w:val="20"/>
                <w:vertAlign w:val="superscript"/>
                <w:lang w:eastAsia="hr-HR" w:bidi="hr-HR"/>
              </w:rPr>
              <w:t>2</w:t>
            </w:r>
            <w:r w:rsidR="00EC74C4" w:rsidRPr="00361664">
              <w:rPr>
                <w:rFonts w:asciiTheme="minorHAnsi" w:hAnsiTheme="minorHAnsi" w:cstheme="minorHAnsi"/>
                <w:color w:val="000000"/>
                <w:sz w:val="20"/>
                <w:szCs w:val="20"/>
                <w:lang w:eastAsia="hr-HR" w:bidi="hr-HR"/>
              </w:rPr>
              <w:t>ne</w:t>
            </w:r>
            <w:r w:rsidRPr="00361664">
              <w:rPr>
                <w:rFonts w:asciiTheme="minorHAnsi" w:hAnsiTheme="minorHAnsi" w:cstheme="minorHAnsi"/>
                <w:color w:val="000000"/>
                <w:sz w:val="20"/>
                <w:szCs w:val="20"/>
                <w:lang w:eastAsia="hr-HR" w:bidi="hr-HR"/>
              </w:rPr>
              <w:t>stambene površine.</w:t>
            </w:r>
          </w:p>
          <w:p w:rsidR="002A36F8" w:rsidRPr="00361664" w:rsidRDefault="002A36F8" w:rsidP="00B31EE2">
            <w:pPr>
              <w:spacing w:after="0" w:line="240" w:lineRule="auto"/>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Pod tim pretpostavkama, predviđene ukupne uštede 2014.-2016. godine iznose 43.356.080 kWh (156 TJ) za stambene i 96.978.991 kWh (349 TJ) za nestambene zgrade.</w:t>
            </w:r>
          </w:p>
        </w:tc>
      </w:tr>
      <w:tr w:rsidR="002A36F8" w:rsidRPr="00361664" w:rsidTr="00E550DF">
        <w:trPr>
          <w:trHeight w:val="20"/>
        </w:trPr>
        <w:tc>
          <w:tcPr>
            <w:tcW w:w="653" w:type="pct"/>
            <w:vMerge/>
          </w:tcPr>
          <w:p w:rsidR="002A36F8" w:rsidRPr="00361664" w:rsidRDefault="002A36F8" w:rsidP="00B31EE2">
            <w:pPr>
              <w:spacing w:after="0" w:line="240" w:lineRule="auto"/>
              <w:rPr>
                <w:rFonts w:asciiTheme="minorHAnsi" w:hAnsiTheme="minorHAnsi" w:cstheme="minorHAnsi"/>
                <w:sz w:val="20"/>
                <w:szCs w:val="20"/>
              </w:rPr>
            </w:pPr>
          </w:p>
        </w:tc>
        <w:tc>
          <w:tcPr>
            <w:tcW w:w="822" w:type="pct"/>
            <w:vAlign w:val="center"/>
          </w:tcPr>
          <w:p w:rsidR="002A36F8" w:rsidRPr="00361664" w:rsidRDefault="002A36F8" w:rsidP="00B31EE2">
            <w:pPr>
              <w:spacing w:after="0" w:line="240" w:lineRule="auto"/>
              <w:rPr>
                <w:rFonts w:asciiTheme="minorHAnsi" w:hAnsiTheme="minorHAnsi" w:cstheme="minorHAnsi"/>
                <w:sz w:val="20"/>
                <w:szCs w:val="20"/>
              </w:rPr>
            </w:pPr>
            <w:r w:rsidRPr="00361664">
              <w:rPr>
                <w:rFonts w:asciiTheme="minorHAnsi" w:hAnsiTheme="minorHAnsi" w:cstheme="minorHAnsi"/>
                <w:sz w:val="20"/>
                <w:szCs w:val="20"/>
              </w:rPr>
              <w:t>Preklapanja, efekt množenja, sinergija</w:t>
            </w:r>
          </w:p>
        </w:tc>
        <w:tc>
          <w:tcPr>
            <w:tcW w:w="3525" w:type="pct"/>
            <w:vAlign w:val="center"/>
          </w:tcPr>
          <w:p w:rsidR="002A36F8" w:rsidRPr="00361664" w:rsidRDefault="002A36F8" w:rsidP="00B31EE2">
            <w:pPr>
              <w:spacing w:after="0" w:line="240" w:lineRule="auto"/>
              <w:jc w:val="both"/>
              <w:rPr>
                <w:rFonts w:asciiTheme="minorHAnsi" w:hAnsiTheme="minorHAnsi" w:cstheme="minorHAnsi"/>
                <w:sz w:val="20"/>
                <w:szCs w:val="20"/>
              </w:rPr>
            </w:pPr>
            <w:r w:rsidRPr="00361664">
              <w:rPr>
                <w:rFonts w:asciiTheme="minorHAnsi" w:hAnsiTheme="minorHAnsi" w:cstheme="minorHAnsi"/>
                <w:sz w:val="20"/>
                <w:szCs w:val="20"/>
              </w:rPr>
              <w:t>Nema preklapanja</w:t>
            </w:r>
          </w:p>
        </w:tc>
      </w:tr>
    </w:tbl>
    <w:p w:rsidR="002A36F8" w:rsidRPr="00361664" w:rsidRDefault="002A36F8" w:rsidP="00F1792A">
      <w:pPr>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2A36F8" w:rsidRPr="00361664" w:rsidTr="002A36F8">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CCFFCC"/>
          </w:tcPr>
          <w:p w:rsidR="002A36F8" w:rsidRPr="00361664" w:rsidRDefault="002A36F8" w:rsidP="00B31EE2">
            <w:pPr>
              <w:spacing w:after="0"/>
              <w:rPr>
                <w:b/>
                <w:sz w:val="20"/>
              </w:rPr>
            </w:pPr>
            <w:r w:rsidRPr="00361664">
              <w:rPr>
                <w:b/>
                <w:sz w:val="20"/>
              </w:rPr>
              <w:lastRenderedPageBreak/>
              <w:t xml:space="preserve">Naziv mjere </w:t>
            </w:r>
          </w:p>
        </w:tc>
        <w:tc>
          <w:tcPr>
            <w:tcW w:w="3524" w:type="pct"/>
            <w:tcBorders>
              <w:top w:val="single" w:sz="4" w:space="0" w:color="auto"/>
              <w:left w:val="single" w:sz="4" w:space="0" w:color="auto"/>
              <w:bottom w:val="single" w:sz="4" w:space="0" w:color="auto"/>
              <w:right w:val="single" w:sz="4" w:space="0" w:color="auto"/>
            </w:tcBorders>
            <w:shd w:val="clear" w:color="auto" w:fill="CCFFCC"/>
          </w:tcPr>
          <w:p w:rsidR="002A36F8" w:rsidRPr="00361664" w:rsidRDefault="002A36F8" w:rsidP="00B31EE2">
            <w:pPr>
              <w:spacing w:after="0"/>
              <w:rPr>
                <w:b/>
                <w:sz w:val="20"/>
              </w:rPr>
            </w:pPr>
            <w:r w:rsidRPr="00361664">
              <w:rPr>
                <w:b/>
                <w:sz w:val="20"/>
              </w:rPr>
              <w:t>Povećanje broja zgrada s gotovo nultom potrošnjom energije</w:t>
            </w:r>
          </w:p>
        </w:tc>
      </w:tr>
      <w:tr w:rsidR="002A36F8" w:rsidRPr="00361664" w:rsidTr="002A36F8">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auto"/>
          </w:tcPr>
          <w:p w:rsidR="002A36F8" w:rsidRPr="00361664" w:rsidRDefault="002A36F8" w:rsidP="002A36F8">
            <w:pPr>
              <w:spacing w:after="0"/>
              <w:rPr>
                <w:sz w:val="20"/>
              </w:rPr>
            </w:pPr>
            <w:r w:rsidRPr="00361664">
              <w:rPr>
                <w:sz w:val="20"/>
              </w:rPr>
              <w:t>Indeks mjere</w:t>
            </w:r>
          </w:p>
        </w:tc>
        <w:tc>
          <w:tcPr>
            <w:tcW w:w="3524" w:type="pct"/>
            <w:tcBorders>
              <w:top w:val="single" w:sz="4" w:space="0" w:color="auto"/>
              <w:left w:val="single" w:sz="4" w:space="0" w:color="auto"/>
              <w:bottom w:val="single" w:sz="4" w:space="0" w:color="auto"/>
              <w:right w:val="single" w:sz="4" w:space="0" w:color="auto"/>
            </w:tcBorders>
            <w:shd w:val="clear" w:color="auto" w:fill="auto"/>
          </w:tcPr>
          <w:p w:rsidR="002A36F8" w:rsidRPr="00361664" w:rsidRDefault="002A36F8" w:rsidP="002A36F8">
            <w:pPr>
              <w:tabs>
                <w:tab w:val="left" w:pos="5820"/>
                <w:tab w:val="right" w:pos="6374"/>
              </w:tabs>
              <w:spacing w:after="0"/>
              <w:rPr>
                <w:rFonts w:asciiTheme="minorHAnsi" w:hAnsiTheme="minorHAnsi" w:cstheme="minorHAnsi"/>
                <w:sz w:val="20"/>
                <w:szCs w:val="20"/>
              </w:rPr>
            </w:pPr>
            <w:r w:rsidRPr="00361664">
              <w:rPr>
                <w:rFonts w:asciiTheme="minorHAnsi" w:hAnsiTheme="minorHAnsi" w:cstheme="minorHAnsi"/>
                <w:sz w:val="20"/>
                <w:szCs w:val="20"/>
              </w:rPr>
              <w:t>B.2</w:t>
            </w:r>
            <w:r w:rsidRPr="00361664">
              <w:rPr>
                <w:rFonts w:cstheme="minorHAnsi"/>
                <w:sz w:val="20"/>
                <w:szCs w:val="20"/>
              </w:rPr>
              <w:tab/>
            </w:r>
            <w:r w:rsidRPr="00361664">
              <w:rPr>
                <w:rFonts w:cstheme="minorHAnsi"/>
                <w:sz w:val="20"/>
                <w:szCs w:val="20"/>
              </w:rPr>
              <w:tab/>
            </w:r>
          </w:p>
        </w:tc>
      </w:tr>
      <w:tr w:rsidR="002A36F8" w:rsidRPr="00361664" w:rsidTr="002A36F8">
        <w:trPr>
          <w:trHeight w:val="20"/>
        </w:trPr>
        <w:tc>
          <w:tcPr>
            <w:tcW w:w="654" w:type="pct"/>
            <w:vMerge w:val="restart"/>
            <w:vAlign w:val="center"/>
          </w:tcPr>
          <w:p w:rsidR="002A36F8" w:rsidRPr="00361664" w:rsidRDefault="002A36F8" w:rsidP="002A36F8">
            <w:pPr>
              <w:rPr>
                <w:rFonts w:asciiTheme="minorHAnsi" w:hAnsiTheme="minorHAnsi" w:cstheme="minorHAnsi"/>
                <w:sz w:val="20"/>
                <w:szCs w:val="20"/>
              </w:rPr>
            </w:pPr>
          </w:p>
          <w:p w:rsidR="002A36F8" w:rsidRPr="00361664" w:rsidRDefault="002A36F8" w:rsidP="002A36F8">
            <w:pPr>
              <w:rPr>
                <w:rFonts w:asciiTheme="minorHAnsi" w:hAnsiTheme="minorHAnsi" w:cstheme="minorHAnsi"/>
                <w:sz w:val="20"/>
                <w:szCs w:val="20"/>
              </w:rPr>
            </w:pPr>
            <w:r w:rsidRPr="00361664">
              <w:rPr>
                <w:rFonts w:asciiTheme="minorHAnsi" w:hAnsiTheme="minorHAnsi" w:cstheme="minorHAnsi"/>
                <w:sz w:val="20"/>
                <w:szCs w:val="20"/>
              </w:rPr>
              <w:t>Opis</w:t>
            </w:r>
          </w:p>
        </w:tc>
        <w:tc>
          <w:tcPr>
            <w:tcW w:w="822" w:type="pct"/>
            <w:vAlign w:val="center"/>
          </w:tcPr>
          <w:p w:rsidR="002A36F8" w:rsidRPr="00361664" w:rsidRDefault="002A36F8" w:rsidP="002A36F8">
            <w:pPr>
              <w:rPr>
                <w:rFonts w:asciiTheme="minorHAnsi" w:hAnsiTheme="minorHAnsi" w:cstheme="minorHAnsi"/>
                <w:sz w:val="20"/>
                <w:szCs w:val="20"/>
              </w:rPr>
            </w:pPr>
            <w:r w:rsidRPr="00361664">
              <w:rPr>
                <w:rFonts w:asciiTheme="minorHAnsi" w:hAnsiTheme="minorHAnsi" w:cstheme="minorHAnsi"/>
                <w:sz w:val="20"/>
                <w:szCs w:val="20"/>
              </w:rPr>
              <w:t>Kategorija</w:t>
            </w:r>
          </w:p>
        </w:tc>
        <w:tc>
          <w:tcPr>
            <w:tcW w:w="3524" w:type="pct"/>
            <w:vAlign w:val="center"/>
          </w:tcPr>
          <w:p w:rsidR="002A36F8" w:rsidRPr="00361664" w:rsidRDefault="002A36F8" w:rsidP="002A36F8">
            <w:pPr>
              <w:spacing w:after="0"/>
              <w:rPr>
                <w:sz w:val="20"/>
              </w:rPr>
            </w:pPr>
            <w:r w:rsidRPr="00361664">
              <w:rPr>
                <w:sz w:val="20"/>
              </w:rPr>
              <w:t>Regulativa; financijski instrumenti</w:t>
            </w:r>
          </w:p>
        </w:tc>
      </w:tr>
      <w:tr w:rsidR="002A36F8" w:rsidRPr="00361664" w:rsidTr="002A36F8">
        <w:trPr>
          <w:trHeight w:val="20"/>
        </w:trPr>
        <w:tc>
          <w:tcPr>
            <w:tcW w:w="654" w:type="pct"/>
            <w:vMerge/>
            <w:vAlign w:val="center"/>
          </w:tcPr>
          <w:p w:rsidR="002A36F8" w:rsidRPr="00361664" w:rsidRDefault="002A36F8" w:rsidP="002A36F8">
            <w:pPr>
              <w:rPr>
                <w:rFonts w:asciiTheme="minorHAnsi" w:hAnsiTheme="minorHAnsi" w:cstheme="minorHAnsi"/>
                <w:sz w:val="20"/>
                <w:szCs w:val="20"/>
              </w:rPr>
            </w:pPr>
          </w:p>
        </w:tc>
        <w:tc>
          <w:tcPr>
            <w:tcW w:w="822" w:type="pct"/>
            <w:vAlign w:val="center"/>
          </w:tcPr>
          <w:p w:rsidR="002A36F8" w:rsidRPr="00361664" w:rsidRDefault="002A36F8" w:rsidP="002A36F8">
            <w:pPr>
              <w:rPr>
                <w:rFonts w:asciiTheme="minorHAnsi" w:hAnsiTheme="minorHAnsi" w:cstheme="minorHAnsi"/>
                <w:sz w:val="20"/>
                <w:szCs w:val="20"/>
              </w:rPr>
            </w:pPr>
            <w:r w:rsidRPr="00361664">
              <w:rPr>
                <w:rFonts w:asciiTheme="minorHAnsi" w:hAnsiTheme="minorHAnsi" w:cstheme="minorHAnsi"/>
                <w:sz w:val="20"/>
                <w:szCs w:val="20"/>
              </w:rPr>
              <w:t>Vremenski okvir</w:t>
            </w:r>
          </w:p>
        </w:tc>
        <w:tc>
          <w:tcPr>
            <w:tcW w:w="3524" w:type="pct"/>
            <w:vAlign w:val="center"/>
          </w:tcPr>
          <w:p w:rsidR="002A36F8" w:rsidRPr="00361664" w:rsidRDefault="002A36F8" w:rsidP="002A36F8">
            <w:pPr>
              <w:spacing w:after="0"/>
              <w:rPr>
                <w:sz w:val="20"/>
              </w:rPr>
            </w:pPr>
            <w:r w:rsidRPr="00361664">
              <w:rPr>
                <w:sz w:val="20"/>
              </w:rPr>
              <w:t>Početak: 2014.</w:t>
            </w:r>
          </w:p>
          <w:p w:rsidR="002A36F8" w:rsidRPr="00361664" w:rsidRDefault="002A36F8" w:rsidP="002A36F8">
            <w:pPr>
              <w:jc w:val="both"/>
              <w:rPr>
                <w:sz w:val="20"/>
              </w:rPr>
            </w:pPr>
            <w:r w:rsidRPr="00361664">
              <w:rPr>
                <w:sz w:val="20"/>
              </w:rPr>
              <w:t>Kraj: 2020.</w:t>
            </w:r>
          </w:p>
        </w:tc>
      </w:tr>
      <w:tr w:rsidR="002A36F8" w:rsidRPr="00361664" w:rsidTr="002A36F8">
        <w:trPr>
          <w:trHeight w:val="20"/>
        </w:trPr>
        <w:tc>
          <w:tcPr>
            <w:tcW w:w="654" w:type="pct"/>
            <w:vMerge/>
            <w:vAlign w:val="center"/>
          </w:tcPr>
          <w:p w:rsidR="002A36F8" w:rsidRPr="00361664" w:rsidRDefault="002A36F8" w:rsidP="002A36F8">
            <w:pPr>
              <w:rPr>
                <w:rFonts w:asciiTheme="minorHAnsi" w:hAnsiTheme="minorHAnsi" w:cstheme="minorHAnsi"/>
                <w:sz w:val="20"/>
                <w:szCs w:val="20"/>
              </w:rPr>
            </w:pPr>
          </w:p>
        </w:tc>
        <w:tc>
          <w:tcPr>
            <w:tcW w:w="822" w:type="pct"/>
            <w:vAlign w:val="center"/>
          </w:tcPr>
          <w:p w:rsidR="002A36F8" w:rsidRPr="00361664" w:rsidRDefault="002A36F8" w:rsidP="002A36F8">
            <w:pPr>
              <w:rPr>
                <w:rFonts w:asciiTheme="minorHAnsi" w:hAnsiTheme="minorHAnsi" w:cstheme="minorHAnsi"/>
                <w:sz w:val="20"/>
                <w:szCs w:val="20"/>
              </w:rPr>
            </w:pPr>
            <w:r w:rsidRPr="00361664">
              <w:rPr>
                <w:rFonts w:asciiTheme="minorHAnsi" w:hAnsiTheme="minorHAnsi" w:cstheme="minorHAnsi"/>
                <w:sz w:val="20"/>
                <w:szCs w:val="20"/>
              </w:rPr>
              <w:t>Cilj / kratak opis</w:t>
            </w:r>
          </w:p>
        </w:tc>
        <w:tc>
          <w:tcPr>
            <w:tcW w:w="3524" w:type="pct"/>
            <w:vAlign w:val="center"/>
          </w:tcPr>
          <w:p w:rsidR="002A36F8" w:rsidRPr="00361664" w:rsidRDefault="002A36F8" w:rsidP="002A36F8">
            <w:pPr>
              <w:spacing w:after="0"/>
              <w:jc w:val="both"/>
              <w:rPr>
                <w:sz w:val="20"/>
              </w:rPr>
            </w:pPr>
            <w:r w:rsidRPr="00361664">
              <w:rPr>
                <w:sz w:val="20"/>
              </w:rPr>
              <w:t xml:space="preserve">Sukladno Direktivi o energetskim svojstvima zgrada 2010/31/EU države članice dužne su osigurati da do 31. prosinca 2020. sve nove zgrade budu zgrade gotovo nulte energije, a sve nove zgrade </w:t>
            </w:r>
            <w:r w:rsidR="000B152F" w:rsidRPr="00361664">
              <w:rPr>
                <w:sz w:val="20"/>
              </w:rPr>
              <w:t xml:space="preserve">koje kao vlasnici koriste </w:t>
            </w:r>
            <w:r w:rsidRPr="00361664">
              <w:rPr>
                <w:sz w:val="20"/>
              </w:rPr>
              <w:t>tijela javne vlasti moraju biti zgrade gotovo nulte energije nakon 31. prosinca 2018.</w:t>
            </w:r>
          </w:p>
          <w:p w:rsidR="002A36F8" w:rsidRPr="00361664" w:rsidRDefault="002A36F8" w:rsidP="002A36F8">
            <w:pPr>
              <w:jc w:val="both"/>
              <w:rPr>
                <w:sz w:val="20"/>
              </w:rPr>
            </w:pPr>
            <w:r w:rsidRPr="00361664">
              <w:rPr>
                <w:sz w:val="20"/>
              </w:rPr>
              <w:t>Sektor zgrada javne namjene mora preuzeti vodeću ulogu u području povećanja energetske učinkovitosti u zgradama i zacrtati ambiciozne ciljeve za zgrade javne namjene.</w:t>
            </w:r>
          </w:p>
          <w:p w:rsidR="002A36F8" w:rsidRPr="00361664" w:rsidRDefault="000B152F" w:rsidP="002A36F8">
            <w:pPr>
              <w:spacing w:after="0"/>
              <w:jc w:val="both"/>
              <w:rPr>
                <w:sz w:val="20"/>
              </w:rPr>
            </w:pPr>
            <w:r w:rsidRPr="00361664">
              <w:rPr>
                <w:sz w:val="20"/>
              </w:rPr>
              <w:t>Javni sektor treba imati vodeću ulogu u izgradnji i pretvorbi zgrada na standard zgrada gotovo nulte energije te stimulirati obnovu zgrada do standarda gotovo nulte energije</w:t>
            </w:r>
            <w:r w:rsidR="002A36F8" w:rsidRPr="00361664">
              <w:rPr>
                <w:sz w:val="20"/>
              </w:rPr>
              <w:t>.</w:t>
            </w:r>
          </w:p>
        </w:tc>
      </w:tr>
      <w:tr w:rsidR="002A36F8" w:rsidRPr="00361664" w:rsidTr="002A36F8">
        <w:trPr>
          <w:trHeight w:val="20"/>
        </w:trPr>
        <w:tc>
          <w:tcPr>
            <w:tcW w:w="654" w:type="pct"/>
            <w:vMerge/>
            <w:vAlign w:val="center"/>
          </w:tcPr>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Ciljna neposredna potrošnja</w:t>
            </w:r>
          </w:p>
        </w:tc>
        <w:tc>
          <w:tcPr>
            <w:tcW w:w="3524" w:type="pct"/>
            <w:vAlign w:val="center"/>
          </w:tcPr>
          <w:p w:rsidR="002A36F8" w:rsidRPr="00361664" w:rsidRDefault="000B152F" w:rsidP="00B31EE2">
            <w:pPr>
              <w:spacing w:after="0"/>
              <w:jc w:val="both"/>
              <w:rPr>
                <w:sz w:val="20"/>
              </w:rPr>
            </w:pPr>
            <w:r w:rsidRPr="00361664">
              <w:rPr>
                <w:sz w:val="20"/>
              </w:rPr>
              <w:t>Nove zgrade i postojeće koje se rekonstruiraju do standarda gotovo nulte energije.</w:t>
            </w:r>
          </w:p>
        </w:tc>
      </w:tr>
      <w:tr w:rsidR="002A36F8" w:rsidRPr="00361664" w:rsidTr="002A36F8">
        <w:trPr>
          <w:trHeight w:val="20"/>
        </w:trPr>
        <w:tc>
          <w:tcPr>
            <w:tcW w:w="654" w:type="pct"/>
            <w:vMerge/>
            <w:vAlign w:val="center"/>
          </w:tcPr>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Ciljna skupina</w:t>
            </w:r>
          </w:p>
        </w:tc>
        <w:tc>
          <w:tcPr>
            <w:tcW w:w="3524" w:type="pct"/>
            <w:vAlign w:val="center"/>
          </w:tcPr>
          <w:p w:rsidR="002A36F8" w:rsidRPr="00361664" w:rsidRDefault="000B152F" w:rsidP="00B31EE2">
            <w:pPr>
              <w:spacing w:after="0"/>
              <w:jc w:val="both"/>
              <w:rPr>
                <w:sz w:val="20"/>
              </w:rPr>
            </w:pPr>
            <w:r w:rsidRPr="00361664">
              <w:rPr>
                <w:sz w:val="20"/>
              </w:rPr>
              <w:t>Ministarstva, središnji državni uredi, državne upravne organizacije, uredi državne uprave užupanijama, JLP(R)S, javne ustanove ili ustanove koje obavljaju društvene djelatnosti koji grade nove zgrade ili obnavljaju postojeće Sudionici u građenju i vlasnici zgrada koje se rekonstruiraju,  JLP(R)S.</w:t>
            </w:r>
          </w:p>
        </w:tc>
      </w:tr>
      <w:tr w:rsidR="002A36F8" w:rsidRPr="00361664" w:rsidTr="002A36F8">
        <w:trPr>
          <w:trHeight w:val="20"/>
        </w:trPr>
        <w:tc>
          <w:tcPr>
            <w:tcW w:w="654" w:type="pct"/>
            <w:vMerge/>
            <w:vAlign w:val="center"/>
          </w:tcPr>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Regionalna primjena</w:t>
            </w:r>
          </w:p>
        </w:tc>
        <w:tc>
          <w:tcPr>
            <w:tcW w:w="3524" w:type="pct"/>
            <w:vAlign w:val="center"/>
          </w:tcPr>
          <w:p w:rsidR="002A36F8" w:rsidRPr="00361664" w:rsidRDefault="002A36F8" w:rsidP="00B31EE2">
            <w:pPr>
              <w:spacing w:after="0"/>
              <w:jc w:val="both"/>
              <w:rPr>
                <w:sz w:val="20"/>
              </w:rPr>
            </w:pPr>
            <w:r w:rsidRPr="00361664">
              <w:rPr>
                <w:sz w:val="20"/>
              </w:rPr>
              <w:t>Nacionalno</w:t>
            </w:r>
          </w:p>
        </w:tc>
      </w:tr>
      <w:tr w:rsidR="002A36F8" w:rsidRPr="00361664" w:rsidTr="002A36F8">
        <w:trPr>
          <w:trHeight w:val="20"/>
        </w:trPr>
        <w:tc>
          <w:tcPr>
            <w:tcW w:w="654" w:type="pct"/>
            <w:vMerge w:val="restar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Informacije o  provedbi</w:t>
            </w:r>
          </w:p>
        </w:tc>
        <w:tc>
          <w:tcPr>
            <w:tcW w:w="822" w:type="pc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 xml:space="preserve">Popis i opis aktivnosti za provođenje mjere </w:t>
            </w:r>
          </w:p>
        </w:tc>
        <w:tc>
          <w:tcPr>
            <w:tcW w:w="3524" w:type="pct"/>
            <w:vAlign w:val="center"/>
          </w:tcPr>
          <w:p w:rsidR="000B152F" w:rsidRPr="00361664" w:rsidRDefault="000B152F" w:rsidP="0007089B">
            <w:pPr>
              <w:pStyle w:val="Odlomakpopisa"/>
              <w:numPr>
                <w:ilvl w:val="0"/>
                <w:numId w:val="68"/>
              </w:numPr>
              <w:spacing w:after="0"/>
              <w:jc w:val="both"/>
              <w:rPr>
                <w:rFonts w:asciiTheme="minorHAnsi" w:hAnsiTheme="minorHAnsi" w:cstheme="minorHAnsi"/>
                <w:sz w:val="20"/>
                <w:szCs w:val="20"/>
              </w:rPr>
            </w:pPr>
            <w:r w:rsidRPr="00361664">
              <w:rPr>
                <w:rFonts w:asciiTheme="minorHAnsi" w:hAnsiTheme="minorHAnsi" w:cstheme="minorHAnsi"/>
                <w:sz w:val="20"/>
                <w:szCs w:val="20"/>
              </w:rPr>
              <w:t>Regulatorne aktivnosti:</w:t>
            </w:r>
          </w:p>
          <w:p w:rsidR="000B152F" w:rsidRPr="00361664" w:rsidRDefault="000B152F" w:rsidP="00B31EE2">
            <w:pPr>
              <w:spacing w:after="0"/>
              <w:jc w:val="both"/>
              <w:rPr>
                <w:rFonts w:asciiTheme="minorHAnsi" w:hAnsiTheme="minorHAnsi" w:cstheme="minorHAnsi"/>
                <w:sz w:val="20"/>
                <w:szCs w:val="20"/>
              </w:rPr>
            </w:pPr>
          </w:p>
          <w:p w:rsidR="002A36F8" w:rsidRPr="00361664" w:rsidRDefault="002A36F8" w:rsidP="00B31EE2">
            <w:pPr>
              <w:spacing w:after="0"/>
              <w:jc w:val="both"/>
              <w:rPr>
                <w:rFonts w:asciiTheme="minorHAnsi" w:hAnsiTheme="minorHAnsi" w:cstheme="minorHAnsi"/>
                <w:sz w:val="20"/>
                <w:szCs w:val="20"/>
              </w:rPr>
            </w:pPr>
            <w:r w:rsidRPr="00361664">
              <w:rPr>
                <w:rFonts w:asciiTheme="minorHAnsi" w:hAnsiTheme="minorHAnsi" w:cstheme="minorHAnsi"/>
                <w:sz w:val="20"/>
                <w:szCs w:val="20"/>
              </w:rPr>
              <w:t>Provedeni su izračuni troškovno optimalnih razina minimalnih zahtjeva na energetsko svojstvo za sve vrste zgrada tijekom 2013. i 2014. godine te su u Tehničkom propisu NN 128/2015  utvrđene definicije NZEB za sve kategorije zgrada (</w:t>
            </w:r>
            <w:r w:rsidRPr="00361664">
              <w:rPr>
                <w:sz w:val="20"/>
              </w:rPr>
              <w:t>Eprim</w:t>
            </w:r>
            <w:r w:rsidRPr="00361664">
              <w:rPr>
                <w:rFonts w:asciiTheme="minorHAnsi" w:hAnsiTheme="minorHAnsi" w:cstheme="minorHAnsi"/>
                <w:sz w:val="20"/>
                <w:szCs w:val="20"/>
              </w:rPr>
              <w:t xml:space="preserve"> + 30% udio OIE</w:t>
            </w:r>
            <w:r w:rsidR="000B152F" w:rsidRPr="00361664">
              <w:rPr>
                <w:rFonts w:asciiTheme="minorHAnsi" w:hAnsiTheme="minorHAnsi" w:cstheme="minorHAnsi"/>
                <w:sz w:val="20"/>
                <w:szCs w:val="20"/>
              </w:rPr>
              <w:t>te dopQHnd</w:t>
            </w:r>
            <w:r w:rsidRPr="00361664">
              <w:rPr>
                <w:rFonts w:asciiTheme="minorHAnsi" w:hAnsiTheme="minorHAnsi" w:cstheme="minorHAnsi"/>
                <w:sz w:val="20"/>
                <w:szCs w:val="20"/>
              </w:rPr>
              <w:t>).</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Izračun troškovno-optimalnih razina minimalnih zahtjeva energetskih svojstava ( drugi izračun ) te revidiranje definicija nZEB zgrada.</w:t>
            </w:r>
          </w:p>
          <w:p w:rsidR="0007089B" w:rsidRPr="00361664" w:rsidRDefault="0007089B" w:rsidP="00B31EE2">
            <w:pPr>
              <w:spacing w:after="0"/>
              <w:jc w:val="both"/>
              <w:rPr>
                <w:rFonts w:asciiTheme="minorHAnsi" w:hAnsiTheme="minorHAnsi" w:cstheme="minorHAnsi"/>
                <w:sz w:val="20"/>
                <w:szCs w:val="20"/>
              </w:rPr>
            </w:pPr>
          </w:p>
          <w:p w:rsidR="002A36F8" w:rsidRPr="00361664" w:rsidRDefault="002A36F8" w:rsidP="00B31EE2">
            <w:pPr>
              <w:spacing w:after="0"/>
              <w:jc w:val="both"/>
              <w:rPr>
                <w:rFonts w:asciiTheme="minorHAnsi" w:hAnsiTheme="minorHAnsi" w:cstheme="minorHAnsi"/>
                <w:sz w:val="20"/>
                <w:szCs w:val="20"/>
              </w:rPr>
            </w:pPr>
            <w:r w:rsidRPr="00361664">
              <w:rPr>
                <w:rFonts w:asciiTheme="minorHAnsi" w:hAnsiTheme="minorHAnsi" w:cstheme="minorHAnsi"/>
                <w:sz w:val="20"/>
                <w:szCs w:val="20"/>
              </w:rPr>
              <w:t>Nacionalni plan povećanja broja zgrada gotovo nulte potrošnje energije do</w:t>
            </w:r>
            <w:r w:rsidR="00516771" w:rsidRPr="00361664">
              <w:rPr>
                <w:rFonts w:asciiTheme="minorHAnsi" w:hAnsiTheme="minorHAnsi" w:cstheme="minorHAnsi"/>
                <w:sz w:val="20"/>
                <w:szCs w:val="20"/>
              </w:rPr>
              <w:t>nesen je u prosincu 2014.godine (Plan</w:t>
            </w:r>
            <w:r w:rsidR="0007089B" w:rsidRPr="00361664">
              <w:rPr>
                <w:rFonts w:asciiTheme="minorHAnsi" w:hAnsiTheme="minorHAnsi" w:cstheme="minorHAnsi"/>
                <w:sz w:val="20"/>
                <w:szCs w:val="20"/>
              </w:rPr>
              <w:t>nZEB).</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Revizija postojećeg Plana nZEB te eventualno izrada novog vezano za smjernice i preporuke iz IPA TWL 2012 projekta i novi Izračun troškovno-optimalnih razina. Smjernice proizašle iz IPA TWL 2012 programa su:</w:t>
            </w:r>
          </w:p>
          <w:p w:rsidR="0007089B" w:rsidRPr="00361664" w:rsidRDefault="0007089B" w:rsidP="0007089B">
            <w:pPr>
              <w:pStyle w:val="Odlomakpopisa"/>
              <w:numPr>
                <w:ilvl w:val="0"/>
                <w:numId w:val="18"/>
              </w:numPr>
              <w:spacing w:after="0"/>
              <w:jc w:val="both"/>
              <w:rPr>
                <w:rFonts w:asciiTheme="minorHAnsi" w:hAnsiTheme="minorHAnsi" w:cstheme="minorHAnsi"/>
                <w:sz w:val="20"/>
                <w:szCs w:val="20"/>
              </w:rPr>
            </w:pPr>
            <w:r w:rsidRPr="00361664">
              <w:rPr>
                <w:rFonts w:asciiTheme="minorHAnsi" w:hAnsiTheme="minorHAnsi" w:cstheme="minorHAnsi"/>
                <w:sz w:val="20"/>
                <w:szCs w:val="20"/>
              </w:rPr>
              <w:t>uspostava dialoga svih za nZEB relevantnih dionika ( u RH i internacionalnih)</w:t>
            </w:r>
          </w:p>
          <w:p w:rsidR="0007089B" w:rsidRPr="00361664" w:rsidRDefault="0007089B" w:rsidP="0007089B">
            <w:pPr>
              <w:pStyle w:val="Odlomakpopisa"/>
              <w:numPr>
                <w:ilvl w:val="0"/>
                <w:numId w:val="18"/>
              </w:numPr>
              <w:spacing w:after="0"/>
              <w:jc w:val="both"/>
              <w:rPr>
                <w:rFonts w:asciiTheme="minorHAnsi" w:hAnsiTheme="minorHAnsi" w:cstheme="minorHAnsi"/>
                <w:sz w:val="20"/>
                <w:szCs w:val="20"/>
              </w:rPr>
            </w:pPr>
            <w:r w:rsidRPr="00361664">
              <w:rPr>
                <w:rFonts w:asciiTheme="minorHAnsi" w:hAnsiTheme="minorHAnsi" w:cstheme="minorHAnsi"/>
                <w:sz w:val="20"/>
                <w:szCs w:val="20"/>
              </w:rPr>
              <w:t>osigurati dostatni propračun ( za dialog dionika, vanjske stručne studije, promotivne programa…)</w:t>
            </w:r>
          </w:p>
          <w:p w:rsidR="0007089B" w:rsidRPr="00361664" w:rsidRDefault="0007089B" w:rsidP="0007089B">
            <w:pPr>
              <w:pStyle w:val="Odlomakpopisa"/>
              <w:numPr>
                <w:ilvl w:val="0"/>
                <w:numId w:val="18"/>
              </w:numPr>
              <w:spacing w:after="0"/>
              <w:jc w:val="both"/>
              <w:rPr>
                <w:rFonts w:asciiTheme="minorHAnsi" w:hAnsiTheme="minorHAnsi" w:cstheme="minorHAnsi"/>
                <w:sz w:val="20"/>
                <w:szCs w:val="20"/>
              </w:rPr>
            </w:pPr>
            <w:r w:rsidRPr="00361664">
              <w:rPr>
                <w:rFonts w:asciiTheme="minorHAnsi" w:hAnsiTheme="minorHAnsi" w:cstheme="minorHAnsi"/>
                <w:sz w:val="20"/>
                <w:szCs w:val="20"/>
              </w:rPr>
              <w:t>financijska potpora za investicije ( npr. subvencije kao uvjetovani grantovi, zatim krediti s niskim kamatnim stopama, porezne olakšice, tendering modeli i ugovaranje energetskih ušteda (EPC)</w:t>
            </w:r>
          </w:p>
          <w:p w:rsidR="0007089B" w:rsidRPr="00361664" w:rsidRDefault="0007089B" w:rsidP="0007089B">
            <w:pPr>
              <w:pStyle w:val="Odlomakpopisa"/>
              <w:numPr>
                <w:ilvl w:val="0"/>
                <w:numId w:val="18"/>
              </w:num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praćenje i osiguranje kvalitete ( energetsko certificiranje i nezavisna </w:t>
            </w:r>
            <w:r w:rsidRPr="00361664">
              <w:rPr>
                <w:rFonts w:asciiTheme="minorHAnsi" w:hAnsiTheme="minorHAnsi" w:cstheme="minorHAnsi"/>
                <w:sz w:val="20"/>
                <w:szCs w:val="20"/>
              </w:rPr>
              <w:lastRenderedPageBreak/>
              <w:t>kontrola)</w:t>
            </w:r>
          </w:p>
          <w:p w:rsidR="0007089B" w:rsidRPr="00361664" w:rsidRDefault="0007089B" w:rsidP="0007089B">
            <w:pPr>
              <w:pStyle w:val="Odlomakpopisa"/>
              <w:numPr>
                <w:ilvl w:val="0"/>
                <w:numId w:val="18"/>
              </w:numPr>
              <w:spacing w:after="0"/>
              <w:jc w:val="both"/>
              <w:rPr>
                <w:rFonts w:asciiTheme="minorHAnsi" w:hAnsiTheme="minorHAnsi" w:cstheme="minorHAnsi"/>
                <w:sz w:val="20"/>
                <w:szCs w:val="20"/>
              </w:rPr>
            </w:pPr>
            <w:r w:rsidRPr="00361664">
              <w:rPr>
                <w:rFonts w:asciiTheme="minorHAnsi" w:hAnsiTheme="minorHAnsi" w:cstheme="minorHAnsi"/>
                <w:sz w:val="20"/>
                <w:szCs w:val="20"/>
              </w:rPr>
              <w:t>održivi materijali</w:t>
            </w:r>
          </w:p>
          <w:p w:rsidR="0007089B" w:rsidRPr="00361664" w:rsidRDefault="0007089B" w:rsidP="0007089B">
            <w:pPr>
              <w:pStyle w:val="Odlomakpopisa"/>
              <w:numPr>
                <w:ilvl w:val="0"/>
                <w:numId w:val="18"/>
              </w:numPr>
              <w:spacing w:after="0"/>
              <w:jc w:val="both"/>
              <w:rPr>
                <w:rFonts w:asciiTheme="minorHAnsi" w:hAnsiTheme="minorHAnsi" w:cstheme="minorHAnsi"/>
                <w:sz w:val="20"/>
                <w:szCs w:val="20"/>
              </w:rPr>
            </w:pPr>
            <w:r w:rsidRPr="00361664">
              <w:rPr>
                <w:rFonts w:asciiTheme="minorHAnsi" w:hAnsiTheme="minorHAnsi" w:cstheme="minorHAnsi"/>
                <w:sz w:val="20"/>
                <w:szCs w:val="20"/>
              </w:rPr>
              <w:t>združivanje sektora grijanja i električne energije ( tzv. Sectorcoupling)</w:t>
            </w:r>
          </w:p>
          <w:p w:rsidR="0007089B" w:rsidRPr="00361664" w:rsidRDefault="0007089B" w:rsidP="0007089B">
            <w:pPr>
              <w:pStyle w:val="Odlomakpopisa"/>
              <w:numPr>
                <w:ilvl w:val="0"/>
                <w:numId w:val="18"/>
              </w:numPr>
              <w:spacing w:after="0"/>
              <w:jc w:val="both"/>
              <w:rPr>
                <w:rFonts w:asciiTheme="minorHAnsi" w:hAnsiTheme="minorHAnsi" w:cstheme="minorHAnsi"/>
                <w:sz w:val="20"/>
                <w:szCs w:val="20"/>
              </w:rPr>
            </w:pPr>
            <w:r w:rsidRPr="00361664">
              <w:rPr>
                <w:rFonts w:asciiTheme="minorHAnsi" w:hAnsiTheme="minorHAnsi" w:cstheme="minorHAnsi"/>
                <w:sz w:val="20"/>
                <w:szCs w:val="20"/>
              </w:rPr>
              <w:t>informiranje i komunikacija</w:t>
            </w:r>
          </w:p>
          <w:p w:rsidR="0007089B" w:rsidRPr="00361664" w:rsidRDefault="0007089B" w:rsidP="00B31EE2">
            <w:pPr>
              <w:spacing w:after="0"/>
              <w:jc w:val="both"/>
              <w:rPr>
                <w:rFonts w:asciiTheme="minorHAnsi" w:hAnsiTheme="minorHAnsi" w:cstheme="minorHAnsi"/>
                <w:sz w:val="20"/>
                <w:szCs w:val="20"/>
              </w:rPr>
            </w:pPr>
          </w:p>
          <w:p w:rsidR="002A36F8" w:rsidRPr="00361664" w:rsidRDefault="002A36F8" w:rsidP="00B31EE2">
            <w:pPr>
              <w:spacing w:after="0"/>
              <w:jc w:val="both"/>
              <w:rPr>
                <w:rFonts w:asciiTheme="minorHAnsi" w:hAnsiTheme="minorHAnsi" w:cstheme="minorHAnsi"/>
                <w:sz w:val="20"/>
                <w:szCs w:val="20"/>
              </w:rPr>
            </w:pPr>
            <w:r w:rsidRPr="00361664">
              <w:rPr>
                <w:rFonts w:asciiTheme="minorHAnsi" w:hAnsiTheme="minorHAnsi" w:cstheme="minorHAnsi"/>
                <w:sz w:val="20"/>
                <w:szCs w:val="20"/>
              </w:rPr>
              <w:t>Trenutno je u pripremi izrada Programa poticanja gradnje novih i obnavljanja postojećih zgrada do standarda gotovo nulte energije kojim će se osmisliti sustav poticanja sudionika u građenju na gradnju novih i rekonstrukcije postojećih zgrada do standarda gotovo nulte energije i koje će imati bolja energetska svojstva od onih minimalno zahtijevanih propisima.</w:t>
            </w:r>
          </w:p>
          <w:p w:rsidR="0007089B" w:rsidRPr="00361664" w:rsidRDefault="0007089B" w:rsidP="0007089B">
            <w:pPr>
              <w:pStyle w:val="Odlomakpopisa"/>
              <w:numPr>
                <w:ilvl w:val="0"/>
                <w:numId w:val="68"/>
              </w:num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Pilot projekti: </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Navedenim Programom predvidjet će se 10 (deset) Pilot projekata obnove postojećih zgrada javne vlasti na standard gotovo nulte energije, tijekom 2018. godine.</w:t>
            </w:r>
          </w:p>
          <w:p w:rsidR="0007089B" w:rsidRPr="00361664" w:rsidRDefault="0007089B" w:rsidP="0007089B">
            <w:pPr>
              <w:spacing w:after="0"/>
              <w:jc w:val="both"/>
              <w:rPr>
                <w:rFonts w:asciiTheme="minorHAnsi" w:hAnsiTheme="minorHAnsi" w:cstheme="minorHAnsi"/>
                <w:sz w:val="20"/>
                <w:szCs w:val="20"/>
              </w:rPr>
            </w:pPr>
          </w:p>
          <w:p w:rsidR="0007089B" w:rsidRPr="00361664" w:rsidRDefault="0007089B" w:rsidP="0007089B">
            <w:pPr>
              <w:pStyle w:val="Odlomakpopisa"/>
              <w:numPr>
                <w:ilvl w:val="0"/>
                <w:numId w:val="68"/>
              </w:numPr>
              <w:rPr>
                <w:rFonts w:asciiTheme="minorHAnsi" w:hAnsiTheme="minorHAnsi" w:cstheme="minorHAnsi"/>
                <w:sz w:val="20"/>
                <w:szCs w:val="20"/>
              </w:rPr>
            </w:pPr>
            <w:r w:rsidRPr="00361664">
              <w:rPr>
                <w:rFonts w:asciiTheme="minorHAnsi" w:hAnsiTheme="minorHAnsi" w:cstheme="minorHAnsi"/>
                <w:sz w:val="20"/>
                <w:szCs w:val="20"/>
              </w:rPr>
              <w:t>Praćenje i prikupljanje podataka vezano za izgradnju novih zgrada te obnovu postojećih zgrada na standard gotovo nulte energije.</w:t>
            </w:r>
          </w:p>
          <w:p w:rsidR="0007089B" w:rsidRPr="00361664" w:rsidRDefault="0007089B" w:rsidP="0007089B">
            <w:pPr>
              <w:pStyle w:val="Odlomakpopisa"/>
              <w:numPr>
                <w:ilvl w:val="0"/>
                <w:numId w:val="68"/>
              </w:numPr>
              <w:rPr>
                <w:rFonts w:asciiTheme="minorHAnsi" w:hAnsiTheme="minorHAnsi" w:cstheme="minorHAnsi"/>
                <w:sz w:val="20"/>
                <w:szCs w:val="20"/>
              </w:rPr>
            </w:pPr>
            <w:r w:rsidRPr="00361664">
              <w:rPr>
                <w:rFonts w:asciiTheme="minorHAnsi" w:hAnsiTheme="minorHAnsi" w:cstheme="minorHAnsi"/>
                <w:sz w:val="20"/>
                <w:szCs w:val="20"/>
              </w:rPr>
              <w:t>Uspostava institucije dialoga svih relevantnih dionika.</w:t>
            </w:r>
          </w:p>
          <w:p w:rsidR="0007089B" w:rsidRPr="00361664" w:rsidRDefault="0007089B" w:rsidP="0007089B">
            <w:pPr>
              <w:pStyle w:val="Odlomakpopisa"/>
              <w:numPr>
                <w:ilvl w:val="0"/>
                <w:numId w:val="68"/>
              </w:numPr>
              <w:spacing w:after="0"/>
              <w:jc w:val="both"/>
              <w:rPr>
                <w:rFonts w:asciiTheme="minorHAnsi" w:hAnsiTheme="minorHAnsi" w:cstheme="minorHAnsi"/>
                <w:sz w:val="20"/>
                <w:szCs w:val="20"/>
              </w:rPr>
            </w:pPr>
            <w:r w:rsidRPr="00361664">
              <w:rPr>
                <w:rFonts w:asciiTheme="minorHAnsi" w:hAnsiTheme="minorHAnsi" w:cstheme="minorHAnsi"/>
                <w:sz w:val="20"/>
                <w:szCs w:val="20"/>
              </w:rPr>
              <w:t>Informativne i medijske kampanje namjenjene građanstvu u smislu i cilju osvješćivanja građana o dobrobiti i isplativosti izgradnje zgrada gotovo nulte energije te obnove zgrada do standarda gotovo nulte energije.</w:t>
            </w:r>
          </w:p>
          <w:p w:rsidR="0007089B" w:rsidRPr="00361664" w:rsidRDefault="0007089B" w:rsidP="00B31EE2">
            <w:pPr>
              <w:spacing w:after="0"/>
              <w:jc w:val="both"/>
              <w:rPr>
                <w:rFonts w:asciiTheme="minorHAnsi" w:hAnsiTheme="minorHAnsi" w:cstheme="minorHAnsi"/>
                <w:sz w:val="20"/>
                <w:szCs w:val="20"/>
              </w:rPr>
            </w:pPr>
          </w:p>
        </w:tc>
      </w:tr>
      <w:tr w:rsidR="002A36F8" w:rsidRPr="00361664" w:rsidTr="002A36F8">
        <w:trPr>
          <w:trHeight w:val="20"/>
        </w:trPr>
        <w:tc>
          <w:tcPr>
            <w:tcW w:w="654" w:type="pct"/>
            <w:vMerge/>
          </w:tcPr>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Financijska sredstva i izvori financiranja</w:t>
            </w:r>
          </w:p>
        </w:tc>
        <w:tc>
          <w:tcPr>
            <w:tcW w:w="3524" w:type="pct"/>
            <w:vAlign w:val="center"/>
          </w:tcPr>
          <w:p w:rsidR="002A36F8" w:rsidRPr="00361664" w:rsidRDefault="002A36F8" w:rsidP="00B31EE2">
            <w:pPr>
              <w:spacing w:after="0"/>
              <w:jc w:val="both"/>
              <w:rPr>
                <w:sz w:val="20"/>
              </w:rPr>
            </w:pPr>
            <w:r w:rsidRPr="00361664">
              <w:rPr>
                <w:sz w:val="20"/>
              </w:rPr>
              <w:t xml:space="preserve">MGIPU </w:t>
            </w:r>
            <w:r w:rsidR="00A526B6" w:rsidRPr="00361664">
              <w:rPr>
                <w:sz w:val="20"/>
              </w:rPr>
              <w:t>–</w:t>
            </w:r>
            <w:r w:rsidRPr="00361664">
              <w:rPr>
                <w:sz w:val="20"/>
              </w:rPr>
              <w:t xml:space="preserve"> </w:t>
            </w:r>
            <w:r w:rsidR="00A526B6" w:rsidRPr="00361664">
              <w:rPr>
                <w:sz w:val="20"/>
              </w:rPr>
              <w:t>sredstva nisu predviđena do 2019.</w:t>
            </w:r>
          </w:p>
          <w:p w:rsidR="0007089B" w:rsidRPr="00361664" w:rsidRDefault="0007089B" w:rsidP="00B31EE2">
            <w:pPr>
              <w:spacing w:after="0"/>
              <w:jc w:val="both"/>
              <w:rPr>
                <w:sz w:val="20"/>
              </w:rPr>
            </w:pPr>
          </w:p>
        </w:tc>
      </w:tr>
      <w:tr w:rsidR="002A36F8" w:rsidRPr="00361664" w:rsidTr="002A36F8">
        <w:trPr>
          <w:trHeight w:val="20"/>
        </w:trPr>
        <w:tc>
          <w:tcPr>
            <w:tcW w:w="654" w:type="pct"/>
            <w:vMerge/>
          </w:tcPr>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Izvršno  tijelo</w:t>
            </w:r>
          </w:p>
        </w:tc>
        <w:tc>
          <w:tcPr>
            <w:tcW w:w="3524" w:type="pct"/>
            <w:vAlign w:val="center"/>
          </w:tcPr>
          <w:p w:rsidR="002A36F8" w:rsidRPr="00361664" w:rsidRDefault="0007089B" w:rsidP="00B31EE2">
            <w:pPr>
              <w:spacing w:after="0"/>
              <w:jc w:val="both"/>
              <w:rPr>
                <w:sz w:val="20"/>
              </w:rPr>
            </w:pPr>
            <w:r w:rsidRPr="00361664">
              <w:rPr>
                <w:sz w:val="20"/>
              </w:rPr>
              <w:t>MGIPU</w:t>
            </w:r>
          </w:p>
        </w:tc>
      </w:tr>
      <w:tr w:rsidR="002A36F8" w:rsidRPr="00361664" w:rsidTr="002A36F8">
        <w:trPr>
          <w:trHeight w:val="20"/>
        </w:trPr>
        <w:tc>
          <w:tcPr>
            <w:tcW w:w="654" w:type="pct"/>
            <w:vMerge/>
          </w:tcPr>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640C0B" w:rsidP="00B31EE2">
            <w:pPr>
              <w:spacing w:after="0"/>
              <w:rPr>
                <w:rFonts w:asciiTheme="minorHAnsi" w:hAnsiTheme="minorHAnsi" w:cstheme="minorHAnsi"/>
                <w:sz w:val="20"/>
                <w:szCs w:val="20"/>
              </w:rPr>
            </w:pPr>
            <w:r w:rsidRPr="00361664">
              <w:rPr>
                <w:rFonts w:asciiTheme="minorHAnsi" w:hAnsiTheme="minorHAnsi" w:cstheme="minorHAnsi"/>
                <w:sz w:val="20"/>
                <w:szCs w:val="20"/>
              </w:rPr>
              <w:t>Tijelo za praćenje, mjerenje i verifikaciju ušteda</w:t>
            </w:r>
          </w:p>
        </w:tc>
        <w:tc>
          <w:tcPr>
            <w:tcW w:w="3524" w:type="pct"/>
            <w:vAlign w:val="center"/>
          </w:tcPr>
          <w:p w:rsidR="002A36F8" w:rsidRPr="00361664" w:rsidRDefault="002A36F8" w:rsidP="00B31EE2">
            <w:pPr>
              <w:spacing w:after="0"/>
              <w:jc w:val="both"/>
              <w:rPr>
                <w:sz w:val="20"/>
              </w:rPr>
            </w:pPr>
            <w:r w:rsidRPr="00361664">
              <w:rPr>
                <w:sz w:val="20"/>
              </w:rPr>
              <w:t xml:space="preserve">NKT </w:t>
            </w:r>
          </w:p>
        </w:tc>
      </w:tr>
      <w:tr w:rsidR="002A36F8" w:rsidRPr="00361664" w:rsidTr="002A36F8">
        <w:trPr>
          <w:trHeight w:val="20"/>
        </w:trPr>
        <w:tc>
          <w:tcPr>
            <w:tcW w:w="654" w:type="pct"/>
            <w:vMerge w:val="restar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Uštede energije</w:t>
            </w:r>
          </w:p>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2A36F8" w:rsidP="00B31EE2">
            <w:pPr>
              <w:spacing w:after="0"/>
              <w:rPr>
                <w:rFonts w:asciiTheme="minorHAnsi" w:hAnsiTheme="minorHAnsi" w:cstheme="minorHAnsi"/>
                <w:sz w:val="20"/>
                <w:szCs w:val="20"/>
              </w:rPr>
            </w:pPr>
            <w:r w:rsidRPr="00361664">
              <w:rPr>
                <w:rFonts w:asciiTheme="minorHAnsi" w:hAnsiTheme="minorHAnsi" w:cstheme="minorHAnsi"/>
                <w:sz w:val="20"/>
                <w:szCs w:val="20"/>
              </w:rPr>
              <w:t>Metoda praćenja / mjerenja ušteda energije</w:t>
            </w:r>
          </w:p>
        </w:tc>
        <w:tc>
          <w:tcPr>
            <w:tcW w:w="3524" w:type="pct"/>
            <w:vAlign w:val="center"/>
          </w:tcPr>
          <w:p w:rsidR="002A36F8" w:rsidRPr="00361664" w:rsidRDefault="0007089B" w:rsidP="00B31EE2">
            <w:pPr>
              <w:spacing w:after="0"/>
              <w:jc w:val="both"/>
              <w:rPr>
                <w:sz w:val="20"/>
              </w:rPr>
            </w:pPr>
            <w:r w:rsidRPr="00361664">
              <w:rPr>
                <w:sz w:val="20"/>
              </w:rPr>
              <w:t>Dio mjere koji je  regulatoran ne rezultira uštedom. No, sve provedbene aktivnosti, tj. svih 10 predviđenih pilot projekata kao i sve izgrađene gotovo nula energetske zgrade, ako su sufinancirane od FZOEU ili države, ili uz EU fondova pratit će se kroz unos u SMIV.</w:t>
            </w:r>
          </w:p>
        </w:tc>
      </w:tr>
      <w:tr w:rsidR="002A36F8" w:rsidRPr="00361664" w:rsidTr="002A36F8">
        <w:trPr>
          <w:trHeight w:val="20"/>
        </w:trPr>
        <w:tc>
          <w:tcPr>
            <w:tcW w:w="654" w:type="pct"/>
            <w:vMerge/>
          </w:tcPr>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A9135D" w:rsidP="00B31EE2">
            <w:pPr>
              <w:spacing w:after="0"/>
              <w:rPr>
                <w:rFonts w:asciiTheme="minorHAnsi" w:hAnsiTheme="minorHAnsi" w:cstheme="minorHAnsi"/>
                <w:sz w:val="20"/>
                <w:szCs w:val="20"/>
              </w:rPr>
            </w:pPr>
            <w:r w:rsidRPr="00361664">
              <w:rPr>
                <w:rFonts w:asciiTheme="minorHAnsi" w:hAnsiTheme="minorHAnsi" w:cstheme="minorHAnsi"/>
                <w:sz w:val="20"/>
                <w:szCs w:val="20"/>
              </w:rPr>
              <w:t>Očekivane uštede energije do kraja 2019</w:t>
            </w:r>
            <w:r w:rsidR="002A36F8" w:rsidRPr="00361664">
              <w:rPr>
                <w:rFonts w:asciiTheme="minorHAnsi" w:hAnsiTheme="minorHAnsi" w:cstheme="minorHAnsi"/>
                <w:sz w:val="20"/>
                <w:szCs w:val="20"/>
              </w:rPr>
              <w:t>.</w:t>
            </w:r>
          </w:p>
        </w:tc>
        <w:tc>
          <w:tcPr>
            <w:tcW w:w="3524" w:type="pct"/>
            <w:shd w:val="clear" w:color="auto" w:fill="auto"/>
            <w:vAlign w:val="center"/>
          </w:tcPr>
          <w:p w:rsidR="002A36F8" w:rsidRPr="00361664" w:rsidRDefault="003C78FA" w:rsidP="00B31EE2">
            <w:pPr>
              <w:spacing w:after="0"/>
              <w:jc w:val="both"/>
              <w:rPr>
                <w:sz w:val="20"/>
              </w:rPr>
            </w:pPr>
            <w:r w:rsidRPr="00361664">
              <w:rPr>
                <w:sz w:val="20"/>
              </w:rPr>
              <w:t>Nije procijenjeno</w:t>
            </w:r>
          </w:p>
        </w:tc>
      </w:tr>
      <w:tr w:rsidR="002A36F8" w:rsidRPr="00361664" w:rsidTr="002A36F8">
        <w:trPr>
          <w:trHeight w:val="20"/>
        </w:trPr>
        <w:tc>
          <w:tcPr>
            <w:tcW w:w="654" w:type="pct"/>
            <w:vMerge/>
          </w:tcPr>
          <w:p w:rsidR="002A36F8" w:rsidRPr="00361664" w:rsidRDefault="002A36F8" w:rsidP="00B31EE2">
            <w:pPr>
              <w:spacing w:after="0"/>
              <w:rPr>
                <w:rFonts w:asciiTheme="minorHAnsi" w:hAnsiTheme="minorHAnsi" w:cstheme="minorHAnsi"/>
                <w:sz w:val="20"/>
                <w:szCs w:val="20"/>
              </w:rPr>
            </w:pPr>
          </w:p>
        </w:tc>
        <w:tc>
          <w:tcPr>
            <w:tcW w:w="822" w:type="pct"/>
            <w:vAlign w:val="center"/>
          </w:tcPr>
          <w:p w:rsidR="002A36F8" w:rsidRPr="00361664" w:rsidRDefault="004831DF" w:rsidP="00B31EE2">
            <w:pPr>
              <w:spacing w:after="0"/>
              <w:rPr>
                <w:rFonts w:asciiTheme="minorHAnsi" w:hAnsiTheme="minorHAnsi" w:cstheme="minorHAnsi"/>
                <w:sz w:val="20"/>
                <w:szCs w:val="20"/>
              </w:rPr>
            </w:pPr>
            <w:r w:rsidRPr="00361664">
              <w:rPr>
                <w:rFonts w:asciiTheme="minorHAnsi" w:hAnsiTheme="minorHAnsi" w:cstheme="minorHAnsi"/>
                <w:sz w:val="20"/>
                <w:szCs w:val="20"/>
              </w:rPr>
              <w:t>Očekivane uštede energije do kraja 2020.</w:t>
            </w:r>
          </w:p>
        </w:tc>
        <w:tc>
          <w:tcPr>
            <w:tcW w:w="3524" w:type="pct"/>
            <w:vAlign w:val="center"/>
          </w:tcPr>
          <w:p w:rsidR="002A36F8" w:rsidRPr="00361664" w:rsidRDefault="003C78FA" w:rsidP="00B31EE2">
            <w:pPr>
              <w:spacing w:after="0"/>
              <w:jc w:val="both"/>
              <w:rPr>
                <w:sz w:val="20"/>
              </w:rPr>
            </w:pPr>
            <w:r w:rsidRPr="00361664">
              <w:rPr>
                <w:sz w:val="20"/>
              </w:rPr>
              <w:t>Nije procijenjeno</w:t>
            </w:r>
          </w:p>
        </w:tc>
      </w:tr>
      <w:tr w:rsidR="002A36F8" w:rsidRPr="00361664" w:rsidTr="002A36F8">
        <w:trPr>
          <w:trHeight w:val="20"/>
        </w:trPr>
        <w:tc>
          <w:tcPr>
            <w:tcW w:w="654" w:type="pct"/>
            <w:vMerge/>
          </w:tcPr>
          <w:p w:rsidR="002A36F8" w:rsidRPr="00361664" w:rsidRDefault="002A36F8" w:rsidP="002A36F8">
            <w:pPr>
              <w:rPr>
                <w:rFonts w:asciiTheme="minorHAnsi" w:hAnsiTheme="minorHAnsi" w:cstheme="minorHAnsi"/>
                <w:sz w:val="20"/>
                <w:szCs w:val="20"/>
              </w:rPr>
            </w:pPr>
          </w:p>
        </w:tc>
        <w:tc>
          <w:tcPr>
            <w:tcW w:w="822" w:type="pct"/>
            <w:vAlign w:val="center"/>
          </w:tcPr>
          <w:p w:rsidR="002A36F8" w:rsidRPr="00361664" w:rsidRDefault="002A36F8" w:rsidP="002A36F8">
            <w:pPr>
              <w:rPr>
                <w:rFonts w:asciiTheme="minorHAnsi" w:hAnsiTheme="minorHAnsi" w:cstheme="minorHAnsi"/>
                <w:sz w:val="20"/>
                <w:szCs w:val="20"/>
              </w:rPr>
            </w:pPr>
            <w:r w:rsidRPr="00361664">
              <w:rPr>
                <w:rFonts w:asciiTheme="minorHAnsi" w:hAnsiTheme="minorHAnsi" w:cstheme="minorHAnsi"/>
                <w:sz w:val="20"/>
                <w:szCs w:val="20"/>
              </w:rPr>
              <w:t>Pretpostavke</w:t>
            </w:r>
          </w:p>
          <w:p w:rsidR="002A36F8" w:rsidRPr="00361664" w:rsidRDefault="002A36F8" w:rsidP="002A36F8">
            <w:pPr>
              <w:rPr>
                <w:rFonts w:asciiTheme="minorHAnsi" w:hAnsiTheme="minorHAnsi" w:cstheme="minorHAnsi"/>
                <w:sz w:val="20"/>
                <w:szCs w:val="20"/>
              </w:rPr>
            </w:pPr>
          </w:p>
        </w:tc>
        <w:tc>
          <w:tcPr>
            <w:tcW w:w="3524" w:type="pct"/>
            <w:vAlign w:val="center"/>
          </w:tcPr>
          <w:p w:rsidR="002A36F8" w:rsidRPr="00361664" w:rsidRDefault="002A36F8" w:rsidP="002A36F8">
            <w:pPr>
              <w:spacing w:after="0"/>
              <w:jc w:val="both"/>
              <w:rPr>
                <w:rFonts w:asciiTheme="minorHAnsi" w:hAnsiTheme="minorHAnsi" w:cstheme="minorHAnsi"/>
                <w:sz w:val="20"/>
                <w:szCs w:val="20"/>
              </w:rPr>
            </w:pPr>
            <w:r w:rsidRPr="00361664">
              <w:rPr>
                <w:rFonts w:asciiTheme="minorHAnsi" w:hAnsiTheme="minorHAnsi" w:cstheme="minorHAnsi"/>
                <w:sz w:val="20"/>
                <w:szCs w:val="20"/>
              </w:rPr>
              <w:t>Hrvatska je standarde projektiranja i gradnje stambenih i nestambenih zgrada gotovo nulte energije te rokove do kojih ih je potrebno primjenjivati propisala Tehničkim propisom o racionalnoj uporabi energije i toplinskoj zaštiti u zgradama ('Narodne novine' broj 128/15</w:t>
            </w:r>
            <w:r w:rsidRPr="00361664">
              <w:rPr>
                <w:sz w:val="20"/>
              </w:rPr>
              <w:t>)</w:t>
            </w:r>
            <w:r w:rsidRPr="00361664">
              <w:rPr>
                <w:rFonts w:asciiTheme="minorHAnsi" w:hAnsiTheme="minorHAnsi" w:cstheme="minorHAnsi"/>
                <w:sz w:val="20"/>
                <w:szCs w:val="20"/>
              </w:rPr>
              <w:t xml:space="preserve"> dopuštenim vrijednostima primarne energije za sve kategorije zgrada te </w:t>
            </w:r>
            <w:r w:rsidRPr="00361664">
              <w:rPr>
                <w:sz w:val="20"/>
              </w:rPr>
              <w:t>minimalnim</w:t>
            </w:r>
            <w:r w:rsidRPr="00361664">
              <w:rPr>
                <w:rFonts w:asciiTheme="minorHAnsi" w:hAnsiTheme="minorHAnsi" w:cstheme="minorHAnsi"/>
                <w:sz w:val="20"/>
                <w:szCs w:val="20"/>
              </w:rPr>
              <w:t xml:space="preserve"> udjelom OIE. </w:t>
            </w:r>
          </w:p>
          <w:p w:rsidR="002A36F8" w:rsidRPr="00361664" w:rsidRDefault="002A36F8" w:rsidP="002A36F8">
            <w:pPr>
              <w:spacing w:after="0"/>
              <w:jc w:val="both"/>
              <w:rPr>
                <w:rFonts w:asciiTheme="minorHAnsi" w:hAnsiTheme="minorHAnsi" w:cstheme="minorHAnsi"/>
                <w:sz w:val="20"/>
                <w:szCs w:val="20"/>
              </w:rPr>
            </w:pPr>
            <w:r w:rsidRPr="00361664">
              <w:rPr>
                <w:rFonts w:asciiTheme="minorHAnsi" w:hAnsiTheme="minorHAnsi" w:cstheme="minorHAnsi"/>
                <w:sz w:val="20"/>
                <w:szCs w:val="20"/>
              </w:rPr>
              <w:lastRenderedPageBreak/>
              <w:t xml:space="preserve">Daljnje poboljšanje potrebno je tražiti kroz doradu definicije NZEB zgrada u pogledu </w:t>
            </w:r>
            <w:r w:rsidRPr="00361664">
              <w:rPr>
                <w:sz w:val="20"/>
              </w:rPr>
              <w:t>bilanciranja</w:t>
            </w:r>
            <w:r w:rsidRPr="00361664">
              <w:rPr>
                <w:rFonts w:asciiTheme="minorHAnsi" w:hAnsiTheme="minorHAnsi" w:cstheme="minorHAnsi"/>
                <w:sz w:val="20"/>
                <w:szCs w:val="20"/>
              </w:rPr>
              <w:t xml:space="preserve"> energetskih tokova preko granica sustava čime bi se dodatno potaklo korištenje obnovljivih izvora energije u NZEB zgradama.</w:t>
            </w:r>
          </w:p>
          <w:p w:rsidR="002A36F8" w:rsidRPr="00361664" w:rsidRDefault="002A36F8" w:rsidP="002A36F8">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Cilj ušteda - potrebno izraziti preko </w:t>
            </w:r>
            <w:r w:rsidRPr="00361664">
              <w:rPr>
                <w:sz w:val="20"/>
              </w:rPr>
              <w:t>Eprim</w:t>
            </w:r>
            <w:r w:rsidR="0007089B" w:rsidRPr="00361664">
              <w:rPr>
                <w:rFonts w:asciiTheme="minorHAnsi" w:hAnsiTheme="minorHAnsi" w:cstheme="minorHAnsi"/>
                <w:sz w:val="20"/>
                <w:szCs w:val="20"/>
              </w:rPr>
              <w:t xml:space="preserve"> i </w:t>
            </w:r>
            <w:r w:rsidRPr="00361664">
              <w:rPr>
                <w:rFonts w:asciiTheme="minorHAnsi" w:hAnsiTheme="minorHAnsi" w:cstheme="minorHAnsi"/>
                <w:sz w:val="20"/>
                <w:szCs w:val="20"/>
              </w:rPr>
              <w:t>QHnd.</w:t>
            </w:r>
          </w:p>
        </w:tc>
      </w:tr>
      <w:tr w:rsidR="002A36F8" w:rsidRPr="00361664" w:rsidTr="002A36F8">
        <w:trPr>
          <w:trHeight w:val="20"/>
        </w:trPr>
        <w:tc>
          <w:tcPr>
            <w:tcW w:w="654" w:type="pct"/>
            <w:vMerge/>
          </w:tcPr>
          <w:p w:rsidR="002A36F8" w:rsidRPr="00361664" w:rsidRDefault="002A36F8" w:rsidP="002A36F8">
            <w:pPr>
              <w:rPr>
                <w:rFonts w:asciiTheme="minorHAnsi" w:hAnsiTheme="minorHAnsi" w:cstheme="minorHAnsi"/>
                <w:sz w:val="20"/>
                <w:szCs w:val="20"/>
              </w:rPr>
            </w:pPr>
          </w:p>
        </w:tc>
        <w:tc>
          <w:tcPr>
            <w:tcW w:w="822" w:type="pct"/>
            <w:vAlign w:val="center"/>
          </w:tcPr>
          <w:p w:rsidR="002A36F8" w:rsidRPr="00361664" w:rsidRDefault="002A36F8" w:rsidP="002A36F8">
            <w:pPr>
              <w:rPr>
                <w:rFonts w:asciiTheme="minorHAnsi" w:hAnsiTheme="minorHAnsi" w:cstheme="minorHAnsi"/>
                <w:sz w:val="20"/>
                <w:szCs w:val="20"/>
              </w:rPr>
            </w:pPr>
            <w:r w:rsidRPr="00361664">
              <w:rPr>
                <w:rFonts w:asciiTheme="minorHAnsi" w:hAnsiTheme="minorHAnsi" w:cstheme="minorHAnsi"/>
                <w:sz w:val="20"/>
                <w:szCs w:val="20"/>
              </w:rPr>
              <w:t>Preklapanja, efekt množenja, sinergija</w:t>
            </w:r>
          </w:p>
        </w:tc>
        <w:tc>
          <w:tcPr>
            <w:tcW w:w="3524" w:type="pct"/>
            <w:vAlign w:val="center"/>
          </w:tcPr>
          <w:p w:rsidR="002A36F8" w:rsidRPr="00361664" w:rsidRDefault="002A36F8" w:rsidP="002A36F8">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Ova mjera nadopunjuje se mjerom Energetski pregledi i energetsko certificiranje zgrada, kojom se pružaju informacije o potrošnji energije potencijalnom krajnjem korisniku te tako usmjerava njegov izbor prema zgradama s manjom </w:t>
            </w:r>
            <w:r w:rsidRPr="00361664">
              <w:rPr>
                <w:sz w:val="20"/>
              </w:rPr>
              <w:t>potrošnjom</w:t>
            </w:r>
            <w:r w:rsidRPr="00361664">
              <w:rPr>
                <w:rFonts w:asciiTheme="minorHAnsi" w:hAnsiTheme="minorHAnsi" w:cstheme="minorHAnsi"/>
                <w:sz w:val="20"/>
                <w:szCs w:val="20"/>
              </w:rPr>
              <w:t xml:space="preserve"> energije i povezanim troškovima</w:t>
            </w:r>
            <w:r w:rsidR="002F1460" w:rsidRPr="00361664">
              <w:rPr>
                <w:rFonts w:asciiTheme="minorHAnsi" w:hAnsiTheme="minorHAnsi" w:cstheme="minorHAnsi"/>
                <w:sz w:val="20"/>
                <w:szCs w:val="20"/>
              </w:rPr>
              <w:t>. Dodatno se dopunjuje i s mjerama energetske obnove zgrada i obrazovanja u području energetske učinkovitosti, iako nema preklapanja.</w:t>
            </w:r>
            <w:r w:rsidRPr="00361664">
              <w:rPr>
                <w:rFonts w:asciiTheme="minorHAnsi" w:hAnsiTheme="minorHAnsi" w:cstheme="minorHAnsi"/>
                <w:sz w:val="20"/>
                <w:szCs w:val="20"/>
              </w:rPr>
              <w:t xml:space="preserve"> Kako bi se postigao efekt množenja i investitori zainteresirali za gradnju zgrada gotovo nula energetske potrošnje, potrebno je javnosti redovito prezentirati dovršene projekte i koristi koje su oni donijeli njihovim vlasnicima. </w:t>
            </w:r>
          </w:p>
          <w:p w:rsidR="002A36F8" w:rsidRPr="00361664" w:rsidRDefault="002A36F8" w:rsidP="002A36F8">
            <w:pPr>
              <w:jc w:val="both"/>
              <w:rPr>
                <w:rFonts w:asciiTheme="minorHAnsi" w:hAnsiTheme="minorHAnsi" w:cstheme="minorHAnsi"/>
                <w:sz w:val="20"/>
                <w:szCs w:val="20"/>
              </w:rPr>
            </w:pPr>
            <w:r w:rsidRPr="00361664">
              <w:rPr>
                <w:rFonts w:asciiTheme="minorHAnsi" w:hAnsiTheme="minorHAnsi" w:cstheme="minorHAnsi"/>
                <w:sz w:val="20"/>
                <w:szCs w:val="20"/>
              </w:rPr>
              <w:t>Planovi za povećanje broja zgrada NZEB moraju biti poduprijeti značajnim financijskim instrumentima koji će potaknuti tržište u razmatranju koncepata koji su u aktualnom trenutku podjednako strani poduzetnicima i individualnim graditeljima.</w:t>
            </w:r>
          </w:p>
        </w:tc>
      </w:tr>
    </w:tbl>
    <w:p w:rsidR="002A36F8" w:rsidRPr="00361664" w:rsidRDefault="002A36F8" w:rsidP="00651BCA">
      <w:pPr>
        <w:jc w:val="both"/>
        <w:rPr>
          <w:lang w:eastAsia="de-DE"/>
        </w:rPr>
      </w:pPr>
    </w:p>
    <w:p w:rsidR="008A02C8" w:rsidRPr="00361664" w:rsidRDefault="00C84DC5" w:rsidP="00C84DC5">
      <w:pPr>
        <w:rPr>
          <w:lang w:eastAsia="de-DE"/>
        </w:rPr>
      </w:pPr>
      <w:r w:rsidRPr="00361664">
        <w:rPr>
          <w:lang w:eastAsia="de-DE"/>
        </w:rPr>
        <w:br w:type="page"/>
      </w:r>
    </w:p>
    <w:p w:rsidR="001B4E6E" w:rsidRPr="00361036" w:rsidRDefault="00CE07A7" w:rsidP="00361036">
      <w:pPr>
        <w:pStyle w:val="Naslov3"/>
      </w:pPr>
      <w:bookmarkStart w:id="32" w:name="_Toc535245853"/>
      <w:r w:rsidRPr="00361036">
        <w:rPr>
          <w:rStyle w:val="Jakoisticanje"/>
          <w:b/>
          <w:bCs w:val="0"/>
          <w:i/>
          <w:iCs w:val="0"/>
          <w:color w:val="375F91"/>
        </w:rPr>
        <w:lastRenderedPageBreak/>
        <w:t>Strategija energetske obnove zgrada</w:t>
      </w:r>
      <w:r w:rsidR="001D5B34" w:rsidRPr="00361036">
        <w:rPr>
          <w:rStyle w:val="Jakoisticanje"/>
          <w:b/>
          <w:bCs w:val="0"/>
          <w:i/>
          <w:iCs w:val="0"/>
          <w:color w:val="375F91"/>
        </w:rPr>
        <w:t xml:space="preserve"> (č</w:t>
      </w:r>
      <w:r w:rsidR="003412CD" w:rsidRPr="00361036">
        <w:rPr>
          <w:rStyle w:val="Jakoisticanje"/>
          <w:b/>
          <w:bCs w:val="0"/>
          <w:i/>
          <w:iCs w:val="0"/>
          <w:color w:val="375F91"/>
        </w:rPr>
        <w:t>lanak</w:t>
      </w:r>
      <w:r w:rsidR="00944F9E" w:rsidRPr="00361036">
        <w:rPr>
          <w:rStyle w:val="Jakoisticanje"/>
          <w:b/>
          <w:bCs w:val="0"/>
          <w:i/>
          <w:iCs w:val="0"/>
          <w:color w:val="375F91"/>
        </w:rPr>
        <w:t xml:space="preserve"> 4</w:t>
      </w:r>
      <w:r w:rsidR="001D5B34" w:rsidRPr="00361036">
        <w:rPr>
          <w:rStyle w:val="Jakoisticanje"/>
          <w:b/>
          <w:bCs w:val="0"/>
          <w:i/>
          <w:iCs w:val="0"/>
          <w:color w:val="375F91"/>
        </w:rPr>
        <w:t>. DEU-a</w:t>
      </w:r>
      <w:r w:rsidR="00944F9E" w:rsidRPr="00361036">
        <w:rPr>
          <w:rStyle w:val="Jakoisticanje"/>
          <w:b/>
          <w:bCs w:val="0"/>
          <w:i/>
          <w:iCs w:val="0"/>
          <w:color w:val="375F91"/>
        </w:rPr>
        <w:t>)</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E550DF" w:rsidRPr="00361664" w:rsidTr="00CA3600">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CCFFCC"/>
          </w:tcPr>
          <w:p w:rsidR="00E550DF" w:rsidRPr="00361664" w:rsidRDefault="00E550DF" w:rsidP="00CA3600">
            <w:pPr>
              <w:spacing w:after="0"/>
              <w:rPr>
                <w:b/>
                <w:sz w:val="20"/>
              </w:rPr>
            </w:pPr>
            <w:r w:rsidRPr="00361664">
              <w:rPr>
                <w:b/>
                <w:sz w:val="20"/>
              </w:rPr>
              <w:t xml:space="preserve">Naziv mjere </w:t>
            </w:r>
          </w:p>
        </w:tc>
        <w:tc>
          <w:tcPr>
            <w:tcW w:w="3524" w:type="pct"/>
            <w:tcBorders>
              <w:top w:val="single" w:sz="4" w:space="0" w:color="auto"/>
              <w:left w:val="single" w:sz="4" w:space="0" w:color="auto"/>
              <w:bottom w:val="single" w:sz="4" w:space="0" w:color="auto"/>
              <w:right w:val="single" w:sz="4" w:space="0" w:color="auto"/>
            </w:tcBorders>
            <w:shd w:val="clear" w:color="auto" w:fill="CCFFCC"/>
          </w:tcPr>
          <w:p w:rsidR="00E550DF" w:rsidRPr="00361664" w:rsidRDefault="00E550DF" w:rsidP="00CA3600">
            <w:pPr>
              <w:spacing w:after="0"/>
              <w:rPr>
                <w:b/>
                <w:sz w:val="20"/>
              </w:rPr>
            </w:pPr>
            <w:r w:rsidRPr="00361664">
              <w:rPr>
                <w:b/>
                <w:sz w:val="20"/>
              </w:rPr>
              <w:t>Poticanje integralne obnove višestambenih zgrada</w:t>
            </w:r>
          </w:p>
        </w:tc>
      </w:tr>
      <w:tr w:rsidR="00E550DF" w:rsidRPr="00361664" w:rsidTr="00CA3600">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auto"/>
          </w:tcPr>
          <w:p w:rsidR="00E550DF" w:rsidRPr="00361664" w:rsidRDefault="00E550DF" w:rsidP="00CA3600">
            <w:pPr>
              <w:spacing w:after="0"/>
              <w:rPr>
                <w:sz w:val="20"/>
              </w:rPr>
            </w:pPr>
            <w:r w:rsidRPr="00361664">
              <w:rPr>
                <w:sz w:val="20"/>
              </w:rPr>
              <w:t>Indeks mjere</w:t>
            </w:r>
          </w:p>
        </w:tc>
        <w:tc>
          <w:tcPr>
            <w:tcW w:w="3524" w:type="pct"/>
            <w:tcBorders>
              <w:top w:val="single" w:sz="4" w:space="0" w:color="auto"/>
              <w:left w:val="single" w:sz="4" w:space="0" w:color="auto"/>
              <w:bottom w:val="single" w:sz="4" w:space="0" w:color="auto"/>
              <w:right w:val="single" w:sz="4" w:space="0" w:color="auto"/>
            </w:tcBorders>
            <w:shd w:val="clear" w:color="auto" w:fill="auto"/>
          </w:tcPr>
          <w:p w:rsidR="00E550DF" w:rsidRPr="00361664" w:rsidRDefault="00E550DF" w:rsidP="00CA3600">
            <w:pPr>
              <w:spacing w:after="0"/>
              <w:rPr>
                <w:sz w:val="20"/>
              </w:rPr>
            </w:pPr>
            <w:r w:rsidRPr="00361664">
              <w:rPr>
                <w:sz w:val="20"/>
              </w:rPr>
              <w:t>B.3</w:t>
            </w:r>
          </w:p>
        </w:tc>
      </w:tr>
      <w:tr w:rsidR="0007089B" w:rsidRPr="00361664" w:rsidTr="00CA3600">
        <w:trPr>
          <w:trHeight w:val="20"/>
        </w:trPr>
        <w:tc>
          <w:tcPr>
            <w:tcW w:w="654" w:type="pct"/>
            <w:vMerge w:val="restart"/>
            <w:vAlign w:val="center"/>
          </w:tcPr>
          <w:p w:rsidR="0007089B" w:rsidRPr="00361664" w:rsidRDefault="0007089B" w:rsidP="0007089B">
            <w:pPr>
              <w:rPr>
                <w:rFonts w:asciiTheme="minorHAnsi" w:hAnsiTheme="minorHAnsi" w:cstheme="minorHAnsi"/>
                <w:sz w:val="20"/>
                <w:szCs w:val="20"/>
              </w:rPr>
            </w:pPr>
          </w:p>
          <w:p w:rsidR="0007089B" w:rsidRPr="00361664" w:rsidRDefault="0007089B" w:rsidP="0007089B">
            <w:pPr>
              <w:rPr>
                <w:rFonts w:asciiTheme="minorHAnsi" w:hAnsiTheme="minorHAnsi" w:cstheme="minorHAnsi"/>
                <w:sz w:val="20"/>
                <w:szCs w:val="20"/>
              </w:rPr>
            </w:pPr>
            <w:r w:rsidRPr="00361664">
              <w:rPr>
                <w:rFonts w:asciiTheme="minorHAnsi" w:hAnsiTheme="minorHAnsi" w:cstheme="minorHAnsi"/>
                <w:sz w:val="20"/>
                <w:szCs w:val="20"/>
              </w:rPr>
              <w:t>Opis</w:t>
            </w:r>
          </w:p>
        </w:tc>
        <w:tc>
          <w:tcPr>
            <w:tcW w:w="822" w:type="pct"/>
            <w:vAlign w:val="center"/>
          </w:tcPr>
          <w:p w:rsidR="0007089B" w:rsidRPr="00361664" w:rsidRDefault="0007089B" w:rsidP="0007089B">
            <w:pPr>
              <w:rPr>
                <w:rFonts w:asciiTheme="minorHAnsi" w:hAnsiTheme="minorHAnsi" w:cstheme="minorHAnsi"/>
                <w:sz w:val="20"/>
                <w:szCs w:val="20"/>
              </w:rPr>
            </w:pPr>
            <w:r w:rsidRPr="00361664">
              <w:rPr>
                <w:rFonts w:asciiTheme="minorHAnsi" w:hAnsiTheme="minorHAnsi" w:cstheme="minorHAnsi"/>
                <w:sz w:val="20"/>
                <w:szCs w:val="20"/>
              </w:rPr>
              <w:t>Kategorija</w:t>
            </w:r>
          </w:p>
        </w:tc>
        <w:tc>
          <w:tcPr>
            <w:tcW w:w="3524" w:type="pct"/>
            <w:vAlign w:val="center"/>
          </w:tcPr>
          <w:p w:rsidR="0007089B" w:rsidRPr="00361664" w:rsidRDefault="0007089B" w:rsidP="0007089B">
            <w:pPr>
              <w:jc w:val="both"/>
              <w:rPr>
                <w:rFonts w:asciiTheme="minorHAnsi" w:hAnsiTheme="minorHAnsi" w:cstheme="minorHAnsi"/>
                <w:sz w:val="20"/>
                <w:szCs w:val="20"/>
              </w:rPr>
            </w:pPr>
            <w:r w:rsidRPr="00361664">
              <w:rPr>
                <w:rFonts w:asciiTheme="minorHAnsi" w:hAnsiTheme="minorHAnsi" w:cstheme="minorHAnsi"/>
                <w:sz w:val="20"/>
                <w:szCs w:val="20"/>
              </w:rPr>
              <w:t xml:space="preserve"> Nepovratna sredstva</w:t>
            </w:r>
          </w:p>
        </w:tc>
      </w:tr>
      <w:tr w:rsidR="00E550DF" w:rsidRPr="00361664" w:rsidTr="00CA3600">
        <w:trPr>
          <w:trHeight w:val="20"/>
        </w:trPr>
        <w:tc>
          <w:tcPr>
            <w:tcW w:w="654" w:type="pct"/>
            <w:vMerge/>
            <w:vAlign w:val="center"/>
          </w:tcPr>
          <w:p w:rsidR="00E550DF" w:rsidRPr="00361664" w:rsidRDefault="00E550DF" w:rsidP="00CA3600">
            <w:pPr>
              <w:rPr>
                <w:rFonts w:asciiTheme="minorHAnsi" w:hAnsiTheme="minorHAnsi" w:cstheme="minorHAnsi"/>
                <w:sz w:val="20"/>
                <w:szCs w:val="20"/>
              </w:rPr>
            </w:pPr>
          </w:p>
        </w:tc>
        <w:tc>
          <w:tcPr>
            <w:tcW w:w="822" w:type="pct"/>
            <w:vAlign w:val="center"/>
          </w:tcPr>
          <w:p w:rsidR="00E550DF" w:rsidRPr="00361664" w:rsidRDefault="00E550DF" w:rsidP="00CA3600">
            <w:pPr>
              <w:rPr>
                <w:rFonts w:asciiTheme="minorHAnsi" w:hAnsiTheme="minorHAnsi" w:cstheme="minorHAnsi"/>
                <w:sz w:val="20"/>
                <w:szCs w:val="20"/>
              </w:rPr>
            </w:pPr>
            <w:r w:rsidRPr="00361664">
              <w:rPr>
                <w:rFonts w:asciiTheme="minorHAnsi" w:hAnsiTheme="minorHAnsi" w:cstheme="minorHAnsi"/>
                <w:sz w:val="20"/>
                <w:szCs w:val="20"/>
              </w:rPr>
              <w:t>Vremenski okvir</w:t>
            </w:r>
          </w:p>
        </w:tc>
        <w:tc>
          <w:tcPr>
            <w:tcW w:w="3524" w:type="pct"/>
            <w:vAlign w:val="center"/>
          </w:tcPr>
          <w:p w:rsidR="00E550DF" w:rsidRPr="00361664" w:rsidRDefault="00E550DF" w:rsidP="00CA3600">
            <w:pPr>
              <w:spacing w:after="0"/>
              <w:rPr>
                <w:sz w:val="20"/>
              </w:rPr>
            </w:pPr>
            <w:r w:rsidRPr="00361664">
              <w:rPr>
                <w:sz w:val="20"/>
              </w:rPr>
              <w:t>Početak: 2014.</w:t>
            </w:r>
          </w:p>
          <w:p w:rsidR="00E550DF" w:rsidRPr="00361664" w:rsidRDefault="00E550DF" w:rsidP="00CA3600">
            <w:pPr>
              <w:spacing w:after="0"/>
              <w:rPr>
                <w:sz w:val="20"/>
              </w:rPr>
            </w:pPr>
            <w:r w:rsidRPr="00361664">
              <w:rPr>
                <w:sz w:val="20"/>
              </w:rPr>
              <w:t>Kraj: 2020.</w:t>
            </w:r>
          </w:p>
        </w:tc>
      </w:tr>
      <w:tr w:rsidR="00E550DF" w:rsidRPr="00361664" w:rsidTr="00CA3600">
        <w:trPr>
          <w:trHeight w:val="20"/>
        </w:trPr>
        <w:tc>
          <w:tcPr>
            <w:tcW w:w="654" w:type="pct"/>
            <w:vMerge/>
            <w:vAlign w:val="center"/>
          </w:tcPr>
          <w:p w:rsidR="00E550DF" w:rsidRPr="00361664" w:rsidRDefault="00E550DF" w:rsidP="005E6F15">
            <w:pPr>
              <w:spacing w:after="0"/>
              <w:rPr>
                <w:rFonts w:asciiTheme="minorHAnsi" w:hAnsiTheme="minorHAnsi" w:cstheme="minorHAnsi"/>
                <w:sz w:val="20"/>
                <w:szCs w:val="20"/>
              </w:rPr>
            </w:pPr>
          </w:p>
        </w:tc>
        <w:tc>
          <w:tcPr>
            <w:tcW w:w="822" w:type="pct"/>
            <w:vAlign w:val="center"/>
          </w:tcPr>
          <w:p w:rsidR="00E550DF" w:rsidRPr="00361664" w:rsidRDefault="00E550DF" w:rsidP="005E6F15">
            <w:pPr>
              <w:spacing w:after="0"/>
              <w:rPr>
                <w:rFonts w:asciiTheme="minorHAnsi" w:hAnsiTheme="minorHAnsi" w:cstheme="minorHAnsi"/>
                <w:sz w:val="20"/>
                <w:szCs w:val="20"/>
              </w:rPr>
            </w:pPr>
            <w:r w:rsidRPr="00361664">
              <w:rPr>
                <w:rFonts w:asciiTheme="minorHAnsi" w:hAnsiTheme="minorHAnsi" w:cstheme="minorHAnsi"/>
                <w:sz w:val="20"/>
                <w:szCs w:val="20"/>
              </w:rPr>
              <w:t>Cilj / kratak opis</w:t>
            </w:r>
          </w:p>
        </w:tc>
        <w:tc>
          <w:tcPr>
            <w:tcW w:w="3524" w:type="pct"/>
            <w:vAlign w:val="center"/>
          </w:tcPr>
          <w:p w:rsidR="00E550DF" w:rsidRPr="00361664" w:rsidRDefault="00E550DF"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Ovom se mjerom nastavlja provedba programa energetske obnove višestambenih zgrada 2014-2020. Planom se pozornost primarno usmjerava na višestambene zgrade građene prije 1987. godine te na njihovu obnovu na niskoenergetski standard i postizanje energetskog razreda B, A ili A+. Preduvjet za sudjelovanje u programu sufinanciranja je postojanje projektne dokumentacije potrebne u skladu sa zakonodavstvom iz područja građenja. Od 2017. godine za sufinanciranje ove mjere koristit će se jedan je od glavnih instrumenata europske kohezijske politike - Europski fond za regionalni razvoj. Iz tog fonda su za provođenje ove mjere sredstva odobrena u sklopu Operativnog programa Konkurentnost i kohezija za specifični cilj 4c2 - Smanjenje potrošnje</w:t>
            </w:r>
            <w:r w:rsidR="0007089B" w:rsidRPr="00361664">
              <w:rPr>
                <w:rFonts w:asciiTheme="minorHAnsi" w:hAnsiTheme="minorHAnsi" w:cstheme="minorHAnsi"/>
                <w:sz w:val="20"/>
                <w:szCs w:val="20"/>
              </w:rPr>
              <w:t xml:space="preserve"> energije u stambenim zgradama.</w:t>
            </w:r>
          </w:p>
        </w:tc>
      </w:tr>
      <w:tr w:rsidR="00E550DF" w:rsidRPr="00361664" w:rsidTr="00CA3600">
        <w:trPr>
          <w:trHeight w:val="20"/>
        </w:trPr>
        <w:tc>
          <w:tcPr>
            <w:tcW w:w="654" w:type="pct"/>
            <w:vMerge/>
            <w:vAlign w:val="center"/>
          </w:tcPr>
          <w:p w:rsidR="00E550DF" w:rsidRPr="00361664" w:rsidRDefault="00E550DF" w:rsidP="005E6F15">
            <w:pPr>
              <w:spacing w:after="0"/>
              <w:rPr>
                <w:rFonts w:asciiTheme="minorHAnsi" w:hAnsiTheme="minorHAnsi" w:cstheme="minorHAnsi"/>
                <w:sz w:val="20"/>
                <w:szCs w:val="20"/>
              </w:rPr>
            </w:pPr>
          </w:p>
        </w:tc>
        <w:tc>
          <w:tcPr>
            <w:tcW w:w="822" w:type="pct"/>
            <w:vAlign w:val="center"/>
          </w:tcPr>
          <w:p w:rsidR="00E550DF" w:rsidRPr="00361664" w:rsidRDefault="00E550DF" w:rsidP="005E6F15">
            <w:pPr>
              <w:spacing w:after="0"/>
              <w:rPr>
                <w:rFonts w:asciiTheme="minorHAnsi" w:hAnsiTheme="minorHAnsi" w:cstheme="minorHAnsi"/>
                <w:sz w:val="20"/>
                <w:szCs w:val="20"/>
              </w:rPr>
            </w:pPr>
            <w:r w:rsidRPr="00361664">
              <w:rPr>
                <w:rFonts w:asciiTheme="minorHAnsi" w:hAnsiTheme="minorHAnsi" w:cstheme="minorHAnsi"/>
                <w:sz w:val="20"/>
                <w:szCs w:val="20"/>
              </w:rPr>
              <w:t>Ciljna neposredna potrošnja</w:t>
            </w:r>
          </w:p>
        </w:tc>
        <w:tc>
          <w:tcPr>
            <w:tcW w:w="3524" w:type="pct"/>
            <w:vAlign w:val="center"/>
          </w:tcPr>
          <w:p w:rsidR="00E550DF" w:rsidRPr="00361664" w:rsidRDefault="00E550DF"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Svi oblici i sustavi potrošnje energije u višestambenim zgradama.</w:t>
            </w:r>
          </w:p>
          <w:p w:rsidR="00E550DF" w:rsidRPr="00361664" w:rsidRDefault="00E550DF"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Potrošnja toplinske energije u postojećim višestambenim zgradama građenima prije 1987.</w:t>
            </w:r>
          </w:p>
          <w:p w:rsidR="00E550DF" w:rsidRPr="00361664" w:rsidRDefault="00E550DF"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Obnova zgrade minimalno uključuje toplinsku izolaciju vanjske ovojnice, a prema preporukama energetskog pregleda i druge mjere kojima se smanjuje potrošnja toplinske energije u zgradi. Sastavni dio projekta integralne obnove mogu biti i mjere kojima se smanjuje potrošnja energije za ne toplinske potrebe, u skladu s preporukama energetskog pregleda.</w:t>
            </w:r>
          </w:p>
        </w:tc>
      </w:tr>
      <w:tr w:rsidR="00E550DF" w:rsidRPr="00361664" w:rsidTr="00CA3600">
        <w:trPr>
          <w:trHeight w:val="20"/>
        </w:trPr>
        <w:tc>
          <w:tcPr>
            <w:tcW w:w="654" w:type="pct"/>
            <w:vMerge/>
            <w:vAlign w:val="center"/>
          </w:tcPr>
          <w:p w:rsidR="00E550DF" w:rsidRPr="00361664" w:rsidRDefault="00E550DF" w:rsidP="005E6F15">
            <w:pPr>
              <w:spacing w:after="0"/>
              <w:rPr>
                <w:rFonts w:asciiTheme="minorHAnsi" w:hAnsiTheme="minorHAnsi" w:cstheme="minorHAnsi"/>
                <w:sz w:val="20"/>
                <w:szCs w:val="20"/>
              </w:rPr>
            </w:pPr>
          </w:p>
        </w:tc>
        <w:tc>
          <w:tcPr>
            <w:tcW w:w="822" w:type="pct"/>
            <w:vAlign w:val="center"/>
          </w:tcPr>
          <w:p w:rsidR="00E550DF" w:rsidRPr="00361664" w:rsidRDefault="00E550DF" w:rsidP="005E6F15">
            <w:pPr>
              <w:spacing w:after="0"/>
              <w:rPr>
                <w:rFonts w:asciiTheme="minorHAnsi" w:hAnsiTheme="minorHAnsi" w:cstheme="minorHAnsi"/>
                <w:sz w:val="20"/>
                <w:szCs w:val="20"/>
              </w:rPr>
            </w:pPr>
            <w:r w:rsidRPr="00361664">
              <w:rPr>
                <w:rFonts w:asciiTheme="minorHAnsi" w:hAnsiTheme="minorHAnsi" w:cstheme="minorHAnsi"/>
                <w:sz w:val="20"/>
                <w:szCs w:val="20"/>
              </w:rPr>
              <w:t>Ciljna skupina</w:t>
            </w:r>
          </w:p>
        </w:tc>
        <w:tc>
          <w:tcPr>
            <w:tcW w:w="3524" w:type="pct"/>
            <w:vAlign w:val="center"/>
          </w:tcPr>
          <w:p w:rsidR="00E550DF" w:rsidRPr="00361664" w:rsidRDefault="00E550DF"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Suvlasnici stambenih zgrada (građani);</w:t>
            </w:r>
          </w:p>
          <w:p w:rsidR="00E550DF"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T</w:t>
            </w:r>
            <w:r w:rsidR="00E550DF" w:rsidRPr="00361664">
              <w:rPr>
                <w:rFonts w:asciiTheme="minorHAnsi" w:hAnsiTheme="minorHAnsi" w:cstheme="minorHAnsi"/>
                <w:sz w:val="20"/>
                <w:szCs w:val="20"/>
              </w:rPr>
              <w:t>vrtke koje upravljaju višestambenim zgradama (upravitelji zgrada).</w:t>
            </w:r>
          </w:p>
        </w:tc>
      </w:tr>
      <w:tr w:rsidR="00E550DF" w:rsidRPr="00361664" w:rsidTr="00CA3600">
        <w:trPr>
          <w:trHeight w:val="20"/>
        </w:trPr>
        <w:tc>
          <w:tcPr>
            <w:tcW w:w="654" w:type="pct"/>
            <w:vMerge/>
            <w:vAlign w:val="center"/>
          </w:tcPr>
          <w:p w:rsidR="00E550DF" w:rsidRPr="00361664" w:rsidRDefault="00E550DF" w:rsidP="005E6F15">
            <w:pPr>
              <w:spacing w:after="0"/>
              <w:rPr>
                <w:rFonts w:asciiTheme="minorHAnsi" w:hAnsiTheme="minorHAnsi" w:cstheme="minorHAnsi"/>
                <w:sz w:val="20"/>
                <w:szCs w:val="20"/>
              </w:rPr>
            </w:pPr>
          </w:p>
        </w:tc>
        <w:tc>
          <w:tcPr>
            <w:tcW w:w="822" w:type="pct"/>
            <w:vAlign w:val="center"/>
          </w:tcPr>
          <w:p w:rsidR="00E550DF" w:rsidRPr="00361664" w:rsidRDefault="00E550DF" w:rsidP="005E6F15">
            <w:pPr>
              <w:spacing w:after="0"/>
              <w:rPr>
                <w:rFonts w:asciiTheme="minorHAnsi" w:hAnsiTheme="minorHAnsi" w:cstheme="minorHAnsi"/>
                <w:sz w:val="20"/>
                <w:szCs w:val="20"/>
              </w:rPr>
            </w:pPr>
            <w:r w:rsidRPr="00361664">
              <w:rPr>
                <w:rFonts w:asciiTheme="minorHAnsi" w:hAnsiTheme="minorHAnsi" w:cstheme="minorHAnsi"/>
                <w:sz w:val="20"/>
                <w:szCs w:val="20"/>
              </w:rPr>
              <w:t>Regionalna primjena</w:t>
            </w:r>
          </w:p>
        </w:tc>
        <w:tc>
          <w:tcPr>
            <w:tcW w:w="3524" w:type="pct"/>
            <w:vAlign w:val="center"/>
          </w:tcPr>
          <w:p w:rsidR="00E550DF" w:rsidRPr="00361664" w:rsidRDefault="00E550DF"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Nacionalno</w:t>
            </w:r>
          </w:p>
        </w:tc>
      </w:tr>
      <w:tr w:rsidR="0007089B" w:rsidRPr="00361664" w:rsidTr="00CA3600">
        <w:trPr>
          <w:trHeight w:val="20"/>
        </w:trPr>
        <w:tc>
          <w:tcPr>
            <w:tcW w:w="654" w:type="pct"/>
            <w:vMerge w:val="restar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Informacije o  provedbi</w:t>
            </w:r>
          </w:p>
        </w:tc>
        <w:tc>
          <w:tcPr>
            <w:tcW w:w="822" w:type="pc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 xml:space="preserve">Popis i opis aktivnosti za provođenje mjere </w:t>
            </w:r>
          </w:p>
        </w:tc>
        <w:tc>
          <w:tcPr>
            <w:tcW w:w="3524" w:type="pct"/>
            <w:vAlign w:val="center"/>
          </w:tcPr>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Provedba Programa energetske obnove višestambenih zgrada od 2014. do 2020. godine obuhvaća:</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 FZOEU i MGIPU pozivaju upravitelje zgrada razraditi svoje planove obnove zgrada kojima upravljaju, temeljenim na rezultatima provedenih en. pregleda i projektne dokumentacije.</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 MGIPU (PT1) i  FZOEU organiziraju informativne radionice na području RH i provode promotivnu kampanju</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 MGIPU (PT1) priprema i objavljuje Javne pozive, u suradnji s FZOEU (PT2) i MRRFEU, u skladu sa EU pravilima o sufinanciranju EU sredstvima i Zajedničkim nacionalnim pravilima. MGIPU planira sredstva.</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 Kriterije za dodjelu sredstava će zajednički razraditi MGIPU i FZOEU, a trebaju se minimalno temeljiti na visini ostvarivih ušteda, sveobuhvatnosti mjera i početnom stanju zgrade.</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 Prijavitelji dostavljaju projektne prijedloge u PT2. </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Preduvjet je važeći energetski certifikat zgrade i projekt obnove.</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 Donosi se lista projektnih prijedloga s bodovima i Odluka o sufinanciranju.</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 Potpisuje se Ugovor o sufinanciranju izvođenja energetske obnove zgrade između korisnika, PT1 i PT2.</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lastRenderedPageBreak/>
              <w:t>• Provedba projekta,  PT2 provjerava izvršenje ugovornih obveza.</w:t>
            </w:r>
          </w:p>
        </w:tc>
      </w:tr>
      <w:tr w:rsidR="0007089B" w:rsidRPr="00361664" w:rsidTr="00CA3600">
        <w:trPr>
          <w:trHeight w:val="20"/>
        </w:trPr>
        <w:tc>
          <w:tcPr>
            <w:tcW w:w="654" w:type="pct"/>
            <w:vMerge/>
          </w:tcPr>
          <w:p w:rsidR="0007089B" w:rsidRPr="00361664" w:rsidRDefault="0007089B" w:rsidP="0007089B">
            <w:pPr>
              <w:spacing w:after="0"/>
              <w:rPr>
                <w:rFonts w:asciiTheme="minorHAnsi" w:hAnsiTheme="minorHAnsi" w:cstheme="minorHAnsi"/>
                <w:sz w:val="20"/>
                <w:szCs w:val="20"/>
              </w:rPr>
            </w:pPr>
          </w:p>
        </w:tc>
        <w:tc>
          <w:tcPr>
            <w:tcW w:w="822" w:type="pc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Financijska sredstva i izvori financiranja</w:t>
            </w:r>
          </w:p>
        </w:tc>
        <w:tc>
          <w:tcPr>
            <w:tcW w:w="3524" w:type="pct"/>
            <w:vAlign w:val="center"/>
          </w:tcPr>
          <w:p w:rsidR="0007089B" w:rsidRPr="00361664" w:rsidRDefault="0007089B" w:rsidP="0007089B">
            <w:pPr>
              <w:pStyle w:val="Bodytext20"/>
              <w:shd w:val="clear" w:color="auto" w:fill="auto"/>
              <w:spacing w:before="0"/>
              <w:ind w:right="276" w:firstLine="0"/>
              <w:jc w:val="both"/>
              <w:rPr>
                <w:rFonts w:asciiTheme="minorHAnsi" w:hAnsiTheme="minorHAnsi" w:cstheme="minorHAnsi"/>
              </w:rPr>
            </w:pP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Projekti energetske učinkovitosti za ovu mjeru neće se više provoditi nacionalnim sredstvima već sredstvima Strukturnih fondova EU.</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ERDF – alocirano 70 milijuna eura bespovratnih sredstava za smanjenje potrošnje energije u stambenim zgradama do 2020. godine,</w:t>
            </w:r>
            <w:r w:rsidR="005A7484" w:rsidRPr="00361664">
              <w:rPr>
                <w:rFonts w:asciiTheme="minorHAnsi" w:hAnsiTheme="minorHAnsi" w:cstheme="minorHAnsi"/>
                <w:sz w:val="20"/>
                <w:szCs w:val="20"/>
              </w:rPr>
              <w:t xml:space="preserve"> a za razdoblje do kraja 2019. godine predviđena sredstva iznose</w:t>
            </w:r>
            <w:r w:rsidR="008E699F" w:rsidRPr="00361664">
              <w:rPr>
                <w:rFonts w:asciiTheme="minorHAnsi" w:hAnsiTheme="minorHAnsi" w:cstheme="minorHAnsi"/>
                <w:sz w:val="20"/>
                <w:szCs w:val="20"/>
              </w:rPr>
              <w:t xml:space="preserve"> </w:t>
            </w:r>
            <w:r w:rsidR="00A526B6" w:rsidRPr="00361664">
              <w:rPr>
                <w:rFonts w:asciiTheme="minorHAnsi" w:hAnsiTheme="minorHAnsi" w:cstheme="minorHAnsi"/>
                <w:sz w:val="20"/>
                <w:szCs w:val="20"/>
              </w:rPr>
              <w:t>343.699.098,00</w:t>
            </w:r>
            <w:r w:rsidR="008E699F" w:rsidRPr="00361664">
              <w:rPr>
                <w:rFonts w:asciiTheme="minorHAnsi" w:hAnsiTheme="minorHAnsi" w:cstheme="minorHAnsi"/>
                <w:sz w:val="20"/>
                <w:szCs w:val="20"/>
              </w:rPr>
              <w:t xml:space="preserve"> kn.,</w:t>
            </w:r>
            <w:r w:rsidRPr="00361664">
              <w:rPr>
                <w:rFonts w:asciiTheme="minorHAnsi" w:hAnsiTheme="minorHAnsi" w:cstheme="minorHAnsi"/>
                <w:sz w:val="20"/>
                <w:szCs w:val="20"/>
              </w:rPr>
              <w:t xml:space="preserve"> što uključuje:</w:t>
            </w:r>
          </w:p>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  troškove energetskih pregleda i energetskog certificiranja zgrada prije i nakon energetske obnove,</w:t>
            </w:r>
          </w:p>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 troškove izrade projektne dokumentacije,</w:t>
            </w:r>
          </w:p>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 troškove administracije i upravljanja projektom,</w:t>
            </w:r>
          </w:p>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 troškove provedbe projekta te</w:t>
            </w:r>
          </w:p>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 troškove stručnog nadzora građenja / Projektantskog nadzora / Koordinatora zaštite na radu.</w:t>
            </w:r>
          </w:p>
          <w:p w:rsidR="0007089B" w:rsidRPr="00361664" w:rsidRDefault="0007089B" w:rsidP="0007089B">
            <w:pPr>
              <w:spacing w:after="0"/>
              <w:rPr>
                <w:rFonts w:asciiTheme="minorHAnsi" w:hAnsiTheme="minorHAnsi" w:cstheme="minorHAnsi"/>
                <w:sz w:val="20"/>
                <w:szCs w:val="20"/>
              </w:rPr>
            </w:pPr>
          </w:p>
        </w:tc>
      </w:tr>
      <w:tr w:rsidR="0007089B" w:rsidRPr="00361664" w:rsidTr="00CA3600">
        <w:trPr>
          <w:trHeight w:val="20"/>
        </w:trPr>
        <w:tc>
          <w:tcPr>
            <w:tcW w:w="654" w:type="pct"/>
            <w:vMerge/>
          </w:tcPr>
          <w:p w:rsidR="0007089B" w:rsidRPr="00361664" w:rsidRDefault="0007089B" w:rsidP="0007089B">
            <w:pPr>
              <w:spacing w:after="0"/>
              <w:rPr>
                <w:rFonts w:asciiTheme="minorHAnsi" w:hAnsiTheme="minorHAnsi" w:cstheme="minorHAnsi"/>
                <w:sz w:val="20"/>
                <w:szCs w:val="20"/>
              </w:rPr>
            </w:pPr>
          </w:p>
        </w:tc>
        <w:tc>
          <w:tcPr>
            <w:tcW w:w="822" w:type="pc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Izvršno  tijelo</w:t>
            </w:r>
          </w:p>
        </w:tc>
        <w:tc>
          <w:tcPr>
            <w:tcW w:w="3524" w:type="pct"/>
            <w:vAlign w:val="center"/>
          </w:tcPr>
          <w:p w:rsidR="0007089B" w:rsidRPr="00361664" w:rsidRDefault="0007089B" w:rsidP="0007089B">
            <w:pPr>
              <w:spacing w:after="0"/>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 xml:space="preserve">MGIPU – kao posredničko tijelo prve razine u sustavu upravljanja i kontrole operativnog programa Konkurentnost i kohezija u sklopu kojega planira EU sredstva i donosi Odluku o financiranju te supotpisuje Ugovor o dodjeli bespovratnih sredstava </w:t>
            </w:r>
          </w:p>
          <w:p w:rsidR="0007089B" w:rsidRPr="00361664" w:rsidRDefault="0007089B" w:rsidP="0007089B">
            <w:pPr>
              <w:spacing w:after="0"/>
              <w:jc w:val="both"/>
              <w:rPr>
                <w:rFonts w:asciiTheme="minorHAnsi" w:hAnsiTheme="minorHAnsi" w:cstheme="minorHAnsi"/>
                <w:sz w:val="20"/>
                <w:szCs w:val="20"/>
                <w:lang w:bidi="hr-HR"/>
              </w:rPr>
            </w:pPr>
            <w:r w:rsidRPr="00361664">
              <w:rPr>
                <w:rFonts w:asciiTheme="minorHAnsi" w:hAnsiTheme="minorHAnsi" w:cstheme="minorHAnsi"/>
                <w:sz w:val="20"/>
                <w:szCs w:val="20"/>
              </w:rPr>
              <w:t xml:space="preserve">MGIPU - operativno praćenje provedbe programa </w:t>
            </w:r>
          </w:p>
          <w:p w:rsidR="0007089B" w:rsidRPr="00361664" w:rsidRDefault="0007089B" w:rsidP="0007089B">
            <w:pPr>
              <w:spacing w:after="0"/>
              <w:jc w:val="both"/>
              <w:rPr>
                <w:rFonts w:asciiTheme="minorHAnsi" w:hAnsiTheme="minorHAnsi" w:cstheme="minorHAnsi"/>
                <w:sz w:val="20"/>
                <w:szCs w:val="20"/>
                <w:lang w:bidi="hr-HR"/>
              </w:rPr>
            </w:pPr>
            <w:r w:rsidRPr="00361664">
              <w:rPr>
                <w:rFonts w:asciiTheme="minorHAnsi" w:hAnsiTheme="minorHAnsi" w:cstheme="minorHAnsi"/>
                <w:sz w:val="20"/>
                <w:szCs w:val="20"/>
                <w:lang w:bidi="hr-HR"/>
              </w:rPr>
              <w:t xml:space="preserve">MRRFEU – kao upravljačko tijelo koje upravlja OPKK te je odgovorno za cjelokupnu provedbu OPKK. </w:t>
            </w:r>
          </w:p>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PT2 -  provjerava izvršenje ugovornih obveza</w:t>
            </w:r>
          </w:p>
        </w:tc>
      </w:tr>
      <w:tr w:rsidR="0007089B" w:rsidRPr="00361664" w:rsidTr="00CA3600">
        <w:trPr>
          <w:trHeight w:val="20"/>
        </w:trPr>
        <w:tc>
          <w:tcPr>
            <w:tcW w:w="654" w:type="pct"/>
            <w:vMerge/>
          </w:tcPr>
          <w:p w:rsidR="0007089B" w:rsidRPr="00361664" w:rsidRDefault="0007089B" w:rsidP="0007089B">
            <w:pPr>
              <w:spacing w:after="0"/>
              <w:rPr>
                <w:rFonts w:asciiTheme="minorHAnsi" w:hAnsiTheme="minorHAnsi" w:cstheme="minorHAnsi"/>
                <w:sz w:val="20"/>
                <w:szCs w:val="20"/>
              </w:rPr>
            </w:pPr>
          </w:p>
        </w:tc>
        <w:tc>
          <w:tcPr>
            <w:tcW w:w="822" w:type="pc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 xml:space="preserve">Tijelo za praćenje, mjerenje i verifikaciju ušteda </w:t>
            </w:r>
          </w:p>
        </w:tc>
        <w:tc>
          <w:tcPr>
            <w:tcW w:w="3524" w:type="pct"/>
            <w:vAlign w:val="center"/>
          </w:tcPr>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NKT </w:t>
            </w:r>
          </w:p>
        </w:tc>
      </w:tr>
      <w:tr w:rsidR="0007089B" w:rsidRPr="00361664" w:rsidTr="00CA3600">
        <w:trPr>
          <w:trHeight w:val="20"/>
        </w:trPr>
        <w:tc>
          <w:tcPr>
            <w:tcW w:w="654" w:type="pct"/>
            <w:vMerge w:val="restar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Uštede energije</w:t>
            </w:r>
          </w:p>
          <w:p w:rsidR="0007089B" w:rsidRPr="00361664" w:rsidRDefault="0007089B" w:rsidP="0007089B">
            <w:pPr>
              <w:spacing w:after="0"/>
              <w:rPr>
                <w:rFonts w:asciiTheme="minorHAnsi" w:hAnsiTheme="minorHAnsi" w:cstheme="minorHAnsi"/>
                <w:sz w:val="20"/>
                <w:szCs w:val="20"/>
              </w:rPr>
            </w:pPr>
          </w:p>
        </w:tc>
        <w:tc>
          <w:tcPr>
            <w:tcW w:w="822" w:type="pc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Metoda praćenja / mjerenja ušteda energije</w:t>
            </w:r>
          </w:p>
        </w:tc>
        <w:tc>
          <w:tcPr>
            <w:tcW w:w="3524" w:type="pct"/>
            <w:vAlign w:val="center"/>
          </w:tcPr>
          <w:p w:rsidR="0007089B" w:rsidRPr="00361664" w:rsidRDefault="0007089B" w:rsidP="0007089B">
            <w:pPr>
              <w:spacing w:after="0"/>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 xml:space="preserve">Učinci mjere pratit će se kroz nacionalni </w:t>
            </w:r>
            <w:r w:rsidRPr="00361664">
              <w:rPr>
                <w:rFonts w:asciiTheme="minorHAnsi" w:hAnsiTheme="minorHAnsi"/>
                <w:color w:val="000000"/>
                <w:sz w:val="20"/>
              </w:rPr>
              <w:t xml:space="preserve">Sustav za </w:t>
            </w:r>
            <w:r w:rsidRPr="00361664">
              <w:rPr>
                <w:sz w:val="20"/>
                <w:szCs w:val="20"/>
              </w:rPr>
              <w:t xml:space="preserve">praćenje, </w:t>
            </w:r>
            <w:r w:rsidRPr="00361664">
              <w:rPr>
                <w:rFonts w:asciiTheme="minorHAnsi" w:hAnsiTheme="minorHAnsi"/>
                <w:color w:val="000000"/>
                <w:sz w:val="20"/>
              </w:rPr>
              <w:t xml:space="preserve">mjerenje i verifikaciju </w:t>
            </w:r>
            <w:r w:rsidRPr="00361664">
              <w:rPr>
                <w:sz w:val="20"/>
                <w:szCs w:val="20"/>
              </w:rPr>
              <w:t xml:space="preserve">ušteda energije </w:t>
            </w:r>
            <w:r w:rsidRPr="00361664">
              <w:rPr>
                <w:rFonts w:asciiTheme="minorHAnsi" w:hAnsiTheme="minorHAnsi" w:cstheme="minorHAnsi"/>
                <w:color w:val="000000"/>
                <w:sz w:val="20"/>
                <w:szCs w:val="20"/>
                <w:lang w:eastAsia="hr-HR" w:bidi="hr-HR"/>
              </w:rPr>
              <w:t>(SMIV).</w:t>
            </w:r>
          </w:p>
        </w:tc>
      </w:tr>
      <w:tr w:rsidR="0007089B" w:rsidRPr="00361664" w:rsidTr="00CA3600">
        <w:trPr>
          <w:trHeight w:val="20"/>
        </w:trPr>
        <w:tc>
          <w:tcPr>
            <w:tcW w:w="654" w:type="pct"/>
            <w:vMerge/>
          </w:tcPr>
          <w:p w:rsidR="0007089B" w:rsidRPr="00361664" w:rsidRDefault="0007089B" w:rsidP="0007089B">
            <w:pPr>
              <w:spacing w:after="0"/>
              <w:rPr>
                <w:rFonts w:asciiTheme="minorHAnsi" w:hAnsiTheme="minorHAnsi" w:cstheme="minorHAnsi"/>
                <w:sz w:val="20"/>
                <w:szCs w:val="20"/>
              </w:rPr>
            </w:pPr>
          </w:p>
        </w:tc>
        <w:tc>
          <w:tcPr>
            <w:tcW w:w="822" w:type="pc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Očekivane uštede energije do kraja 2019</w:t>
            </w:r>
          </w:p>
        </w:tc>
        <w:tc>
          <w:tcPr>
            <w:tcW w:w="3524" w:type="pct"/>
            <w:shd w:val="clear" w:color="auto" w:fill="auto"/>
            <w:vAlign w:val="center"/>
          </w:tcPr>
          <w:p w:rsidR="0007089B" w:rsidRPr="00361664" w:rsidRDefault="00635086" w:rsidP="00635086">
            <w:pPr>
              <w:spacing w:after="0"/>
              <w:jc w:val="both"/>
              <w:rPr>
                <w:rFonts w:asciiTheme="minorHAnsi" w:hAnsiTheme="minorHAnsi" w:cstheme="minorHAnsi"/>
                <w:sz w:val="20"/>
                <w:szCs w:val="20"/>
              </w:rPr>
            </w:pPr>
            <w:r w:rsidRPr="00361664">
              <w:rPr>
                <w:rFonts w:asciiTheme="minorHAnsi" w:eastAsia="Calibri" w:hAnsiTheme="minorHAnsi" w:cstheme="minorHAnsi"/>
                <w:sz w:val="20"/>
                <w:szCs w:val="20"/>
                <w:lang w:eastAsia="hr-HR" w:bidi="hr-HR"/>
              </w:rPr>
              <w:t>1095 TJ</w:t>
            </w:r>
          </w:p>
        </w:tc>
      </w:tr>
      <w:tr w:rsidR="0007089B" w:rsidRPr="00361664" w:rsidTr="00CA3600">
        <w:trPr>
          <w:trHeight w:val="20"/>
        </w:trPr>
        <w:tc>
          <w:tcPr>
            <w:tcW w:w="654" w:type="pct"/>
            <w:vMerge/>
          </w:tcPr>
          <w:p w:rsidR="0007089B" w:rsidRPr="00361664" w:rsidRDefault="0007089B" w:rsidP="0007089B">
            <w:pPr>
              <w:spacing w:after="0"/>
              <w:rPr>
                <w:rFonts w:asciiTheme="minorHAnsi" w:hAnsiTheme="minorHAnsi" w:cstheme="minorHAnsi"/>
                <w:sz w:val="20"/>
                <w:szCs w:val="20"/>
              </w:rPr>
            </w:pPr>
          </w:p>
        </w:tc>
        <w:tc>
          <w:tcPr>
            <w:tcW w:w="822" w:type="pct"/>
            <w:vAlign w:val="center"/>
          </w:tcPr>
          <w:p w:rsidR="0007089B" w:rsidRPr="00361664" w:rsidRDefault="0007089B" w:rsidP="0007089B">
            <w:pPr>
              <w:spacing w:after="0"/>
              <w:rPr>
                <w:rFonts w:asciiTheme="minorHAnsi" w:hAnsiTheme="minorHAnsi" w:cstheme="minorHAnsi"/>
                <w:sz w:val="20"/>
                <w:szCs w:val="20"/>
              </w:rPr>
            </w:pPr>
            <w:r w:rsidRPr="00361664">
              <w:rPr>
                <w:rFonts w:asciiTheme="minorHAnsi" w:hAnsiTheme="minorHAnsi" w:cstheme="minorHAnsi"/>
                <w:sz w:val="20"/>
                <w:szCs w:val="20"/>
              </w:rPr>
              <w:t>Očekivane uštede energije do kraja 2020.</w:t>
            </w:r>
          </w:p>
        </w:tc>
        <w:tc>
          <w:tcPr>
            <w:tcW w:w="3524" w:type="pct"/>
            <w:vAlign w:val="center"/>
          </w:tcPr>
          <w:p w:rsidR="0007089B" w:rsidRPr="00361664" w:rsidRDefault="00635086" w:rsidP="0007089B">
            <w:pPr>
              <w:spacing w:after="0"/>
              <w:jc w:val="both"/>
              <w:rPr>
                <w:rFonts w:asciiTheme="minorHAnsi" w:hAnsiTheme="minorHAnsi" w:cstheme="minorHAnsi"/>
                <w:sz w:val="20"/>
                <w:szCs w:val="20"/>
              </w:rPr>
            </w:pPr>
            <w:r w:rsidRPr="00361664">
              <w:rPr>
                <w:rFonts w:asciiTheme="minorHAnsi" w:eastAsia="Calibri" w:hAnsiTheme="minorHAnsi" w:cstheme="minorHAnsi"/>
                <w:sz w:val="20"/>
                <w:szCs w:val="20"/>
                <w:lang w:eastAsia="hr-HR" w:bidi="hr-HR"/>
              </w:rPr>
              <w:t>1460 TJ</w:t>
            </w:r>
          </w:p>
        </w:tc>
      </w:tr>
      <w:tr w:rsidR="0007089B" w:rsidRPr="00361664" w:rsidTr="00CA3600">
        <w:trPr>
          <w:trHeight w:val="20"/>
        </w:trPr>
        <w:tc>
          <w:tcPr>
            <w:tcW w:w="654" w:type="pct"/>
            <w:vMerge/>
          </w:tcPr>
          <w:p w:rsidR="0007089B" w:rsidRPr="00361664" w:rsidRDefault="0007089B" w:rsidP="0007089B">
            <w:pPr>
              <w:rPr>
                <w:rFonts w:asciiTheme="minorHAnsi" w:hAnsiTheme="minorHAnsi" w:cstheme="minorHAnsi"/>
                <w:sz w:val="20"/>
                <w:szCs w:val="20"/>
              </w:rPr>
            </w:pPr>
          </w:p>
        </w:tc>
        <w:tc>
          <w:tcPr>
            <w:tcW w:w="822" w:type="pct"/>
            <w:vAlign w:val="center"/>
          </w:tcPr>
          <w:p w:rsidR="0007089B" w:rsidRPr="00361664" w:rsidRDefault="0007089B" w:rsidP="0007089B">
            <w:pPr>
              <w:rPr>
                <w:rFonts w:asciiTheme="minorHAnsi" w:hAnsiTheme="minorHAnsi" w:cstheme="minorHAnsi"/>
                <w:sz w:val="20"/>
                <w:szCs w:val="20"/>
              </w:rPr>
            </w:pPr>
            <w:r w:rsidRPr="00361664">
              <w:rPr>
                <w:rFonts w:asciiTheme="minorHAnsi" w:hAnsiTheme="minorHAnsi" w:cstheme="minorHAnsi"/>
                <w:sz w:val="20"/>
                <w:szCs w:val="20"/>
              </w:rPr>
              <w:t>Pretpostavke</w:t>
            </w:r>
          </w:p>
          <w:p w:rsidR="0007089B" w:rsidRPr="00361664" w:rsidRDefault="0007089B" w:rsidP="0007089B">
            <w:pPr>
              <w:rPr>
                <w:rFonts w:asciiTheme="minorHAnsi" w:hAnsiTheme="minorHAnsi" w:cstheme="minorHAnsi"/>
                <w:sz w:val="20"/>
                <w:szCs w:val="20"/>
              </w:rPr>
            </w:pPr>
          </w:p>
        </w:tc>
        <w:tc>
          <w:tcPr>
            <w:tcW w:w="3524" w:type="pct"/>
            <w:vAlign w:val="center"/>
          </w:tcPr>
          <w:p w:rsidR="008C44BB" w:rsidRPr="00361664" w:rsidRDefault="008C44BB" w:rsidP="008C44BB">
            <w:pPr>
              <w:jc w:val="both"/>
              <w:rPr>
                <w:rFonts w:asciiTheme="minorHAnsi" w:hAnsiTheme="minorHAnsi" w:cstheme="minorHAnsi"/>
                <w:sz w:val="20"/>
                <w:szCs w:val="20"/>
              </w:rPr>
            </w:pPr>
            <w:r w:rsidRPr="00361664">
              <w:rPr>
                <w:rFonts w:asciiTheme="minorHAnsi" w:hAnsiTheme="minorHAnsi" w:cstheme="minorHAnsi"/>
                <w:sz w:val="20"/>
                <w:szCs w:val="20"/>
              </w:rPr>
              <w:t>Pretpostavlja se da će se godišnje provoditi energetski pregledi i izraditi energetski certifikati na 500 zgrada. Pretpostavlja se da će se godišnje izraditi projektna dokumentacija na 500 zgrada. U Republici Hrvatskoj je u 2010. godini evidentirano ukupno 149,38 milijuna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korisne površine stambenih zgrada, prema podacima Državnog zavoda za statistiku, popisa stanovništva 2001. godine, te podataka o ukupno izdanim građevinskim dozvolama i izgrađenim zgradama u razdoblju 2001.-2010. godine. Prema dostupnim statističkim podacima, pretpostavlja se da je 1/3 stambenog fonda u Hrvatskoj u višestambenim zgradama, što znači da se ova mjera odnosi na </w:t>
            </w:r>
            <w:r w:rsidRPr="00361664">
              <w:rPr>
                <w:rFonts w:asciiTheme="minorHAnsi" w:hAnsiTheme="minorHAnsi" w:cstheme="minorHAnsi"/>
                <w:sz w:val="20"/>
                <w:szCs w:val="20"/>
              </w:rPr>
              <w:lastRenderedPageBreak/>
              <w:t>oko 50 milijuna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Pretpostavlja se da će se energetska obnova zgrada temeljiti prvenstveno na zgradama građenim prije 1987. godine. Uštede energije izračunavaju se uz pretpostavku da se svake godine obnovi 1% površine višestambenih zgrada, odnosno oko 500.000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te da se provodi integralna obnova zgrada kojom će se potrošnja energije smanjiti za 202,30 kWh/m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prema Pravilniku o praćenju, mjerenju i verifikaciji ušteda energije u neposrednoj potrošnji. Godišnje to iznosi 101 milijun ušteđenih kWh ili 365 TJ, a životni vijek ove mjere je 20 godina.</w:t>
            </w:r>
          </w:p>
          <w:p w:rsidR="0007089B" w:rsidRPr="00361664" w:rsidRDefault="008C44BB" w:rsidP="008C44BB">
            <w:pPr>
              <w:jc w:val="both"/>
              <w:rPr>
                <w:rFonts w:asciiTheme="minorHAnsi" w:hAnsiTheme="minorHAnsi" w:cstheme="minorHAnsi"/>
                <w:sz w:val="20"/>
                <w:szCs w:val="20"/>
              </w:rPr>
            </w:pPr>
            <w:r w:rsidRPr="00361664">
              <w:rPr>
                <w:rFonts w:asciiTheme="minorHAnsi" w:hAnsiTheme="minorHAnsi" w:cstheme="minorHAnsi"/>
                <w:sz w:val="20"/>
                <w:szCs w:val="20"/>
              </w:rPr>
              <w:t>Pretpostavljena cijena obnove je 1.000 kn/m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w:t>
            </w:r>
          </w:p>
        </w:tc>
      </w:tr>
      <w:tr w:rsidR="0007089B" w:rsidRPr="00361664" w:rsidTr="00CA3600">
        <w:trPr>
          <w:trHeight w:val="20"/>
        </w:trPr>
        <w:tc>
          <w:tcPr>
            <w:tcW w:w="654" w:type="pct"/>
            <w:vMerge/>
          </w:tcPr>
          <w:p w:rsidR="0007089B" w:rsidRPr="00361664" w:rsidRDefault="0007089B" w:rsidP="0007089B">
            <w:pPr>
              <w:rPr>
                <w:rFonts w:asciiTheme="minorHAnsi" w:hAnsiTheme="minorHAnsi" w:cstheme="minorHAnsi"/>
                <w:sz w:val="20"/>
                <w:szCs w:val="20"/>
              </w:rPr>
            </w:pPr>
          </w:p>
        </w:tc>
        <w:tc>
          <w:tcPr>
            <w:tcW w:w="822" w:type="pct"/>
            <w:vAlign w:val="center"/>
          </w:tcPr>
          <w:p w:rsidR="0007089B" w:rsidRPr="00361664" w:rsidRDefault="0007089B" w:rsidP="0007089B">
            <w:pPr>
              <w:rPr>
                <w:rFonts w:asciiTheme="minorHAnsi" w:hAnsiTheme="minorHAnsi" w:cstheme="minorHAnsi"/>
                <w:sz w:val="20"/>
                <w:szCs w:val="20"/>
              </w:rPr>
            </w:pPr>
            <w:r w:rsidRPr="00361664">
              <w:rPr>
                <w:rFonts w:asciiTheme="minorHAnsi" w:hAnsiTheme="minorHAnsi" w:cstheme="minorHAnsi"/>
                <w:sz w:val="20"/>
                <w:szCs w:val="20"/>
              </w:rPr>
              <w:t>Preklapanja, efekt množenja, sinergija</w:t>
            </w:r>
          </w:p>
        </w:tc>
        <w:tc>
          <w:tcPr>
            <w:tcW w:w="3524" w:type="pct"/>
            <w:vAlign w:val="center"/>
          </w:tcPr>
          <w:p w:rsidR="0007089B" w:rsidRPr="00361664" w:rsidRDefault="0007089B" w:rsidP="0007089B">
            <w:pPr>
              <w:jc w:val="both"/>
              <w:rPr>
                <w:rFonts w:asciiTheme="minorHAnsi" w:hAnsiTheme="minorHAnsi" w:cstheme="minorHAnsi"/>
                <w:sz w:val="20"/>
                <w:szCs w:val="20"/>
              </w:rPr>
            </w:pPr>
            <w:r w:rsidRPr="00361664">
              <w:rPr>
                <w:rFonts w:asciiTheme="minorHAnsi" w:hAnsiTheme="minorHAnsi" w:cstheme="minorHAnsi"/>
                <w:sz w:val="20"/>
                <w:szCs w:val="20"/>
              </w:rPr>
              <w:t>Kako bi se postigao efekt množenja i vlasnici stanova zainteresirali za obnove svojih zgrada, potrebno je javnosti redovito prezentirati dovršene projekte i koristi koje su oni donijeli stanarima.</w:t>
            </w:r>
          </w:p>
          <w:p w:rsidR="0007089B" w:rsidRPr="00361664" w:rsidRDefault="0007089B" w:rsidP="0007089B">
            <w:pPr>
              <w:jc w:val="both"/>
              <w:rPr>
                <w:rFonts w:asciiTheme="minorHAnsi" w:hAnsiTheme="minorHAnsi" w:cstheme="minorHAnsi"/>
                <w:sz w:val="20"/>
                <w:szCs w:val="20"/>
              </w:rPr>
            </w:pPr>
            <w:r w:rsidRPr="00361664">
              <w:rPr>
                <w:rFonts w:asciiTheme="minorHAnsi" w:hAnsiTheme="minorHAnsi" w:cstheme="minorHAnsi"/>
                <w:sz w:val="20"/>
                <w:szCs w:val="20"/>
              </w:rPr>
              <w:t xml:space="preserve">Potrebno je osvijestiti suvlasnike o stanju zgrade i mogućnostima za poboljšanje njezinih energetskih svojstava te ih potaknuti na odluke o investiranju u mjere energetske obnove predložene energetskim pregledom te se pretpostavlja da će suvlasnici nakon što osjete smanjene potrošnje energije i na računima za energiju, početi provoditi i druge mjere energetske učinkovitosti. </w:t>
            </w:r>
          </w:p>
        </w:tc>
      </w:tr>
    </w:tbl>
    <w:p w:rsidR="00E550DF" w:rsidRPr="00361664" w:rsidRDefault="00E550DF" w:rsidP="00651BCA">
      <w:pPr>
        <w:jc w:val="both"/>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501"/>
        <w:gridCol w:w="6522"/>
      </w:tblGrid>
      <w:tr w:rsidR="004E4418" w:rsidRPr="00361664" w:rsidTr="002F0075">
        <w:trPr>
          <w:trHeight w:val="20"/>
        </w:trPr>
        <w:tc>
          <w:tcPr>
            <w:tcW w:w="1489" w:type="pct"/>
            <w:gridSpan w:val="2"/>
            <w:shd w:val="clear" w:color="auto" w:fill="CCFFCC"/>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b/>
                <w:sz w:val="20"/>
                <w:szCs w:val="22"/>
                <w:lang w:val="hr-HR"/>
              </w:rPr>
            </w:pPr>
            <w:r w:rsidRPr="00361664">
              <w:rPr>
                <w:rFonts w:asciiTheme="minorHAnsi" w:hAnsiTheme="minorHAnsi"/>
                <w:b/>
                <w:sz w:val="20"/>
                <w:szCs w:val="22"/>
                <w:lang w:val="hr-HR"/>
              </w:rPr>
              <w:t>Naziv mjere</w:t>
            </w:r>
          </w:p>
        </w:tc>
        <w:tc>
          <w:tcPr>
            <w:tcW w:w="3511" w:type="pct"/>
            <w:shd w:val="clear" w:color="auto" w:fill="CCFFCC"/>
          </w:tcPr>
          <w:p w:rsidR="004E4418" w:rsidRPr="00361664" w:rsidRDefault="004E4418" w:rsidP="002F0075">
            <w:pPr>
              <w:pStyle w:val="Tabletext"/>
              <w:tabs>
                <w:tab w:val="left" w:pos="1440"/>
                <w:tab w:val="left" w:pos="5040"/>
              </w:tabs>
              <w:spacing w:before="0" w:after="0" w:line="240" w:lineRule="auto"/>
              <w:rPr>
                <w:rFonts w:asciiTheme="minorHAnsi" w:hAnsiTheme="minorHAnsi" w:cs="Arial"/>
                <w:b/>
                <w:bCs/>
                <w:iCs/>
                <w:sz w:val="20"/>
                <w:szCs w:val="22"/>
                <w:lang w:val="hr-HR"/>
              </w:rPr>
            </w:pPr>
            <w:r w:rsidRPr="00361664">
              <w:rPr>
                <w:rFonts w:asciiTheme="minorHAnsi" w:hAnsiTheme="minorHAnsi" w:cs="Arial"/>
                <w:b/>
                <w:bCs/>
                <w:iCs/>
                <w:sz w:val="20"/>
                <w:szCs w:val="22"/>
                <w:lang w:val="hr-HR"/>
              </w:rPr>
              <w:t>Povećanje energetske učinkovito</w:t>
            </w:r>
            <w:r w:rsidR="004B237D" w:rsidRPr="00361664">
              <w:rPr>
                <w:rFonts w:asciiTheme="minorHAnsi" w:hAnsiTheme="minorHAnsi" w:cs="Arial"/>
                <w:b/>
                <w:bCs/>
                <w:iCs/>
                <w:sz w:val="20"/>
                <w:szCs w:val="22"/>
                <w:lang w:val="hr-HR"/>
              </w:rPr>
              <w:t xml:space="preserve">sti i korištenja OIE u </w:t>
            </w:r>
            <w:r w:rsidR="00411708" w:rsidRPr="00361664">
              <w:rPr>
                <w:rFonts w:asciiTheme="minorHAnsi" w:hAnsiTheme="minorHAnsi" w:cs="Arial"/>
                <w:b/>
                <w:bCs/>
                <w:iCs/>
                <w:sz w:val="20"/>
                <w:szCs w:val="22"/>
                <w:lang w:val="hr-HR"/>
              </w:rPr>
              <w:t>komercijalnom</w:t>
            </w:r>
            <w:r w:rsidRPr="00361664">
              <w:rPr>
                <w:rFonts w:asciiTheme="minorHAnsi" w:hAnsiTheme="minorHAnsi" w:cs="Arial"/>
                <w:b/>
                <w:bCs/>
                <w:iCs/>
                <w:sz w:val="20"/>
                <w:szCs w:val="22"/>
                <w:lang w:val="hr-HR"/>
              </w:rPr>
              <w:t xml:space="preserve"> uslužnom sektoru (turizam i trgovina)</w:t>
            </w:r>
          </w:p>
        </w:tc>
      </w:tr>
      <w:tr w:rsidR="004E4418" w:rsidRPr="00361664" w:rsidTr="002F0075">
        <w:trPr>
          <w:trHeight w:val="20"/>
        </w:trPr>
        <w:tc>
          <w:tcPr>
            <w:tcW w:w="1489" w:type="pct"/>
            <w:gridSpan w:val="2"/>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r w:rsidRPr="00361664">
              <w:rPr>
                <w:rFonts w:asciiTheme="minorHAnsi" w:hAnsiTheme="minorHAnsi"/>
                <w:sz w:val="20"/>
                <w:szCs w:val="22"/>
                <w:lang w:val="hr-HR"/>
              </w:rPr>
              <w:t>Indeks mjere</w:t>
            </w:r>
          </w:p>
        </w:tc>
        <w:tc>
          <w:tcPr>
            <w:tcW w:w="3511" w:type="pct"/>
          </w:tcPr>
          <w:p w:rsidR="004E4418" w:rsidRPr="00361664" w:rsidRDefault="004E4418" w:rsidP="002F0075">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B.4 </w:t>
            </w:r>
          </w:p>
        </w:tc>
      </w:tr>
      <w:tr w:rsidR="004E4418" w:rsidRPr="00361664" w:rsidTr="002F0075">
        <w:trPr>
          <w:trHeight w:val="20"/>
        </w:trPr>
        <w:tc>
          <w:tcPr>
            <w:tcW w:w="681" w:type="pct"/>
            <w:vMerge w:val="restart"/>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r w:rsidRPr="00361664">
              <w:rPr>
                <w:rFonts w:asciiTheme="minorHAnsi" w:hAnsiTheme="minorHAnsi"/>
                <w:sz w:val="20"/>
                <w:szCs w:val="22"/>
                <w:lang w:val="hr-HR"/>
              </w:rPr>
              <w:t>Opis</w:t>
            </w: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Kategorija</w:t>
            </w:r>
          </w:p>
        </w:tc>
        <w:tc>
          <w:tcPr>
            <w:tcW w:w="3511" w:type="pct"/>
            <w:vAlign w:val="center"/>
          </w:tcPr>
          <w:p w:rsidR="004E4418" w:rsidRPr="00361664" w:rsidRDefault="006D609C"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Nepovratna sredstva i f</w:t>
            </w:r>
            <w:r w:rsidR="004E4418" w:rsidRPr="00361664">
              <w:rPr>
                <w:rFonts w:asciiTheme="minorHAnsi" w:hAnsiTheme="minorHAnsi"/>
                <w:sz w:val="20"/>
                <w:szCs w:val="22"/>
                <w:lang w:val="hr-HR"/>
              </w:rPr>
              <w:t>inancijski instrument</w:t>
            </w:r>
            <w:r w:rsidRPr="00361664">
              <w:rPr>
                <w:rFonts w:asciiTheme="minorHAnsi" w:hAnsiTheme="minorHAnsi"/>
                <w:sz w:val="20"/>
                <w:szCs w:val="22"/>
                <w:lang w:val="hr-HR"/>
              </w:rPr>
              <w:t>i</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Vremenski okvir</w:t>
            </w:r>
          </w:p>
        </w:tc>
        <w:tc>
          <w:tcPr>
            <w:tcW w:w="3511"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Početak: 2017.</w:t>
            </w:r>
          </w:p>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Kraj: 2023.</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Cilj / kratak opis</w:t>
            </w:r>
          </w:p>
        </w:tc>
        <w:tc>
          <w:tcPr>
            <w:tcW w:w="3511" w:type="pct"/>
            <w:vAlign w:val="center"/>
          </w:tcPr>
          <w:p w:rsidR="004E4418" w:rsidRPr="00361664" w:rsidRDefault="004E4418" w:rsidP="002F0075">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Ostvarenje energetskih ušteda kroz povećanje učinkovitosti korišten</w:t>
            </w:r>
            <w:r w:rsidR="006D609C" w:rsidRPr="00361664">
              <w:rPr>
                <w:rFonts w:asciiTheme="minorHAnsi" w:hAnsiTheme="minorHAnsi"/>
                <w:sz w:val="20"/>
                <w:szCs w:val="22"/>
                <w:lang w:val="hr-HR"/>
              </w:rPr>
              <w:t xml:space="preserve">ja energije u uslužnom sektoru, </w:t>
            </w:r>
            <w:r w:rsidRPr="00361664">
              <w:rPr>
                <w:rFonts w:asciiTheme="minorHAnsi" w:hAnsiTheme="minorHAnsi"/>
                <w:sz w:val="20"/>
                <w:szCs w:val="22"/>
                <w:lang w:val="hr-HR"/>
              </w:rPr>
              <w:t xml:space="preserve">omogućujući jednake </w:t>
            </w:r>
            <w:r w:rsidR="006D609C" w:rsidRPr="00361664">
              <w:rPr>
                <w:rFonts w:asciiTheme="minorHAnsi" w:hAnsiTheme="minorHAnsi"/>
                <w:sz w:val="20"/>
                <w:szCs w:val="22"/>
                <w:lang w:val="hr-HR"/>
              </w:rPr>
              <w:t>ili bolje rezultate (usluge</w:t>
            </w:r>
            <w:r w:rsidRPr="00361664">
              <w:rPr>
                <w:rFonts w:asciiTheme="minorHAnsi" w:hAnsiTheme="minorHAnsi"/>
                <w:sz w:val="20"/>
                <w:szCs w:val="22"/>
                <w:lang w:val="hr-HR"/>
              </w:rPr>
              <w:t xml:space="preserve">) korištenjem manje količine ulazne energije te smanjenje udjela konvencionalnih (fosilnih) goriva u ukupnoj potrošnji energije uvođenjem obnovljivih izvora energije u sektor proizvode u uslužnom sektoru. Nastavak je mjere iz 3. NAPEnU B.4 Program obnove komercijalnih nestambenih zgrada 2014.-2020. </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Ciljna neposredna potrošnja</w:t>
            </w:r>
          </w:p>
        </w:tc>
        <w:tc>
          <w:tcPr>
            <w:tcW w:w="3511"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 xml:space="preserve">Infrastruktura gospodarskih subjekata koji su registrirani za djelatnost trgovine i turizma  </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Ciljna skupina</w:t>
            </w:r>
          </w:p>
        </w:tc>
        <w:tc>
          <w:tcPr>
            <w:tcW w:w="3511"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Gospodarski subjekti registrirani za turizam i trgovinu</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511"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Nacionalno</w:t>
            </w:r>
          </w:p>
        </w:tc>
      </w:tr>
      <w:tr w:rsidR="004E4418" w:rsidRPr="00361664" w:rsidTr="002F0075">
        <w:trPr>
          <w:trHeight w:val="20"/>
        </w:trPr>
        <w:tc>
          <w:tcPr>
            <w:tcW w:w="681" w:type="pct"/>
            <w:vMerge w:val="restart"/>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r w:rsidRPr="00361664">
              <w:rPr>
                <w:rFonts w:asciiTheme="minorHAnsi" w:hAnsiTheme="minorHAnsi"/>
                <w:sz w:val="20"/>
                <w:szCs w:val="22"/>
                <w:lang w:val="hr-HR"/>
              </w:rPr>
              <w:t>Informacije o  provedbi</w:t>
            </w: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 xml:space="preserve">Popis i opis aktivnosti za provođenje mjere </w:t>
            </w:r>
          </w:p>
        </w:tc>
        <w:tc>
          <w:tcPr>
            <w:tcW w:w="3511" w:type="pct"/>
            <w:vAlign w:val="center"/>
          </w:tcPr>
          <w:p w:rsidR="004E4418" w:rsidRPr="00361664" w:rsidRDefault="004E4418" w:rsidP="002F0075">
            <w:pPr>
              <w:pStyle w:val="Points"/>
              <w:ind w:left="0" w:firstLine="0"/>
              <w:rPr>
                <w:rFonts w:asciiTheme="minorHAnsi" w:hAnsiTheme="minorHAnsi"/>
                <w:sz w:val="20"/>
                <w:szCs w:val="22"/>
                <w:lang w:val="hr-HR" w:eastAsia="de-DE"/>
              </w:rPr>
            </w:pPr>
            <w:r w:rsidRPr="00361664">
              <w:rPr>
                <w:rFonts w:asciiTheme="minorHAnsi" w:hAnsiTheme="minorHAnsi"/>
                <w:sz w:val="20"/>
                <w:szCs w:val="22"/>
                <w:lang w:val="hr-HR" w:eastAsia="de-DE"/>
              </w:rPr>
              <w:t xml:space="preserve">Razvoj infrastrukture za obnovljive izvore energije u uslužnom sektoru (turizam i trgovina), </w:t>
            </w:r>
            <w:r w:rsidR="00080223" w:rsidRPr="00361664">
              <w:rPr>
                <w:rFonts w:asciiTheme="minorHAnsi" w:hAnsiTheme="minorHAnsi"/>
                <w:sz w:val="20"/>
                <w:szCs w:val="22"/>
                <w:lang w:val="hr-HR" w:eastAsia="de-DE"/>
              </w:rPr>
              <w:t>kao što su:</w:t>
            </w:r>
            <w:r w:rsidRPr="00361664">
              <w:rPr>
                <w:rFonts w:asciiTheme="minorHAnsi" w:hAnsiTheme="minorHAnsi"/>
                <w:sz w:val="20"/>
                <w:szCs w:val="22"/>
                <w:lang w:val="hr-HR" w:eastAsia="de-DE"/>
              </w:rPr>
              <w:t xml:space="preserve"> solarni kolektori, dizalice toplin</w:t>
            </w:r>
            <w:r w:rsidR="00976781" w:rsidRPr="00361664">
              <w:rPr>
                <w:rFonts w:asciiTheme="minorHAnsi" w:hAnsiTheme="minorHAnsi"/>
                <w:sz w:val="20"/>
                <w:szCs w:val="22"/>
                <w:lang w:val="hr-HR" w:eastAsia="de-DE"/>
              </w:rPr>
              <w:t>e, visoko učinkovita</w:t>
            </w:r>
            <w:r w:rsidR="00080223" w:rsidRPr="00361664">
              <w:rPr>
                <w:rFonts w:asciiTheme="minorHAnsi" w:hAnsiTheme="minorHAnsi"/>
                <w:sz w:val="20"/>
                <w:szCs w:val="22"/>
                <w:lang w:val="hr-HR" w:eastAsia="de-DE"/>
              </w:rPr>
              <w:t>kogeneracija i sl.</w:t>
            </w:r>
          </w:p>
          <w:p w:rsidR="00290BA5" w:rsidRPr="00361664" w:rsidRDefault="00290BA5" w:rsidP="002F0075">
            <w:pPr>
              <w:pStyle w:val="Points"/>
              <w:ind w:left="0" w:firstLine="0"/>
              <w:rPr>
                <w:rFonts w:asciiTheme="minorHAnsi" w:hAnsiTheme="minorHAnsi"/>
                <w:sz w:val="20"/>
                <w:szCs w:val="22"/>
                <w:lang w:val="hr-HR" w:eastAsia="de-DE"/>
              </w:rPr>
            </w:pPr>
          </w:p>
          <w:p w:rsidR="004E4418" w:rsidRPr="00361664" w:rsidRDefault="004E4418" w:rsidP="002F0075">
            <w:pPr>
              <w:pStyle w:val="Points"/>
              <w:ind w:left="0" w:firstLine="0"/>
              <w:rPr>
                <w:rFonts w:asciiTheme="minorHAnsi" w:hAnsiTheme="minorHAnsi"/>
                <w:sz w:val="20"/>
                <w:szCs w:val="22"/>
                <w:lang w:val="hr-HR" w:eastAsia="de-DE"/>
              </w:rPr>
            </w:pPr>
            <w:r w:rsidRPr="00361664">
              <w:rPr>
                <w:rFonts w:asciiTheme="minorHAnsi" w:hAnsiTheme="minorHAnsi"/>
                <w:sz w:val="20"/>
                <w:szCs w:val="22"/>
                <w:lang w:val="hr-HR" w:eastAsia="de-DE"/>
              </w:rPr>
              <w:t>Provedba mjera za povećavanje energetske učinkovitosti u uslužnom sektoru (turizam i trgovina), uključujući:</w:t>
            </w:r>
          </w:p>
          <w:p w:rsidR="004E4418" w:rsidRPr="00361664" w:rsidRDefault="004E4418" w:rsidP="002F0075">
            <w:pPr>
              <w:pStyle w:val="Tabletext"/>
              <w:tabs>
                <w:tab w:val="left" w:pos="244"/>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„meke mjere“ – uvođenje sustavnog upravljanja energijom, obavljanje energetskih pregleda, kontrola analiza potrošnje energije, pripremu planova za učinkovitije gospodarenje energijom, institucionalnu i organizacijsku procjenu i prijedloge za optimiranje poslovnih procesa u smislu uštede </w:t>
            </w:r>
            <w:r w:rsidRPr="00361664">
              <w:rPr>
                <w:rFonts w:asciiTheme="minorHAnsi" w:hAnsiTheme="minorHAnsi"/>
                <w:sz w:val="20"/>
                <w:szCs w:val="22"/>
                <w:lang w:val="hr-HR"/>
              </w:rPr>
              <w:lastRenderedPageBreak/>
              <w:t>energije</w:t>
            </w:r>
            <w:r w:rsidR="00080223" w:rsidRPr="00361664">
              <w:rPr>
                <w:rFonts w:asciiTheme="minorHAnsi" w:hAnsiTheme="minorHAnsi"/>
                <w:sz w:val="20"/>
                <w:szCs w:val="22"/>
                <w:lang w:val="hr-HR"/>
              </w:rPr>
              <w:t>.</w:t>
            </w:r>
          </w:p>
          <w:p w:rsidR="004E4418" w:rsidRPr="00361664" w:rsidRDefault="004E4418" w:rsidP="002F0075">
            <w:pPr>
              <w:pStyle w:val="Tabletext"/>
              <w:tabs>
                <w:tab w:val="left" w:pos="244"/>
              </w:tabs>
              <w:spacing w:before="0" w:after="0" w:line="240" w:lineRule="auto"/>
              <w:rPr>
                <w:rFonts w:ascii="Lucida Sans Unicode" w:hAnsi="Lucida Sans Unicode" w:cs="Lucida Sans Unicode"/>
                <w:sz w:val="20"/>
                <w:szCs w:val="22"/>
                <w:lang w:val="hr-HR"/>
              </w:rPr>
            </w:pPr>
            <w:r w:rsidRPr="00361664">
              <w:rPr>
                <w:rFonts w:asciiTheme="minorHAnsi" w:hAnsiTheme="minorHAnsi"/>
                <w:sz w:val="20"/>
                <w:szCs w:val="22"/>
                <w:lang w:val="hr-HR"/>
              </w:rPr>
              <w:t>Infrastruktur</w:t>
            </w:r>
            <w:r w:rsidR="00AC55BD" w:rsidRPr="00361664">
              <w:rPr>
                <w:rFonts w:asciiTheme="minorHAnsi" w:hAnsiTheme="minorHAnsi"/>
                <w:sz w:val="20"/>
                <w:szCs w:val="22"/>
                <w:lang w:val="hr-HR"/>
              </w:rPr>
              <w:t>na ulaganja poput onih u napredna</w:t>
            </w:r>
            <w:r w:rsidRPr="00361664">
              <w:rPr>
                <w:rFonts w:asciiTheme="minorHAnsi" w:hAnsiTheme="minorHAnsi"/>
                <w:sz w:val="20"/>
                <w:szCs w:val="22"/>
                <w:lang w:val="hr-HR"/>
              </w:rPr>
              <w:t xml:space="preserve"> brojila i obnovu objekata, koja će doprinijeti postizanju ciljeva povezanih s energetskom učinkovitošću, unapređenje trenutačno korištenih tehnologija, provedba pilot–projekata.</w:t>
            </w:r>
          </w:p>
          <w:p w:rsidR="00290BA5" w:rsidRPr="00361664" w:rsidRDefault="00290BA5" w:rsidP="002F0075">
            <w:pPr>
              <w:pStyle w:val="Tabletext"/>
              <w:tabs>
                <w:tab w:val="left" w:pos="244"/>
              </w:tabs>
              <w:spacing w:before="0" w:after="0" w:line="240" w:lineRule="auto"/>
              <w:rPr>
                <w:rFonts w:ascii="Lucida Sans Unicode" w:hAnsi="Lucida Sans Unicode" w:cs="Lucida Sans Unicode"/>
                <w:sz w:val="20"/>
                <w:szCs w:val="22"/>
                <w:lang w:val="hr-HR"/>
              </w:rPr>
            </w:pPr>
          </w:p>
          <w:p w:rsidR="00290BA5" w:rsidRPr="00361664" w:rsidRDefault="00290BA5" w:rsidP="00E433DD">
            <w:pPr>
              <w:pStyle w:val="Tabletext"/>
              <w:tabs>
                <w:tab w:val="left" w:pos="244"/>
              </w:tabs>
              <w:spacing w:before="0" w:after="0" w:line="240" w:lineRule="auto"/>
              <w:rPr>
                <w:rFonts w:asciiTheme="minorHAnsi" w:hAnsiTheme="minorHAnsi"/>
                <w:sz w:val="20"/>
                <w:lang w:val="hr-HR"/>
              </w:rPr>
            </w:pPr>
            <w:r w:rsidRPr="00361664">
              <w:rPr>
                <w:rFonts w:asciiTheme="minorHAnsi" w:hAnsiTheme="minorHAnsi"/>
                <w:sz w:val="20"/>
                <w:szCs w:val="22"/>
                <w:lang w:val="hr-HR"/>
              </w:rPr>
              <w:t>Dodatno: ovisno o raspoloživosti financijskih sredstava stečenih od prodaje emisijskih jedinica putem dražbe na sustavu trgovanja emisijskim jedinicama EU-a temeljem Zakona o zaštiti zraka (</w:t>
            </w:r>
            <w:r w:rsidR="00C44613" w:rsidRPr="00361664">
              <w:rPr>
                <w:rFonts w:asciiTheme="minorHAnsi" w:hAnsiTheme="minorHAnsi"/>
                <w:sz w:val="20"/>
                <w:szCs w:val="22"/>
                <w:lang w:val="hr-HR"/>
              </w:rPr>
              <w:t>NN 130/11, 47/14, 61/17</w:t>
            </w:r>
            <w:r w:rsidRPr="00361664">
              <w:rPr>
                <w:rFonts w:asciiTheme="minorHAnsi" w:hAnsiTheme="minorHAnsi"/>
                <w:sz w:val="20"/>
                <w:szCs w:val="22"/>
                <w:lang w:val="hr-HR"/>
              </w:rPr>
              <w:t xml:space="preserve">), </w:t>
            </w:r>
            <w:r w:rsidR="00E433DD" w:rsidRPr="00361664">
              <w:rPr>
                <w:rFonts w:asciiTheme="minorHAnsi" w:hAnsiTheme="minorHAnsi" w:cstheme="minorHAnsi"/>
                <w:sz w:val="20"/>
                <w:lang w:val="hr-HR"/>
              </w:rPr>
              <w:t>FZOEU će</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provoditi</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mjere</w:t>
            </w:r>
            <w:r w:rsidR="00726C67" w:rsidRPr="00361664">
              <w:rPr>
                <w:rFonts w:asciiTheme="minorHAnsi" w:hAnsiTheme="minorHAnsi" w:cstheme="minorHAnsi"/>
                <w:sz w:val="20"/>
                <w:lang w:val="hr-HR"/>
              </w:rPr>
              <w:t xml:space="preserve"> </w:t>
            </w:r>
            <w:r w:rsidR="00E433DD" w:rsidRPr="00361664">
              <w:rPr>
                <w:rFonts w:asciiTheme="minorHAnsi" w:hAnsiTheme="minorHAnsi"/>
                <w:sz w:val="20"/>
                <w:szCs w:val="22"/>
                <w:lang w:val="hr-HR"/>
              </w:rPr>
              <w:t>na komercijalnim zgradama koje nisu iz sektora trgovine i turizma</w:t>
            </w:r>
            <w:r w:rsidR="00E433DD" w:rsidRPr="00361664">
              <w:rPr>
                <w:rFonts w:asciiTheme="minorHAnsi" w:hAnsiTheme="minorHAnsi" w:cstheme="minorHAnsi"/>
                <w:sz w:val="20"/>
                <w:lang w:val="hr-HR"/>
              </w:rPr>
              <w:t>fokusirane na ugradnju</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termotehničkih</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sustava</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te</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prelazak s konvencionalnih na alternativne</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izvore</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energije (OIE) kao</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što</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su: fotonaponski</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sustavi</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za</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vlastitu</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potrošnju, kotlovi na biomasu, solarni</w:t>
            </w:r>
            <w:r w:rsidR="00726C67"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kolektori, dizalice</w:t>
            </w:r>
            <w:r w:rsidR="00D22F5C"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topline i sl. Navedeno je komplementarno s Programom i predstavlja</w:t>
            </w:r>
            <w:r w:rsidR="00D22F5C"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svojevrsnu</w:t>
            </w:r>
            <w:r w:rsidR="00D22F5C"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nadogradnju</w:t>
            </w:r>
            <w:r w:rsidR="00D22F5C" w:rsidRPr="00361664">
              <w:rPr>
                <w:rFonts w:asciiTheme="minorHAnsi" w:hAnsiTheme="minorHAnsi" w:cstheme="minorHAnsi"/>
                <w:sz w:val="20"/>
                <w:lang w:val="hr-HR"/>
              </w:rPr>
              <w:t xml:space="preserve"> </w:t>
            </w:r>
            <w:r w:rsidR="00E433DD" w:rsidRPr="00361664">
              <w:rPr>
                <w:rFonts w:asciiTheme="minorHAnsi" w:hAnsiTheme="minorHAnsi" w:cstheme="minorHAnsi"/>
                <w:sz w:val="20"/>
                <w:lang w:val="hr-HR"/>
              </w:rPr>
              <w:t>istog</w:t>
            </w:r>
            <w:r w:rsidRPr="00361664">
              <w:rPr>
                <w:rFonts w:asciiTheme="minorHAnsi" w:hAnsiTheme="minorHAnsi"/>
                <w:sz w:val="20"/>
                <w:szCs w:val="22"/>
                <w:lang w:val="hr-HR"/>
              </w:rPr>
              <w:t xml:space="preserve"> fokusiranih na komercijalne zgrade koje nisu iz sektora trgovine i turizma. Navedene aktivnosti komplementarne su s aktivnostima mjere, ali se r</w:t>
            </w:r>
            <w:r w:rsidR="00D22F5C" w:rsidRPr="00361664">
              <w:rPr>
                <w:rFonts w:asciiTheme="minorHAnsi" w:hAnsiTheme="minorHAnsi"/>
                <w:sz w:val="20"/>
                <w:szCs w:val="22"/>
                <w:lang w:val="hr-HR"/>
              </w:rPr>
              <w:t>azlikuju u izvoru financiranja.</w:t>
            </w:r>
            <w:r w:rsidRPr="00361664">
              <w:rPr>
                <w:rFonts w:asciiTheme="minorHAnsi" w:hAnsiTheme="minorHAnsi"/>
                <w:sz w:val="20"/>
                <w:szCs w:val="22"/>
                <w:lang w:val="hr-HR"/>
              </w:rPr>
              <w:t xml:space="preserve"> Učinci će se pribrojati uštedama ostvarenim kroz mjeru te će se kroz SMIV razgraničiti učinci ovisno o izvorima financiranja (OPKK i ETS).</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highlight w:val="green"/>
                <w:lang w:val="hr-HR"/>
              </w:rPr>
            </w:pPr>
            <w:r w:rsidRPr="00361664">
              <w:rPr>
                <w:rFonts w:asciiTheme="minorHAnsi" w:hAnsiTheme="minorHAnsi"/>
                <w:sz w:val="20"/>
                <w:szCs w:val="22"/>
                <w:lang w:val="hr-HR"/>
              </w:rPr>
              <w:t>Financijska sredstva i izvori financiranja</w:t>
            </w:r>
          </w:p>
        </w:tc>
        <w:tc>
          <w:tcPr>
            <w:tcW w:w="3511"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Provedba aktivnosti usmjeravat će se na sredstva dostupna u Operativnom programu Konkurentnost i kohezija 2014. - 2020. (OPKK) kroz specifični cilj 4b.2.</w:t>
            </w:r>
          </w:p>
          <w:p w:rsidR="00956A25" w:rsidRPr="00361664" w:rsidRDefault="00956A25" w:rsidP="00840685">
            <w:pPr>
              <w:pStyle w:val="Tabletext"/>
              <w:tabs>
                <w:tab w:val="left" w:pos="1440"/>
                <w:tab w:val="left" w:pos="5040"/>
              </w:tabs>
              <w:spacing w:before="0" w:after="0" w:line="240" w:lineRule="auto"/>
              <w:jc w:val="left"/>
              <w:rPr>
                <w:rFonts w:asciiTheme="minorHAnsi" w:hAnsiTheme="minorHAnsi"/>
                <w:sz w:val="20"/>
                <w:szCs w:val="22"/>
                <w:lang w:val="hr-HR"/>
              </w:rPr>
            </w:pPr>
          </w:p>
          <w:p w:rsidR="00D208C4" w:rsidRPr="00361664" w:rsidRDefault="00D208C4" w:rsidP="00D208C4">
            <w:pPr>
              <w:pStyle w:val="Tabletext"/>
              <w:tabs>
                <w:tab w:val="left" w:pos="1440"/>
                <w:tab w:val="left" w:pos="5040"/>
              </w:tabs>
              <w:spacing w:before="0" w:after="0" w:line="240" w:lineRule="auto"/>
              <w:rPr>
                <w:rFonts w:asciiTheme="minorHAnsi" w:hAnsiTheme="minorHAnsi"/>
                <w:sz w:val="20"/>
                <w:szCs w:val="22"/>
                <w:highlight w:val="green"/>
                <w:lang w:val="hr-HR"/>
              </w:rPr>
            </w:pPr>
            <w:r w:rsidRPr="00361664">
              <w:rPr>
                <w:rFonts w:asciiTheme="minorHAnsi" w:hAnsiTheme="minorHAnsi"/>
                <w:sz w:val="20"/>
                <w:szCs w:val="22"/>
                <w:lang w:val="hr-HR"/>
              </w:rPr>
              <w:t>Iznos nepovratnih sredstava za aktivnosti biti će određen u skladu s Uredbom komisije (EU) br. 651/2014 оd 17. lipnja 2014. o ocjenjivanju određenih kategorija potpora spojivima s unutarnjim tržištem u primjeni članaka 107. i 108. Ugovora. Iznos nepovratnih sredstava za projektnu i pripremnu dokumentaciju bit će određeni prema Uredba komisije (EU) br. 1407/2013 оd 18. prosinca 2013. o primjeni članaka 107. i 108. Ugovora o funkcioniranju Europske unije na de minimis potpore.</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Izvršno  tijelo</w:t>
            </w:r>
          </w:p>
        </w:tc>
        <w:tc>
          <w:tcPr>
            <w:tcW w:w="3511" w:type="pct"/>
            <w:shd w:val="clear" w:color="auto" w:fill="auto"/>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MZOE i FZOEU</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640C0B"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Tijelo za praćenje, mjerenje i verifikaciju ušteda</w:t>
            </w:r>
          </w:p>
        </w:tc>
        <w:tc>
          <w:tcPr>
            <w:tcW w:w="3511"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 xml:space="preserve">NKT </w:t>
            </w:r>
          </w:p>
        </w:tc>
      </w:tr>
      <w:tr w:rsidR="004E4418" w:rsidRPr="00361664" w:rsidTr="002F0075">
        <w:trPr>
          <w:trHeight w:val="20"/>
        </w:trPr>
        <w:tc>
          <w:tcPr>
            <w:tcW w:w="681" w:type="pct"/>
            <w:vMerge w:val="restart"/>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color w:val="FF0000"/>
                <w:sz w:val="20"/>
                <w:szCs w:val="22"/>
                <w:lang w:val="hr-HR"/>
              </w:rPr>
            </w:pPr>
            <w:r w:rsidRPr="00361664">
              <w:rPr>
                <w:rFonts w:asciiTheme="minorHAnsi" w:hAnsiTheme="minorHAnsi"/>
                <w:sz w:val="20"/>
                <w:szCs w:val="22"/>
                <w:lang w:val="hr-HR"/>
              </w:rPr>
              <w:t>Uštede energije</w:t>
            </w:r>
          </w:p>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Metoda praćenja / mjerenja ušteda energije</w:t>
            </w:r>
          </w:p>
        </w:tc>
        <w:tc>
          <w:tcPr>
            <w:tcW w:w="3511" w:type="pct"/>
            <w:vAlign w:val="center"/>
          </w:tcPr>
          <w:p w:rsidR="004E4418" w:rsidRPr="00361664" w:rsidRDefault="004E4418" w:rsidP="002F0075">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Mjera će se pratiti BU metodom procijenjenih ušteda. Rezultati provedenih mjera unosit će se u Sustav za praćenje</w:t>
            </w:r>
            <w:r w:rsidR="009028EE" w:rsidRPr="00361664">
              <w:rPr>
                <w:rFonts w:asciiTheme="minorHAnsi" w:hAnsiTheme="minorHAnsi"/>
                <w:sz w:val="20"/>
                <w:szCs w:val="22"/>
                <w:lang w:val="hr-HR"/>
              </w:rPr>
              <w:t>, mjerenje</w:t>
            </w:r>
            <w:r w:rsidRPr="00361664">
              <w:rPr>
                <w:rFonts w:asciiTheme="minorHAnsi" w:hAnsiTheme="minorHAnsi"/>
                <w:sz w:val="20"/>
                <w:szCs w:val="22"/>
                <w:lang w:val="hr-HR"/>
              </w:rPr>
              <w:t xml:space="preserve"> i verifikaciju ušteda energije (</w:t>
            </w:r>
            <w:r w:rsidR="00154EC2" w:rsidRPr="00361664">
              <w:rPr>
                <w:rFonts w:asciiTheme="minorHAnsi" w:hAnsiTheme="minorHAnsi"/>
                <w:sz w:val="20"/>
                <w:szCs w:val="22"/>
                <w:lang w:val="hr-HR"/>
              </w:rPr>
              <w:t>SMI</w:t>
            </w:r>
            <w:r w:rsidR="002155B8" w:rsidRPr="00361664">
              <w:rPr>
                <w:rFonts w:asciiTheme="minorHAnsi" w:hAnsiTheme="minorHAnsi"/>
                <w:sz w:val="20"/>
                <w:szCs w:val="22"/>
                <w:lang w:val="hr-HR"/>
              </w:rPr>
              <w:t>V</w:t>
            </w:r>
            <w:r w:rsidRPr="00361664">
              <w:rPr>
                <w:rFonts w:asciiTheme="minorHAnsi" w:hAnsiTheme="minorHAnsi"/>
                <w:sz w:val="20"/>
                <w:szCs w:val="22"/>
                <w:lang w:val="hr-HR"/>
              </w:rPr>
              <w:t xml:space="preserve">). </w:t>
            </w:r>
          </w:p>
        </w:tc>
      </w:tr>
      <w:tr w:rsidR="00080223" w:rsidRPr="00361664" w:rsidTr="002F0075">
        <w:trPr>
          <w:trHeight w:val="20"/>
        </w:trPr>
        <w:tc>
          <w:tcPr>
            <w:tcW w:w="681" w:type="pct"/>
            <w:vMerge/>
            <w:vAlign w:val="center"/>
          </w:tcPr>
          <w:p w:rsidR="00080223" w:rsidRPr="00361664" w:rsidRDefault="00080223"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080223" w:rsidRPr="00361664" w:rsidRDefault="00A9135D"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lang w:val="hr-HR"/>
              </w:rPr>
              <w:t xml:space="preserve">Očekivane uštede energije </w:t>
            </w:r>
            <w:r w:rsidRPr="00361664">
              <w:rPr>
                <w:rFonts w:asciiTheme="minorHAnsi" w:hAnsiTheme="minorHAnsi"/>
                <w:sz w:val="20"/>
                <w:szCs w:val="22"/>
                <w:lang w:val="hr-HR"/>
              </w:rPr>
              <w:t>do kraja</w:t>
            </w:r>
            <w:r w:rsidRPr="00361664">
              <w:rPr>
                <w:rFonts w:asciiTheme="minorHAnsi" w:hAnsiTheme="minorHAnsi"/>
                <w:sz w:val="20"/>
                <w:lang w:val="hr-HR"/>
              </w:rPr>
              <w:t xml:space="preserve"> 2019</w:t>
            </w:r>
            <w:r w:rsidR="002155B8" w:rsidRPr="00361664">
              <w:rPr>
                <w:rFonts w:asciiTheme="minorHAnsi" w:hAnsiTheme="minorHAnsi" w:cstheme="minorHAnsi"/>
                <w:sz w:val="20"/>
                <w:lang w:val="hr-HR"/>
              </w:rPr>
              <w:t>.</w:t>
            </w:r>
          </w:p>
        </w:tc>
        <w:tc>
          <w:tcPr>
            <w:tcW w:w="3511" w:type="pct"/>
            <w:vAlign w:val="center"/>
          </w:tcPr>
          <w:p w:rsidR="00080223" w:rsidRPr="00361664" w:rsidRDefault="00D208C4" w:rsidP="002F0075">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Calibri" w:hAnsi="Calibri" w:cs="Calibri"/>
                <w:sz w:val="20"/>
                <w:szCs w:val="22"/>
                <w:lang w:val="hr-HR"/>
              </w:rPr>
              <w:t>84 T</w:t>
            </w:r>
            <w:r w:rsidR="00E81D6F" w:rsidRPr="00361664">
              <w:rPr>
                <w:rFonts w:ascii="Calibri" w:hAnsi="Calibri" w:cs="Calibri"/>
                <w:sz w:val="20"/>
                <w:szCs w:val="22"/>
                <w:lang w:val="hr-HR"/>
              </w:rPr>
              <w:t>J</w:t>
            </w:r>
          </w:p>
        </w:tc>
      </w:tr>
      <w:tr w:rsidR="00080223" w:rsidRPr="00361664" w:rsidTr="002F0075">
        <w:trPr>
          <w:trHeight w:val="20"/>
        </w:trPr>
        <w:tc>
          <w:tcPr>
            <w:tcW w:w="681" w:type="pct"/>
            <w:vMerge/>
            <w:vAlign w:val="center"/>
          </w:tcPr>
          <w:p w:rsidR="00080223" w:rsidRPr="00361664" w:rsidRDefault="00080223"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080223" w:rsidRPr="00361664" w:rsidRDefault="004831DF"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cstheme="minorHAnsi"/>
                <w:sz w:val="20"/>
                <w:lang w:val="hr-HR"/>
              </w:rPr>
              <w:t>Očekivane</w:t>
            </w:r>
            <w:r w:rsidRPr="00361664">
              <w:rPr>
                <w:rFonts w:asciiTheme="minorHAnsi" w:hAnsiTheme="minorHAnsi"/>
                <w:sz w:val="20"/>
                <w:lang w:val="hr-HR"/>
              </w:rPr>
              <w:t xml:space="preserve"> uštede energije </w:t>
            </w:r>
            <w:r w:rsidRPr="00361664">
              <w:rPr>
                <w:rFonts w:asciiTheme="minorHAnsi" w:hAnsiTheme="minorHAnsi" w:cstheme="minorHAnsi"/>
                <w:sz w:val="20"/>
                <w:lang w:val="hr-HR"/>
              </w:rPr>
              <w:t>do kraja</w:t>
            </w:r>
            <w:r w:rsidRPr="00361664">
              <w:rPr>
                <w:rFonts w:asciiTheme="minorHAnsi" w:hAnsiTheme="minorHAnsi"/>
                <w:sz w:val="20"/>
                <w:lang w:val="hr-HR"/>
              </w:rPr>
              <w:t xml:space="preserve"> 2020.</w:t>
            </w:r>
          </w:p>
        </w:tc>
        <w:tc>
          <w:tcPr>
            <w:tcW w:w="3511" w:type="pct"/>
            <w:vAlign w:val="center"/>
          </w:tcPr>
          <w:p w:rsidR="00080223" w:rsidRPr="00361664" w:rsidRDefault="00D208C4" w:rsidP="00D208C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Calibri" w:hAnsi="Calibri" w:cs="Calibri"/>
                <w:sz w:val="20"/>
                <w:szCs w:val="22"/>
                <w:lang w:val="hr-HR"/>
              </w:rPr>
              <w:t>10</w:t>
            </w:r>
            <w:r w:rsidR="00B805B7" w:rsidRPr="00361664">
              <w:rPr>
                <w:rFonts w:ascii="Calibri" w:hAnsi="Calibri" w:cs="Calibri"/>
                <w:sz w:val="20"/>
                <w:szCs w:val="22"/>
                <w:lang w:val="hr-HR"/>
              </w:rPr>
              <w:t>0</w:t>
            </w:r>
            <w:r w:rsidRPr="00361664">
              <w:rPr>
                <w:rFonts w:ascii="Calibri" w:hAnsi="Calibri" w:cs="Calibri"/>
                <w:sz w:val="20"/>
                <w:szCs w:val="22"/>
                <w:lang w:val="hr-HR"/>
              </w:rPr>
              <w:t>T</w:t>
            </w:r>
            <w:r w:rsidR="00E81D6F" w:rsidRPr="00361664">
              <w:rPr>
                <w:rFonts w:ascii="Calibri" w:hAnsi="Calibri" w:cs="Calibri"/>
                <w:sz w:val="20"/>
                <w:szCs w:val="22"/>
                <w:lang w:val="hr-HR"/>
              </w:rPr>
              <w:t>J</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Pretpostavke</w:t>
            </w:r>
          </w:p>
        </w:tc>
        <w:tc>
          <w:tcPr>
            <w:tcW w:w="3511" w:type="pct"/>
            <w:vAlign w:val="center"/>
          </w:tcPr>
          <w:p w:rsidR="004E4418" w:rsidRPr="00361664" w:rsidRDefault="00D208C4" w:rsidP="002F0075">
            <w:pPr>
              <w:pStyle w:val="Tabletext"/>
              <w:tabs>
                <w:tab w:val="left" w:pos="1440"/>
                <w:tab w:val="left" w:pos="5040"/>
              </w:tabs>
              <w:spacing w:before="0" w:after="0" w:line="240" w:lineRule="auto"/>
              <w:rPr>
                <w:rFonts w:asciiTheme="minorHAnsi" w:hAnsiTheme="minorHAnsi"/>
                <w:sz w:val="20"/>
                <w:szCs w:val="22"/>
                <w:highlight w:val="green"/>
                <w:lang w:val="hr-HR"/>
              </w:rPr>
            </w:pPr>
            <w:r w:rsidRPr="00361664">
              <w:rPr>
                <w:rFonts w:asciiTheme="minorHAnsi" w:hAnsiTheme="minorHAnsi"/>
                <w:sz w:val="20"/>
                <w:szCs w:val="22"/>
                <w:lang w:val="hr-HR"/>
              </w:rPr>
              <w:t xml:space="preserve">Uštede su procijenjene s obzirom na planirana sredstva i pokazatelje ostvarenih uštede po jedinici isplaćenih sredstava FZOEU-a u 2015. i 2016. godini. Za mjere energetske obnove komercijalnih nestambenih zgrada za uštedu 1 kWh/god u životnom vijeku mjere jednokratno je isplaćeno 1,68 kn. Životni vijek tehničkih mjera je različit; najmanji je za novu uredsku opremu (3 godine), ali većina mjera ima životni vijek preko 15 godina, npr. za energetsku obnovu ovojnica zgrada je 25 godina, a za prozore s dobrim toplinskim karakteristikama je 30 godina. Primjenom financijskih instrumenata i ESCO modela za poticanje provedbe mjera potencijalno bi se mogao smanjiti potrebni udio nepovratnih sredstava u investicijama što bi </w:t>
            </w:r>
            <w:r w:rsidRPr="00361664">
              <w:rPr>
                <w:rFonts w:asciiTheme="minorHAnsi" w:hAnsiTheme="minorHAnsi"/>
                <w:sz w:val="20"/>
                <w:szCs w:val="22"/>
                <w:lang w:val="hr-HR"/>
              </w:rPr>
              <w:lastRenderedPageBreak/>
              <w:t>dovelo do većih uštede energije na temelju predviđenih javnih sredstava.</w:t>
            </w:r>
          </w:p>
        </w:tc>
      </w:tr>
      <w:tr w:rsidR="004E4418" w:rsidRPr="00361664" w:rsidTr="002F0075">
        <w:trPr>
          <w:trHeight w:val="20"/>
        </w:trPr>
        <w:tc>
          <w:tcPr>
            <w:tcW w:w="681" w:type="pct"/>
            <w:vMerge/>
            <w:vAlign w:val="center"/>
          </w:tcPr>
          <w:p w:rsidR="004E4418" w:rsidRPr="00361664" w:rsidRDefault="004E4418" w:rsidP="002F0075">
            <w:pPr>
              <w:pStyle w:val="Tabletext"/>
              <w:tabs>
                <w:tab w:val="left" w:pos="1440"/>
                <w:tab w:val="left" w:pos="5040"/>
              </w:tabs>
              <w:spacing w:before="0" w:after="0" w:line="240" w:lineRule="auto"/>
              <w:jc w:val="center"/>
              <w:rPr>
                <w:rFonts w:asciiTheme="minorHAnsi" w:hAnsiTheme="minorHAnsi"/>
                <w:sz w:val="20"/>
                <w:szCs w:val="22"/>
                <w:lang w:val="hr-HR"/>
              </w:rPr>
            </w:pPr>
          </w:p>
        </w:tc>
        <w:tc>
          <w:tcPr>
            <w:tcW w:w="808" w:type="pct"/>
            <w:vAlign w:val="center"/>
          </w:tcPr>
          <w:p w:rsidR="004E4418" w:rsidRPr="00361664" w:rsidRDefault="004E4418" w:rsidP="002F0075">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Preklapanja, efekt množenja, sinergija</w:t>
            </w:r>
          </w:p>
        </w:tc>
        <w:tc>
          <w:tcPr>
            <w:tcW w:w="3511" w:type="pct"/>
            <w:vAlign w:val="center"/>
          </w:tcPr>
          <w:p w:rsidR="004E4418" w:rsidRPr="00361664" w:rsidRDefault="008D3B3F" w:rsidP="002F0075">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A</w:t>
            </w:r>
            <w:r w:rsidR="004E4418" w:rsidRPr="00361664">
              <w:rPr>
                <w:rFonts w:asciiTheme="minorHAnsi" w:hAnsiTheme="minorHAnsi"/>
                <w:sz w:val="20"/>
                <w:szCs w:val="22"/>
                <w:lang w:val="hr-HR"/>
              </w:rPr>
              <w:t>ktivnosti mjere promovirat će se kroz mjeru I.1 Mreža industrijske energetske efikasnosti.</w:t>
            </w:r>
          </w:p>
        </w:tc>
      </w:tr>
    </w:tbl>
    <w:p w:rsidR="00F1792A" w:rsidRPr="00361664" w:rsidRDefault="00F1792A" w:rsidP="00651BCA">
      <w:pPr>
        <w:jc w:val="both"/>
        <w:rPr>
          <w:lang w:eastAsia="de-DE"/>
        </w:rPr>
      </w:pPr>
    </w:p>
    <w:p w:rsidR="004E4418" w:rsidRPr="00361664" w:rsidRDefault="00F1792A" w:rsidP="00F1792A">
      <w:pPr>
        <w:rPr>
          <w:lang w:eastAsia="de-DE"/>
        </w:rPr>
      </w:pPr>
      <w:r w:rsidRPr="00361664">
        <w:rPr>
          <w:lang w:eastAsia="de-D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882317" w:rsidRPr="00361664" w:rsidTr="00CA3600">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CCFFCC"/>
          </w:tcPr>
          <w:p w:rsidR="00882317" w:rsidRPr="00361664" w:rsidRDefault="00882317" w:rsidP="00CA3600">
            <w:pPr>
              <w:spacing w:after="0"/>
              <w:rPr>
                <w:b/>
                <w:sz w:val="20"/>
              </w:rPr>
            </w:pPr>
            <w:r w:rsidRPr="00361664">
              <w:rPr>
                <w:b/>
                <w:sz w:val="20"/>
              </w:rPr>
              <w:lastRenderedPageBreak/>
              <w:t xml:space="preserve">Naziv mjere </w:t>
            </w:r>
          </w:p>
        </w:tc>
        <w:tc>
          <w:tcPr>
            <w:tcW w:w="3524" w:type="pct"/>
            <w:tcBorders>
              <w:top w:val="single" w:sz="4" w:space="0" w:color="auto"/>
              <w:left w:val="single" w:sz="4" w:space="0" w:color="auto"/>
              <w:bottom w:val="single" w:sz="4" w:space="0" w:color="auto"/>
              <w:right w:val="single" w:sz="4" w:space="0" w:color="auto"/>
            </w:tcBorders>
            <w:shd w:val="clear" w:color="auto" w:fill="CCFFCC"/>
          </w:tcPr>
          <w:p w:rsidR="00882317" w:rsidRPr="00361664" w:rsidRDefault="00882317" w:rsidP="00CA3600">
            <w:pPr>
              <w:spacing w:after="0"/>
              <w:rPr>
                <w:b/>
                <w:sz w:val="20"/>
              </w:rPr>
            </w:pPr>
            <w:r w:rsidRPr="00361664">
              <w:rPr>
                <w:b/>
                <w:sz w:val="20"/>
              </w:rPr>
              <w:t>Program energetske obnove obiteljskih kuća 2014.-2020.</w:t>
            </w:r>
          </w:p>
        </w:tc>
      </w:tr>
      <w:tr w:rsidR="00882317" w:rsidRPr="00361664" w:rsidTr="00CA3600">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auto"/>
          </w:tcPr>
          <w:p w:rsidR="00882317" w:rsidRPr="00361664" w:rsidRDefault="00882317" w:rsidP="00CA3600">
            <w:pPr>
              <w:tabs>
                <w:tab w:val="left" w:pos="1860"/>
              </w:tabs>
              <w:spacing w:after="0"/>
              <w:rPr>
                <w:sz w:val="20"/>
              </w:rPr>
            </w:pPr>
            <w:r w:rsidRPr="00361664">
              <w:rPr>
                <w:sz w:val="20"/>
              </w:rPr>
              <w:t>Indeks mjere</w:t>
            </w:r>
          </w:p>
        </w:tc>
        <w:tc>
          <w:tcPr>
            <w:tcW w:w="3524" w:type="pct"/>
            <w:tcBorders>
              <w:top w:val="single" w:sz="4" w:space="0" w:color="auto"/>
              <w:left w:val="single" w:sz="4" w:space="0" w:color="auto"/>
              <w:bottom w:val="single" w:sz="4" w:space="0" w:color="auto"/>
              <w:right w:val="single" w:sz="4" w:space="0" w:color="auto"/>
            </w:tcBorders>
            <w:shd w:val="clear" w:color="auto" w:fill="auto"/>
          </w:tcPr>
          <w:p w:rsidR="00882317" w:rsidRPr="00361664" w:rsidRDefault="00882317" w:rsidP="00CA3600">
            <w:pPr>
              <w:tabs>
                <w:tab w:val="left" w:pos="1860"/>
              </w:tabs>
              <w:spacing w:after="0"/>
              <w:rPr>
                <w:sz w:val="20"/>
              </w:rPr>
            </w:pPr>
            <w:r w:rsidRPr="00361664">
              <w:rPr>
                <w:sz w:val="20"/>
              </w:rPr>
              <w:t>B.5</w:t>
            </w:r>
          </w:p>
        </w:tc>
      </w:tr>
      <w:tr w:rsidR="00882317" w:rsidRPr="00361664" w:rsidTr="00CA3600">
        <w:trPr>
          <w:trHeight w:val="20"/>
        </w:trPr>
        <w:tc>
          <w:tcPr>
            <w:tcW w:w="654" w:type="pct"/>
            <w:vMerge w:val="restart"/>
            <w:vAlign w:val="center"/>
          </w:tcPr>
          <w:p w:rsidR="00882317" w:rsidRPr="00361664" w:rsidRDefault="00882317" w:rsidP="00CA3600">
            <w:pPr>
              <w:rPr>
                <w:rFonts w:asciiTheme="minorHAnsi" w:hAnsiTheme="minorHAnsi" w:cstheme="minorHAnsi"/>
                <w:sz w:val="20"/>
                <w:szCs w:val="20"/>
              </w:rPr>
            </w:pPr>
          </w:p>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Opis</w:t>
            </w: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Kategorija</w:t>
            </w:r>
          </w:p>
        </w:tc>
        <w:tc>
          <w:tcPr>
            <w:tcW w:w="3524" w:type="pct"/>
            <w:vAlign w:val="center"/>
          </w:tcPr>
          <w:p w:rsidR="00882317" w:rsidRPr="00361664" w:rsidRDefault="00171883" w:rsidP="00CA3600">
            <w:pPr>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Nepovratna sredstva</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Vremenski okvir</w:t>
            </w:r>
          </w:p>
        </w:tc>
        <w:tc>
          <w:tcPr>
            <w:tcW w:w="3524" w:type="pct"/>
            <w:vAlign w:val="center"/>
          </w:tcPr>
          <w:p w:rsidR="00882317" w:rsidRPr="00361664" w:rsidRDefault="00882317" w:rsidP="005E6F15">
            <w:pPr>
              <w:tabs>
                <w:tab w:val="left" w:pos="1860"/>
              </w:tabs>
              <w:spacing w:after="0"/>
              <w:rPr>
                <w:sz w:val="20"/>
              </w:rPr>
            </w:pPr>
            <w:r w:rsidRPr="00361664">
              <w:rPr>
                <w:sz w:val="20"/>
              </w:rPr>
              <w:t>Početak: 2014.</w:t>
            </w:r>
          </w:p>
          <w:p w:rsidR="00882317" w:rsidRPr="00361664" w:rsidRDefault="00882317" w:rsidP="005E6F15">
            <w:pPr>
              <w:tabs>
                <w:tab w:val="left" w:pos="1860"/>
              </w:tabs>
              <w:spacing w:after="0"/>
              <w:rPr>
                <w:sz w:val="20"/>
              </w:rPr>
            </w:pPr>
            <w:r w:rsidRPr="00361664">
              <w:rPr>
                <w:sz w:val="20"/>
              </w:rPr>
              <w:t>Kraj: 2020.</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Cilj / kratak opis</w:t>
            </w:r>
          </w:p>
        </w:tc>
        <w:tc>
          <w:tcPr>
            <w:tcW w:w="3524" w:type="pct"/>
            <w:vAlign w:val="center"/>
          </w:tcPr>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Ovom se mjerom predviđa energetska obnova postojećih obiteljskih zgrada do 2020. godine. Pozornost se primarno usmjerava na obiteljske kuće do 400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građene prije 1987. godine te na njihovu obnovu na niskoenergetski standard kroz poticanje obnove vanjske ovojnice, poticanje zamjene sustava grijanja i  poticanje korištenja OIE. </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Od 2017. godine za sufinanciranje ove mjere će se koristiti  sredstva Europskog fonda za regionalni razvoj koja su odobrena u sklopu Operativnog programa Konkurentnost i kohezija 2014-2020. </w:t>
            </w:r>
          </w:p>
          <w:p w:rsidR="00882317"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Najznačajniji očekivani učinci provedbe ove mjere su poticanje investicija, ostvarivanje ušteda energije u neposrednoj potrošnji godišnje, smanjenje izdataka građana za energiju, smanjenje emisija CO2, povećanja udjela obnovljivih izvora energije, osiguravanje zaposlenja, povećanje sigurnosti opskrbe energijom; poboljšano stanje i povećanje tržišne vrijednosti nekretnina, razvoj proizvodne industrije, smanjenje 'sive ekonomije', smanjenje energetskog siromaštva i opće poboljšanje uvjeta stanovanja.</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Ciljna neposredna potrošnja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Smanjenje energetskih potreba zgrada, smanjenje potrošnje energije za grijanje prostora i pripremu tople vode u obiteljskim kućama.</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Ciljna skupina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Vlasnici obiteljskih kuća (građani)</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Regionalna primjena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Nacionalno, u suradnji sa županijama i JLP(R)S i regionalnim energetskim agencijama</w:t>
            </w:r>
          </w:p>
        </w:tc>
      </w:tr>
      <w:tr w:rsidR="00882317" w:rsidRPr="00361664" w:rsidTr="00CA3600">
        <w:trPr>
          <w:trHeight w:val="20"/>
        </w:trPr>
        <w:tc>
          <w:tcPr>
            <w:tcW w:w="654" w:type="pct"/>
            <w:vMerge w:val="restar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Informacije o  provedbi</w:t>
            </w: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 xml:space="preserve">Popis i opis aktivnosti za provođenje mjere </w:t>
            </w:r>
          </w:p>
        </w:tc>
        <w:tc>
          <w:tcPr>
            <w:tcW w:w="3524" w:type="pct"/>
            <w:vAlign w:val="center"/>
          </w:tcPr>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Programom energetske obnove obiteljskih kuća za razdoblje od 2014. do 2020. godine s detaljnim planom za razdoblje od 2014. do 2020. potiču se investicije ukupnog iznosa 207,5 milijuna kn godišnje u energetsku obnovu obiteljskih kuća kroz financijske potpore fizičkim osobama za investiranje u poboljšanje energetskih svojstava obiteljskih kuća kroz poticanje obnove vanjske ovojnice (povećanje toplinske zaštite vanjske ovojnice, zamjena prozora), poticanje zamjene sustava grijanja (zamjena postojećih sustava grijanja koji koriste električnu energiju ili fosilna goriva novim sustavima s kondenzacijskim plinskim bojlerima), poticanje korištenja OIE (ugradnja sunčanih toplinskih kolektora, ugradnja dizalica topline, ugradnja malih kotlova na biomasu).</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Provedba Programa:</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MGIPU i FZOEU provode promocijsku kampanju među JLP(R)S i opću kampanju za građane kako bi se potaknulo na provedbu mjera energetske obnove. NKT kroz suradnju s JLP(R)S, a posebno obveznicima planiranja i velikim gradovima i županijama koordinira aktivnosti i aktivno uključuje JLP(R)S.</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FZOEU:</w:t>
            </w:r>
          </w:p>
          <w:p w:rsidR="008C44BB" w:rsidRPr="00361664" w:rsidRDefault="00171883"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 U suradnji s MGIPU </w:t>
            </w:r>
            <w:r w:rsidR="008C44BB" w:rsidRPr="00361664">
              <w:rPr>
                <w:rFonts w:asciiTheme="minorHAnsi" w:hAnsiTheme="minorHAnsi" w:cstheme="minorHAnsi"/>
                <w:sz w:val="20"/>
                <w:szCs w:val="20"/>
              </w:rPr>
              <w:t>priprema i objavljuje Javni Poziv</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Zaprima projektne prijedlogeenergetske obnove obiteljskih kuća</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 Vrši odabir projekata </w:t>
            </w:r>
          </w:p>
          <w:p w:rsidR="008C44BB" w:rsidRPr="00361664" w:rsidRDefault="00171883" w:rsidP="00171883">
            <w:pPr>
              <w:spacing w:after="0"/>
              <w:jc w:val="both"/>
              <w:rPr>
                <w:rFonts w:asciiTheme="minorHAnsi" w:hAnsiTheme="minorHAnsi" w:cstheme="minorHAnsi"/>
                <w:sz w:val="20"/>
                <w:szCs w:val="20"/>
              </w:rPr>
            </w:pPr>
            <w:r w:rsidRPr="00361664">
              <w:rPr>
                <w:rFonts w:asciiTheme="minorHAnsi" w:hAnsiTheme="minorHAnsi" w:cstheme="minorHAnsi"/>
                <w:sz w:val="20"/>
                <w:szCs w:val="20"/>
              </w:rPr>
              <w:lastRenderedPageBreak/>
              <w:t>• S</w:t>
            </w:r>
            <w:r w:rsidR="008C44BB" w:rsidRPr="00361664">
              <w:rPr>
                <w:rFonts w:asciiTheme="minorHAnsi" w:hAnsiTheme="minorHAnsi" w:cstheme="minorHAnsi"/>
                <w:sz w:val="20"/>
                <w:szCs w:val="20"/>
              </w:rPr>
              <w:t>upotpisuje Ugovor o dodjeli bespovratnih sredstava</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Vrši kontrolu izvršenja ugovornih obveza</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MGIPU:  </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Planira sredstva</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Priprema natječajnu dokumentaciju</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Donosi Odluku o financiranju</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 Supotpisuje Ugovor o dodjeli bespovratnih sredstava </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Planira se energetska obnova oko </w:t>
            </w:r>
            <w:r w:rsidR="00171883" w:rsidRPr="00361664">
              <w:rPr>
                <w:rFonts w:asciiTheme="minorHAnsi" w:hAnsiTheme="minorHAnsi" w:cstheme="minorHAnsi"/>
                <w:sz w:val="20"/>
                <w:szCs w:val="20"/>
              </w:rPr>
              <w:t>2</w:t>
            </w:r>
            <w:r w:rsidRPr="00361664">
              <w:rPr>
                <w:rFonts w:asciiTheme="minorHAnsi" w:hAnsiTheme="minorHAnsi" w:cstheme="minorHAnsi"/>
                <w:sz w:val="20"/>
                <w:szCs w:val="20"/>
              </w:rPr>
              <w:t xml:space="preserve">000 obiteljskih kuća na godišnjoj razini , tj. </w:t>
            </w:r>
            <w:r w:rsidR="00171883" w:rsidRPr="00361664">
              <w:rPr>
                <w:rFonts w:asciiTheme="minorHAnsi" w:hAnsiTheme="minorHAnsi" w:cstheme="minorHAnsi"/>
                <w:sz w:val="20"/>
                <w:szCs w:val="20"/>
              </w:rPr>
              <w:t>1</w:t>
            </w:r>
            <w:r w:rsidRPr="00361664">
              <w:rPr>
                <w:rFonts w:asciiTheme="minorHAnsi" w:hAnsiTheme="minorHAnsi" w:cstheme="minorHAnsi"/>
                <w:sz w:val="20"/>
                <w:szCs w:val="20"/>
              </w:rPr>
              <w:t>00 kuća po županiji.</w:t>
            </w:r>
            <w:r w:rsidRPr="00361664">
              <w:rPr>
                <w:rFonts w:asciiTheme="minorHAnsi" w:hAnsiTheme="minorHAnsi" w:cstheme="minorHAnsi"/>
                <w:sz w:val="20"/>
                <w:szCs w:val="20"/>
              </w:rPr>
              <w:tab/>
            </w:r>
          </w:p>
          <w:p w:rsidR="008C44BB" w:rsidRPr="00361664" w:rsidRDefault="008C44BB" w:rsidP="008C44BB">
            <w:pPr>
              <w:spacing w:after="0"/>
              <w:jc w:val="both"/>
              <w:rPr>
                <w:rFonts w:asciiTheme="minorHAnsi" w:hAnsiTheme="minorHAnsi" w:cstheme="minorHAnsi"/>
                <w:sz w:val="20"/>
                <w:szCs w:val="20"/>
              </w:rPr>
            </w:pPr>
          </w:p>
          <w:p w:rsidR="00290BA5"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Dodatno: ovisno o raspoloživosti financijskih sredstava stečenih od prodaje emisijskih jedinica putem dražbe na sustavu trgovanja emisijskim jedinicama EU-a temeljem Zakona o zaštiti zraka (</w:t>
            </w:r>
            <w:r w:rsidR="00C44613" w:rsidRPr="00361664">
              <w:rPr>
                <w:rFonts w:asciiTheme="minorHAnsi" w:hAnsiTheme="minorHAnsi" w:cstheme="minorHAnsi"/>
                <w:sz w:val="20"/>
                <w:szCs w:val="20"/>
              </w:rPr>
              <w:t>NN 130/11, 47/14, 61/17</w:t>
            </w:r>
            <w:r w:rsidRPr="00361664">
              <w:rPr>
                <w:rFonts w:asciiTheme="minorHAnsi" w:hAnsiTheme="minorHAnsi" w:cstheme="minorHAnsi"/>
                <w:sz w:val="20"/>
                <w:szCs w:val="20"/>
              </w:rPr>
              <w:t>), FZOEU će provoditi mjere financiranja fokusirane na ugradnje termotehničkih sustava te prelazak s konvencionalnih na alternativne izvore energije (OIE) kao što su: fotonaponski sustavi za vlastitu potrošnju, kotlovi na biomasu, solarni kolektori, dizalice topline i sl. Navedeno je komplementarno s Programom i predstavlja svojevrsnu nadogradnju istog. Učinci će se pribrojati uštedama ostvarenim kroz Program te će se kroz SMIV razgraničiti učinci ovisno o izvorima financiranja (OPKK i ETS).</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Financijska sredstva i izvori financiranja</w:t>
            </w:r>
          </w:p>
        </w:tc>
        <w:tc>
          <w:tcPr>
            <w:tcW w:w="3524" w:type="pct"/>
            <w:vAlign w:val="center"/>
          </w:tcPr>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Planirana sredstva do kraja 2020.:</w:t>
            </w:r>
          </w:p>
          <w:p w:rsidR="008C44BB" w:rsidRPr="00361664" w:rsidRDefault="008C44BB" w:rsidP="008C44BB">
            <w:pPr>
              <w:pStyle w:val="Bodytext20"/>
              <w:shd w:val="clear" w:color="auto" w:fill="auto"/>
              <w:tabs>
                <w:tab w:val="left" w:pos="750"/>
              </w:tabs>
              <w:spacing w:before="0" w:line="245" w:lineRule="exact"/>
              <w:ind w:firstLine="0"/>
              <w:rPr>
                <w:rFonts w:asciiTheme="minorHAnsi" w:hAnsiTheme="minorHAnsi" w:cstheme="minorHAnsi"/>
              </w:rPr>
            </w:pPr>
            <w:r w:rsidRPr="00361664">
              <w:rPr>
                <w:rFonts w:asciiTheme="minorHAnsi" w:hAnsiTheme="minorHAnsi" w:cstheme="minorHAnsi"/>
              </w:rPr>
              <w:t xml:space="preserve">Za energetsku obnovu 2000 obiteljskih kuća (100 kuća po županiji) godišnja investicija iznosi 207,5 milijuna kuna:  </w:t>
            </w:r>
          </w:p>
          <w:p w:rsidR="008C44BB" w:rsidRPr="00361664" w:rsidRDefault="008C44BB" w:rsidP="008C44BB">
            <w:pPr>
              <w:pStyle w:val="Bodytext20"/>
              <w:numPr>
                <w:ilvl w:val="0"/>
                <w:numId w:val="54"/>
              </w:numPr>
              <w:shd w:val="clear" w:color="auto" w:fill="auto"/>
              <w:tabs>
                <w:tab w:val="left" w:pos="750"/>
              </w:tabs>
              <w:spacing w:before="0" w:line="245" w:lineRule="exact"/>
              <w:rPr>
                <w:rFonts w:asciiTheme="minorHAnsi" w:hAnsiTheme="minorHAnsi" w:cstheme="minorHAnsi"/>
              </w:rPr>
            </w:pPr>
            <w:r w:rsidRPr="00361664">
              <w:rPr>
                <w:rFonts w:asciiTheme="minorHAnsi" w:hAnsiTheme="minorHAnsi" w:cstheme="minorHAnsi"/>
              </w:rPr>
              <w:t xml:space="preserve">obnova vanjske ovojnice - 87,5 milijuna kuna </w:t>
            </w:r>
          </w:p>
          <w:p w:rsidR="008C44BB" w:rsidRPr="00361664" w:rsidRDefault="008C44BB" w:rsidP="008C44BB">
            <w:pPr>
              <w:pStyle w:val="Bodytext20"/>
              <w:numPr>
                <w:ilvl w:val="0"/>
                <w:numId w:val="54"/>
              </w:numPr>
              <w:shd w:val="clear" w:color="auto" w:fill="auto"/>
              <w:tabs>
                <w:tab w:val="left" w:pos="750"/>
              </w:tabs>
              <w:spacing w:before="0" w:line="245" w:lineRule="exact"/>
              <w:rPr>
                <w:rFonts w:asciiTheme="minorHAnsi" w:hAnsiTheme="minorHAnsi" w:cstheme="minorHAnsi"/>
              </w:rPr>
            </w:pPr>
            <w:r w:rsidRPr="00361664">
              <w:rPr>
                <w:rFonts w:asciiTheme="minorHAnsi" w:hAnsiTheme="minorHAnsi" w:cstheme="minorHAnsi"/>
              </w:rPr>
              <w:t>zamjene sustava grijanja - 40 milijuna kuna</w:t>
            </w:r>
          </w:p>
          <w:p w:rsidR="008C44BB" w:rsidRPr="00361664" w:rsidRDefault="008C44BB" w:rsidP="008C44BB">
            <w:pPr>
              <w:pStyle w:val="Bodytext20"/>
              <w:numPr>
                <w:ilvl w:val="0"/>
                <w:numId w:val="54"/>
              </w:numPr>
              <w:shd w:val="clear" w:color="auto" w:fill="auto"/>
              <w:tabs>
                <w:tab w:val="left" w:pos="750"/>
              </w:tabs>
              <w:spacing w:before="0" w:line="245" w:lineRule="exact"/>
              <w:rPr>
                <w:rFonts w:asciiTheme="minorHAnsi" w:hAnsiTheme="minorHAnsi" w:cstheme="minorHAnsi"/>
              </w:rPr>
            </w:pPr>
            <w:r w:rsidRPr="00361664">
              <w:rPr>
                <w:rFonts w:asciiTheme="minorHAnsi" w:hAnsiTheme="minorHAnsi" w:cstheme="minorHAnsi"/>
              </w:rPr>
              <w:t>poticanja korištenja OIE - 80 milijuna kuna</w:t>
            </w:r>
          </w:p>
          <w:p w:rsidR="008C44BB" w:rsidRPr="00361664" w:rsidRDefault="008C44BB" w:rsidP="008C44BB">
            <w:pPr>
              <w:pStyle w:val="Bodytext20"/>
              <w:shd w:val="clear" w:color="auto" w:fill="auto"/>
              <w:tabs>
                <w:tab w:val="left" w:pos="750"/>
              </w:tabs>
              <w:spacing w:before="0" w:line="245" w:lineRule="exact"/>
              <w:ind w:firstLine="0"/>
              <w:rPr>
                <w:rFonts w:asciiTheme="minorHAnsi" w:hAnsiTheme="minorHAnsi" w:cstheme="minorHAnsi"/>
              </w:rPr>
            </w:pPr>
            <w:r w:rsidRPr="00361664">
              <w:rPr>
                <w:rFonts w:asciiTheme="minorHAnsi" w:hAnsiTheme="minorHAnsi" w:cstheme="minorHAnsi"/>
              </w:rPr>
              <w:t>Izvori financiranja:</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Sredstva iz strukturnih fondova Europske unije (EU)</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U sklopu OPKK za obnovu ovog sektora do 2020. godine osigurano je oko 30 milijuna eura </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Izvori financiranja na strani građana (sredstva građana iz stambenih štedionica i dr.)</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Krediti građana</w:t>
            </w:r>
          </w:p>
          <w:p w:rsidR="00882317"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 Proračuni JLP(R)S</w:t>
            </w:r>
          </w:p>
          <w:p w:rsidR="008E699F" w:rsidRPr="00361664" w:rsidRDefault="008E699F" w:rsidP="009B78D5">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Ukupna sredstva predviđena za razdoblje do kraja 2019. godine iznose </w:t>
            </w:r>
            <w:r w:rsidR="009B78D5" w:rsidRPr="00361664">
              <w:rPr>
                <w:rFonts w:asciiTheme="minorHAnsi" w:hAnsiTheme="minorHAnsi" w:cstheme="minorHAnsi"/>
                <w:sz w:val="20"/>
                <w:szCs w:val="20"/>
              </w:rPr>
              <w:t>60</w:t>
            </w:r>
            <w:r w:rsidRPr="00361664">
              <w:rPr>
                <w:rFonts w:asciiTheme="minorHAnsi" w:hAnsiTheme="minorHAnsi" w:cstheme="minorHAnsi"/>
                <w:sz w:val="20"/>
                <w:szCs w:val="20"/>
              </w:rPr>
              <w:t>.000.000,00 kn.</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Izvršno  tijelo</w:t>
            </w:r>
          </w:p>
        </w:tc>
        <w:tc>
          <w:tcPr>
            <w:tcW w:w="3524" w:type="pct"/>
            <w:vAlign w:val="center"/>
          </w:tcPr>
          <w:p w:rsidR="008C44BB" w:rsidRPr="00361664" w:rsidRDefault="008C44BB" w:rsidP="008C44BB">
            <w:pPr>
              <w:spacing w:after="0"/>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MGIPU – kao posredničko tijelo prve razine u sustavu upravljanja i kontrole operativnog programa Konkurentnost i kohezija u sklopu kojega planira EU sredstva i donosi Odluku o financiranju te supotpisuje Ugovor o dodjeli bespovratnih sredstava</w:t>
            </w:r>
          </w:p>
          <w:p w:rsidR="008C44BB" w:rsidRPr="00361664" w:rsidRDefault="008C44BB" w:rsidP="008C44BB">
            <w:pPr>
              <w:spacing w:after="0"/>
              <w:jc w:val="both"/>
              <w:rPr>
                <w:rFonts w:asciiTheme="minorHAnsi" w:hAnsiTheme="minorHAnsi" w:cstheme="minorHAnsi"/>
                <w:color w:val="000000"/>
                <w:sz w:val="20"/>
                <w:szCs w:val="20"/>
                <w:lang w:eastAsia="hr-HR" w:bidi="hr-HR"/>
              </w:rPr>
            </w:pPr>
            <w:r w:rsidRPr="00361664">
              <w:rPr>
                <w:rFonts w:asciiTheme="minorHAnsi" w:hAnsiTheme="minorHAnsi" w:cstheme="minorHAnsi"/>
                <w:sz w:val="20"/>
                <w:szCs w:val="20"/>
              </w:rPr>
              <w:t>MGIPU - operativno praćenje provedbe programa</w:t>
            </w:r>
          </w:p>
          <w:p w:rsidR="008C44BB" w:rsidRPr="00361664" w:rsidRDefault="008C44BB" w:rsidP="008C44BB">
            <w:pPr>
              <w:spacing w:after="0"/>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MRRFEU – kao upravljačko tijelo koje upravlja OPKK te je odgovorno za cjelokupnu provedbu OPKK.</w:t>
            </w:r>
          </w:p>
          <w:p w:rsidR="00715AD0" w:rsidRPr="00361664" w:rsidRDefault="008C44BB" w:rsidP="008C44BB">
            <w:pPr>
              <w:spacing w:after="0"/>
              <w:jc w:val="both"/>
              <w:rPr>
                <w:rFonts w:asciiTheme="minorHAnsi" w:hAnsiTheme="minorHAnsi" w:cstheme="minorHAnsi"/>
                <w:color w:val="000000"/>
                <w:sz w:val="20"/>
                <w:szCs w:val="20"/>
                <w:lang w:eastAsia="hr-HR" w:bidi="hr-HR"/>
              </w:rPr>
            </w:pPr>
            <w:r w:rsidRPr="00361664">
              <w:rPr>
                <w:rFonts w:asciiTheme="minorHAnsi" w:hAnsiTheme="minorHAnsi" w:cstheme="minorHAnsi"/>
                <w:sz w:val="20"/>
                <w:szCs w:val="20"/>
              </w:rPr>
              <w:t>PT2 -  provjerava izvršenje ugovornih obveza</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640C0B" w:rsidP="005E6F15">
            <w:pPr>
              <w:spacing w:after="0"/>
              <w:rPr>
                <w:rFonts w:asciiTheme="minorHAnsi" w:hAnsiTheme="minorHAnsi" w:cstheme="minorHAnsi"/>
                <w:sz w:val="20"/>
                <w:szCs w:val="20"/>
              </w:rPr>
            </w:pPr>
            <w:r w:rsidRPr="00361664">
              <w:rPr>
                <w:rFonts w:asciiTheme="minorHAnsi" w:hAnsiTheme="minorHAnsi" w:cstheme="minorHAnsi"/>
                <w:sz w:val="20"/>
                <w:szCs w:val="20"/>
              </w:rPr>
              <w:t>Tijelo za praćenje, mjerenje i verifikaciju ušteda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NKT </w:t>
            </w:r>
          </w:p>
        </w:tc>
      </w:tr>
      <w:tr w:rsidR="00846723" w:rsidRPr="00361664" w:rsidTr="00CA3600">
        <w:trPr>
          <w:trHeight w:val="20"/>
        </w:trPr>
        <w:tc>
          <w:tcPr>
            <w:tcW w:w="654" w:type="pct"/>
            <w:vMerge w:val="restart"/>
            <w:vAlign w:val="center"/>
          </w:tcPr>
          <w:p w:rsidR="00846723" w:rsidRPr="00361664" w:rsidRDefault="00846723" w:rsidP="005E6F15">
            <w:pPr>
              <w:spacing w:after="0"/>
              <w:rPr>
                <w:rFonts w:asciiTheme="minorHAnsi" w:hAnsiTheme="minorHAnsi" w:cstheme="minorHAnsi"/>
                <w:sz w:val="20"/>
                <w:szCs w:val="20"/>
              </w:rPr>
            </w:pPr>
            <w:r w:rsidRPr="00361664">
              <w:rPr>
                <w:rFonts w:asciiTheme="minorHAnsi" w:hAnsiTheme="minorHAnsi" w:cstheme="minorHAnsi"/>
                <w:sz w:val="20"/>
                <w:szCs w:val="20"/>
              </w:rPr>
              <w:lastRenderedPageBreak/>
              <w:t>Uštede energije</w:t>
            </w:r>
          </w:p>
          <w:p w:rsidR="00846723" w:rsidRPr="00361664" w:rsidRDefault="00846723" w:rsidP="005E6F15">
            <w:pPr>
              <w:spacing w:after="0"/>
              <w:rPr>
                <w:rFonts w:asciiTheme="minorHAnsi" w:hAnsiTheme="minorHAnsi" w:cstheme="minorHAnsi"/>
                <w:sz w:val="20"/>
                <w:szCs w:val="20"/>
              </w:rPr>
            </w:pPr>
          </w:p>
        </w:tc>
        <w:tc>
          <w:tcPr>
            <w:tcW w:w="822" w:type="pct"/>
            <w:vAlign w:val="center"/>
          </w:tcPr>
          <w:p w:rsidR="00846723" w:rsidRPr="00361664" w:rsidRDefault="00846723" w:rsidP="005E6F15">
            <w:pPr>
              <w:spacing w:after="0"/>
              <w:rPr>
                <w:rFonts w:asciiTheme="minorHAnsi" w:hAnsiTheme="minorHAnsi" w:cstheme="minorHAnsi"/>
                <w:sz w:val="20"/>
                <w:szCs w:val="20"/>
              </w:rPr>
            </w:pPr>
            <w:r w:rsidRPr="00361664">
              <w:rPr>
                <w:rFonts w:asciiTheme="minorHAnsi" w:hAnsiTheme="minorHAnsi" w:cstheme="minorHAnsi"/>
                <w:sz w:val="20"/>
                <w:szCs w:val="20"/>
              </w:rPr>
              <w:t>Metoda praćenja / mjerenja ušteda energije</w:t>
            </w:r>
          </w:p>
        </w:tc>
        <w:tc>
          <w:tcPr>
            <w:tcW w:w="3524" w:type="pct"/>
            <w:vAlign w:val="center"/>
          </w:tcPr>
          <w:p w:rsidR="00846723" w:rsidRPr="00361664" w:rsidRDefault="008C44BB" w:rsidP="005E6F15">
            <w:pPr>
              <w:spacing w:after="0" w:line="240" w:lineRule="auto"/>
              <w:jc w:val="both"/>
              <w:rPr>
                <w:rFonts w:asciiTheme="minorHAnsi" w:hAnsiTheme="minorHAnsi" w:cstheme="minorHAnsi"/>
                <w:sz w:val="20"/>
                <w:szCs w:val="20"/>
              </w:rPr>
            </w:pPr>
            <w:r w:rsidRPr="00361664">
              <w:rPr>
                <w:rFonts w:asciiTheme="minorHAnsi" w:hAnsiTheme="minorHAnsi" w:cstheme="minorHAnsi"/>
                <w:sz w:val="20"/>
                <w:szCs w:val="20"/>
                <w:lang w:eastAsia="hr-HR" w:bidi="hr-HR"/>
              </w:rPr>
              <w:t>Učinci mjere pratit će se pomoću nacionalnog Sustava</w:t>
            </w:r>
            <w:r w:rsidRPr="00361664">
              <w:rPr>
                <w:rFonts w:asciiTheme="minorHAnsi" w:hAnsiTheme="minorHAnsi"/>
                <w:sz w:val="20"/>
              </w:rPr>
              <w:t xml:space="preserve"> za </w:t>
            </w:r>
            <w:r w:rsidRPr="00361664">
              <w:rPr>
                <w:sz w:val="20"/>
                <w:szCs w:val="20"/>
              </w:rPr>
              <w:t xml:space="preserve">praćenje, </w:t>
            </w:r>
            <w:r w:rsidRPr="00361664">
              <w:rPr>
                <w:rFonts w:asciiTheme="minorHAnsi" w:hAnsiTheme="minorHAnsi"/>
                <w:sz w:val="20"/>
              </w:rPr>
              <w:t xml:space="preserve">mjerenje i verifikaciju </w:t>
            </w:r>
            <w:r w:rsidRPr="00361664">
              <w:rPr>
                <w:sz w:val="20"/>
                <w:szCs w:val="20"/>
              </w:rPr>
              <w:t xml:space="preserve">ušteda energije </w:t>
            </w:r>
            <w:r w:rsidRPr="00361664">
              <w:rPr>
                <w:rFonts w:asciiTheme="minorHAnsi" w:hAnsiTheme="minorHAnsi" w:cstheme="minorHAnsi"/>
                <w:sz w:val="20"/>
                <w:szCs w:val="20"/>
                <w:lang w:eastAsia="hr-HR" w:bidi="hr-HR"/>
              </w:rPr>
              <w:t>(SMIV).</w:t>
            </w:r>
          </w:p>
        </w:tc>
      </w:tr>
      <w:tr w:rsidR="00846723" w:rsidRPr="00361664" w:rsidTr="00CA3600">
        <w:trPr>
          <w:trHeight w:val="20"/>
        </w:trPr>
        <w:tc>
          <w:tcPr>
            <w:tcW w:w="654" w:type="pct"/>
            <w:vMerge/>
          </w:tcPr>
          <w:p w:rsidR="00846723" w:rsidRPr="00361664" w:rsidRDefault="00846723" w:rsidP="00846723">
            <w:pPr>
              <w:rPr>
                <w:rFonts w:asciiTheme="minorHAnsi" w:hAnsiTheme="minorHAnsi" w:cstheme="minorHAnsi"/>
                <w:sz w:val="20"/>
                <w:szCs w:val="20"/>
              </w:rPr>
            </w:pPr>
          </w:p>
        </w:tc>
        <w:tc>
          <w:tcPr>
            <w:tcW w:w="822" w:type="pct"/>
            <w:vAlign w:val="center"/>
          </w:tcPr>
          <w:p w:rsidR="00846723" w:rsidRPr="00361664" w:rsidRDefault="00A9135D" w:rsidP="00846723">
            <w:pPr>
              <w:rPr>
                <w:rFonts w:asciiTheme="minorHAnsi" w:hAnsiTheme="minorHAnsi" w:cstheme="minorHAnsi"/>
                <w:sz w:val="20"/>
                <w:szCs w:val="20"/>
              </w:rPr>
            </w:pPr>
            <w:r w:rsidRPr="00361664">
              <w:rPr>
                <w:rFonts w:asciiTheme="minorHAnsi" w:hAnsiTheme="minorHAnsi" w:cstheme="minorHAnsi"/>
                <w:sz w:val="20"/>
                <w:szCs w:val="20"/>
              </w:rPr>
              <w:t>Očekivane uštede energije do kraja 2019.</w:t>
            </w:r>
          </w:p>
        </w:tc>
        <w:tc>
          <w:tcPr>
            <w:tcW w:w="3524" w:type="pct"/>
            <w:shd w:val="clear" w:color="auto" w:fill="auto"/>
            <w:vAlign w:val="center"/>
          </w:tcPr>
          <w:p w:rsidR="00846723" w:rsidRPr="00361664" w:rsidRDefault="009B78D5" w:rsidP="005E6F15">
            <w:pPr>
              <w:spacing w:line="240" w:lineRule="auto"/>
              <w:jc w:val="both"/>
              <w:rPr>
                <w:rFonts w:asciiTheme="minorHAnsi" w:hAnsiTheme="minorHAnsi" w:cstheme="minorHAnsi"/>
                <w:color w:val="FF0000"/>
                <w:sz w:val="20"/>
                <w:szCs w:val="20"/>
              </w:rPr>
            </w:pPr>
            <w:r w:rsidRPr="00361664">
              <w:rPr>
                <w:rFonts w:asciiTheme="minorHAnsi" w:hAnsiTheme="minorHAnsi" w:cstheme="minorHAnsi"/>
                <w:sz w:val="20"/>
                <w:szCs w:val="20"/>
              </w:rPr>
              <w:t>0</w:t>
            </w:r>
          </w:p>
        </w:tc>
      </w:tr>
      <w:tr w:rsidR="00846723" w:rsidRPr="00361664" w:rsidTr="00CA3600">
        <w:trPr>
          <w:trHeight w:val="20"/>
        </w:trPr>
        <w:tc>
          <w:tcPr>
            <w:tcW w:w="654" w:type="pct"/>
            <w:vMerge/>
          </w:tcPr>
          <w:p w:rsidR="00846723" w:rsidRPr="00361664" w:rsidRDefault="00846723" w:rsidP="00846723">
            <w:pPr>
              <w:rPr>
                <w:rFonts w:asciiTheme="minorHAnsi" w:hAnsiTheme="minorHAnsi" w:cstheme="minorHAnsi"/>
                <w:sz w:val="20"/>
                <w:szCs w:val="20"/>
              </w:rPr>
            </w:pPr>
          </w:p>
        </w:tc>
        <w:tc>
          <w:tcPr>
            <w:tcW w:w="822" w:type="pct"/>
            <w:vAlign w:val="center"/>
          </w:tcPr>
          <w:p w:rsidR="00846723" w:rsidRPr="00361664" w:rsidRDefault="004831DF" w:rsidP="00846723">
            <w:pPr>
              <w:rPr>
                <w:rFonts w:asciiTheme="minorHAnsi" w:hAnsiTheme="minorHAnsi" w:cstheme="minorHAnsi"/>
                <w:sz w:val="20"/>
                <w:szCs w:val="20"/>
              </w:rPr>
            </w:pPr>
            <w:r w:rsidRPr="00361664">
              <w:rPr>
                <w:rFonts w:asciiTheme="minorHAnsi" w:hAnsiTheme="minorHAnsi" w:cstheme="minorHAnsi"/>
                <w:sz w:val="20"/>
                <w:szCs w:val="20"/>
              </w:rPr>
              <w:t>Očekivane uštede energije do kraja 2020.</w:t>
            </w:r>
          </w:p>
        </w:tc>
        <w:tc>
          <w:tcPr>
            <w:tcW w:w="3524" w:type="pct"/>
            <w:vAlign w:val="center"/>
          </w:tcPr>
          <w:p w:rsidR="00846723" w:rsidRPr="00361664" w:rsidRDefault="009B78D5" w:rsidP="005E6F15">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36TJ</w:t>
            </w:r>
          </w:p>
        </w:tc>
      </w:tr>
      <w:tr w:rsidR="00846723" w:rsidRPr="00361664" w:rsidTr="00CA3600">
        <w:trPr>
          <w:trHeight w:val="20"/>
        </w:trPr>
        <w:tc>
          <w:tcPr>
            <w:tcW w:w="654" w:type="pct"/>
            <w:vMerge/>
          </w:tcPr>
          <w:p w:rsidR="00846723" w:rsidRPr="00361664" w:rsidRDefault="00846723" w:rsidP="005E6F15">
            <w:pPr>
              <w:spacing w:after="0"/>
              <w:rPr>
                <w:rFonts w:asciiTheme="minorHAnsi" w:hAnsiTheme="minorHAnsi" w:cstheme="minorHAnsi"/>
                <w:sz w:val="20"/>
                <w:szCs w:val="20"/>
              </w:rPr>
            </w:pPr>
          </w:p>
        </w:tc>
        <w:tc>
          <w:tcPr>
            <w:tcW w:w="822" w:type="pct"/>
            <w:vAlign w:val="center"/>
          </w:tcPr>
          <w:p w:rsidR="00846723" w:rsidRPr="00361664" w:rsidRDefault="00846723" w:rsidP="005E6F15">
            <w:pPr>
              <w:spacing w:after="0"/>
              <w:rPr>
                <w:rFonts w:asciiTheme="minorHAnsi" w:hAnsiTheme="minorHAnsi" w:cstheme="minorHAnsi"/>
                <w:sz w:val="20"/>
                <w:szCs w:val="20"/>
              </w:rPr>
            </w:pPr>
            <w:r w:rsidRPr="00361664">
              <w:rPr>
                <w:rFonts w:asciiTheme="minorHAnsi" w:hAnsiTheme="minorHAnsi" w:cstheme="minorHAnsi"/>
                <w:sz w:val="20"/>
                <w:szCs w:val="20"/>
              </w:rPr>
              <w:t>Pretpostavke</w:t>
            </w:r>
          </w:p>
          <w:p w:rsidR="00846723" w:rsidRPr="00361664" w:rsidRDefault="00846723" w:rsidP="005E6F15">
            <w:pPr>
              <w:spacing w:after="0"/>
              <w:rPr>
                <w:rFonts w:asciiTheme="minorHAnsi" w:hAnsiTheme="minorHAnsi" w:cstheme="minorHAnsi"/>
                <w:sz w:val="20"/>
                <w:szCs w:val="20"/>
              </w:rPr>
            </w:pPr>
          </w:p>
        </w:tc>
        <w:tc>
          <w:tcPr>
            <w:tcW w:w="3524" w:type="pct"/>
            <w:vAlign w:val="center"/>
          </w:tcPr>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Pretpostavlja se da će na godišnjoj razini u programu sudjelovati 100 obiteljskih kuća po županiji ili oko 2000 kuća na području cijele Hrvatske. Prosječno se toplinskom izolacijom zida štedi 84,3 kWh/m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površine zida. Također se pretpostavlja se da će se prosječno po kući zamijeniti 35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prozora. Pri tome se ostvaruju jedinične uštede od 195,2 kWh/m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površine prozora. Pretpostavlja se da će toplinski biti izolirano 100 000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površine vanjske konstrukcije (zida) godišnje, odnosno 35 000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prozora godišnje.</w:t>
            </w:r>
          </w:p>
          <w:p w:rsidR="008C44BB"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Zamjenom postojećeg, novim plinskim kondenzacijskim kotlom tipično se smanjuje potrošnja energije za 97,5 kWh/m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površine zgrade. Pretpostavlja se da će ovaj program biti najuspješniji u poticanju ugradnje sunčanih toplinskih kolektora za pripremu potrošne tople vode. Ugradnjom sunčanog toplinskog sustava za zagrijavanje potrošne tople vode godišnje se može smanjiti potrošnja energije za 675 kWh/m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površine kolektora.</w:t>
            </w:r>
          </w:p>
          <w:p w:rsidR="00846723" w:rsidRPr="00361664" w:rsidRDefault="008C44BB" w:rsidP="008C44BB">
            <w:pPr>
              <w:spacing w:after="0"/>
              <w:jc w:val="both"/>
              <w:rPr>
                <w:rFonts w:asciiTheme="minorHAnsi" w:hAnsiTheme="minorHAnsi" w:cstheme="minorHAnsi"/>
                <w:sz w:val="20"/>
                <w:szCs w:val="20"/>
              </w:rPr>
            </w:pPr>
            <w:r w:rsidRPr="00361664">
              <w:rPr>
                <w:rFonts w:asciiTheme="minorHAnsi" w:hAnsiTheme="minorHAnsi" w:cstheme="minorHAnsi"/>
                <w:sz w:val="20"/>
                <w:szCs w:val="20"/>
              </w:rPr>
              <w:t>Predviđa se provedba programa istom dinamikom do kraja 2020. godine.</w:t>
            </w:r>
          </w:p>
        </w:tc>
      </w:tr>
      <w:tr w:rsidR="00846723" w:rsidRPr="00361664" w:rsidTr="00CA3600">
        <w:trPr>
          <w:trHeight w:val="20"/>
        </w:trPr>
        <w:tc>
          <w:tcPr>
            <w:tcW w:w="654" w:type="pct"/>
            <w:vMerge/>
          </w:tcPr>
          <w:p w:rsidR="00846723" w:rsidRPr="00361664" w:rsidRDefault="00846723" w:rsidP="005E6F15">
            <w:pPr>
              <w:spacing w:after="0"/>
              <w:rPr>
                <w:rFonts w:asciiTheme="minorHAnsi" w:hAnsiTheme="minorHAnsi" w:cstheme="minorHAnsi"/>
                <w:sz w:val="20"/>
                <w:szCs w:val="20"/>
              </w:rPr>
            </w:pPr>
          </w:p>
        </w:tc>
        <w:tc>
          <w:tcPr>
            <w:tcW w:w="822" w:type="pct"/>
            <w:vAlign w:val="center"/>
          </w:tcPr>
          <w:p w:rsidR="00846723" w:rsidRPr="00361664" w:rsidRDefault="00846723" w:rsidP="005E6F15">
            <w:pPr>
              <w:spacing w:after="0"/>
              <w:rPr>
                <w:rFonts w:asciiTheme="minorHAnsi" w:hAnsiTheme="minorHAnsi" w:cstheme="minorHAnsi"/>
                <w:sz w:val="20"/>
                <w:szCs w:val="20"/>
              </w:rPr>
            </w:pPr>
            <w:r w:rsidRPr="00361664">
              <w:rPr>
                <w:rFonts w:asciiTheme="minorHAnsi" w:hAnsiTheme="minorHAnsi" w:cstheme="minorHAnsi"/>
                <w:sz w:val="20"/>
                <w:szCs w:val="20"/>
              </w:rPr>
              <w:t>Preklapanja, efekt množenja, sinergija</w:t>
            </w:r>
          </w:p>
        </w:tc>
        <w:tc>
          <w:tcPr>
            <w:tcW w:w="3524" w:type="pct"/>
            <w:vAlign w:val="center"/>
          </w:tcPr>
          <w:p w:rsidR="00846723" w:rsidRPr="00361664" w:rsidRDefault="00846723" w:rsidP="005E6F15">
            <w:pPr>
              <w:spacing w:after="0"/>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Pretpostavlja se da će se efekt množenja ostvariti promocijom programa i njegovih rezultata te da će se određeni broj ljudi i bez poticaja odlučivati na provedbu ovih mjera.</w:t>
            </w:r>
            <w:r w:rsidR="00541BD5" w:rsidRPr="00361664">
              <w:rPr>
                <w:rFonts w:asciiTheme="minorHAnsi" w:hAnsiTheme="minorHAnsi" w:cstheme="minorHAnsi"/>
                <w:color w:val="000000"/>
                <w:sz w:val="20"/>
                <w:szCs w:val="20"/>
                <w:lang w:eastAsia="hr-HR" w:bidi="hr-HR"/>
              </w:rPr>
              <w:t xml:space="preserve"> Ova mjera se nadovezuje na mjeru Program za suzbijanje energetskog siromaštva te se te mjere međusobno n</w:t>
            </w:r>
            <w:r w:rsidR="00194ED3" w:rsidRPr="00361664">
              <w:rPr>
                <w:rFonts w:asciiTheme="minorHAnsi" w:hAnsiTheme="minorHAnsi" w:cstheme="minorHAnsi"/>
                <w:color w:val="000000"/>
                <w:sz w:val="20"/>
                <w:szCs w:val="20"/>
                <w:lang w:eastAsia="hr-HR" w:bidi="hr-HR"/>
              </w:rPr>
              <w:t>adop</w:t>
            </w:r>
            <w:r w:rsidR="00541BD5" w:rsidRPr="00361664">
              <w:rPr>
                <w:rFonts w:asciiTheme="minorHAnsi" w:hAnsiTheme="minorHAnsi" w:cstheme="minorHAnsi"/>
                <w:color w:val="000000"/>
                <w:sz w:val="20"/>
                <w:szCs w:val="20"/>
                <w:lang w:eastAsia="hr-HR" w:bidi="hr-HR"/>
              </w:rPr>
              <w:t>unjuju</w:t>
            </w:r>
            <w:r w:rsidR="00194ED3" w:rsidRPr="00361664">
              <w:rPr>
                <w:rFonts w:asciiTheme="minorHAnsi" w:hAnsiTheme="minorHAnsi" w:cstheme="minorHAnsi"/>
                <w:color w:val="000000"/>
                <w:sz w:val="20"/>
                <w:szCs w:val="20"/>
                <w:lang w:eastAsia="hr-HR" w:bidi="hr-HR"/>
              </w:rPr>
              <w:t>.</w:t>
            </w:r>
          </w:p>
        </w:tc>
      </w:tr>
    </w:tbl>
    <w:p w:rsidR="00F1792A" w:rsidRPr="00361664" w:rsidRDefault="00F1792A" w:rsidP="00651BCA">
      <w:pPr>
        <w:jc w:val="both"/>
        <w:rPr>
          <w:lang w:eastAsia="de-DE"/>
        </w:rPr>
      </w:pPr>
    </w:p>
    <w:p w:rsidR="008423CA" w:rsidRPr="00361664" w:rsidRDefault="008423CA" w:rsidP="00651BCA">
      <w:pPr>
        <w:jc w:val="both"/>
        <w:rPr>
          <w:lang w:eastAsia="de-DE"/>
        </w:rPr>
      </w:pPr>
    </w:p>
    <w:p w:rsidR="008423CA" w:rsidRPr="00361664" w:rsidRDefault="008423CA" w:rsidP="00651BCA">
      <w:pPr>
        <w:jc w:val="both"/>
        <w:rPr>
          <w:lang w:eastAsia="de-DE"/>
        </w:rPr>
      </w:pPr>
    </w:p>
    <w:p w:rsidR="008423CA" w:rsidRPr="00361664" w:rsidRDefault="008423CA" w:rsidP="00651BCA">
      <w:pPr>
        <w:jc w:val="both"/>
        <w:rPr>
          <w:lang w:eastAsia="de-DE"/>
        </w:rPr>
      </w:pPr>
    </w:p>
    <w:p w:rsidR="008423CA" w:rsidRPr="00361664" w:rsidRDefault="008423CA" w:rsidP="00651BCA">
      <w:pPr>
        <w:jc w:val="both"/>
        <w:rPr>
          <w:lang w:eastAsia="de-DE"/>
        </w:rPr>
      </w:pPr>
    </w:p>
    <w:p w:rsidR="008423CA" w:rsidRPr="00361664" w:rsidRDefault="008423CA" w:rsidP="00651BCA">
      <w:pPr>
        <w:jc w:val="both"/>
        <w:rPr>
          <w:lang w:eastAsia="de-DE"/>
        </w:rPr>
      </w:pPr>
    </w:p>
    <w:p w:rsidR="008423CA" w:rsidRDefault="008423CA" w:rsidP="00651BCA">
      <w:pPr>
        <w:jc w:val="both"/>
        <w:rPr>
          <w:lang w:eastAsia="de-DE"/>
        </w:rPr>
      </w:pPr>
    </w:p>
    <w:p w:rsidR="00B64512" w:rsidRPr="00361664" w:rsidRDefault="00B64512" w:rsidP="00651BCA">
      <w:pPr>
        <w:jc w:val="both"/>
        <w:rPr>
          <w:lang w:eastAsia="de-DE"/>
        </w:rPr>
      </w:pPr>
    </w:p>
    <w:p w:rsidR="008423CA" w:rsidRPr="00361664" w:rsidRDefault="008423CA" w:rsidP="00651BCA">
      <w:pPr>
        <w:jc w:val="both"/>
        <w:rPr>
          <w:lang w:eastAsia="de-DE"/>
        </w:rPr>
      </w:pPr>
    </w:p>
    <w:p w:rsidR="008423CA" w:rsidRPr="00361664" w:rsidRDefault="008423CA" w:rsidP="00651BCA">
      <w:pPr>
        <w:jc w:val="both"/>
        <w:rPr>
          <w:lang w:eastAsia="de-DE"/>
        </w:rPr>
      </w:pPr>
    </w:p>
    <w:p w:rsidR="003C6A5C" w:rsidRPr="00B64512" w:rsidRDefault="00CE07A7" w:rsidP="00B64512">
      <w:pPr>
        <w:pStyle w:val="Naslov3"/>
        <w:rPr>
          <w:rStyle w:val="Jakoisticanje"/>
          <w:b/>
          <w:bCs w:val="0"/>
          <w:i/>
          <w:iCs w:val="0"/>
          <w:color w:val="375F91"/>
        </w:rPr>
      </w:pPr>
      <w:bookmarkStart w:id="33" w:name="_Toc535245854"/>
      <w:r w:rsidRPr="00B64512">
        <w:rPr>
          <w:rStyle w:val="Jakoisticanje"/>
          <w:b/>
          <w:bCs w:val="0"/>
          <w:i/>
          <w:iCs w:val="0"/>
          <w:color w:val="375F91"/>
        </w:rPr>
        <w:lastRenderedPageBreak/>
        <w:t xml:space="preserve">Ostale mjere energetske učinkovitosti u sektoru </w:t>
      </w:r>
      <w:r w:rsidR="001D5B34" w:rsidRPr="00B64512">
        <w:rPr>
          <w:rStyle w:val="Jakoisticanje"/>
          <w:b/>
          <w:bCs w:val="0"/>
          <w:i/>
          <w:iCs w:val="0"/>
          <w:color w:val="375F91"/>
        </w:rPr>
        <w:t>graditeljstva</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540"/>
        <w:gridCol w:w="6388"/>
      </w:tblGrid>
      <w:tr w:rsidR="007A3D6C" w:rsidRPr="00361664" w:rsidTr="00961A34">
        <w:trPr>
          <w:trHeight w:val="20"/>
        </w:trPr>
        <w:tc>
          <w:tcPr>
            <w:tcW w:w="1561" w:type="pct"/>
            <w:gridSpan w:val="2"/>
            <w:tcBorders>
              <w:top w:val="single" w:sz="4" w:space="0" w:color="auto"/>
              <w:left w:val="single" w:sz="4" w:space="0" w:color="auto"/>
              <w:bottom w:val="single" w:sz="4" w:space="0" w:color="auto"/>
              <w:right w:val="single" w:sz="4" w:space="0" w:color="auto"/>
            </w:tcBorders>
            <w:shd w:val="clear" w:color="auto" w:fill="CCFFCC"/>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Naziv mjere </w:t>
            </w:r>
          </w:p>
        </w:tc>
        <w:tc>
          <w:tcPr>
            <w:tcW w:w="3439" w:type="pct"/>
            <w:tcBorders>
              <w:top w:val="single" w:sz="4" w:space="0" w:color="auto"/>
              <w:left w:val="single" w:sz="4" w:space="0" w:color="auto"/>
              <w:bottom w:val="single" w:sz="4" w:space="0" w:color="auto"/>
              <w:right w:val="single" w:sz="4" w:space="0" w:color="auto"/>
            </w:tcBorders>
            <w:shd w:val="clear" w:color="auto" w:fill="CCFFCC"/>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Energetska obnova zgrada i zamjena rasvjete u sklopu HEP grupe </w:t>
            </w:r>
          </w:p>
        </w:tc>
      </w:tr>
      <w:tr w:rsidR="007A3D6C" w:rsidRPr="00361664" w:rsidTr="00961A34">
        <w:trPr>
          <w:trHeight w:val="20"/>
        </w:trPr>
        <w:tc>
          <w:tcPr>
            <w:tcW w:w="1561" w:type="pct"/>
            <w:gridSpan w:val="2"/>
            <w:tcBorders>
              <w:top w:val="single" w:sz="4" w:space="0" w:color="auto"/>
              <w:left w:val="single" w:sz="4" w:space="0" w:color="auto"/>
              <w:bottom w:val="single" w:sz="4" w:space="0" w:color="auto"/>
              <w:right w:val="single" w:sz="4" w:space="0" w:color="auto"/>
            </w:tcBorders>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Indeks mjere</w:t>
            </w:r>
          </w:p>
        </w:tc>
        <w:tc>
          <w:tcPr>
            <w:tcW w:w="3439" w:type="pct"/>
            <w:tcBorders>
              <w:top w:val="single" w:sz="4" w:space="0" w:color="auto"/>
              <w:left w:val="single" w:sz="4" w:space="0" w:color="auto"/>
              <w:bottom w:val="single" w:sz="4" w:space="0" w:color="auto"/>
              <w:right w:val="single" w:sz="4" w:space="0" w:color="auto"/>
            </w:tcBorders>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B.6</w:t>
            </w:r>
          </w:p>
        </w:tc>
      </w:tr>
      <w:tr w:rsidR="007A3D6C" w:rsidRPr="00361664" w:rsidTr="00961A34">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Opis</w:t>
            </w: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Kategorija</w:t>
            </w:r>
          </w:p>
        </w:tc>
        <w:tc>
          <w:tcPr>
            <w:tcW w:w="343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Vremenski okvir</w:t>
            </w:r>
          </w:p>
        </w:tc>
        <w:tc>
          <w:tcPr>
            <w:tcW w:w="343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Početak: 2017. godina</w:t>
            </w:r>
          </w:p>
          <w:p w:rsidR="007A3D6C" w:rsidRPr="00361664" w:rsidRDefault="00F01C4C"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Kraj: 2020</w:t>
            </w:r>
            <w:r w:rsidR="007A3D6C" w:rsidRPr="00361664">
              <w:rPr>
                <w:rFonts w:asciiTheme="minorHAnsi" w:hAnsiTheme="minorHAnsi"/>
                <w:sz w:val="20"/>
                <w:szCs w:val="22"/>
                <w:lang w:val="hr-HR"/>
              </w:rPr>
              <w:t>. godina</w:t>
            </w: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 / kratak opis</w:t>
            </w:r>
          </w:p>
        </w:tc>
        <w:tc>
          <w:tcPr>
            <w:tcW w:w="3439" w:type="pc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Provođenje mjera poboljšanja energetske učinkovitosti zgrada te zamjena rasvjetnih energetski učinkovitijim rasvjetnim tijelima (LED).</w:t>
            </w: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Ciljni doprinos učinkovitijoj proizvodnji el. en.</w:t>
            </w:r>
          </w:p>
        </w:tc>
        <w:tc>
          <w:tcPr>
            <w:tcW w:w="3439" w:type="pc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lang w:val="hr-HR"/>
              </w:rPr>
            </w:pPr>
            <w:r w:rsidRPr="00361664">
              <w:rPr>
                <w:rFonts w:asciiTheme="minorHAnsi" w:hAnsiTheme="minorHAnsi"/>
                <w:sz w:val="20"/>
                <w:szCs w:val="22"/>
                <w:lang w:val="hr-HR"/>
              </w:rPr>
              <w:t>Prijedlozi ekonomski opravdanih mjera koje obuhvaćaju izvješća o energetskom pregledu zgrada  upućuju na zahvate koji će dovesti do poboljšanja toplinskih svojstava postojećih zgrada i udovoljilo bi se temeljnim zahtjevima gospodarenja energijom i očuvanju topline pri eksploataciji zgrada.</w:t>
            </w:r>
          </w:p>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highlight w:val="yellow"/>
                <w:lang w:val="hr-HR"/>
              </w:rPr>
            </w:pPr>
            <w:r w:rsidRPr="00361664">
              <w:rPr>
                <w:rFonts w:asciiTheme="minorHAnsi" w:hAnsiTheme="minorHAnsi"/>
                <w:sz w:val="20"/>
                <w:szCs w:val="22"/>
                <w:lang w:val="hr-HR"/>
              </w:rPr>
              <w:t>Smanjenje potrošnje energije za rasvjetu, zamjenom postojećeg sustava sa učinkovitim sustavom LED rasvjete uz rekonstrukciju sustava upravljanja rasvjetom. Promocija energetske učinkovitosti, ušteda električne energije, očuvanje okoliša-smanjenje emisija CO</w:t>
            </w:r>
            <w:r w:rsidRPr="00361664">
              <w:rPr>
                <w:rFonts w:asciiTheme="minorHAnsi" w:hAnsiTheme="minorHAnsi"/>
                <w:sz w:val="20"/>
                <w:szCs w:val="22"/>
                <w:vertAlign w:val="subscript"/>
                <w:lang w:val="hr-HR"/>
              </w:rPr>
              <w:t>2</w:t>
            </w:r>
            <w:r w:rsidRPr="00361664">
              <w:rPr>
                <w:rFonts w:asciiTheme="minorHAnsi" w:hAnsiTheme="minorHAnsi"/>
                <w:sz w:val="20"/>
                <w:szCs w:val="22"/>
                <w:lang w:val="hr-HR"/>
              </w:rPr>
              <w:t xml:space="preserve"> te smanjenje troškova održavanja. </w:t>
            </w: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skupina</w:t>
            </w:r>
          </w:p>
        </w:tc>
        <w:tc>
          <w:tcPr>
            <w:tcW w:w="343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lang w:val="hr-HR"/>
              </w:rPr>
            </w:pPr>
            <w:r w:rsidRPr="00361664">
              <w:rPr>
                <w:rFonts w:asciiTheme="minorHAnsi" w:hAnsiTheme="minorHAnsi"/>
                <w:sz w:val="20"/>
                <w:szCs w:val="22"/>
                <w:lang w:val="hr-HR"/>
              </w:rPr>
              <w:t>HEP grupa</w:t>
            </w: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43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Nacionalno</w:t>
            </w:r>
          </w:p>
        </w:tc>
      </w:tr>
      <w:tr w:rsidR="007A3D6C" w:rsidRPr="00361664" w:rsidTr="00961A34">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Popis i opis aktivnosti za provođenje mjere</w:t>
            </w:r>
          </w:p>
        </w:tc>
        <w:tc>
          <w:tcPr>
            <w:tcW w:w="3439" w:type="pc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1. Energetska obnova zgrada Pogona KTE Jertovec</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1) Upravna  zgrada:  - toplinska izolacija ravnog krova </w:t>
            </w:r>
          </w:p>
          <w:p w:rsidR="007A3D6C" w:rsidRPr="00361664" w:rsidRDefault="00D22F5C" w:rsidP="00961A34">
            <w:pPr>
              <w:pStyle w:val="Tabletext"/>
              <w:tabs>
                <w:tab w:val="left" w:pos="244"/>
                <w:tab w:val="left" w:pos="5040"/>
              </w:tabs>
              <w:spacing w:after="0" w:line="240" w:lineRule="auto"/>
              <w:ind w:left="1416"/>
              <w:rPr>
                <w:rFonts w:asciiTheme="minorHAnsi" w:hAnsiTheme="minorHAnsi"/>
                <w:sz w:val="20"/>
                <w:szCs w:val="22"/>
                <w:lang w:val="hr-HR"/>
              </w:rPr>
            </w:pPr>
            <w:r w:rsidRPr="00361664">
              <w:rPr>
                <w:rFonts w:asciiTheme="minorHAnsi" w:hAnsiTheme="minorHAnsi"/>
                <w:sz w:val="20"/>
                <w:szCs w:val="22"/>
                <w:lang w:val="hr-HR"/>
              </w:rPr>
              <w:t xml:space="preserve">       </w:t>
            </w:r>
            <w:r w:rsidR="007A3D6C" w:rsidRPr="00361664">
              <w:rPr>
                <w:rFonts w:asciiTheme="minorHAnsi" w:hAnsiTheme="minorHAnsi"/>
                <w:sz w:val="20"/>
                <w:szCs w:val="22"/>
                <w:lang w:val="hr-HR"/>
              </w:rPr>
              <w:t xml:space="preserve"> toplinska izolacija vanjskog  pročelja  </w:t>
            </w:r>
          </w:p>
          <w:p w:rsidR="007A3D6C" w:rsidRPr="00361664" w:rsidRDefault="00D22F5C" w:rsidP="00961A34">
            <w:pPr>
              <w:pStyle w:val="Tabletext"/>
              <w:tabs>
                <w:tab w:val="left" w:pos="244"/>
                <w:tab w:val="left" w:pos="5040"/>
              </w:tabs>
              <w:spacing w:after="0" w:line="240" w:lineRule="auto"/>
              <w:ind w:left="1416"/>
              <w:rPr>
                <w:rFonts w:asciiTheme="minorHAnsi" w:hAnsiTheme="minorHAnsi"/>
                <w:sz w:val="20"/>
                <w:szCs w:val="22"/>
                <w:lang w:val="hr-HR"/>
              </w:rPr>
            </w:pPr>
            <w:r w:rsidRPr="00361664">
              <w:rPr>
                <w:rFonts w:asciiTheme="minorHAnsi" w:hAnsiTheme="minorHAnsi"/>
                <w:sz w:val="20"/>
                <w:szCs w:val="22"/>
                <w:lang w:val="hr-HR"/>
              </w:rPr>
              <w:t xml:space="preserve">       </w:t>
            </w:r>
            <w:r w:rsidR="007A3D6C" w:rsidRPr="00361664">
              <w:rPr>
                <w:rFonts w:asciiTheme="minorHAnsi" w:hAnsiTheme="minorHAnsi"/>
                <w:sz w:val="20"/>
                <w:szCs w:val="22"/>
                <w:lang w:val="hr-HR"/>
              </w:rPr>
              <w:t xml:space="preserve"> zamjena sustava grijanja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2) Pogonska zgrada: - toplinska izolacija ravnog krova </w:t>
            </w:r>
          </w:p>
          <w:p w:rsidR="007A3D6C" w:rsidRPr="00361664" w:rsidRDefault="00D22F5C" w:rsidP="00961A34">
            <w:pPr>
              <w:pStyle w:val="Tabletext"/>
              <w:tabs>
                <w:tab w:val="left" w:pos="244"/>
                <w:tab w:val="left" w:pos="5040"/>
              </w:tabs>
              <w:spacing w:after="0" w:line="240" w:lineRule="auto"/>
              <w:ind w:left="1416"/>
              <w:rPr>
                <w:rFonts w:asciiTheme="minorHAnsi" w:hAnsiTheme="minorHAnsi"/>
                <w:sz w:val="20"/>
                <w:szCs w:val="22"/>
                <w:lang w:val="hr-HR"/>
              </w:rPr>
            </w:pPr>
            <w:r w:rsidRPr="00361664">
              <w:rPr>
                <w:rFonts w:asciiTheme="minorHAnsi" w:hAnsiTheme="minorHAnsi"/>
                <w:sz w:val="20"/>
                <w:szCs w:val="22"/>
                <w:lang w:val="hr-HR"/>
              </w:rPr>
              <w:t xml:space="preserve">       </w:t>
            </w:r>
            <w:r w:rsidR="007A3D6C" w:rsidRPr="00361664">
              <w:rPr>
                <w:rFonts w:asciiTheme="minorHAnsi" w:hAnsiTheme="minorHAnsi"/>
                <w:sz w:val="20"/>
                <w:szCs w:val="22"/>
                <w:lang w:val="hr-HR"/>
              </w:rPr>
              <w:t xml:space="preserve"> toplinska izolacija vanjskog  pročelja</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2. Zamjena dotrajale stolarije na upravnoj zgradi TE Rijeka</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Zamjena stolarije upravne zgrade s aluminijskom stolarijom s dvostrukim ostakljenjem Uw = 1,1 W/m</w:t>
            </w:r>
            <w:r w:rsidRPr="00361664">
              <w:rPr>
                <w:rFonts w:asciiTheme="minorHAnsi" w:hAnsiTheme="minorHAnsi"/>
                <w:sz w:val="20"/>
                <w:szCs w:val="22"/>
                <w:vertAlign w:val="superscript"/>
                <w:lang w:val="hr-HR"/>
              </w:rPr>
              <w:t>2</w:t>
            </w:r>
            <w:r w:rsidRPr="00361664">
              <w:rPr>
                <w:rFonts w:asciiTheme="minorHAnsi" w:hAnsiTheme="minorHAnsi"/>
                <w:sz w:val="20"/>
                <w:szCs w:val="22"/>
                <w:lang w:val="hr-HR"/>
              </w:rPr>
              <w:t>.</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3.Energetska obnova zgrade portirnice pogon TE-TO Osijek</w:t>
            </w:r>
          </w:p>
          <w:p w:rsidR="007A3D6C" w:rsidRPr="00361664" w:rsidRDefault="00B64512" w:rsidP="00961A34">
            <w:pPr>
              <w:pStyle w:val="Tabletext"/>
              <w:tabs>
                <w:tab w:val="left" w:pos="244"/>
                <w:tab w:val="left" w:pos="5040"/>
              </w:tabs>
              <w:spacing w:after="0" w:line="240" w:lineRule="auto"/>
              <w:rPr>
                <w:rFonts w:asciiTheme="minorHAnsi" w:hAnsiTheme="minorHAnsi"/>
                <w:sz w:val="20"/>
                <w:szCs w:val="22"/>
                <w:lang w:val="hr-HR"/>
              </w:rPr>
            </w:pPr>
            <w:r>
              <w:rPr>
                <w:rFonts w:asciiTheme="minorHAnsi" w:hAnsiTheme="minorHAnsi"/>
                <w:sz w:val="20"/>
                <w:szCs w:val="22"/>
                <w:lang w:val="hr-HR"/>
              </w:rPr>
              <w:t>1) Izraditi</w:t>
            </w:r>
            <w:r w:rsidR="007A3D6C" w:rsidRPr="00361664">
              <w:rPr>
                <w:rFonts w:asciiTheme="minorHAnsi" w:hAnsiTheme="minorHAnsi"/>
                <w:sz w:val="20"/>
                <w:szCs w:val="22"/>
                <w:lang w:val="hr-HR"/>
              </w:rPr>
              <w:t xml:space="preserve"> p</w:t>
            </w:r>
            <w:r w:rsidR="00D22F5C" w:rsidRPr="00361664">
              <w:rPr>
                <w:rFonts w:asciiTheme="minorHAnsi" w:hAnsiTheme="minorHAnsi"/>
                <w:sz w:val="20"/>
                <w:szCs w:val="22"/>
                <w:lang w:val="hr-HR"/>
              </w:rPr>
              <w:t>rojekt obnove zgrade. P</w:t>
            </w:r>
            <w:r w:rsidR="007A3D6C" w:rsidRPr="00361664">
              <w:rPr>
                <w:rFonts w:asciiTheme="minorHAnsi" w:hAnsiTheme="minorHAnsi"/>
                <w:sz w:val="20"/>
                <w:szCs w:val="22"/>
                <w:lang w:val="hr-HR"/>
              </w:rPr>
              <w:t>ostup</w:t>
            </w:r>
            <w:r w:rsidR="00D22F5C" w:rsidRPr="00361664">
              <w:rPr>
                <w:rFonts w:asciiTheme="minorHAnsi" w:hAnsiTheme="minorHAnsi"/>
                <w:sz w:val="20"/>
                <w:szCs w:val="22"/>
                <w:lang w:val="hr-HR"/>
              </w:rPr>
              <w:t>ak</w:t>
            </w:r>
            <w:r w:rsidR="007A3D6C" w:rsidRPr="00361664">
              <w:rPr>
                <w:rFonts w:asciiTheme="minorHAnsi" w:hAnsiTheme="minorHAnsi"/>
                <w:sz w:val="20"/>
                <w:szCs w:val="22"/>
                <w:lang w:val="hr-HR"/>
              </w:rPr>
              <w:t xml:space="preserve"> </w:t>
            </w:r>
            <w:r w:rsidR="00D22F5C" w:rsidRPr="00361664">
              <w:rPr>
                <w:rFonts w:asciiTheme="minorHAnsi" w:hAnsiTheme="minorHAnsi"/>
                <w:sz w:val="20"/>
                <w:szCs w:val="22"/>
                <w:lang w:val="hr-HR"/>
              </w:rPr>
              <w:t xml:space="preserve">javne </w:t>
            </w:r>
            <w:r w:rsidR="007A3D6C" w:rsidRPr="00361664">
              <w:rPr>
                <w:rFonts w:asciiTheme="minorHAnsi" w:hAnsiTheme="minorHAnsi"/>
                <w:sz w:val="20"/>
                <w:szCs w:val="22"/>
                <w:lang w:val="hr-HR"/>
              </w:rPr>
              <w:t xml:space="preserve">nabave </w:t>
            </w:r>
            <w:r w:rsidR="00D22F5C" w:rsidRPr="00361664">
              <w:rPr>
                <w:rFonts w:asciiTheme="minorHAnsi" w:hAnsiTheme="minorHAnsi"/>
                <w:sz w:val="20"/>
                <w:szCs w:val="22"/>
                <w:lang w:val="hr-HR"/>
              </w:rPr>
              <w:t>proveden</w:t>
            </w:r>
            <w:r w:rsidR="007A3D6C" w:rsidRPr="00361664">
              <w:rPr>
                <w:rFonts w:asciiTheme="minorHAnsi" w:hAnsiTheme="minorHAnsi"/>
                <w:sz w:val="20"/>
                <w:szCs w:val="22"/>
                <w:lang w:val="hr-HR"/>
              </w:rPr>
              <w:t xml:space="preserve"> u 2018. g. </w:t>
            </w:r>
          </w:p>
          <w:p w:rsidR="00D22F5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2) Izvođenje radova na cjelovitoj obnovi zgrade. Temeljem izrađenog projekta obnove zgrade i dokumentacije za nadmetanje </w:t>
            </w:r>
            <w:r w:rsidR="00D22F5C" w:rsidRPr="00361664">
              <w:rPr>
                <w:rFonts w:asciiTheme="minorHAnsi" w:hAnsiTheme="minorHAnsi"/>
                <w:sz w:val="20"/>
                <w:szCs w:val="22"/>
                <w:lang w:val="hr-HR"/>
              </w:rPr>
              <w:t>provedena javna nabava</w:t>
            </w:r>
            <w:r w:rsidRPr="00361664">
              <w:rPr>
                <w:rFonts w:asciiTheme="minorHAnsi" w:hAnsiTheme="minorHAnsi"/>
                <w:sz w:val="20"/>
                <w:szCs w:val="22"/>
                <w:lang w:val="hr-HR"/>
              </w:rPr>
              <w:t xml:space="preserve"> za </w:t>
            </w:r>
            <w:r w:rsidR="00D22F5C" w:rsidRPr="00361664">
              <w:rPr>
                <w:rFonts w:asciiTheme="minorHAnsi" w:hAnsiTheme="minorHAnsi"/>
                <w:sz w:val="20"/>
                <w:szCs w:val="22"/>
                <w:lang w:val="hr-HR"/>
              </w:rPr>
              <w:t>izbor izvođača radova sukladno Z</w:t>
            </w:r>
            <w:r w:rsidRPr="00361664">
              <w:rPr>
                <w:rFonts w:asciiTheme="minorHAnsi" w:hAnsiTheme="minorHAnsi"/>
                <w:sz w:val="20"/>
                <w:szCs w:val="22"/>
                <w:lang w:val="hr-HR"/>
              </w:rPr>
              <w:t xml:space="preserve">akonu o javnoj nabavi. </w:t>
            </w:r>
          </w:p>
          <w:p w:rsidR="007A3D6C" w:rsidRPr="00361664" w:rsidRDefault="00D22F5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Početak  izvođenja radova planiran u 2019.</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4. Provođenje mjera poboljšanja energetske učinkovitosti upravne zgrade, skladišta opreme i radionica pogona TE-TO Zagreb</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Potrebni opseg radova: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rekonstrukcija ravnih krovova, postava toplinske i hidroizolacije</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zamjena stare čelične stolarije s jednostrukim staklom novom aluminijskom stolarijom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izrada toplinske fasade</w:t>
            </w:r>
          </w:p>
          <w:p w:rsidR="007A3D6C" w:rsidRPr="00361664" w:rsidRDefault="00F01C4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početak radova u 2018. godini, završetak u 2019</w:t>
            </w:r>
            <w:r w:rsidR="007A3D6C" w:rsidRPr="00361664">
              <w:rPr>
                <w:rFonts w:asciiTheme="minorHAnsi" w:hAnsiTheme="minorHAnsi"/>
                <w:sz w:val="20"/>
                <w:szCs w:val="22"/>
                <w:lang w:val="hr-HR"/>
              </w:rPr>
              <w:t>.</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5.</w:t>
            </w:r>
            <w:r w:rsidR="00D22F5C" w:rsidRPr="00361664">
              <w:rPr>
                <w:rFonts w:asciiTheme="minorHAnsi" w:hAnsiTheme="minorHAnsi"/>
                <w:b/>
                <w:sz w:val="20"/>
                <w:szCs w:val="22"/>
                <w:lang w:val="hr-HR"/>
              </w:rPr>
              <w:t xml:space="preserve"> </w:t>
            </w:r>
            <w:r w:rsidRPr="00361664">
              <w:rPr>
                <w:rFonts w:asciiTheme="minorHAnsi" w:hAnsiTheme="minorHAnsi"/>
                <w:b/>
                <w:sz w:val="20"/>
                <w:szCs w:val="22"/>
                <w:lang w:val="hr-HR"/>
              </w:rPr>
              <w:t xml:space="preserve">Zamjena starih rasvjetnih tijela u postrojenju pogona TE-TO Osijek  novim baziranim na LED tehnologiji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1) Nabava novih rasvjetnih tijela</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2) Demontaža starih i montaža novih rasvjetnih tijela</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lastRenderedPageBreak/>
              <w:t>6. Rekonstrukcija vanjske rasvjete u krugu TE-TO Sisak</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Prilikom sanacije kvarova na postojećim sustavima već su na jednom dijelu </w:t>
            </w:r>
            <w:r w:rsidR="00BD7B91" w:rsidRPr="00361664">
              <w:rPr>
                <w:rFonts w:asciiTheme="minorHAnsi" w:hAnsiTheme="minorHAnsi"/>
                <w:sz w:val="20"/>
                <w:szCs w:val="22"/>
                <w:lang w:val="hr-HR"/>
              </w:rPr>
              <w:t xml:space="preserve">u 2017. </w:t>
            </w:r>
            <w:r w:rsidRPr="00361664">
              <w:rPr>
                <w:rFonts w:asciiTheme="minorHAnsi" w:hAnsiTheme="minorHAnsi"/>
                <w:sz w:val="20"/>
                <w:szCs w:val="22"/>
                <w:lang w:val="hr-HR"/>
              </w:rPr>
              <w:t>ugrađena energetski učinkovitija rasvjetna tijela (bazirana na LED tehnologiji), a na dijelu sustava vanjske rasvjete, gdje to još nije napravljeno, planira se zamjena postojećih rasvjetnih tijela energetski uči</w:t>
            </w:r>
            <w:r w:rsidR="00F01C4C" w:rsidRPr="00361664">
              <w:rPr>
                <w:rFonts w:asciiTheme="minorHAnsi" w:hAnsiTheme="minorHAnsi"/>
                <w:sz w:val="20"/>
                <w:szCs w:val="22"/>
                <w:lang w:val="hr-HR"/>
              </w:rPr>
              <w:t>nkovitijim tijekom 2019.-2020. godine.</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7. Rekonstrukcija rasvjete primjenom mjera energetske učinkovitosti unutar pogona TE-TO Zagreb</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Prijedlogom modernizacije  rasvjete se vrši sa visokoučinkovitim LED svjetiljkama. U sklopu projekta bi se obuhvatilo: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blok C 559 svjetiljki i zamjena postojeće elektroinstalacije za potrebe rasvjete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blok K i L 535 svjetiljki i zamjena postojeće elektroinstalacije za potrebe rasvjete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vanjska rasvjeta 132 svjetiljke i zamjena postojeće elektroinstalacije za potrebe rasvjete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period povrata investicije između 5-7 godina samo na energetskim uštedama.</w:t>
            </w:r>
          </w:p>
          <w:p w:rsidR="007A3D6C" w:rsidRPr="00361664" w:rsidRDefault="00F01C4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Realizacija tijekom 2019. i 2020</w:t>
            </w:r>
            <w:r w:rsidR="007A3D6C" w:rsidRPr="00361664">
              <w:rPr>
                <w:rFonts w:asciiTheme="minorHAnsi" w:hAnsiTheme="minorHAnsi"/>
                <w:sz w:val="20"/>
                <w:szCs w:val="22"/>
                <w:lang w:val="hr-HR"/>
              </w:rPr>
              <w:t>. godine.</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8. Program Energetski učinkovita rasvjeta TE PLOMIN</w:t>
            </w:r>
          </w:p>
          <w:p w:rsidR="00B64512"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Instalacija visokoučinkovite rasvjete (LED rasvjeta)</w:t>
            </w:r>
            <w:r w:rsidR="00B64512">
              <w:rPr>
                <w:rFonts w:asciiTheme="minorHAnsi" w:hAnsiTheme="minorHAnsi"/>
                <w:sz w:val="20"/>
                <w:szCs w:val="22"/>
                <w:lang w:val="hr-HR"/>
              </w:rPr>
              <w:t>:</w:t>
            </w:r>
            <w:r w:rsidRPr="00361664">
              <w:rPr>
                <w:rFonts w:asciiTheme="minorHAnsi" w:hAnsiTheme="minorHAnsi"/>
                <w:sz w:val="20"/>
                <w:szCs w:val="22"/>
                <w:lang w:val="hr-HR"/>
              </w:rPr>
              <w:t xml:space="preserv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Zahvat zamjene postojeće rasvjete visokoučinkovitom LED rasvjetom u 2015. godini obuhvaćao je rasvjetu na pristanu</w:t>
            </w:r>
            <w:r w:rsidR="00BD7B91" w:rsidRPr="00361664">
              <w:rPr>
                <w:rFonts w:asciiTheme="minorHAnsi" w:hAnsiTheme="minorHAnsi"/>
                <w:sz w:val="20"/>
                <w:szCs w:val="22"/>
                <w:lang w:val="hr-HR"/>
              </w:rPr>
              <w:t xml:space="preserve"> i transportu ugljen</w:t>
            </w:r>
            <w:r w:rsidRPr="00361664">
              <w:rPr>
                <w:rFonts w:asciiTheme="minorHAnsi" w:hAnsiTheme="minorHAnsi"/>
                <w:sz w:val="20"/>
                <w:szCs w:val="22"/>
                <w:lang w:val="hr-HR"/>
              </w:rPr>
              <w:t>. Zamijenjena su sva rasvjetna tijela te je rekonstruirano upravljanje rasvjetom</w:t>
            </w:r>
            <w:r w:rsidR="00B64512">
              <w:rPr>
                <w:rFonts w:asciiTheme="minorHAnsi" w:hAnsiTheme="minorHAnsi"/>
                <w:sz w:val="20"/>
                <w:szCs w:val="22"/>
                <w:lang w:val="hr-HR"/>
              </w:rPr>
              <w:t xml:space="preserve"> - realizacija 2017</w:t>
            </w:r>
            <w:r w:rsidRPr="00361664">
              <w:rPr>
                <w:rFonts w:asciiTheme="minorHAnsi" w:hAnsiTheme="minorHAnsi"/>
                <w:sz w:val="20"/>
                <w:szCs w:val="22"/>
                <w:lang w:val="hr-HR"/>
              </w:rPr>
              <w:t xml:space="preserve">. </w:t>
            </w:r>
            <w:r w:rsidR="00BD7B91" w:rsidRPr="00361664">
              <w:rPr>
                <w:rFonts w:asciiTheme="minorHAnsi" w:hAnsiTheme="minorHAnsi"/>
                <w:sz w:val="20"/>
                <w:szCs w:val="22"/>
                <w:lang w:val="hr-HR"/>
              </w:rPr>
              <w:t>Druga faza koja se</w:t>
            </w:r>
            <w:r w:rsidRPr="00361664">
              <w:rPr>
                <w:rFonts w:asciiTheme="minorHAnsi" w:hAnsiTheme="minorHAnsi"/>
                <w:sz w:val="20"/>
                <w:szCs w:val="22"/>
                <w:lang w:val="hr-HR"/>
              </w:rPr>
              <w:t xml:space="preserve"> odnosi na </w:t>
            </w:r>
            <w:r w:rsidR="00BD7B91" w:rsidRPr="00361664">
              <w:rPr>
                <w:rFonts w:asciiTheme="minorHAnsi" w:hAnsiTheme="minorHAnsi"/>
                <w:sz w:val="20"/>
                <w:szCs w:val="22"/>
                <w:lang w:val="hr-HR"/>
              </w:rPr>
              <w:t xml:space="preserve">strojarnicu bloka 2, </w:t>
            </w:r>
            <w:r w:rsidRPr="00361664">
              <w:rPr>
                <w:rFonts w:asciiTheme="minorHAnsi" w:hAnsiTheme="minorHAnsi"/>
                <w:sz w:val="20"/>
                <w:szCs w:val="22"/>
                <w:lang w:val="hr-HR"/>
              </w:rPr>
              <w:t>kotlovnicu, pomoćnu kotlovnicu, elektrofilter, postrojenje za odsumporavanje i postrojenje za obradu otpadnih voda</w:t>
            </w:r>
            <w:r w:rsidR="00BD7B91" w:rsidRPr="00361664">
              <w:rPr>
                <w:rFonts w:asciiTheme="minorHAnsi" w:hAnsiTheme="minorHAnsi"/>
                <w:sz w:val="20"/>
                <w:szCs w:val="22"/>
                <w:lang w:val="hr-HR"/>
              </w:rPr>
              <w:t>, provedena je dijelom u 2018. i nastavlja se u 2019</w:t>
            </w:r>
            <w:r w:rsidRPr="00361664">
              <w:rPr>
                <w:rFonts w:asciiTheme="minorHAnsi" w:hAnsiTheme="minorHAnsi"/>
                <w:sz w:val="20"/>
                <w:szCs w:val="22"/>
                <w:lang w:val="hr-HR"/>
              </w:rPr>
              <w:t xml:space="preserve">. Treća faza odnosi se na </w:t>
            </w:r>
            <w:r w:rsidR="00BD7B91" w:rsidRPr="00361664">
              <w:rPr>
                <w:rFonts w:asciiTheme="minorHAnsi" w:hAnsiTheme="minorHAnsi"/>
                <w:sz w:val="20"/>
                <w:szCs w:val="22"/>
                <w:lang w:val="hr-HR"/>
              </w:rPr>
              <w:t>deponi</w:t>
            </w:r>
            <w:r w:rsidR="00B64512">
              <w:rPr>
                <w:rFonts w:asciiTheme="minorHAnsi" w:hAnsiTheme="minorHAnsi"/>
                <w:sz w:val="20"/>
                <w:szCs w:val="22"/>
                <w:lang w:val="hr-HR"/>
              </w:rPr>
              <w:t>j ugljena u</w:t>
            </w:r>
            <w:r w:rsidR="00BD7B91" w:rsidRPr="00361664">
              <w:rPr>
                <w:rFonts w:asciiTheme="minorHAnsi" w:hAnsiTheme="minorHAnsi"/>
                <w:sz w:val="20"/>
                <w:szCs w:val="22"/>
                <w:lang w:val="hr-HR"/>
              </w:rPr>
              <w:t xml:space="preserve"> 2019.</w:t>
            </w:r>
            <w:r w:rsidR="00B64512">
              <w:rPr>
                <w:rFonts w:asciiTheme="minorHAnsi" w:hAnsiTheme="minorHAnsi"/>
                <w:sz w:val="20"/>
                <w:szCs w:val="22"/>
                <w:lang w:val="hr-HR"/>
              </w:rPr>
              <w:t xml:space="preserve"> </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9. Zamjena unutarnje i vanjske rasvje</w:t>
            </w:r>
            <w:r w:rsidR="00F01C4C" w:rsidRPr="00361664">
              <w:rPr>
                <w:rFonts w:asciiTheme="minorHAnsi" w:hAnsiTheme="minorHAnsi"/>
                <w:b/>
                <w:sz w:val="20"/>
                <w:szCs w:val="22"/>
                <w:lang w:val="hr-HR"/>
              </w:rPr>
              <w:t>te na objektima HE (2017. – 2019</w:t>
            </w:r>
            <w:r w:rsidRPr="00361664">
              <w:rPr>
                <w:rFonts w:asciiTheme="minorHAnsi" w:hAnsiTheme="minorHAnsi"/>
                <w:b/>
                <w:sz w:val="20"/>
                <w:szCs w:val="22"/>
                <w:lang w:val="hr-HR"/>
              </w:rPr>
              <w:t>.)</w:t>
            </w:r>
          </w:p>
          <w:p w:rsidR="007A3D6C" w:rsidRPr="00361664" w:rsidRDefault="007A3D6C" w:rsidP="00961A34">
            <w:pPr>
              <w:pStyle w:val="Tabletext"/>
              <w:tabs>
                <w:tab w:val="left" w:pos="244"/>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Planirane su zamjene postojeće rasvjete: unutarnje i vanjske na objektima HE, a s ciljem korištenja energetski učinkovite rasvjete te posredno i smanjenja ukupne vlastite potrošnje električne energije. Objekti gdje su planirane zamjene rasvjete su kako slijedi: HE Varaždin, HE Čakovec, HE Dubrava, GHE Senj, GHE Gojak, Službe PP Sjever.</w:t>
            </w: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Financijska sredstva i izvori financiranja</w:t>
            </w:r>
          </w:p>
        </w:tc>
        <w:tc>
          <w:tcPr>
            <w:tcW w:w="3439" w:type="pct"/>
            <w:tcBorders>
              <w:top w:val="single" w:sz="4" w:space="0" w:color="auto"/>
              <w:left w:val="single" w:sz="4" w:space="0" w:color="auto"/>
              <w:bottom w:val="single" w:sz="4" w:space="0" w:color="auto"/>
              <w:right w:val="single" w:sz="4" w:space="0" w:color="auto"/>
            </w:tcBorders>
            <w:vAlign w:val="center"/>
          </w:tcPr>
          <w:p w:rsidR="008E699F" w:rsidRPr="00361664" w:rsidRDefault="008E699F"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Ukupna sredstva predviđena za razdoblje do kraja 2019. godine iznose </w:t>
            </w:r>
            <w:r w:rsidR="00F01C4C" w:rsidRPr="00361664">
              <w:rPr>
                <w:rFonts w:asciiTheme="minorHAnsi" w:hAnsiTheme="minorHAnsi"/>
                <w:sz w:val="20"/>
                <w:szCs w:val="22"/>
                <w:lang w:val="hr-HR"/>
              </w:rPr>
              <w:t>27.672.859,00</w:t>
            </w:r>
            <w:r w:rsidRPr="00361664">
              <w:rPr>
                <w:rFonts w:asciiTheme="minorHAnsi" w:hAnsiTheme="minorHAnsi"/>
                <w:sz w:val="20"/>
                <w:szCs w:val="22"/>
                <w:lang w:val="hr-HR"/>
              </w:rPr>
              <w:t xml:space="preserve"> kn.</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Izvršno  tijelo</w:t>
            </w:r>
          </w:p>
        </w:tc>
        <w:tc>
          <w:tcPr>
            <w:tcW w:w="343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lang w:val="hr-HR"/>
              </w:rPr>
            </w:pPr>
            <w:r w:rsidRPr="00361664">
              <w:rPr>
                <w:rFonts w:asciiTheme="minorHAnsi" w:hAnsiTheme="minorHAnsi"/>
                <w:sz w:val="20"/>
                <w:szCs w:val="22"/>
                <w:lang w:val="hr-HR"/>
              </w:rPr>
              <w:t>HEP – Proizvodnja d.o.o</w:t>
            </w: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640C0B"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Tijelo za praćenje, mjerenje i verifikaciju ušteda</w:t>
            </w:r>
          </w:p>
        </w:tc>
        <w:tc>
          <w:tcPr>
            <w:tcW w:w="343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194ED3"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NKT </w:t>
            </w:r>
          </w:p>
        </w:tc>
      </w:tr>
      <w:tr w:rsidR="007A3D6C" w:rsidRPr="00361664" w:rsidTr="00961A34">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szCs w:val="22"/>
                <w:lang w:val="hr-HR"/>
              </w:rPr>
              <w:t>Uštede energije</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Metoda praćenja / mjerenja ušteda energije</w:t>
            </w:r>
          </w:p>
        </w:tc>
        <w:tc>
          <w:tcPr>
            <w:tcW w:w="3439" w:type="pc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Analizom obračuna potrošnje energenata prije i nakon obnove zgrade te analizom obračuna potrošnje električne energije prije i nakon zamjene rasvjetnih tijela. HEP SGE Program od strane tvrtke HEP-ESCO d.o.o. Verifikacija od strane stručne i ovlaštene tvrtke. </w:t>
            </w: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szCs w:val="22"/>
                <w:lang w:val="hr-HR"/>
              </w:rPr>
              <w:t>Očekivane uštede energije do kraja 2019.</w:t>
            </w:r>
          </w:p>
        </w:tc>
        <w:tc>
          <w:tcPr>
            <w:tcW w:w="3439" w:type="pc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1. Energetska obnova zgrada Pogona KTE Jertovec</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1) Upravna  zgrada:</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Toplinska izolacija ravnog krova                 122.080,00 kWh/god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lastRenderedPageBreak/>
              <w:t>- Toplinska izolacija vanjskog  pročelja           55.396,00 kWh/god</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Zamjena sustava grijanja                                  9.000,00 kWh/god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2) Pogonska zgrada: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Toplinska izolacija ravnog krova                  41.082,00 kWh/god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Toplinska izolacija vanjskog  pročelja         18.345,00  kWh/god</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Ukupno: 491.806,00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2. Zamjena dotrajale stolarije na upravnoj zgradi TE Rijeka</w:t>
            </w:r>
          </w:p>
          <w:p w:rsidR="007A3D6C" w:rsidRPr="00361664" w:rsidRDefault="007A3D6C" w:rsidP="00961A34">
            <w:pPr>
              <w:pStyle w:val="Tabletext"/>
              <w:tabs>
                <w:tab w:val="left" w:pos="244"/>
                <w:tab w:val="left" w:pos="5040"/>
              </w:tabs>
              <w:spacing w:after="0" w:line="240" w:lineRule="auto"/>
              <w:rPr>
                <w:rFonts w:asciiTheme="minorHAnsi" w:hAnsiTheme="minorHAnsi"/>
                <w:b/>
                <w:sz w:val="20"/>
                <w:szCs w:val="22"/>
                <w:lang w:val="hr-HR"/>
              </w:rPr>
            </w:pPr>
            <w:r w:rsidRPr="00361664">
              <w:rPr>
                <w:rFonts w:asciiTheme="minorHAnsi" w:hAnsiTheme="minorHAnsi"/>
                <w:sz w:val="20"/>
                <w:szCs w:val="22"/>
                <w:lang w:val="hr-HR"/>
              </w:rPr>
              <w:t>Procijenjena ušteda toplinske energije iznosi 83.248 kWh/god.</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Ukupno: </w:t>
            </w:r>
            <w:r w:rsidR="00D947E4" w:rsidRPr="00361664">
              <w:rPr>
                <w:rFonts w:asciiTheme="minorHAnsi" w:hAnsiTheme="minorHAnsi"/>
                <w:sz w:val="20"/>
                <w:szCs w:val="22"/>
                <w:lang w:val="hr-HR"/>
              </w:rPr>
              <w:t>166.496</w:t>
            </w:r>
            <w:r w:rsidRPr="00361664">
              <w:rPr>
                <w:rFonts w:asciiTheme="minorHAnsi" w:hAnsiTheme="minorHAnsi"/>
                <w:sz w:val="20"/>
                <w:szCs w:val="22"/>
                <w:lang w:val="hr-HR"/>
              </w:rPr>
              <w:t>,00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3.Energetska obnova zgrade portirnice pogon TE-TO Osijek</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Predložene građevinske mjere putem energetskog izvješća su: 1. izolacija stropa gipskartonskim pločama i mineralnom vunom d=10 cm i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2. Postavljanje PVC stolarije koja ima koeficijent prolaska topline 1,1 kW/m</w:t>
            </w:r>
            <w:r w:rsidRPr="00361664">
              <w:rPr>
                <w:rFonts w:asciiTheme="minorHAnsi" w:hAnsiTheme="minorHAnsi"/>
                <w:sz w:val="20"/>
                <w:szCs w:val="22"/>
                <w:vertAlign w:val="superscript"/>
                <w:lang w:val="hr-HR"/>
              </w:rPr>
              <w:t>2</w:t>
            </w:r>
            <w:r w:rsidRPr="00361664">
              <w:rPr>
                <w:rFonts w:asciiTheme="minorHAnsi" w:hAnsiTheme="minorHAnsi"/>
                <w:sz w:val="20"/>
                <w:szCs w:val="22"/>
                <w:lang w:val="hr-HR"/>
              </w:rPr>
              <w:t xml:space="preserv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Primjenom tih građevinskih mjera ostvaruju se uštede veće od 1.861,09 kWh, uz smanjenje emisije CO</w:t>
            </w:r>
            <w:r w:rsidRPr="00361664">
              <w:rPr>
                <w:rFonts w:asciiTheme="minorHAnsi" w:hAnsiTheme="minorHAnsi"/>
                <w:sz w:val="20"/>
                <w:szCs w:val="22"/>
                <w:vertAlign w:val="subscript"/>
                <w:lang w:val="hr-HR"/>
              </w:rPr>
              <w:t>2</w:t>
            </w:r>
            <w:r w:rsidRPr="00361664">
              <w:rPr>
                <w:rFonts w:asciiTheme="minorHAnsi" w:hAnsiTheme="minorHAnsi"/>
                <w:sz w:val="20"/>
                <w:szCs w:val="22"/>
                <w:lang w:val="hr-HR"/>
              </w:rPr>
              <w:t xml:space="preserve"> za više od 0,45 t. Budući da se osim predloženih mjera planira detaljna i opsežna obnova objekta pretpostavlja se kako će se planirana ušteda povećati za dodatnih 20 % tako da bi se ostvarivala ukupna ušteda veća od 2.233,308 kWh do 2020.</w:t>
            </w:r>
            <w:r w:rsidRPr="00361664">
              <w:rPr>
                <w:rFonts w:asciiTheme="minorHAnsi" w:hAnsiTheme="minorHAnsi"/>
                <w:b/>
                <w:sz w:val="20"/>
                <w:szCs w:val="22"/>
                <w:lang w:val="hr-HR"/>
              </w:rPr>
              <w:t>,</w:t>
            </w:r>
            <w:r w:rsidRPr="00361664">
              <w:rPr>
                <w:rFonts w:asciiTheme="minorHAnsi" w:hAnsiTheme="minorHAnsi"/>
                <w:sz w:val="20"/>
                <w:szCs w:val="22"/>
                <w:lang w:val="hr-HR"/>
              </w:rPr>
              <w:t xml:space="preserve"> uz godišnju uštedu od 558,327 kWh.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Ukupno: 1.116,654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4. Provođenje mjera poboljšanja energetske učinkovitosti upravne zgrade, skladišta opreme i radionica pogona TE-TO Zagreb</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Predložene mjere energetske učinkovitosti su uvođenje sustavnog gospodarenja energijom, zamjena stolarije i izoliranje vanjskih ovojnica. Temeljem predloženih mjera energetskih certifikata za navedene objekte procjenjuje se godišnja ušteda od 942.774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 xml:space="preserve">5.Zamjena starih rasvjetnih tijela u postrojenju pogona TE-TO Osijek  novim baziranim na LED tehnologiji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Očekivana ušteda prema trenutačnom opsegu zamjene i cijeni el. energije na tržištu bi iznosila 300.000,00 kWh/godišnje kroz dvije godine, a ukupno do 2020. 750.000 kWh.</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Ukupno cca. 600.000,00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6. Rekonstrukcija vanjske rasvjete u krugu TE-TO Sisak</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Rasvjeta se zamjenjuje sukcesivno te zbog toga nije moguće odrediti očekivanu uštedu.</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7. Rekonstrukcija rasvjete primjenom mjera energetske učinkovitosti unutar pogona TE-TO Zagreb</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Ugradnjom učinkovite LED rasvjete procjenjuje se smanjenje električne energije od 1.869.338 kWh/godišnje.</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8. Program Energetski učinkovita rasvjeta TE PLOMIN</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Smanjenje potrošnje el. energije cca 1.000.000 kWh/god., smanjenje emisija CO</w:t>
            </w:r>
            <w:r w:rsidRPr="00361664">
              <w:rPr>
                <w:rFonts w:asciiTheme="minorHAnsi" w:hAnsiTheme="minorHAnsi"/>
                <w:sz w:val="20"/>
                <w:szCs w:val="22"/>
                <w:vertAlign w:val="subscript"/>
                <w:lang w:val="hr-HR"/>
              </w:rPr>
              <w:t xml:space="preserve">2 </w:t>
            </w:r>
            <w:r w:rsidRPr="00361664">
              <w:rPr>
                <w:rFonts w:asciiTheme="minorHAnsi" w:hAnsiTheme="minorHAnsi"/>
                <w:sz w:val="20"/>
                <w:szCs w:val="22"/>
                <w:lang w:val="hr-HR"/>
              </w:rPr>
              <w:t>1.080 t/god. i smanjenje troškova održavanja cca 200.000 HRK godišnje.</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Ukupno: 2.000.000,00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9. Zamjena unutarnje i vanjske rasvje</w:t>
            </w:r>
            <w:r w:rsidR="00F01C4C" w:rsidRPr="00361664">
              <w:rPr>
                <w:rFonts w:asciiTheme="minorHAnsi" w:hAnsiTheme="minorHAnsi"/>
                <w:b/>
                <w:sz w:val="20"/>
                <w:szCs w:val="22"/>
                <w:lang w:val="hr-HR"/>
              </w:rPr>
              <w:t>te na objektima HE (2017. – 2019</w:t>
            </w:r>
            <w:r w:rsidRPr="00361664">
              <w:rPr>
                <w:rFonts w:asciiTheme="minorHAnsi" w:hAnsiTheme="minorHAnsi"/>
                <w:b/>
                <w:sz w:val="20"/>
                <w:szCs w:val="22"/>
                <w:lang w:val="hr-HR"/>
              </w:rPr>
              <w:t>.)</w:t>
            </w:r>
          </w:p>
          <w:p w:rsidR="007A3D6C" w:rsidRPr="00361664" w:rsidRDefault="007A3D6C" w:rsidP="00961A34">
            <w:pPr>
              <w:jc w:val="both"/>
              <w:rPr>
                <w:sz w:val="20"/>
              </w:rPr>
            </w:pPr>
            <w:r w:rsidRPr="00361664">
              <w:rPr>
                <w:sz w:val="20"/>
              </w:rPr>
              <w:t>Zamjenom klasične rasvjete s energetski učinkovitom LED rasvjetom očekuje se ušteda do 200.000 kWh/god., ranije potrošnje električne energije, a što tre</w:t>
            </w:r>
            <w:r w:rsidR="00F01C4C" w:rsidRPr="00361664">
              <w:rPr>
                <w:sz w:val="20"/>
              </w:rPr>
              <w:t>ba utvrditi mjerenjem.</w:t>
            </w:r>
            <w:r w:rsidR="00F01C4C" w:rsidRPr="00361664">
              <w:rPr>
                <w:sz w:val="20"/>
              </w:rPr>
              <w:br/>
            </w:r>
            <w:r w:rsidR="00F01C4C" w:rsidRPr="00361664">
              <w:rPr>
                <w:sz w:val="20"/>
              </w:rPr>
              <w:lastRenderedPageBreak/>
              <w:t>Ukupno: 1</w:t>
            </w:r>
            <w:r w:rsidRPr="00361664">
              <w:rPr>
                <w:sz w:val="20"/>
              </w:rPr>
              <w:t>00.000,00 kWh.</w:t>
            </w:r>
          </w:p>
          <w:p w:rsidR="007A3D6C" w:rsidRPr="00361664" w:rsidRDefault="007A3D6C" w:rsidP="00F01C4C">
            <w:pPr>
              <w:jc w:val="both"/>
              <w:rPr>
                <w:b/>
                <w:sz w:val="20"/>
              </w:rPr>
            </w:pPr>
            <w:r w:rsidRPr="00361664">
              <w:rPr>
                <w:b/>
                <w:sz w:val="20"/>
              </w:rPr>
              <w:t xml:space="preserve">Sveukupne uštede </w:t>
            </w:r>
            <w:r w:rsidR="003123E7" w:rsidRPr="00361664">
              <w:rPr>
                <w:b/>
                <w:sz w:val="20"/>
              </w:rPr>
              <w:t xml:space="preserve">do 2019.: </w:t>
            </w:r>
            <w:r w:rsidR="00F01C4C" w:rsidRPr="00361664">
              <w:rPr>
                <w:b/>
                <w:sz w:val="20"/>
              </w:rPr>
              <w:t>3.274.040,654</w:t>
            </w:r>
            <w:r w:rsidR="003123E7" w:rsidRPr="00361664">
              <w:rPr>
                <w:b/>
                <w:sz w:val="20"/>
              </w:rPr>
              <w:t xml:space="preserve">kWh = </w:t>
            </w:r>
            <w:r w:rsidR="00F01C4C" w:rsidRPr="00361664">
              <w:rPr>
                <w:b/>
                <w:sz w:val="20"/>
              </w:rPr>
              <w:t>11,79</w:t>
            </w:r>
            <w:r w:rsidRPr="00361664">
              <w:rPr>
                <w:b/>
                <w:sz w:val="20"/>
              </w:rPr>
              <w:t xml:space="preserve"> TJ</w:t>
            </w: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highlight w:val="yellow"/>
                <w:lang w:val="hr-HR"/>
              </w:rPr>
            </w:pPr>
            <w:r w:rsidRPr="00361664">
              <w:rPr>
                <w:rFonts w:asciiTheme="minorHAnsi" w:hAnsiTheme="minorHAnsi"/>
                <w:sz w:val="20"/>
                <w:szCs w:val="22"/>
                <w:lang w:val="hr-HR"/>
              </w:rPr>
              <w:t>Očekivane uštede energije do kraja 2020.</w:t>
            </w:r>
          </w:p>
        </w:tc>
        <w:tc>
          <w:tcPr>
            <w:tcW w:w="3439" w:type="pc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1. Energetska obnova zgrada Pogona KTE Jertovec</w:t>
            </w:r>
          </w:p>
          <w:p w:rsidR="007A3D6C" w:rsidRPr="00361664" w:rsidRDefault="007A3D6C" w:rsidP="00961A34">
            <w:pPr>
              <w:pStyle w:val="Tabletext"/>
              <w:tabs>
                <w:tab w:val="left" w:pos="244"/>
                <w:tab w:val="left" w:pos="5040"/>
              </w:tabs>
              <w:spacing w:after="0" w:line="240" w:lineRule="auto"/>
              <w:rPr>
                <w:rFonts w:asciiTheme="minorHAnsi" w:hAnsiTheme="minorHAnsi"/>
                <w:b/>
                <w:sz w:val="20"/>
                <w:szCs w:val="22"/>
                <w:lang w:val="hr-HR"/>
              </w:rPr>
            </w:pPr>
            <w:r w:rsidRPr="00361664">
              <w:rPr>
                <w:rFonts w:asciiTheme="minorHAnsi" w:hAnsiTheme="minorHAnsi"/>
                <w:sz w:val="20"/>
                <w:szCs w:val="22"/>
                <w:lang w:val="hr-HR"/>
              </w:rPr>
              <w:t>Ukupno:737.709,00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2. Zamjena dotrajale stolarije na upravnoj zgradi TE Rijeka</w:t>
            </w:r>
          </w:p>
          <w:p w:rsidR="007A3D6C" w:rsidRPr="00361664" w:rsidRDefault="00D947E4"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Ukupno: 249.744</w:t>
            </w:r>
            <w:r w:rsidR="007A3D6C" w:rsidRPr="00361664">
              <w:rPr>
                <w:rFonts w:asciiTheme="minorHAnsi" w:hAnsiTheme="minorHAnsi"/>
                <w:sz w:val="20"/>
                <w:szCs w:val="22"/>
                <w:lang w:val="hr-HR"/>
              </w:rPr>
              <w:t>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3.Energetska obnova zgrade portirnice pogon TE-TO Osijek</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Ukupno: 2.233,308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4. Provođenje mjera poboljšanja energetske učinkovitosti upravne zgrade, skladišta opreme i radionica pogona TE-TO Zagreb</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Ukupno:</w:t>
            </w:r>
            <w:r w:rsidR="00F01C4C" w:rsidRPr="00361664">
              <w:rPr>
                <w:rFonts w:asciiTheme="minorHAnsi" w:hAnsiTheme="minorHAnsi"/>
                <w:sz w:val="20"/>
                <w:szCs w:val="22"/>
                <w:lang w:val="hr-HR"/>
              </w:rPr>
              <w:t>942.774</w:t>
            </w:r>
            <w:r w:rsidRPr="00361664">
              <w:rPr>
                <w:rFonts w:asciiTheme="minorHAnsi" w:hAnsiTheme="minorHAnsi"/>
                <w:sz w:val="20"/>
                <w:szCs w:val="22"/>
                <w:lang w:val="hr-HR"/>
              </w:rPr>
              <w:t>,00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 xml:space="preserve">5.Zamjena starih rasvjetnih tijela u postrojenju pogona TE-TO Osijek  novim baziranim na LED tehnologiji  </w:t>
            </w:r>
          </w:p>
          <w:p w:rsidR="007A3D6C" w:rsidRPr="00361664" w:rsidRDefault="007A3D6C" w:rsidP="00E3351E">
            <w:pPr>
              <w:pStyle w:val="Tabletext"/>
              <w:tabs>
                <w:tab w:val="left" w:pos="244"/>
                <w:tab w:val="left" w:pos="5040"/>
              </w:tabs>
              <w:spacing w:after="0" w:line="240" w:lineRule="auto"/>
              <w:rPr>
                <w:rFonts w:asciiTheme="minorHAnsi" w:hAnsiTheme="minorHAnsi"/>
                <w:b/>
                <w:sz w:val="20"/>
                <w:szCs w:val="22"/>
                <w:lang w:val="hr-HR"/>
              </w:rPr>
            </w:pPr>
            <w:r w:rsidRPr="00361664">
              <w:rPr>
                <w:rFonts w:asciiTheme="minorHAnsi" w:hAnsiTheme="minorHAnsi"/>
                <w:sz w:val="20"/>
                <w:szCs w:val="22"/>
                <w:lang w:val="hr-HR"/>
              </w:rPr>
              <w:t>Ukupno cca.750.000,00 kWh</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6. Rekonstrukcija vanjske rasvjete u krugu TE-TO Sisak</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Rasvjeta se zamjenjuje sukcesivno te zbog toga nije moguće odrediti očekivanu uštedu.</w:t>
            </w:r>
          </w:p>
          <w:p w:rsidR="007A3D6C" w:rsidRPr="00361664" w:rsidRDefault="007A3D6C" w:rsidP="00F01C4C">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7. Rekonstrukcija rasvjete primjenom mjera energetske učinkovitosti unutar pogona TE-TO Zagreb</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8. Program Energetski učinkovita rasvjeta TE PLOMIN</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Ukupno: 3.000.000,00 kWh. </w:t>
            </w:r>
          </w:p>
          <w:p w:rsidR="007A3D6C" w:rsidRPr="00361664" w:rsidRDefault="007A3D6C" w:rsidP="00961A34">
            <w:pPr>
              <w:pStyle w:val="Tabletext"/>
              <w:tabs>
                <w:tab w:val="left" w:pos="244"/>
                <w:tab w:val="left" w:pos="5040"/>
              </w:tabs>
              <w:spacing w:after="0" w:line="240" w:lineRule="auto"/>
              <w:ind w:left="244"/>
              <w:rPr>
                <w:rFonts w:asciiTheme="minorHAnsi" w:hAnsiTheme="minorHAnsi"/>
                <w:b/>
                <w:sz w:val="20"/>
                <w:szCs w:val="22"/>
                <w:lang w:val="hr-HR"/>
              </w:rPr>
            </w:pPr>
            <w:r w:rsidRPr="00361664">
              <w:rPr>
                <w:rFonts w:asciiTheme="minorHAnsi" w:hAnsiTheme="minorHAnsi"/>
                <w:b/>
                <w:sz w:val="20"/>
                <w:szCs w:val="22"/>
                <w:lang w:val="hr-HR"/>
              </w:rPr>
              <w:t>9. Zamjena unutarnje i vanjske rasvjete na objektima HE (2017. – 2018.)</w:t>
            </w:r>
          </w:p>
          <w:p w:rsidR="007A3D6C" w:rsidRPr="00361664" w:rsidRDefault="00F01C4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Ukupno. 3</w:t>
            </w:r>
            <w:r w:rsidR="007A3D6C" w:rsidRPr="00361664">
              <w:rPr>
                <w:rFonts w:asciiTheme="minorHAnsi" w:hAnsiTheme="minorHAnsi"/>
                <w:sz w:val="20"/>
                <w:szCs w:val="22"/>
                <w:lang w:val="hr-HR"/>
              </w:rPr>
              <w:t>00.000,00 kWh.</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p w:rsidR="007A3D6C" w:rsidRPr="00361664" w:rsidRDefault="007A3D6C" w:rsidP="00961A34">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Sveukupne uštede energije do 2020.: </w:t>
            </w:r>
            <w:r w:rsidR="00F01C4C" w:rsidRPr="00361664">
              <w:rPr>
                <w:rFonts w:asciiTheme="minorHAnsi" w:hAnsiTheme="minorHAnsi"/>
                <w:b/>
                <w:sz w:val="20"/>
                <w:szCs w:val="22"/>
                <w:lang w:val="hr-HR"/>
              </w:rPr>
              <w:t>5.982.490,00</w:t>
            </w:r>
            <w:r w:rsidRPr="00361664">
              <w:rPr>
                <w:rFonts w:asciiTheme="minorHAnsi" w:hAnsiTheme="minorHAnsi"/>
                <w:b/>
                <w:sz w:val="20"/>
                <w:szCs w:val="22"/>
                <w:lang w:val="hr-HR"/>
              </w:rPr>
              <w:t>kWh</w:t>
            </w:r>
            <w:r w:rsidR="003123E7" w:rsidRPr="00361664">
              <w:rPr>
                <w:rFonts w:asciiTheme="minorHAnsi" w:hAnsiTheme="minorHAnsi"/>
                <w:b/>
                <w:sz w:val="20"/>
                <w:szCs w:val="22"/>
                <w:lang w:val="hr-HR"/>
              </w:rPr>
              <w:t xml:space="preserve">= </w:t>
            </w:r>
            <w:r w:rsidR="00F01C4C" w:rsidRPr="00361664">
              <w:rPr>
                <w:rFonts w:asciiTheme="minorHAnsi" w:hAnsiTheme="minorHAnsi"/>
                <w:b/>
                <w:sz w:val="20"/>
                <w:szCs w:val="22"/>
                <w:lang w:val="hr-HR"/>
              </w:rPr>
              <w:t>21,53</w:t>
            </w:r>
            <w:r w:rsidRPr="00361664">
              <w:rPr>
                <w:rFonts w:asciiTheme="minorHAnsi" w:hAnsiTheme="minorHAnsi"/>
                <w:b/>
                <w:sz w:val="20"/>
                <w:szCs w:val="22"/>
                <w:lang w:val="hr-HR"/>
              </w:rPr>
              <w:t xml:space="preserve"> TJ </w:t>
            </w:r>
          </w:p>
          <w:p w:rsidR="007A3D6C" w:rsidRPr="00361664" w:rsidRDefault="007A3D6C" w:rsidP="00961A34">
            <w:pPr>
              <w:pStyle w:val="Tabletext"/>
              <w:tabs>
                <w:tab w:val="left" w:pos="1440"/>
                <w:tab w:val="left" w:pos="5040"/>
              </w:tabs>
              <w:spacing w:before="0" w:after="0" w:line="240" w:lineRule="auto"/>
              <w:rPr>
                <w:rFonts w:asciiTheme="minorHAnsi" w:hAnsiTheme="minorHAnsi"/>
                <w:b/>
                <w:sz w:val="20"/>
                <w:szCs w:val="22"/>
                <w:lang w:val="hr-HR"/>
              </w:rPr>
            </w:pPr>
          </w:p>
        </w:tc>
      </w:tr>
      <w:tr w:rsidR="007A3D6C"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szCs w:val="22"/>
                <w:lang w:val="hr-HR"/>
              </w:rPr>
              <w:t>Pretpostavke</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343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Osiguranje dostatnih financijskih sredstava kroz Godišnji plan investicija HEP Proizvodnje te izvršenje aktivnosti Izvođača prema planiranom / ugovorenom opsegu nabave i ugradnje opreme te ostalih nužnih radova unutar obvezujućih rokova.</w:t>
            </w:r>
          </w:p>
        </w:tc>
      </w:tr>
      <w:tr w:rsidR="007A3D6C" w:rsidRPr="00361664" w:rsidTr="00961A34">
        <w:trPr>
          <w:trHeight w:val="1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spacing w:after="0" w:line="240" w:lineRule="auto"/>
              <w:jc w:val="both"/>
              <w:rPr>
                <w:sz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Preklapanja, efekt množenja, sinergija</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3439" w:type="pct"/>
            <w:tcBorders>
              <w:top w:val="single" w:sz="4" w:space="0" w:color="auto"/>
              <w:left w:val="single" w:sz="4" w:space="0" w:color="auto"/>
              <w:bottom w:val="single" w:sz="4" w:space="0" w:color="auto"/>
              <w:right w:val="single" w:sz="4" w:space="0" w:color="auto"/>
            </w:tcBorders>
            <w:vAlign w:val="center"/>
            <w:hideMark/>
          </w:tcPr>
          <w:p w:rsidR="007A3D6C" w:rsidRPr="00361664" w:rsidRDefault="007A3D6C" w:rsidP="00961A34">
            <w:pPr>
              <w:tabs>
                <w:tab w:val="left" w:pos="1440"/>
                <w:tab w:val="left" w:pos="5040"/>
              </w:tabs>
              <w:spacing w:after="0" w:line="240" w:lineRule="auto"/>
              <w:jc w:val="both"/>
              <w:rPr>
                <w:sz w:val="20"/>
              </w:rPr>
            </w:pPr>
            <w:r w:rsidRPr="00361664">
              <w:rPr>
                <w:sz w:val="20"/>
              </w:rPr>
              <w:t>/</w:t>
            </w:r>
          </w:p>
        </w:tc>
      </w:tr>
    </w:tbl>
    <w:p w:rsidR="003C6A5C" w:rsidRPr="00361664" w:rsidRDefault="00CE07A7" w:rsidP="00651BCA">
      <w:pPr>
        <w:pStyle w:val="Naslov3"/>
        <w:rPr>
          <w:rStyle w:val="Jakoisticanje"/>
          <w:b/>
          <w:bCs w:val="0"/>
          <w:i/>
          <w:iCs w:val="0"/>
          <w:color w:val="375F91"/>
          <w:lang w:val="hr-HR"/>
        </w:rPr>
      </w:pPr>
      <w:bookmarkStart w:id="34" w:name="_Toc535245855"/>
      <w:r w:rsidRPr="00361664">
        <w:rPr>
          <w:rStyle w:val="Jakoisticanje"/>
          <w:b/>
          <w:bCs w:val="0"/>
          <w:i/>
          <w:iCs w:val="0"/>
          <w:color w:val="375F91"/>
          <w:lang w:val="hr-HR"/>
        </w:rPr>
        <w:t>Uštede koje proizlaze iz mjera za povećanje energetske učinkovitosti u zgradarstvu</w:t>
      </w:r>
      <w:bookmarkEnd w:id="34"/>
    </w:p>
    <w:p w:rsidR="004B1C0A" w:rsidRPr="00361664" w:rsidRDefault="004B1C0A" w:rsidP="00651BCA">
      <w:pPr>
        <w:jc w:val="both"/>
        <w:rPr>
          <w:lang w:eastAsia="de-DE"/>
        </w:rPr>
      </w:pPr>
      <w:r w:rsidRPr="00361664">
        <w:rPr>
          <w:rFonts w:asciiTheme="minorHAnsi" w:hAnsiTheme="minorHAnsi"/>
          <w:bCs/>
          <w:sz w:val="20"/>
          <w:szCs w:val="20"/>
        </w:rPr>
        <w:t xml:space="preserve">Prethodno opisano </w:t>
      </w:r>
      <w:r w:rsidR="00716D5A" w:rsidRPr="00361664">
        <w:rPr>
          <w:rFonts w:asciiTheme="minorHAnsi" w:hAnsiTheme="minorHAnsi"/>
          <w:bCs/>
          <w:sz w:val="20"/>
          <w:szCs w:val="20"/>
        </w:rPr>
        <w:t>u svakoj</w:t>
      </w:r>
      <w:r w:rsidRPr="00361664">
        <w:rPr>
          <w:rFonts w:asciiTheme="minorHAnsi" w:hAnsiTheme="minorHAnsi"/>
          <w:bCs/>
          <w:sz w:val="20"/>
          <w:szCs w:val="20"/>
        </w:rPr>
        <w:t xml:space="preserve"> mjeri pojedinačno.</w:t>
      </w:r>
    </w:p>
    <w:p w:rsidR="004B1C0A" w:rsidRPr="00361664" w:rsidRDefault="00944F9E" w:rsidP="00651BCA">
      <w:pPr>
        <w:pStyle w:val="Naslov3"/>
        <w:rPr>
          <w:rStyle w:val="Jakoisticanje"/>
          <w:b/>
          <w:bCs w:val="0"/>
          <w:i/>
          <w:iCs w:val="0"/>
          <w:color w:val="375F91"/>
          <w:lang w:val="hr-HR"/>
        </w:rPr>
      </w:pPr>
      <w:bookmarkStart w:id="35" w:name="_Toc535245856"/>
      <w:r w:rsidRPr="00361664">
        <w:rPr>
          <w:rStyle w:val="Jakoisticanje"/>
          <w:b/>
          <w:bCs w:val="0"/>
          <w:i/>
          <w:iCs w:val="0"/>
          <w:color w:val="375F91"/>
          <w:lang w:val="hr-HR"/>
        </w:rPr>
        <w:t>Financi</w:t>
      </w:r>
      <w:r w:rsidR="00CE07A7" w:rsidRPr="00361664">
        <w:rPr>
          <w:rStyle w:val="Jakoisticanje"/>
          <w:b/>
          <w:bCs w:val="0"/>
          <w:i/>
          <w:iCs w:val="0"/>
          <w:color w:val="375F91"/>
          <w:lang w:val="hr-HR"/>
        </w:rPr>
        <w:t>ranje mjera za povećanje energetske učinkovitosti u zgradarstvu</w:t>
      </w:r>
      <w:bookmarkEnd w:id="35"/>
    </w:p>
    <w:p w:rsidR="00715AD0" w:rsidRPr="00361664" w:rsidRDefault="004B1C0A" w:rsidP="00651BCA">
      <w:pPr>
        <w:jc w:val="both"/>
        <w:rPr>
          <w:rFonts w:asciiTheme="minorHAnsi" w:hAnsiTheme="minorHAnsi"/>
          <w:bCs/>
          <w:sz w:val="20"/>
          <w:szCs w:val="20"/>
        </w:rPr>
      </w:pPr>
      <w:r w:rsidRPr="00361664">
        <w:rPr>
          <w:rFonts w:asciiTheme="minorHAnsi" w:hAnsiTheme="minorHAnsi"/>
          <w:bCs/>
          <w:sz w:val="20"/>
          <w:szCs w:val="20"/>
        </w:rPr>
        <w:t xml:space="preserve">Prethodno opisano </w:t>
      </w:r>
      <w:r w:rsidR="00716D5A" w:rsidRPr="00361664">
        <w:rPr>
          <w:rFonts w:asciiTheme="minorHAnsi" w:hAnsiTheme="minorHAnsi"/>
          <w:bCs/>
          <w:sz w:val="20"/>
          <w:szCs w:val="20"/>
        </w:rPr>
        <w:t>u svakoj</w:t>
      </w:r>
      <w:r w:rsidRPr="00361664">
        <w:rPr>
          <w:rFonts w:asciiTheme="minorHAnsi" w:hAnsiTheme="minorHAnsi"/>
          <w:bCs/>
          <w:sz w:val="20"/>
          <w:szCs w:val="20"/>
        </w:rPr>
        <w:t xml:space="preserve"> mjeri pojedinačno.</w:t>
      </w:r>
    </w:p>
    <w:p w:rsidR="00944F9E" w:rsidRPr="00361664" w:rsidRDefault="00715AD0" w:rsidP="00E3351E">
      <w:pPr>
        <w:rPr>
          <w:rStyle w:val="Jakoisticanje"/>
          <w:rFonts w:asciiTheme="minorHAnsi" w:hAnsiTheme="minorHAnsi"/>
          <w:b w:val="0"/>
          <w:i w:val="0"/>
          <w:color w:val="auto"/>
          <w:sz w:val="20"/>
        </w:rPr>
      </w:pPr>
      <w:r w:rsidRPr="00361664">
        <w:rPr>
          <w:rFonts w:asciiTheme="minorHAnsi" w:hAnsiTheme="minorHAnsi"/>
          <w:bCs/>
          <w:sz w:val="20"/>
          <w:szCs w:val="20"/>
        </w:rPr>
        <w:br w:type="page"/>
      </w:r>
    </w:p>
    <w:p w:rsidR="00944F9E" w:rsidRPr="00361036" w:rsidRDefault="001D5B34" w:rsidP="00651BCA">
      <w:pPr>
        <w:pStyle w:val="Naslov2"/>
        <w:jc w:val="both"/>
        <w:rPr>
          <w:rStyle w:val="Jakoisticanje"/>
          <w:b/>
          <w:bCs/>
          <w:iCs/>
          <w:color w:val="375F91"/>
        </w:rPr>
      </w:pPr>
      <w:bookmarkStart w:id="36" w:name="_Toc535245857"/>
      <w:r w:rsidRPr="00361036">
        <w:rPr>
          <w:rStyle w:val="Jakoisticanje"/>
          <w:b/>
          <w:bCs/>
          <w:iCs/>
          <w:color w:val="375F91"/>
        </w:rPr>
        <w:lastRenderedPageBreak/>
        <w:t>Energetska učinkovitost zgrada javnih tijela</w:t>
      </w:r>
      <w:bookmarkEnd w:id="36"/>
    </w:p>
    <w:p w:rsidR="001B3518" w:rsidRPr="00361664" w:rsidRDefault="00CE07A7" w:rsidP="00651BCA">
      <w:pPr>
        <w:pStyle w:val="Naslov3"/>
        <w:rPr>
          <w:rStyle w:val="Jakoisticanje"/>
          <w:b/>
          <w:bCs w:val="0"/>
          <w:i/>
          <w:iCs w:val="0"/>
          <w:color w:val="375F91"/>
          <w:lang w:val="hr-HR"/>
        </w:rPr>
      </w:pPr>
      <w:bookmarkStart w:id="37" w:name="_Toc535245858"/>
      <w:r w:rsidRPr="00361664">
        <w:rPr>
          <w:rStyle w:val="Jakoisticanje"/>
          <w:b/>
          <w:bCs w:val="0"/>
          <w:i/>
          <w:iCs w:val="0"/>
          <w:color w:val="375F91"/>
          <w:lang w:val="hr-HR"/>
        </w:rPr>
        <w:t>Zgrade središnje vlade</w:t>
      </w:r>
      <w:r w:rsidR="00944F9E" w:rsidRPr="00361664">
        <w:rPr>
          <w:rStyle w:val="Jakoisticanje"/>
          <w:b/>
          <w:bCs w:val="0"/>
          <w:i/>
          <w:iCs w:val="0"/>
          <w:color w:val="375F91"/>
          <w:lang w:val="hr-HR"/>
        </w:rPr>
        <w:t xml:space="preserve"> (</w:t>
      </w:r>
      <w:r w:rsidR="001D5B34" w:rsidRPr="00361664">
        <w:rPr>
          <w:rStyle w:val="Jakoisticanje"/>
          <w:b/>
          <w:bCs w:val="0"/>
          <w:i/>
          <w:iCs w:val="0"/>
          <w:color w:val="375F91"/>
          <w:lang w:val="hr-HR"/>
        </w:rPr>
        <w:t>č</w:t>
      </w:r>
      <w:r w:rsidR="003412CD" w:rsidRPr="00361664">
        <w:rPr>
          <w:rStyle w:val="Jakoisticanje"/>
          <w:b/>
          <w:bCs w:val="0"/>
          <w:i/>
          <w:iCs w:val="0"/>
          <w:color w:val="375F91"/>
          <w:lang w:val="hr-HR"/>
        </w:rPr>
        <w:t>lanak</w:t>
      </w:r>
      <w:r w:rsidR="00944F9E" w:rsidRPr="00361664">
        <w:rPr>
          <w:rStyle w:val="Jakoisticanje"/>
          <w:b/>
          <w:bCs w:val="0"/>
          <w:i/>
          <w:iCs w:val="0"/>
          <w:color w:val="375F91"/>
          <w:lang w:val="hr-HR"/>
        </w:rPr>
        <w:t xml:space="preserve"> 5</w:t>
      </w:r>
      <w:r w:rsidR="001D5B34" w:rsidRPr="00361664">
        <w:rPr>
          <w:rStyle w:val="Jakoisticanje"/>
          <w:b/>
          <w:bCs w:val="0"/>
          <w:i/>
          <w:iCs w:val="0"/>
          <w:color w:val="375F91"/>
          <w:lang w:val="hr-HR"/>
        </w:rPr>
        <w:t>. DEU-a</w:t>
      </w:r>
      <w:r w:rsidR="00944F9E" w:rsidRPr="00361664">
        <w:rPr>
          <w:rStyle w:val="Jakoisticanje"/>
          <w:b/>
          <w:bCs w:val="0"/>
          <w:i/>
          <w:iCs w:val="0"/>
          <w:color w:val="375F91"/>
          <w:lang w:val="hr-HR"/>
        </w:rPr>
        <w:t>)</w:t>
      </w:r>
      <w:bookmarkEnd w:id="37"/>
    </w:p>
    <w:p w:rsidR="00B35BCD" w:rsidRPr="00361664" w:rsidRDefault="00B35BCD" w:rsidP="00B35BCD">
      <w:pPr>
        <w:jc w:val="both"/>
        <w:rPr>
          <w:sz w:val="20"/>
          <w:szCs w:val="20"/>
          <w:lang w:eastAsia="de-DE"/>
        </w:rPr>
      </w:pPr>
      <w:r w:rsidRPr="00361664">
        <w:rPr>
          <w:sz w:val="20"/>
          <w:szCs w:val="20"/>
          <w:lang w:eastAsia="de-DE"/>
        </w:rPr>
        <w:t xml:space="preserve">Provođenje energetske obnove zgrada javnog sektora i provedba mjera poboljšanja energetske učinkovitosti u zgradama javnog sektora koje su u vlasništvu i uporabi središnje vlasti uključivat će mjere na ovojnici zgrade, termo-tehničkim, elektrotehničkim sustavima i zahvate na sustavima vodoopskrbe, a u skladu s ispunjenjem zahtijeva prema kojem se od država članica traži da od 1. siječnja 2014. godine svake godine obnove 3% ukupne površine poda grijanih i/ili hlađenih zgrada u vlasništvu i uporabi središnje vlasti. </w:t>
      </w:r>
      <w:r w:rsidRPr="00361664">
        <w:rPr>
          <w:rFonts w:asciiTheme="minorHAnsi" w:eastAsia="Calibri" w:hAnsiTheme="minorHAnsi"/>
          <w:iCs/>
          <w:sz w:val="20"/>
          <w:szCs w:val="20"/>
          <w:lang w:eastAsia="hr-HR"/>
        </w:rPr>
        <w:t>U Republici Hrvatskoj je u 2010. godini evidentirano ukupno 13,8 milijuna metara kvadratnih korisne površine zgrada javnog sektora, prema podacima Iz Nacionalnog informacijskog sustava za gospodarenje energijom. Od toga je grijane korisne površine 43,9%.</w:t>
      </w:r>
    </w:p>
    <w:p w:rsidR="00B35BCD" w:rsidRPr="00361664" w:rsidRDefault="00B35BCD" w:rsidP="00B35BCD">
      <w:pPr>
        <w:jc w:val="both"/>
        <w:rPr>
          <w:sz w:val="20"/>
          <w:szCs w:val="20"/>
          <w:lang w:eastAsia="de-DE"/>
        </w:rPr>
      </w:pPr>
      <w:r w:rsidRPr="00361664">
        <w:rPr>
          <w:sz w:val="20"/>
          <w:szCs w:val="20"/>
          <w:lang w:eastAsia="de-DE"/>
        </w:rPr>
        <w:t xml:space="preserve">Energetska obnova postojećih državnih zgrada za koje se utvrdi da postoji isplativost obnove izvršit će se po dva Programa energetske obnove zgrada javnog sektora, jedan od 2014-2015. te drugi od 2016.-2020. Te mjere obnove predstavljene su u nastavku. Iako je Program energetske obnove zgrada javnog sektora 2014.-2015. završio on se nastavlja u 2017. godini obzirom da postoji dio ugovorenih ali ne i završenih obnova. </w:t>
      </w:r>
    </w:p>
    <w:p w:rsidR="00B35BCD" w:rsidRPr="00361664" w:rsidRDefault="00B35BCD" w:rsidP="00B35BCD">
      <w:pPr>
        <w:jc w:val="both"/>
        <w:rPr>
          <w:sz w:val="20"/>
          <w:szCs w:val="20"/>
          <w:lang w:eastAsia="de-DE"/>
        </w:rPr>
      </w:pPr>
      <w:r w:rsidRPr="00361664">
        <w:rPr>
          <w:sz w:val="20"/>
          <w:szCs w:val="20"/>
          <w:lang w:eastAsia="de-DE"/>
        </w:rPr>
        <w:t>Energetskom obnovom zgrada koja uključuje obnovu 3% javnih zgrada s postojeće razine potrošnje energije na razinu zahtjeva važeće regulative, ostvaruju se godišnje uštede energije od 0,00</w:t>
      </w:r>
      <w:r w:rsidR="005E6F15" w:rsidRPr="00361664">
        <w:rPr>
          <w:sz w:val="20"/>
          <w:szCs w:val="20"/>
          <w:lang w:eastAsia="de-DE"/>
        </w:rPr>
        <w:t>5523 PJ. Republika Hrvatska usp</w:t>
      </w:r>
      <w:r w:rsidRPr="00361664">
        <w:rPr>
          <w:sz w:val="20"/>
          <w:szCs w:val="20"/>
          <w:lang w:eastAsia="de-DE"/>
        </w:rPr>
        <w:t>ješno ostvaruje cilj obnove 3% javnih zgrada u pe</w:t>
      </w:r>
      <w:r w:rsidR="005E6F15" w:rsidRPr="00361664">
        <w:rPr>
          <w:sz w:val="20"/>
          <w:szCs w:val="20"/>
          <w:lang w:eastAsia="de-DE"/>
        </w:rPr>
        <w:t>riodu od 2014. do 2016., a poda</w:t>
      </w:r>
      <w:r w:rsidRPr="00361664">
        <w:rPr>
          <w:sz w:val="20"/>
          <w:szCs w:val="20"/>
          <w:lang w:eastAsia="de-DE"/>
        </w:rPr>
        <w:t xml:space="preserve">ci o uštedama su verificirani kroz Sustav za praćenje, mjerenje i </w:t>
      </w:r>
      <w:r w:rsidR="00411708" w:rsidRPr="00361664">
        <w:rPr>
          <w:sz w:val="20"/>
          <w:szCs w:val="20"/>
          <w:lang w:eastAsia="de-DE"/>
        </w:rPr>
        <w:t>verifikaciju</w:t>
      </w:r>
      <w:r w:rsidRPr="00361664">
        <w:rPr>
          <w:sz w:val="20"/>
          <w:szCs w:val="20"/>
          <w:lang w:eastAsia="de-DE"/>
        </w:rPr>
        <w:t xml:space="preserve"> ušteda energije. </w:t>
      </w:r>
      <w:r w:rsidR="00411708" w:rsidRPr="00361664">
        <w:rPr>
          <w:sz w:val="20"/>
          <w:szCs w:val="20"/>
          <w:lang w:eastAsia="de-DE"/>
        </w:rPr>
        <w:t>Rezultati</w:t>
      </w:r>
      <w:r w:rsidRPr="00361664">
        <w:rPr>
          <w:sz w:val="20"/>
          <w:szCs w:val="20"/>
          <w:lang w:eastAsia="de-DE"/>
        </w:rPr>
        <w:t xml:space="preserve"> o ostvarenim ciljevima na godišnjoj razini prikazani su u tablic</w:t>
      </w:r>
      <w:r w:rsidR="005E6F15" w:rsidRPr="00361664">
        <w:rPr>
          <w:sz w:val="20"/>
          <w:szCs w:val="20"/>
          <w:lang w:eastAsia="de-DE"/>
        </w:rPr>
        <w:t>i 3-10</w:t>
      </w:r>
      <w:r w:rsidRPr="00361664">
        <w:rPr>
          <w:sz w:val="20"/>
          <w:szCs w:val="20"/>
          <w:lang w:eastAsia="de-DE"/>
        </w:rPr>
        <w:t>:</w:t>
      </w:r>
    </w:p>
    <w:p w:rsidR="005E6F15" w:rsidRPr="00361664" w:rsidRDefault="005E6F15" w:rsidP="005E6F15">
      <w:pPr>
        <w:spacing w:after="0"/>
        <w:jc w:val="both"/>
        <w:rPr>
          <w:sz w:val="18"/>
          <w:szCs w:val="18"/>
        </w:rPr>
      </w:pPr>
      <w:r w:rsidRPr="00361664">
        <w:rPr>
          <w:b/>
          <w:sz w:val="20"/>
          <w:szCs w:val="20"/>
          <w:lang w:eastAsia="de-DE"/>
        </w:rPr>
        <w:t>Tablica 3-10.</w:t>
      </w:r>
      <w:r w:rsidRPr="00361664">
        <w:rPr>
          <w:sz w:val="20"/>
          <w:szCs w:val="20"/>
          <w:lang w:eastAsia="de-DE"/>
        </w:rPr>
        <w:t xml:space="preserve"> Rezultati obnove javnih zgrada (</w:t>
      </w:r>
      <w:r w:rsidRPr="00361664">
        <w:rPr>
          <w:sz w:val="18"/>
          <w:szCs w:val="18"/>
        </w:rPr>
        <w:t>Izvor: Nacionalno koordinacijsko tijelo za energetsku učinkovitost, CEI)</w:t>
      </w:r>
    </w:p>
    <w:tbl>
      <w:tblPr>
        <w:tblStyle w:val="TableGrid1"/>
        <w:tblW w:w="9067" w:type="dxa"/>
        <w:tblLook w:val="04A0" w:firstRow="1" w:lastRow="0" w:firstColumn="1" w:lastColumn="0" w:noHBand="0" w:noVBand="1"/>
      </w:tblPr>
      <w:tblGrid>
        <w:gridCol w:w="3042"/>
        <w:gridCol w:w="3332"/>
        <w:gridCol w:w="2693"/>
      </w:tblGrid>
      <w:tr w:rsidR="00B35BCD" w:rsidRPr="00361664" w:rsidTr="005E6F15">
        <w:tc>
          <w:tcPr>
            <w:tcW w:w="9067" w:type="dxa"/>
            <w:gridSpan w:val="3"/>
            <w:shd w:val="clear" w:color="auto" w:fill="auto"/>
          </w:tcPr>
          <w:p w:rsidR="00B35BCD" w:rsidRPr="00361664" w:rsidRDefault="00B35BCD" w:rsidP="00E3351E">
            <w:pPr>
              <w:rPr>
                <w:rFonts w:asciiTheme="minorHAnsi" w:hAnsiTheme="minorHAnsi" w:cstheme="minorHAnsi"/>
                <w:sz w:val="20"/>
                <w:szCs w:val="20"/>
              </w:rPr>
            </w:pPr>
            <w:r w:rsidRPr="00361664">
              <w:rPr>
                <w:b/>
                <w:sz w:val="20"/>
              </w:rPr>
              <w:t>3 % obnove zgrada središnje države</w:t>
            </w:r>
            <w:r w:rsidRPr="00361664">
              <w:rPr>
                <w:b/>
                <w:sz w:val="20"/>
              </w:rPr>
              <w:tab/>
            </w:r>
            <w:r w:rsidRPr="00361664">
              <w:rPr>
                <w:b/>
                <w:sz w:val="20"/>
              </w:rPr>
              <w:tab/>
            </w:r>
            <w:r w:rsidRPr="00361664">
              <w:rPr>
                <w:b/>
                <w:sz w:val="20"/>
              </w:rPr>
              <w:tab/>
            </w:r>
          </w:p>
        </w:tc>
      </w:tr>
      <w:tr w:rsidR="00B35BCD" w:rsidRPr="00361664" w:rsidTr="005E6F15">
        <w:trPr>
          <w:trHeight w:val="337"/>
        </w:trPr>
        <w:tc>
          <w:tcPr>
            <w:tcW w:w="3042" w:type="dxa"/>
          </w:tcPr>
          <w:p w:rsidR="00B35BCD" w:rsidRPr="00361664" w:rsidRDefault="00B35BCD" w:rsidP="002A36F8">
            <w:pPr>
              <w:jc w:val="center"/>
              <w:rPr>
                <w:rFonts w:asciiTheme="minorHAnsi" w:hAnsiTheme="minorHAnsi" w:cstheme="minorHAnsi"/>
                <w:sz w:val="20"/>
                <w:szCs w:val="20"/>
              </w:rPr>
            </w:pPr>
          </w:p>
        </w:tc>
        <w:tc>
          <w:tcPr>
            <w:tcW w:w="3332" w:type="dxa"/>
          </w:tcPr>
          <w:p w:rsidR="00B35BCD" w:rsidRPr="00361664" w:rsidRDefault="00B35BCD" w:rsidP="002A36F8">
            <w:pPr>
              <w:jc w:val="center"/>
              <w:rPr>
                <w:rFonts w:asciiTheme="minorHAnsi" w:hAnsiTheme="minorHAnsi" w:cstheme="minorHAnsi"/>
                <w:sz w:val="20"/>
                <w:szCs w:val="20"/>
              </w:rPr>
            </w:pPr>
            <w:r w:rsidRPr="00361664">
              <w:rPr>
                <w:rFonts w:asciiTheme="minorHAnsi" w:hAnsiTheme="minorHAnsi" w:cstheme="minorHAnsi"/>
                <w:sz w:val="20"/>
                <w:szCs w:val="20"/>
              </w:rPr>
              <w:t>Planirani cilj</w:t>
            </w:r>
          </w:p>
        </w:tc>
        <w:tc>
          <w:tcPr>
            <w:tcW w:w="2693" w:type="dxa"/>
          </w:tcPr>
          <w:p w:rsidR="00B35BCD" w:rsidRPr="00361664" w:rsidRDefault="00B35BCD" w:rsidP="002A36F8">
            <w:pPr>
              <w:jc w:val="center"/>
              <w:rPr>
                <w:rFonts w:asciiTheme="minorHAnsi" w:hAnsiTheme="minorHAnsi" w:cstheme="minorHAnsi"/>
                <w:sz w:val="20"/>
                <w:szCs w:val="20"/>
              </w:rPr>
            </w:pPr>
            <w:r w:rsidRPr="00361664">
              <w:rPr>
                <w:rFonts w:asciiTheme="minorHAnsi" w:hAnsiTheme="minorHAnsi" w:cstheme="minorHAnsi"/>
                <w:sz w:val="20"/>
                <w:szCs w:val="20"/>
              </w:rPr>
              <w:t>Ostvarena ušteda</w:t>
            </w:r>
          </w:p>
        </w:tc>
      </w:tr>
      <w:tr w:rsidR="00B35BCD" w:rsidRPr="00361664" w:rsidTr="005E6F15">
        <w:trPr>
          <w:trHeight w:val="355"/>
        </w:trPr>
        <w:tc>
          <w:tcPr>
            <w:tcW w:w="3042" w:type="dxa"/>
          </w:tcPr>
          <w:p w:rsidR="00B35BCD" w:rsidRPr="00361664" w:rsidRDefault="00B35BCD" w:rsidP="002A36F8">
            <w:pPr>
              <w:jc w:val="center"/>
              <w:rPr>
                <w:rFonts w:asciiTheme="minorHAnsi" w:hAnsiTheme="minorHAnsi" w:cstheme="minorHAnsi"/>
                <w:sz w:val="20"/>
                <w:szCs w:val="20"/>
              </w:rPr>
            </w:pPr>
            <w:r w:rsidRPr="00361664">
              <w:rPr>
                <w:rFonts w:asciiTheme="minorHAnsi" w:hAnsiTheme="minorHAnsi" w:cstheme="minorHAnsi"/>
                <w:sz w:val="20"/>
                <w:szCs w:val="20"/>
              </w:rPr>
              <w:t>2014.</w:t>
            </w:r>
          </w:p>
        </w:tc>
        <w:tc>
          <w:tcPr>
            <w:tcW w:w="3332" w:type="dxa"/>
          </w:tcPr>
          <w:p w:rsidR="00B35BCD" w:rsidRPr="00361664" w:rsidRDefault="00B35BCD" w:rsidP="002A36F8">
            <w:pPr>
              <w:jc w:val="center"/>
              <w:rPr>
                <w:rFonts w:asciiTheme="minorHAnsi" w:hAnsiTheme="minorHAnsi" w:cstheme="minorHAnsi"/>
                <w:bCs/>
                <w:sz w:val="20"/>
                <w:szCs w:val="20"/>
              </w:rPr>
            </w:pPr>
            <w:r w:rsidRPr="00361664">
              <w:rPr>
                <w:rFonts w:asciiTheme="minorHAnsi" w:hAnsiTheme="minorHAnsi" w:cstheme="minorHAnsi"/>
                <w:bCs/>
                <w:sz w:val="20"/>
                <w:szCs w:val="20"/>
              </w:rPr>
              <w:t>0,00489 PJ</w:t>
            </w:r>
          </w:p>
        </w:tc>
        <w:tc>
          <w:tcPr>
            <w:tcW w:w="2693" w:type="dxa"/>
          </w:tcPr>
          <w:p w:rsidR="00B35BCD" w:rsidRPr="00361664" w:rsidRDefault="00B35BCD" w:rsidP="002A36F8">
            <w:pPr>
              <w:jc w:val="center"/>
              <w:rPr>
                <w:rFonts w:asciiTheme="minorHAnsi" w:hAnsiTheme="minorHAnsi" w:cstheme="minorHAnsi"/>
                <w:sz w:val="20"/>
                <w:szCs w:val="20"/>
              </w:rPr>
            </w:pPr>
            <w:r w:rsidRPr="00361664">
              <w:rPr>
                <w:rFonts w:asciiTheme="minorHAnsi" w:hAnsiTheme="minorHAnsi" w:cstheme="minorHAnsi"/>
                <w:sz w:val="20"/>
                <w:szCs w:val="20"/>
              </w:rPr>
              <w:t>0,01099 PJ</w:t>
            </w:r>
          </w:p>
        </w:tc>
      </w:tr>
      <w:tr w:rsidR="00B35BCD" w:rsidRPr="00361664" w:rsidTr="005E6F15">
        <w:trPr>
          <w:trHeight w:val="355"/>
        </w:trPr>
        <w:tc>
          <w:tcPr>
            <w:tcW w:w="3042" w:type="dxa"/>
          </w:tcPr>
          <w:p w:rsidR="00B35BCD" w:rsidRPr="00361664" w:rsidRDefault="00B35BCD" w:rsidP="002A36F8">
            <w:pPr>
              <w:jc w:val="center"/>
              <w:rPr>
                <w:rFonts w:asciiTheme="minorHAnsi" w:hAnsiTheme="minorHAnsi" w:cstheme="minorHAnsi"/>
                <w:sz w:val="20"/>
                <w:szCs w:val="20"/>
              </w:rPr>
            </w:pPr>
            <w:r w:rsidRPr="00361664">
              <w:rPr>
                <w:rFonts w:asciiTheme="minorHAnsi" w:hAnsiTheme="minorHAnsi" w:cstheme="minorHAnsi"/>
                <w:sz w:val="20"/>
                <w:szCs w:val="20"/>
              </w:rPr>
              <w:t xml:space="preserve">2015. </w:t>
            </w:r>
          </w:p>
        </w:tc>
        <w:tc>
          <w:tcPr>
            <w:tcW w:w="3332" w:type="dxa"/>
          </w:tcPr>
          <w:p w:rsidR="00B35BCD" w:rsidRPr="00361664" w:rsidRDefault="00B35BCD" w:rsidP="002A36F8">
            <w:pPr>
              <w:jc w:val="center"/>
              <w:rPr>
                <w:rFonts w:asciiTheme="minorHAnsi" w:hAnsiTheme="minorHAnsi" w:cstheme="minorHAnsi"/>
                <w:bCs/>
                <w:sz w:val="20"/>
                <w:szCs w:val="20"/>
              </w:rPr>
            </w:pPr>
            <w:r w:rsidRPr="00361664">
              <w:rPr>
                <w:rFonts w:asciiTheme="minorHAnsi" w:hAnsiTheme="minorHAnsi" w:cstheme="minorHAnsi"/>
                <w:bCs/>
                <w:sz w:val="20"/>
                <w:szCs w:val="20"/>
              </w:rPr>
              <w:t>0,00489 PJ</w:t>
            </w:r>
          </w:p>
        </w:tc>
        <w:tc>
          <w:tcPr>
            <w:tcW w:w="2693" w:type="dxa"/>
          </w:tcPr>
          <w:p w:rsidR="00B35BCD" w:rsidRPr="00361664" w:rsidRDefault="00B35BCD" w:rsidP="002A36F8">
            <w:pPr>
              <w:jc w:val="center"/>
              <w:rPr>
                <w:rFonts w:asciiTheme="minorHAnsi" w:hAnsiTheme="minorHAnsi" w:cstheme="minorHAnsi"/>
                <w:sz w:val="20"/>
                <w:szCs w:val="20"/>
              </w:rPr>
            </w:pPr>
            <w:r w:rsidRPr="00361664">
              <w:rPr>
                <w:rFonts w:asciiTheme="minorHAnsi" w:hAnsiTheme="minorHAnsi" w:cstheme="minorHAnsi"/>
                <w:sz w:val="20"/>
                <w:szCs w:val="20"/>
              </w:rPr>
              <w:t>0,06136 PJ</w:t>
            </w:r>
          </w:p>
        </w:tc>
      </w:tr>
      <w:tr w:rsidR="00B35BCD" w:rsidRPr="00361664" w:rsidTr="005E6F15">
        <w:trPr>
          <w:trHeight w:val="355"/>
        </w:trPr>
        <w:tc>
          <w:tcPr>
            <w:tcW w:w="3042" w:type="dxa"/>
          </w:tcPr>
          <w:p w:rsidR="00B35BCD" w:rsidRPr="00361664" w:rsidRDefault="00B35BCD" w:rsidP="002A36F8">
            <w:pPr>
              <w:jc w:val="center"/>
              <w:rPr>
                <w:rFonts w:asciiTheme="minorHAnsi" w:hAnsiTheme="minorHAnsi" w:cstheme="minorHAnsi"/>
                <w:sz w:val="20"/>
                <w:szCs w:val="20"/>
              </w:rPr>
            </w:pPr>
            <w:r w:rsidRPr="00361664">
              <w:rPr>
                <w:rFonts w:asciiTheme="minorHAnsi" w:hAnsiTheme="minorHAnsi" w:cstheme="minorHAnsi"/>
                <w:sz w:val="20"/>
                <w:szCs w:val="20"/>
              </w:rPr>
              <w:t>2016.</w:t>
            </w:r>
          </w:p>
        </w:tc>
        <w:tc>
          <w:tcPr>
            <w:tcW w:w="3332" w:type="dxa"/>
          </w:tcPr>
          <w:p w:rsidR="00B35BCD" w:rsidRPr="00361664" w:rsidRDefault="00B35BCD" w:rsidP="002A36F8">
            <w:pPr>
              <w:jc w:val="center"/>
              <w:rPr>
                <w:rFonts w:asciiTheme="minorHAnsi" w:hAnsiTheme="minorHAnsi" w:cstheme="minorHAnsi"/>
                <w:bCs/>
                <w:sz w:val="20"/>
                <w:szCs w:val="20"/>
              </w:rPr>
            </w:pPr>
            <w:r w:rsidRPr="00361664">
              <w:rPr>
                <w:rFonts w:asciiTheme="minorHAnsi" w:hAnsiTheme="minorHAnsi" w:cstheme="minorHAnsi"/>
                <w:bCs/>
                <w:sz w:val="20"/>
                <w:szCs w:val="20"/>
              </w:rPr>
              <w:t>0,00489 PJ</w:t>
            </w:r>
          </w:p>
        </w:tc>
        <w:tc>
          <w:tcPr>
            <w:tcW w:w="2693" w:type="dxa"/>
          </w:tcPr>
          <w:p w:rsidR="00B35BCD" w:rsidRPr="00361664" w:rsidRDefault="003B7D52" w:rsidP="002A36F8">
            <w:pPr>
              <w:jc w:val="center"/>
              <w:rPr>
                <w:rFonts w:asciiTheme="minorHAnsi" w:hAnsiTheme="minorHAnsi" w:cstheme="minorHAnsi"/>
                <w:sz w:val="20"/>
                <w:szCs w:val="20"/>
              </w:rPr>
            </w:pPr>
            <w:r w:rsidRPr="00361664">
              <w:rPr>
                <w:rFonts w:asciiTheme="minorHAnsi" w:hAnsiTheme="minorHAnsi" w:cstheme="minorHAnsi"/>
                <w:sz w:val="20"/>
                <w:szCs w:val="20"/>
              </w:rPr>
              <w:t>0,02942 PJ</w:t>
            </w:r>
          </w:p>
        </w:tc>
      </w:tr>
    </w:tbl>
    <w:p w:rsidR="00F1792A" w:rsidRPr="00361664" w:rsidRDefault="00F1792A" w:rsidP="00B35BCD">
      <w:pPr>
        <w:jc w:val="both"/>
        <w:rPr>
          <w:sz w:val="18"/>
          <w:szCs w:val="18"/>
        </w:rPr>
      </w:pPr>
    </w:p>
    <w:p w:rsidR="00882317" w:rsidRPr="00361664" w:rsidRDefault="00F1792A" w:rsidP="00F1792A">
      <w:pPr>
        <w:rPr>
          <w:sz w:val="18"/>
          <w:szCs w:val="18"/>
        </w:rPr>
      </w:pPr>
      <w:r w:rsidRPr="00361664">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882317" w:rsidRPr="00361664" w:rsidTr="00CA3600">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CCFFCC"/>
          </w:tcPr>
          <w:p w:rsidR="00882317" w:rsidRPr="00361664" w:rsidRDefault="00882317" w:rsidP="00CA3600">
            <w:pPr>
              <w:spacing w:after="0"/>
              <w:rPr>
                <w:b/>
                <w:sz w:val="20"/>
              </w:rPr>
            </w:pPr>
            <w:bookmarkStart w:id="38" w:name="_Hlk487804430"/>
            <w:r w:rsidRPr="00361664">
              <w:rPr>
                <w:b/>
                <w:sz w:val="20"/>
              </w:rPr>
              <w:lastRenderedPageBreak/>
              <w:t xml:space="preserve">Naziv mjere </w:t>
            </w:r>
          </w:p>
        </w:tc>
        <w:tc>
          <w:tcPr>
            <w:tcW w:w="3524" w:type="pct"/>
            <w:tcBorders>
              <w:top w:val="single" w:sz="4" w:space="0" w:color="auto"/>
              <w:left w:val="single" w:sz="4" w:space="0" w:color="auto"/>
              <w:bottom w:val="single" w:sz="4" w:space="0" w:color="auto"/>
              <w:right w:val="single" w:sz="4" w:space="0" w:color="auto"/>
            </w:tcBorders>
            <w:shd w:val="clear" w:color="auto" w:fill="CCFFCC"/>
          </w:tcPr>
          <w:p w:rsidR="00882317" w:rsidRPr="00361664" w:rsidRDefault="00882317" w:rsidP="00CA3600">
            <w:pPr>
              <w:spacing w:after="0"/>
              <w:rPr>
                <w:b/>
                <w:sz w:val="20"/>
              </w:rPr>
            </w:pPr>
            <w:r w:rsidRPr="00361664">
              <w:rPr>
                <w:b/>
                <w:sz w:val="20"/>
              </w:rPr>
              <w:t>Produžetak financiranja Program energetske obnove zgrada javnog sektora 2014.-2015.</w:t>
            </w:r>
          </w:p>
        </w:tc>
      </w:tr>
      <w:tr w:rsidR="00882317" w:rsidRPr="00361664" w:rsidTr="00CA3600">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auto"/>
          </w:tcPr>
          <w:p w:rsidR="00882317" w:rsidRPr="00361664" w:rsidRDefault="00882317" w:rsidP="00CA3600">
            <w:pPr>
              <w:spacing w:after="0"/>
              <w:rPr>
                <w:sz w:val="20"/>
              </w:rPr>
            </w:pPr>
            <w:r w:rsidRPr="00361664">
              <w:rPr>
                <w:sz w:val="20"/>
              </w:rPr>
              <w:t>Indeks mjere</w:t>
            </w:r>
          </w:p>
        </w:tc>
        <w:tc>
          <w:tcPr>
            <w:tcW w:w="3524" w:type="pct"/>
            <w:tcBorders>
              <w:top w:val="single" w:sz="4" w:space="0" w:color="auto"/>
              <w:left w:val="single" w:sz="4" w:space="0" w:color="auto"/>
              <w:bottom w:val="single" w:sz="4" w:space="0" w:color="auto"/>
              <w:right w:val="single" w:sz="4" w:space="0" w:color="auto"/>
            </w:tcBorders>
            <w:shd w:val="clear" w:color="auto" w:fill="auto"/>
          </w:tcPr>
          <w:p w:rsidR="00882317" w:rsidRPr="00361664" w:rsidRDefault="00882317" w:rsidP="005E6F15">
            <w:pPr>
              <w:spacing w:after="0" w:line="240" w:lineRule="auto"/>
              <w:rPr>
                <w:sz w:val="20"/>
              </w:rPr>
            </w:pPr>
            <w:r w:rsidRPr="00361664">
              <w:rPr>
                <w:sz w:val="20"/>
              </w:rPr>
              <w:t>P.1</w:t>
            </w:r>
          </w:p>
        </w:tc>
      </w:tr>
      <w:tr w:rsidR="00882317" w:rsidRPr="00361664" w:rsidTr="00CA3600">
        <w:trPr>
          <w:trHeight w:val="20"/>
        </w:trPr>
        <w:tc>
          <w:tcPr>
            <w:tcW w:w="654" w:type="pct"/>
            <w:vMerge w:val="restart"/>
            <w:vAlign w:val="center"/>
          </w:tcPr>
          <w:p w:rsidR="00882317" w:rsidRPr="00361664" w:rsidRDefault="00882317" w:rsidP="00CA3600">
            <w:pPr>
              <w:rPr>
                <w:rFonts w:asciiTheme="minorHAnsi" w:hAnsiTheme="minorHAnsi" w:cstheme="minorHAnsi"/>
                <w:sz w:val="20"/>
                <w:szCs w:val="20"/>
              </w:rPr>
            </w:pPr>
          </w:p>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Opis</w:t>
            </w: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Kategorija</w:t>
            </w:r>
          </w:p>
        </w:tc>
        <w:tc>
          <w:tcPr>
            <w:tcW w:w="3524" w:type="pct"/>
            <w:vAlign w:val="center"/>
          </w:tcPr>
          <w:p w:rsidR="00882317" w:rsidRPr="00361664" w:rsidRDefault="00882317" w:rsidP="005E6F15">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Financijski instrumenti</w:t>
            </w:r>
          </w:p>
        </w:tc>
      </w:tr>
      <w:tr w:rsidR="00882317" w:rsidRPr="00361664" w:rsidTr="00CA3600">
        <w:trPr>
          <w:trHeight w:val="20"/>
        </w:trPr>
        <w:tc>
          <w:tcPr>
            <w:tcW w:w="654" w:type="pct"/>
            <w:vMerge/>
            <w:vAlign w:val="center"/>
          </w:tcPr>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Vremenski okvir</w:t>
            </w:r>
          </w:p>
        </w:tc>
        <w:tc>
          <w:tcPr>
            <w:tcW w:w="3524" w:type="pct"/>
            <w:vAlign w:val="center"/>
          </w:tcPr>
          <w:p w:rsidR="00882317" w:rsidRPr="00361664" w:rsidRDefault="00E902CD" w:rsidP="005E6F15">
            <w:pPr>
              <w:spacing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Trajanje mjere: 2014</w:t>
            </w:r>
            <w:r w:rsidR="00882317" w:rsidRPr="00361664">
              <w:rPr>
                <w:rFonts w:asciiTheme="minorHAnsi" w:hAnsiTheme="minorHAnsi" w:cstheme="minorHAnsi"/>
                <w:color w:val="000000"/>
                <w:sz w:val="20"/>
                <w:szCs w:val="20"/>
                <w:lang w:eastAsia="hr-HR" w:bidi="hr-HR"/>
              </w:rPr>
              <w:t>. - 31.12.2018.</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Cilj / kratak opis</w:t>
            </w:r>
          </w:p>
        </w:tc>
        <w:tc>
          <w:tcPr>
            <w:tcW w:w="3524" w:type="pct"/>
            <w:vAlign w:val="center"/>
          </w:tcPr>
          <w:p w:rsidR="00882317" w:rsidRPr="00361664" w:rsidRDefault="00882317" w:rsidP="005E6F15">
            <w:pPr>
              <w:spacing w:after="0" w:line="240" w:lineRule="auto"/>
              <w:jc w:val="both"/>
              <w:rPr>
                <w:rFonts w:asciiTheme="minorHAnsi" w:hAnsiTheme="minorHAnsi" w:cstheme="minorHAnsi"/>
                <w:sz w:val="20"/>
                <w:szCs w:val="20"/>
              </w:rPr>
            </w:pPr>
            <w:r w:rsidRPr="00361664">
              <w:rPr>
                <w:rFonts w:asciiTheme="minorHAnsi" w:hAnsiTheme="minorHAnsi" w:cstheme="minorHAnsi"/>
                <w:sz w:val="20"/>
                <w:szCs w:val="20"/>
              </w:rPr>
              <w:t>Programom se potiče provođenje energetske obnove zgrada javnog sektora i provedba mjera poboljšanja energetske učinkovitosti u zgradama javnog sektora, kroz poticanje cjelovite obnove zgrada što uključuje mjere na ovojnici zgrade, termo-tehničkim, elektrotehničkim sustavima i zahvate na sustavima vodoopskrbe.</w:t>
            </w:r>
          </w:p>
          <w:p w:rsidR="00882317" w:rsidRPr="00361664" w:rsidRDefault="00882317" w:rsidP="005E6F15">
            <w:pPr>
              <w:spacing w:after="0" w:line="240" w:lineRule="auto"/>
              <w:jc w:val="both"/>
              <w:rPr>
                <w:rFonts w:asciiTheme="minorHAnsi" w:hAnsiTheme="minorHAnsi" w:cstheme="minorHAnsi"/>
                <w:sz w:val="20"/>
                <w:szCs w:val="20"/>
              </w:rPr>
            </w:pPr>
            <w:r w:rsidRPr="00361664">
              <w:rPr>
                <w:rFonts w:asciiTheme="minorHAnsi" w:hAnsiTheme="minorHAnsi" w:cstheme="minorHAnsi"/>
                <w:sz w:val="20"/>
                <w:szCs w:val="20"/>
              </w:rPr>
              <w:t>Produžetkom financiranja Programa osigurava se kontinuirani nastavak energetske obnove zgrada javnog sektora, koji su u tijeku ili u fazi ugovaranja, te se  omogućava  ispunjenje ciljeva energetske učinkovitosti i kontinuitet razvoja ESCO tržišta, a sve  sukladno Direktivi o energetskoj učinkovitosti 2012/27/EU Europskog parlamenta i Vijeća, od 25. listopada 2012.</w:t>
            </w:r>
          </w:p>
          <w:p w:rsidR="00882317" w:rsidRPr="00361664" w:rsidRDefault="00882317" w:rsidP="005E6F15">
            <w:pPr>
              <w:spacing w:after="0" w:line="240" w:lineRule="auto"/>
              <w:jc w:val="both"/>
              <w:rPr>
                <w:rFonts w:asciiTheme="minorHAnsi" w:hAnsiTheme="minorHAnsi" w:cstheme="minorHAnsi"/>
                <w:sz w:val="20"/>
                <w:szCs w:val="20"/>
              </w:rPr>
            </w:pPr>
            <w:r w:rsidRPr="00361664">
              <w:rPr>
                <w:rFonts w:asciiTheme="minorHAnsi" w:hAnsiTheme="minorHAnsi" w:cstheme="minorHAnsi"/>
                <w:sz w:val="20"/>
                <w:szCs w:val="20"/>
              </w:rPr>
              <w:t>Mjerom se predviđa izrada energetskih certifikata zgrada javne namjene i to prije i poslije obnove.</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Ciljna neposredna potrošnja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Sektor usluga - projekti započeti po  Programu  energetske obnove zgrada javnog sektora 2014.-2015. do 31.12.2016.</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Ciljna skupina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Zgrade javnog sektora</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Regionalna primjena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Nacionalno</w:t>
            </w:r>
          </w:p>
        </w:tc>
      </w:tr>
      <w:tr w:rsidR="00882317" w:rsidRPr="00361664" w:rsidTr="00CA3600">
        <w:trPr>
          <w:trHeight w:val="20"/>
        </w:trPr>
        <w:tc>
          <w:tcPr>
            <w:tcW w:w="654" w:type="pct"/>
            <w:vMerge w:val="restar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Informacije o  provedbi</w:t>
            </w: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 xml:space="preserve">Popis i opis aktivnosti za provođenje mjere </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U 2016. godini, u fazi realizacije bilo je još 11 ugovora, što znači da je u tijeku obnova 45 zgrada, ukupno oko 111.988,73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neto korisne površine.</w:t>
            </w:r>
          </w:p>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U postupku ugovaranja je još 6 ugovora, kojima će se obnoviti 42 zgrade, oko 149.891,83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neto korisne površine.</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Financijska sredstva i izvori financiranja</w:t>
            </w:r>
          </w:p>
        </w:tc>
        <w:tc>
          <w:tcPr>
            <w:tcW w:w="3524" w:type="pct"/>
            <w:vAlign w:val="center"/>
          </w:tcPr>
          <w:p w:rsidR="00882317" w:rsidRPr="00361664" w:rsidRDefault="00882317" w:rsidP="008A6671">
            <w:pPr>
              <w:spacing w:after="0"/>
              <w:jc w:val="both"/>
              <w:rPr>
                <w:sz w:val="20"/>
                <w:szCs w:val="20"/>
              </w:rPr>
            </w:pPr>
          </w:p>
          <w:p w:rsidR="00851225" w:rsidRPr="00361664" w:rsidRDefault="00851225" w:rsidP="008A6671">
            <w:pPr>
              <w:spacing w:after="0"/>
              <w:jc w:val="both"/>
              <w:rPr>
                <w:sz w:val="20"/>
                <w:szCs w:val="20"/>
              </w:rPr>
            </w:pPr>
            <w:r w:rsidRPr="00361664">
              <w:rPr>
                <w:sz w:val="20"/>
                <w:szCs w:val="20"/>
              </w:rPr>
              <w:t>Izvori financiranja:</w:t>
            </w:r>
          </w:p>
          <w:p w:rsidR="00851225" w:rsidRPr="00361664" w:rsidRDefault="00851225" w:rsidP="008A6671">
            <w:pPr>
              <w:spacing w:after="0"/>
              <w:jc w:val="both"/>
              <w:rPr>
                <w:sz w:val="20"/>
                <w:szCs w:val="20"/>
              </w:rPr>
            </w:pPr>
            <w:r w:rsidRPr="00361664">
              <w:rPr>
                <w:sz w:val="20"/>
                <w:szCs w:val="20"/>
              </w:rPr>
              <w:t xml:space="preserve">FZOEU: </w:t>
            </w:r>
            <w:r w:rsidR="004A6283" w:rsidRPr="00361664">
              <w:rPr>
                <w:sz w:val="20"/>
                <w:szCs w:val="20"/>
              </w:rPr>
              <w:t>32.600.620</w:t>
            </w:r>
            <w:r w:rsidRPr="00361664">
              <w:rPr>
                <w:sz w:val="20"/>
                <w:szCs w:val="20"/>
              </w:rPr>
              <w:t>,00 kn do kraja 2019. godine</w:t>
            </w:r>
          </w:p>
          <w:p w:rsidR="00851225" w:rsidRPr="00361664" w:rsidRDefault="00851225" w:rsidP="008A6671">
            <w:pPr>
              <w:spacing w:after="0"/>
              <w:jc w:val="both"/>
              <w:rPr>
                <w:sz w:val="20"/>
                <w:szCs w:val="20"/>
              </w:rPr>
            </w:pPr>
            <w:r w:rsidRPr="00361664">
              <w:rPr>
                <w:sz w:val="20"/>
                <w:szCs w:val="20"/>
              </w:rPr>
              <w:t xml:space="preserve">APN: </w:t>
            </w:r>
            <w:r w:rsidR="009F6928" w:rsidRPr="00361664">
              <w:rPr>
                <w:sz w:val="20"/>
                <w:szCs w:val="20"/>
              </w:rPr>
              <w:t>16</w:t>
            </w:r>
            <w:r w:rsidR="00A526B6" w:rsidRPr="00361664">
              <w:rPr>
                <w:sz w:val="20"/>
                <w:szCs w:val="20"/>
              </w:rPr>
              <w:t>.3</w:t>
            </w:r>
            <w:r w:rsidR="004A6283" w:rsidRPr="00361664">
              <w:rPr>
                <w:sz w:val="20"/>
                <w:szCs w:val="20"/>
              </w:rPr>
              <w:t>79.723</w:t>
            </w:r>
            <w:r w:rsidRPr="00361664">
              <w:rPr>
                <w:sz w:val="20"/>
                <w:szCs w:val="20"/>
              </w:rPr>
              <w:t>,00 kn do kraja 2019. godine</w:t>
            </w:r>
          </w:p>
          <w:p w:rsidR="00851225" w:rsidRPr="00361664" w:rsidRDefault="008E699F" w:rsidP="009F6928">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Ukupno predviđena sredstva za razdoblje do kraja 2019. godine iznose </w:t>
            </w:r>
            <w:r w:rsidR="009F6928" w:rsidRPr="00361664">
              <w:rPr>
                <w:rFonts w:asciiTheme="minorHAnsi" w:hAnsiTheme="minorHAnsi" w:cstheme="minorHAnsi"/>
                <w:sz w:val="20"/>
                <w:szCs w:val="20"/>
              </w:rPr>
              <w:t>48</w:t>
            </w:r>
            <w:r w:rsidR="00A526B6" w:rsidRPr="00361664">
              <w:rPr>
                <w:rFonts w:asciiTheme="minorHAnsi" w:hAnsiTheme="minorHAnsi" w:cstheme="minorHAnsi"/>
                <w:sz w:val="20"/>
                <w:szCs w:val="20"/>
              </w:rPr>
              <w:t>.9</w:t>
            </w:r>
            <w:r w:rsidR="004A6283" w:rsidRPr="00361664">
              <w:rPr>
                <w:rFonts w:asciiTheme="minorHAnsi" w:hAnsiTheme="minorHAnsi" w:cstheme="minorHAnsi"/>
                <w:sz w:val="20"/>
                <w:szCs w:val="20"/>
              </w:rPr>
              <w:t>80.343</w:t>
            </w:r>
            <w:r w:rsidR="00753565" w:rsidRPr="00361664">
              <w:rPr>
                <w:rFonts w:asciiTheme="minorHAnsi" w:hAnsiTheme="minorHAnsi" w:cstheme="minorHAnsi"/>
                <w:sz w:val="20"/>
                <w:szCs w:val="20"/>
              </w:rPr>
              <w:t>,00 kn</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Izvršno  tijelo</w:t>
            </w:r>
          </w:p>
        </w:tc>
        <w:tc>
          <w:tcPr>
            <w:tcW w:w="3524" w:type="pct"/>
            <w:vAlign w:val="center"/>
          </w:tcPr>
          <w:p w:rsidR="00882317" w:rsidRPr="00361664" w:rsidRDefault="00882317" w:rsidP="005E6F15">
            <w:pPr>
              <w:spacing w:after="0"/>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MGIPU - izrađuje Program i nadzire njegovu provedbu</w:t>
            </w:r>
          </w:p>
          <w:p w:rsidR="00882317" w:rsidRPr="00361664" w:rsidRDefault="00882317" w:rsidP="005E6F15">
            <w:pPr>
              <w:spacing w:after="0"/>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APN – provodi Program</w:t>
            </w:r>
          </w:p>
          <w:p w:rsidR="00882317" w:rsidRPr="00361664" w:rsidRDefault="00882317" w:rsidP="005E6F15">
            <w:pPr>
              <w:spacing w:after="0"/>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FZOEU - osigurava sredstva</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640C0B" w:rsidP="005E6F15">
            <w:pPr>
              <w:spacing w:after="0"/>
              <w:rPr>
                <w:rFonts w:asciiTheme="minorHAnsi" w:hAnsiTheme="minorHAnsi" w:cstheme="minorHAnsi"/>
                <w:sz w:val="20"/>
                <w:szCs w:val="20"/>
              </w:rPr>
            </w:pPr>
            <w:r w:rsidRPr="00361664">
              <w:rPr>
                <w:rFonts w:asciiTheme="minorHAnsi" w:hAnsiTheme="minorHAnsi" w:cstheme="minorHAnsi"/>
                <w:sz w:val="20"/>
                <w:szCs w:val="20"/>
              </w:rPr>
              <w:t>Tijelo za praćenje, mjerenje i verifikaciju ušteda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NKT </w:t>
            </w:r>
          </w:p>
        </w:tc>
      </w:tr>
      <w:tr w:rsidR="00882317" w:rsidRPr="00361664" w:rsidTr="00CA3600">
        <w:trPr>
          <w:trHeight w:val="20"/>
        </w:trPr>
        <w:tc>
          <w:tcPr>
            <w:tcW w:w="654" w:type="pct"/>
            <w:vMerge w:val="restar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Uštede energije</w:t>
            </w:r>
          </w:p>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Metoda praćenja / mjerenja ušteda energije</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color w:val="000000"/>
                <w:sz w:val="20"/>
                <w:szCs w:val="20"/>
                <w:lang w:eastAsia="hr-HR" w:bidi="hr-HR"/>
              </w:rPr>
              <w:t xml:space="preserve">Učinci mjere pratit će se kroz nacionalni </w:t>
            </w:r>
            <w:r w:rsidRPr="00361664">
              <w:rPr>
                <w:rFonts w:asciiTheme="minorHAnsi" w:hAnsiTheme="minorHAnsi"/>
                <w:color w:val="000000"/>
                <w:sz w:val="20"/>
              </w:rPr>
              <w:t xml:space="preserve">Sustav za </w:t>
            </w:r>
            <w:r w:rsidR="00154EC2" w:rsidRPr="00361664">
              <w:rPr>
                <w:sz w:val="20"/>
                <w:szCs w:val="20"/>
              </w:rPr>
              <w:t xml:space="preserve">praćenje, </w:t>
            </w:r>
            <w:r w:rsidRPr="00361664">
              <w:rPr>
                <w:rFonts w:asciiTheme="minorHAnsi" w:hAnsiTheme="minorHAnsi"/>
                <w:color w:val="000000"/>
                <w:sz w:val="20"/>
              </w:rPr>
              <w:t xml:space="preserve">mjerenje i verifikaciju </w:t>
            </w:r>
            <w:r w:rsidR="00154EC2" w:rsidRPr="00361664">
              <w:rPr>
                <w:sz w:val="20"/>
                <w:szCs w:val="20"/>
              </w:rPr>
              <w:t xml:space="preserve">ušteda energije </w:t>
            </w:r>
            <w:r w:rsidRPr="00361664">
              <w:rPr>
                <w:rFonts w:asciiTheme="minorHAnsi" w:hAnsiTheme="minorHAnsi" w:cstheme="minorHAnsi"/>
                <w:color w:val="000000"/>
                <w:sz w:val="20"/>
                <w:szCs w:val="20"/>
                <w:lang w:eastAsia="hr-HR" w:bidi="hr-HR"/>
              </w:rPr>
              <w:t>(SMIV)</w:t>
            </w:r>
            <w:r w:rsidR="00154EC2" w:rsidRPr="00361664">
              <w:rPr>
                <w:rFonts w:asciiTheme="minorHAnsi" w:hAnsiTheme="minorHAnsi" w:cstheme="minorHAnsi"/>
                <w:color w:val="000000"/>
                <w:sz w:val="20"/>
                <w:szCs w:val="20"/>
                <w:lang w:eastAsia="hr-HR" w:bidi="hr-HR"/>
              </w:rPr>
              <w:t>.</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A9135D" w:rsidP="005E6F15">
            <w:pPr>
              <w:spacing w:after="0"/>
              <w:rPr>
                <w:rFonts w:asciiTheme="minorHAnsi" w:hAnsiTheme="minorHAnsi" w:cstheme="minorHAnsi"/>
                <w:sz w:val="20"/>
                <w:szCs w:val="20"/>
              </w:rPr>
            </w:pPr>
            <w:r w:rsidRPr="00361664">
              <w:rPr>
                <w:rFonts w:asciiTheme="minorHAnsi" w:hAnsiTheme="minorHAnsi" w:cstheme="minorHAnsi"/>
                <w:sz w:val="20"/>
                <w:szCs w:val="20"/>
              </w:rPr>
              <w:t>Očekivane uštede energije do kraja 2019.</w:t>
            </w:r>
          </w:p>
        </w:tc>
        <w:tc>
          <w:tcPr>
            <w:tcW w:w="3524" w:type="pct"/>
            <w:shd w:val="clear" w:color="auto" w:fill="auto"/>
            <w:vAlign w:val="center"/>
          </w:tcPr>
          <w:p w:rsidR="00882317" w:rsidRPr="00361664" w:rsidRDefault="00635086" w:rsidP="005E6F15">
            <w:pPr>
              <w:spacing w:after="0"/>
              <w:jc w:val="both"/>
              <w:rPr>
                <w:rFonts w:asciiTheme="minorHAnsi" w:hAnsiTheme="minorHAnsi" w:cstheme="minorHAnsi"/>
                <w:color w:val="000000" w:themeColor="text1"/>
                <w:sz w:val="20"/>
                <w:szCs w:val="20"/>
              </w:rPr>
            </w:pPr>
            <w:r w:rsidRPr="00361664">
              <w:rPr>
                <w:rFonts w:asciiTheme="minorHAnsi" w:hAnsiTheme="minorHAnsi" w:cstheme="minorHAnsi"/>
                <w:color w:val="000000" w:themeColor="text1"/>
                <w:sz w:val="20"/>
                <w:szCs w:val="20"/>
              </w:rPr>
              <w:t>70 TJ</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4831DF" w:rsidP="005E6F15">
            <w:pPr>
              <w:spacing w:after="0"/>
              <w:rPr>
                <w:rFonts w:asciiTheme="minorHAnsi" w:hAnsiTheme="minorHAnsi" w:cstheme="minorHAnsi"/>
                <w:sz w:val="20"/>
                <w:szCs w:val="20"/>
              </w:rPr>
            </w:pPr>
            <w:r w:rsidRPr="00361664">
              <w:rPr>
                <w:rFonts w:asciiTheme="minorHAnsi" w:hAnsiTheme="minorHAnsi" w:cstheme="minorHAnsi"/>
                <w:sz w:val="20"/>
                <w:szCs w:val="20"/>
              </w:rPr>
              <w:t>Očekivane uštede energije do kraja 2020.</w:t>
            </w:r>
          </w:p>
        </w:tc>
        <w:tc>
          <w:tcPr>
            <w:tcW w:w="3524" w:type="pct"/>
            <w:vAlign w:val="center"/>
          </w:tcPr>
          <w:p w:rsidR="00882317" w:rsidRPr="00361664" w:rsidRDefault="00635086" w:rsidP="005E6F15">
            <w:pPr>
              <w:spacing w:after="0"/>
              <w:jc w:val="both"/>
              <w:rPr>
                <w:rFonts w:asciiTheme="minorHAnsi" w:hAnsiTheme="minorHAnsi" w:cstheme="minorHAnsi"/>
                <w:color w:val="000000" w:themeColor="text1"/>
                <w:sz w:val="20"/>
                <w:szCs w:val="20"/>
              </w:rPr>
            </w:pPr>
            <w:r w:rsidRPr="00361664">
              <w:rPr>
                <w:rFonts w:asciiTheme="minorHAnsi" w:hAnsiTheme="minorHAnsi" w:cstheme="minorHAnsi"/>
                <w:color w:val="000000" w:themeColor="text1"/>
                <w:sz w:val="20"/>
                <w:szCs w:val="20"/>
              </w:rPr>
              <w:t>110 TJ</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Pretpostavke</w:t>
            </w:r>
          </w:p>
          <w:p w:rsidR="00882317" w:rsidRPr="00361664" w:rsidRDefault="00882317" w:rsidP="005E6F15">
            <w:pPr>
              <w:spacing w:after="0"/>
              <w:rPr>
                <w:rFonts w:asciiTheme="minorHAnsi" w:hAnsiTheme="minorHAnsi" w:cstheme="minorHAnsi"/>
                <w:sz w:val="20"/>
                <w:szCs w:val="20"/>
              </w:rPr>
            </w:pP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Pretpostavlja se da će se ovim putem premostiti financijski jaz između Programa energetske obnove zgrada javnog sektora 2014-2015. i Programa energetske obnove zgrada javnog sektora 2016-2020. , te da obnove koje su u tijeku realizacije i u postupku ugovaranja neće stati.</w:t>
            </w:r>
          </w:p>
          <w:p w:rsidR="00882317" w:rsidRPr="00361664" w:rsidRDefault="00882317" w:rsidP="00376B4C">
            <w:pPr>
              <w:spacing w:after="0"/>
              <w:jc w:val="both"/>
              <w:rPr>
                <w:rFonts w:asciiTheme="minorHAnsi" w:hAnsiTheme="minorHAnsi" w:cstheme="minorHAnsi"/>
                <w:sz w:val="20"/>
                <w:szCs w:val="20"/>
              </w:rPr>
            </w:pP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Preklapanja, efekt množenja, sinergija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Potrebno je i korisnicima zgrada i javnosti redovito prezentirati dovršene projekte i koristi koje su obnove donijele korisnicima, te uštede vlasniku tj. državi.</w:t>
            </w:r>
          </w:p>
          <w:p w:rsidR="00882317" w:rsidRPr="00361664" w:rsidRDefault="00882317" w:rsidP="005E6F15">
            <w:pPr>
              <w:spacing w:after="0"/>
              <w:jc w:val="both"/>
              <w:rPr>
                <w:rFonts w:asciiTheme="minorHAnsi" w:hAnsiTheme="minorHAnsi" w:cstheme="minorHAnsi"/>
                <w:sz w:val="20"/>
                <w:szCs w:val="20"/>
              </w:rPr>
            </w:pPr>
          </w:p>
        </w:tc>
      </w:tr>
      <w:bookmarkEnd w:id="38"/>
    </w:tbl>
    <w:p w:rsidR="00F1792A" w:rsidRPr="00361664" w:rsidRDefault="00F1792A" w:rsidP="00651BCA">
      <w:pPr>
        <w:jc w:val="both"/>
        <w:rPr>
          <w:sz w:val="20"/>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882317" w:rsidRPr="00361664" w:rsidTr="00CA3600">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CCFFCC"/>
          </w:tcPr>
          <w:p w:rsidR="00882317" w:rsidRPr="00361664" w:rsidRDefault="00882317" w:rsidP="00CA3600">
            <w:pPr>
              <w:spacing w:after="0"/>
              <w:rPr>
                <w:b/>
                <w:sz w:val="20"/>
                <w:szCs w:val="20"/>
              </w:rPr>
            </w:pPr>
            <w:r w:rsidRPr="00361664">
              <w:rPr>
                <w:b/>
                <w:sz w:val="20"/>
                <w:szCs w:val="20"/>
              </w:rPr>
              <w:t xml:space="preserve">Naziv mjere </w:t>
            </w:r>
          </w:p>
        </w:tc>
        <w:tc>
          <w:tcPr>
            <w:tcW w:w="3524" w:type="pct"/>
            <w:tcBorders>
              <w:top w:val="single" w:sz="4" w:space="0" w:color="auto"/>
              <w:left w:val="single" w:sz="4" w:space="0" w:color="auto"/>
              <w:bottom w:val="single" w:sz="4" w:space="0" w:color="auto"/>
              <w:right w:val="single" w:sz="4" w:space="0" w:color="auto"/>
            </w:tcBorders>
            <w:shd w:val="clear" w:color="auto" w:fill="CCFFCC"/>
          </w:tcPr>
          <w:p w:rsidR="00882317" w:rsidRPr="00361664" w:rsidRDefault="00882317" w:rsidP="00CA3600">
            <w:pPr>
              <w:spacing w:after="0"/>
              <w:rPr>
                <w:b/>
                <w:sz w:val="20"/>
                <w:szCs w:val="20"/>
              </w:rPr>
            </w:pPr>
            <w:r w:rsidRPr="00361664">
              <w:rPr>
                <w:b/>
                <w:sz w:val="20"/>
                <w:szCs w:val="20"/>
              </w:rPr>
              <w:t>Program energetske obnove zgrada javnog sektora 2016.-2020.</w:t>
            </w:r>
          </w:p>
        </w:tc>
      </w:tr>
      <w:tr w:rsidR="00882317" w:rsidRPr="00361664" w:rsidTr="00CA3600">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auto"/>
          </w:tcPr>
          <w:p w:rsidR="00882317" w:rsidRPr="00361664" w:rsidRDefault="00882317" w:rsidP="00CA3600">
            <w:pPr>
              <w:spacing w:after="0"/>
              <w:rPr>
                <w:sz w:val="20"/>
                <w:szCs w:val="20"/>
              </w:rPr>
            </w:pPr>
            <w:r w:rsidRPr="00361664">
              <w:rPr>
                <w:sz w:val="20"/>
                <w:szCs w:val="20"/>
              </w:rPr>
              <w:t>Indeks mjere</w:t>
            </w:r>
          </w:p>
        </w:tc>
        <w:tc>
          <w:tcPr>
            <w:tcW w:w="3524" w:type="pct"/>
            <w:tcBorders>
              <w:top w:val="single" w:sz="4" w:space="0" w:color="auto"/>
              <w:left w:val="single" w:sz="4" w:space="0" w:color="auto"/>
              <w:bottom w:val="single" w:sz="4" w:space="0" w:color="auto"/>
              <w:right w:val="single" w:sz="4" w:space="0" w:color="auto"/>
            </w:tcBorders>
            <w:shd w:val="clear" w:color="auto" w:fill="auto"/>
          </w:tcPr>
          <w:p w:rsidR="00882317" w:rsidRPr="00361664" w:rsidRDefault="00882317" w:rsidP="005E6F15">
            <w:pPr>
              <w:spacing w:after="0" w:line="240" w:lineRule="auto"/>
              <w:rPr>
                <w:sz w:val="20"/>
                <w:szCs w:val="20"/>
              </w:rPr>
            </w:pPr>
            <w:r w:rsidRPr="00361664">
              <w:rPr>
                <w:sz w:val="20"/>
                <w:szCs w:val="20"/>
              </w:rPr>
              <w:t>P.2</w:t>
            </w:r>
          </w:p>
        </w:tc>
      </w:tr>
      <w:tr w:rsidR="00882317" w:rsidRPr="00361664" w:rsidTr="00CA3600">
        <w:trPr>
          <w:trHeight w:val="20"/>
        </w:trPr>
        <w:tc>
          <w:tcPr>
            <w:tcW w:w="654" w:type="pct"/>
            <w:vMerge w:val="restart"/>
            <w:vAlign w:val="center"/>
          </w:tcPr>
          <w:p w:rsidR="00882317" w:rsidRPr="00361664" w:rsidRDefault="00882317" w:rsidP="00CA3600">
            <w:pPr>
              <w:rPr>
                <w:rFonts w:asciiTheme="minorHAnsi" w:hAnsiTheme="minorHAnsi" w:cstheme="minorHAnsi"/>
                <w:sz w:val="20"/>
                <w:szCs w:val="20"/>
              </w:rPr>
            </w:pPr>
          </w:p>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Opis</w:t>
            </w: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Kategorija</w:t>
            </w:r>
          </w:p>
        </w:tc>
        <w:tc>
          <w:tcPr>
            <w:tcW w:w="3524" w:type="pct"/>
            <w:vAlign w:val="center"/>
          </w:tcPr>
          <w:p w:rsidR="00882317" w:rsidRPr="00361664" w:rsidRDefault="00882317" w:rsidP="005E6F15">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Financijski instrumenti</w:t>
            </w:r>
            <w:r w:rsidR="00C774BA" w:rsidRPr="00361664">
              <w:rPr>
                <w:rFonts w:asciiTheme="minorHAnsi" w:hAnsiTheme="minorHAnsi" w:cstheme="minorHAnsi"/>
                <w:sz w:val="20"/>
                <w:szCs w:val="20"/>
              </w:rPr>
              <w:t>, energetska usluga i nepovratna sredstva</w:t>
            </w:r>
          </w:p>
        </w:tc>
      </w:tr>
      <w:tr w:rsidR="00882317" w:rsidRPr="00361664" w:rsidTr="00CA3600">
        <w:trPr>
          <w:trHeight w:val="20"/>
        </w:trPr>
        <w:tc>
          <w:tcPr>
            <w:tcW w:w="654" w:type="pct"/>
            <w:vMerge/>
            <w:vAlign w:val="center"/>
          </w:tcPr>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Vremenski okvir</w:t>
            </w:r>
          </w:p>
        </w:tc>
        <w:tc>
          <w:tcPr>
            <w:tcW w:w="3524" w:type="pct"/>
            <w:vAlign w:val="center"/>
          </w:tcPr>
          <w:p w:rsidR="00882317" w:rsidRPr="00361664" w:rsidRDefault="00882317" w:rsidP="005E6F15">
            <w:pPr>
              <w:spacing w:after="0" w:line="240" w:lineRule="auto"/>
              <w:rPr>
                <w:sz w:val="20"/>
                <w:szCs w:val="20"/>
              </w:rPr>
            </w:pPr>
            <w:r w:rsidRPr="00361664">
              <w:rPr>
                <w:sz w:val="20"/>
                <w:szCs w:val="20"/>
              </w:rPr>
              <w:t xml:space="preserve">Početak:  srpanj 2017. </w:t>
            </w:r>
          </w:p>
          <w:p w:rsidR="00882317" w:rsidRPr="00361664" w:rsidRDefault="00882317" w:rsidP="005E6F15">
            <w:pPr>
              <w:spacing w:after="0" w:line="240" w:lineRule="auto"/>
              <w:rPr>
                <w:sz w:val="20"/>
                <w:szCs w:val="20"/>
              </w:rPr>
            </w:pPr>
            <w:r w:rsidRPr="00361664">
              <w:rPr>
                <w:sz w:val="20"/>
                <w:szCs w:val="20"/>
              </w:rPr>
              <w:t>Kraj:  31.12.2020.</w:t>
            </w:r>
          </w:p>
        </w:tc>
      </w:tr>
      <w:tr w:rsidR="00882317" w:rsidRPr="00361664" w:rsidTr="00CA3600">
        <w:trPr>
          <w:trHeight w:val="20"/>
        </w:trPr>
        <w:tc>
          <w:tcPr>
            <w:tcW w:w="654" w:type="pct"/>
            <w:vMerge/>
            <w:vAlign w:val="center"/>
          </w:tcPr>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Cilj / kratak opis</w:t>
            </w:r>
          </w:p>
        </w:tc>
        <w:tc>
          <w:tcPr>
            <w:tcW w:w="3524" w:type="pct"/>
            <w:vAlign w:val="center"/>
          </w:tcPr>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Cilj Programa je podizanje razine aktivnosti u energetskoj obnovi na 3% ukupnog fonda zgrada javnog sektora godišnje, smanjenje potrošnje energije za hlađenje/grijanje obnovljenih zgrada javnog sektora do 70 %, odnosno godišnja ušteda od  50 GWh i ispunjenje ciljeva ušteda energije zgrada javnog sektora uključujući mjere alternativne politike određene u Trećem nacionalnom akcijskom planu energetske učinkovitosti za razdoblje 2014. - 2016.</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Program energetske obnove zgrada javnog sektora odnosi se na zgrade centralne države (ministarstva i tijela državne uprave) te zgrade jedinica lokalne i područne(regionalne) samouprave odnosno zgrade u vlasništvu javnog sektora u kojima se obavljaju društvene djelatnosti (odgoja, obrazovanja, prosvjete, znanosti, kulture, sporta, zdravstva i socijalne skrbi), djelatnosti državnih tijela i organizacija kao i tijela i organizacija lokalne i područne (regionalne) samouprave, djelatnosti pravnih osoba s javnim ovlastima, zatim zgrade za stanovanje zajednica, zgrade udruga građana i vjerskih zajednica.</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Program osigurava kontinuitet ispunjenje zahtjeva sukladno Direktivi  2012/27/EU Europskog parlamenta i Vijeća od 25. listopada 2012. godine o energetskoj učinkovitosti kojom se od država članica traži da od 1. siječnja 2014. svake godine obnove 3% ukupne površine poda grijanih i/ili hlađenih zgrada u vlasništvu i uporabi središnje vlasti, odnosno da alternativnim pristupom postignu uštede energije u zgradama središnje vlasti jednak uštedama energije dobivenima putem stope obnove od 3 %.</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Ciljna neposredna potrošnja</w:t>
            </w:r>
          </w:p>
        </w:tc>
        <w:tc>
          <w:tcPr>
            <w:tcW w:w="3524" w:type="pct"/>
            <w:vAlign w:val="center"/>
          </w:tcPr>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Svi oblici i sustavi potrošnje</w:t>
            </w:r>
            <w:r w:rsidR="00E902CD" w:rsidRPr="00361664">
              <w:rPr>
                <w:rFonts w:asciiTheme="minorHAnsi" w:hAnsiTheme="minorHAnsi" w:cstheme="minorHAnsi"/>
                <w:sz w:val="20"/>
                <w:szCs w:val="20"/>
              </w:rPr>
              <w:t xml:space="preserve"> energije i vode</w:t>
            </w:r>
            <w:r w:rsidRPr="00361664">
              <w:rPr>
                <w:rFonts w:asciiTheme="minorHAnsi" w:hAnsiTheme="minorHAnsi" w:cstheme="minorHAnsi"/>
                <w:sz w:val="20"/>
                <w:szCs w:val="20"/>
              </w:rPr>
              <w:t xml:space="preserve"> u javnim zgradama.</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U Republici Hrvatskoj je u 2010. godini evidentirano ukupno 13,8 milijuna metara kvadratnih korisne površine zgrada javnog sektora, prema podacima iz Nacionalnog informacijskog sustava za gospodarenje energijom. Od toga je grijane korisne površine 43,9%. Pretpostavlja se da će se energetska obnova zgrada temeljiti prvenstveno na zgradama građenim prije 1987. godine, s </w:t>
            </w:r>
            <w:r w:rsidRPr="00361664">
              <w:rPr>
                <w:rFonts w:asciiTheme="minorHAnsi" w:hAnsiTheme="minorHAnsi" w:cstheme="minorHAnsi"/>
                <w:sz w:val="20"/>
                <w:szCs w:val="20"/>
              </w:rPr>
              <w:lastRenderedPageBreak/>
              <w:t>prosječnom potrošnjom toplinske energije za grijanje 220-250 kWh/m2.</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Prema analiziranim scenarijima koji nisu međusobno isključivi predviđa se rast  intenziteta energetske obnove zgrada na 327.000 do 473.000 m² s očekivanim kumulativnim  uštedama u primarnoj energiji od 394 do 552 GWh do 2020. godine. </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Obnova zgrade uključuje cjelovitu obnovu, što znači obnovu cjelokupne vanjske ovojnice (toplinsku izolaciju fasade, izmjenu vanjske stolarije, obnovu krova…), te ostale radove predložene prvim energetskim pregledom i certifikatom (zamjena termo-tehničkih sustava, energenta isl.)</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Ciljna skupina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Zgrade javnog sektora, osobito zgrada u kojima se obavljaju društvene djelatnosti odgoja, obrazovanja, prosvjete, znanosti, kulture, sporta, zdravstva i socijalne skrbi</w:t>
            </w:r>
          </w:p>
        </w:tc>
      </w:tr>
      <w:tr w:rsidR="00882317" w:rsidRPr="00361664" w:rsidTr="00CA3600">
        <w:trPr>
          <w:trHeight w:val="20"/>
        </w:trPr>
        <w:tc>
          <w:tcPr>
            <w:tcW w:w="654" w:type="pct"/>
            <w:vMerge/>
            <w:vAlign w:val="center"/>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Regionalna primjena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Nacionalna</w:t>
            </w:r>
          </w:p>
        </w:tc>
      </w:tr>
      <w:tr w:rsidR="00882317" w:rsidRPr="00361664" w:rsidTr="00CA3600">
        <w:trPr>
          <w:trHeight w:val="20"/>
        </w:trPr>
        <w:tc>
          <w:tcPr>
            <w:tcW w:w="654" w:type="pct"/>
            <w:vMerge w:val="restar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Informacije o  provedbi</w:t>
            </w: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 xml:space="preserve">Popis i opis aktivnosti za provođenje mjere </w:t>
            </w:r>
          </w:p>
        </w:tc>
        <w:tc>
          <w:tcPr>
            <w:tcW w:w="3524" w:type="pct"/>
            <w:vAlign w:val="center"/>
          </w:tcPr>
          <w:p w:rsidR="00C774BA" w:rsidRPr="00361664" w:rsidRDefault="00C774BA" w:rsidP="00C774BA">
            <w:pPr>
              <w:spacing w:after="0"/>
              <w:jc w:val="both"/>
              <w:rPr>
                <w:rFonts w:asciiTheme="minorHAnsi" w:hAnsiTheme="minorHAnsi" w:cstheme="minorHAnsi"/>
                <w:sz w:val="20"/>
                <w:szCs w:val="20"/>
              </w:rPr>
            </w:pPr>
            <w:r w:rsidRPr="00361664">
              <w:rPr>
                <w:rFonts w:asciiTheme="minorHAnsi" w:hAnsiTheme="minorHAnsi" w:cstheme="minorHAnsi"/>
                <w:sz w:val="20"/>
                <w:szCs w:val="20"/>
              </w:rPr>
              <w:t>U razdoblju od 2017. do 2020. godine  u energetsku ob</w:t>
            </w:r>
            <w:r w:rsidR="001436C8" w:rsidRPr="00361664">
              <w:rPr>
                <w:rFonts w:asciiTheme="minorHAnsi" w:hAnsiTheme="minorHAnsi" w:cstheme="minorHAnsi"/>
                <w:sz w:val="20"/>
                <w:szCs w:val="20"/>
              </w:rPr>
              <w:t>novu zgrada javnog sektora</w:t>
            </w:r>
            <w:r w:rsidRPr="00361664">
              <w:rPr>
                <w:rFonts w:asciiTheme="minorHAnsi" w:hAnsiTheme="minorHAnsi" w:cstheme="minorHAnsi"/>
                <w:sz w:val="20"/>
                <w:szCs w:val="20"/>
              </w:rPr>
              <w:t xml:space="preserve"> planira se uložiti 2.183.024.814 kuna. Do kraja 2020. godine obnovilo bi se 9,46% ukupnog fonda zgrada javnog sektora RH odnosno 1.305.169 m</w:t>
            </w:r>
            <w:r w:rsidRPr="00361664">
              <w:rPr>
                <w:rFonts w:asciiTheme="minorHAnsi" w:hAnsiTheme="minorHAnsi" w:cstheme="minorHAnsi"/>
                <w:sz w:val="20"/>
                <w:szCs w:val="20"/>
                <w:vertAlign w:val="superscript"/>
              </w:rPr>
              <w:t>2</w:t>
            </w:r>
            <w:r w:rsidRPr="00361664">
              <w:rPr>
                <w:rFonts w:asciiTheme="minorHAnsi" w:hAnsiTheme="minorHAnsi" w:cstheme="minorHAnsi"/>
                <w:sz w:val="20"/>
                <w:szCs w:val="20"/>
              </w:rPr>
              <w:t xml:space="preserve"> zgrada. Uštede u emisijama CO</w:t>
            </w:r>
            <w:r w:rsidRPr="00361664">
              <w:rPr>
                <w:rFonts w:asciiTheme="minorHAnsi" w:hAnsiTheme="minorHAnsi" w:cstheme="minorHAnsi"/>
                <w:sz w:val="20"/>
                <w:szCs w:val="20"/>
                <w:vertAlign w:val="subscript"/>
              </w:rPr>
              <w:t>2</w:t>
            </w:r>
            <w:r w:rsidRPr="00361664">
              <w:rPr>
                <w:rFonts w:asciiTheme="minorHAnsi" w:hAnsiTheme="minorHAnsi" w:cstheme="minorHAnsi"/>
                <w:sz w:val="20"/>
                <w:szCs w:val="20"/>
              </w:rPr>
              <w:t xml:space="preserve"> bi iznosile 80.269 tCO</w:t>
            </w:r>
            <w:r w:rsidRPr="00361664">
              <w:rPr>
                <w:rFonts w:asciiTheme="minorHAnsi" w:hAnsiTheme="minorHAnsi" w:cstheme="minorHAnsi"/>
                <w:sz w:val="20"/>
                <w:szCs w:val="20"/>
                <w:vertAlign w:val="subscript"/>
              </w:rPr>
              <w:t>2</w:t>
            </w:r>
            <w:r w:rsidRPr="00361664">
              <w:rPr>
                <w:rFonts w:asciiTheme="minorHAnsi" w:hAnsiTheme="minorHAnsi" w:cstheme="minorHAnsi"/>
                <w:sz w:val="20"/>
                <w:szCs w:val="20"/>
              </w:rPr>
              <w:t>, dok bi približna financijska ušteda iznosila 142 mil. kuna godišnje nakon cjelovite provedbe programa.</w:t>
            </w:r>
          </w:p>
          <w:p w:rsidR="00C774BA" w:rsidRPr="00361664" w:rsidRDefault="00C774BA" w:rsidP="00C774BA">
            <w:pPr>
              <w:spacing w:after="0"/>
              <w:jc w:val="both"/>
              <w:rPr>
                <w:rFonts w:asciiTheme="minorHAnsi" w:hAnsiTheme="minorHAnsi" w:cstheme="minorHAnsi"/>
                <w:sz w:val="20"/>
                <w:szCs w:val="20"/>
              </w:rPr>
            </w:pPr>
            <w:r w:rsidRPr="00361664">
              <w:rPr>
                <w:rFonts w:asciiTheme="minorHAnsi" w:hAnsiTheme="minorHAnsi" w:cstheme="minorHAnsi"/>
                <w:sz w:val="20"/>
                <w:szCs w:val="20"/>
              </w:rPr>
              <w:t>MGIPU (PT1) izrađuje i objavljuje javne pozive za dodjelu bespovratnih sredstava u skladu sa EU pravilima o sufinanciranju EU sredstvima.</w:t>
            </w:r>
            <w:r w:rsidR="009E45E5" w:rsidRPr="00361664">
              <w:rPr>
                <w:rFonts w:asciiTheme="minorHAnsi" w:hAnsiTheme="minorHAnsi" w:cstheme="minorHAnsi"/>
                <w:sz w:val="20"/>
                <w:szCs w:val="20"/>
              </w:rPr>
              <w:t xml:space="preserve"> U </w:t>
            </w:r>
            <w:r w:rsidRPr="00361664">
              <w:rPr>
                <w:rFonts w:asciiTheme="minorHAnsi" w:hAnsiTheme="minorHAnsi" w:cstheme="minorHAnsi"/>
                <w:sz w:val="20"/>
                <w:szCs w:val="20"/>
              </w:rPr>
              <w:t>javnim pozivimadefinirani su kriteriji za dodjelu sredstava.</w:t>
            </w:r>
          </w:p>
          <w:p w:rsidR="00882317" w:rsidRPr="00361664" w:rsidRDefault="00C774BA" w:rsidP="00C774BA">
            <w:pPr>
              <w:spacing w:after="0"/>
              <w:jc w:val="both"/>
              <w:rPr>
                <w:rFonts w:asciiTheme="minorHAnsi" w:hAnsiTheme="minorHAnsi" w:cstheme="minorHAnsi"/>
                <w:sz w:val="20"/>
                <w:szCs w:val="20"/>
              </w:rPr>
            </w:pPr>
            <w:r w:rsidRPr="00361664">
              <w:rPr>
                <w:rFonts w:asciiTheme="minorHAnsi" w:hAnsiTheme="minorHAnsi" w:cstheme="minorHAnsi"/>
                <w:sz w:val="20"/>
                <w:szCs w:val="20"/>
              </w:rPr>
              <w:t>APN provodi postupke javne nabave za energetsku uslugu u zgradarstvu u ime i za račun proračunskih i izvanproračunskih korisnika državnog proračuna Republike Hrvatske sukladno Zakonu o energetskoj učinkvitosti.</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Financijska sredstva i izvori financiranja</w:t>
            </w:r>
          </w:p>
        </w:tc>
        <w:tc>
          <w:tcPr>
            <w:tcW w:w="3524" w:type="pct"/>
            <w:vAlign w:val="center"/>
          </w:tcPr>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Program se sufinancira sredstvima Europskog fonda za regionalni razvoj u sklopu Prioritetne osi 4. Promicanje energetske učinkovitosti i obnovljivih izvora energije, Investicijskom prioritetu 4c Podupiranje energetske učinkovitosti, pametnog upravljanja energijom i korištenja OIE u javnoj infrastrukturi, uključujući javne zgrade i u stambenom sektoru, Specifičnom cilju 4c1 Smanjenje potrošnje energije u zgradama javnog sektora, Operativnog programa Konkurentnost i kohezija 2014. - 2020. za koji je osigurano 211.810.805,00 </w:t>
            </w:r>
            <w:r w:rsidR="00707EFC" w:rsidRPr="00361664">
              <w:rPr>
                <w:rFonts w:asciiTheme="minorHAnsi" w:hAnsiTheme="minorHAnsi" w:cstheme="minorHAnsi"/>
                <w:sz w:val="20"/>
                <w:szCs w:val="20"/>
              </w:rPr>
              <w:t>EUR</w:t>
            </w:r>
            <w:r w:rsidR="00E90BF2" w:rsidRPr="00361664">
              <w:rPr>
                <w:rFonts w:asciiTheme="minorHAnsi" w:hAnsiTheme="minorHAnsi" w:cstheme="minorHAnsi"/>
                <w:sz w:val="20"/>
                <w:szCs w:val="20"/>
              </w:rPr>
              <w:t xml:space="preserve"> </w:t>
            </w:r>
            <w:r w:rsidRPr="00361664">
              <w:rPr>
                <w:rFonts w:asciiTheme="minorHAnsi" w:hAnsiTheme="minorHAnsi" w:cstheme="minorHAnsi"/>
                <w:sz w:val="20"/>
                <w:szCs w:val="20"/>
              </w:rPr>
              <w:t>što se prikazuje u Državnom proračunu Republike Hrvatske na izvoru 563 – Europski fond za regionalni razvoj.</w:t>
            </w:r>
          </w:p>
          <w:p w:rsidR="00882317" w:rsidRPr="00361664" w:rsidRDefault="00882317" w:rsidP="005E6F15">
            <w:pPr>
              <w:spacing w:after="0"/>
              <w:jc w:val="both"/>
              <w:rPr>
                <w:rFonts w:asciiTheme="minorHAnsi" w:hAnsiTheme="minorHAnsi" w:cstheme="minorHAnsi"/>
                <w:sz w:val="20"/>
                <w:szCs w:val="20"/>
              </w:rPr>
            </w:pPr>
            <w:r w:rsidRPr="00361664">
              <w:rPr>
                <w:rFonts w:asciiTheme="minorHAnsi" w:hAnsiTheme="minorHAnsi" w:cstheme="minorHAnsi"/>
                <w:sz w:val="20"/>
                <w:szCs w:val="20"/>
              </w:rPr>
              <w:t>Ovim sredstvima osigurava se bespovratno sufinanciranje korisnika u iznosu</w:t>
            </w:r>
            <w:r w:rsidR="00C774BA" w:rsidRPr="00361664">
              <w:rPr>
                <w:rFonts w:asciiTheme="minorHAnsi" w:hAnsiTheme="minorHAnsi" w:cstheme="minorHAnsi"/>
                <w:sz w:val="20"/>
                <w:szCs w:val="20"/>
              </w:rPr>
              <w:t xml:space="preserve"> prosječno</w:t>
            </w:r>
            <w:r w:rsidRPr="00361664">
              <w:rPr>
                <w:rFonts w:asciiTheme="minorHAnsi" w:hAnsiTheme="minorHAnsi" w:cstheme="minorHAnsi"/>
                <w:sz w:val="20"/>
                <w:szCs w:val="20"/>
              </w:rPr>
              <w:t xml:space="preserve"> 40% vrijednosti investicije u energetsku obnovu.</w:t>
            </w:r>
          </w:p>
          <w:p w:rsidR="00FD6388" w:rsidRPr="00361664" w:rsidRDefault="00FD6388" w:rsidP="005E6F15">
            <w:pPr>
              <w:spacing w:after="0"/>
              <w:jc w:val="both"/>
              <w:rPr>
                <w:rFonts w:asciiTheme="minorHAnsi" w:hAnsiTheme="minorHAnsi" w:cstheme="minorHAnsi"/>
                <w:sz w:val="20"/>
                <w:szCs w:val="20"/>
              </w:rPr>
            </w:pPr>
          </w:p>
          <w:p w:rsidR="00797632" w:rsidRPr="00361664" w:rsidRDefault="00797632" w:rsidP="005E6F15">
            <w:pPr>
              <w:spacing w:after="0"/>
              <w:jc w:val="both"/>
              <w:rPr>
                <w:rFonts w:asciiTheme="minorHAnsi" w:hAnsiTheme="minorHAnsi" w:cstheme="minorHAnsi"/>
                <w:sz w:val="20"/>
                <w:szCs w:val="20"/>
              </w:rPr>
            </w:pPr>
            <w:bookmarkStart w:id="39" w:name="_Hlk487199815"/>
            <w:r w:rsidRPr="00361664">
              <w:rPr>
                <w:rFonts w:asciiTheme="minorHAnsi" w:hAnsiTheme="minorHAnsi" w:cstheme="minorHAnsi"/>
                <w:sz w:val="20"/>
                <w:szCs w:val="20"/>
              </w:rPr>
              <w:t>FZOEU u</w:t>
            </w:r>
            <w:r w:rsidR="00FD6388" w:rsidRPr="00361664">
              <w:rPr>
                <w:rFonts w:asciiTheme="minorHAnsi" w:hAnsiTheme="minorHAnsi" w:cstheme="minorHAnsi"/>
                <w:sz w:val="20"/>
                <w:szCs w:val="20"/>
              </w:rPr>
              <w:t xml:space="preserve"> 2017. i 2018. godini u</w:t>
            </w:r>
            <w:r w:rsidRPr="00361664">
              <w:rPr>
                <w:rFonts w:asciiTheme="minorHAnsi" w:hAnsiTheme="minorHAnsi" w:cstheme="minorHAnsi"/>
                <w:sz w:val="20"/>
                <w:szCs w:val="20"/>
              </w:rPr>
              <w:t xml:space="preserve"> iznosu od </w:t>
            </w:r>
            <w:r w:rsidR="004504BF" w:rsidRPr="00361664">
              <w:rPr>
                <w:rFonts w:asciiTheme="minorHAnsi" w:hAnsiTheme="minorHAnsi" w:cstheme="minorHAnsi"/>
                <w:sz w:val="20"/>
                <w:szCs w:val="20"/>
              </w:rPr>
              <w:t>21.962.476,00</w:t>
            </w:r>
            <w:r w:rsidRPr="00361664">
              <w:rPr>
                <w:rFonts w:asciiTheme="minorHAnsi" w:hAnsiTheme="minorHAnsi" w:cstheme="minorHAnsi"/>
                <w:sz w:val="20"/>
                <w:szCs w:val="20"/>
              </w:rPr>
              <w:t xml:space="preserve"> kn financira nacionalnu komponentu pil</w:t>
            </w:r>
            <w:r w:rsidR="005F38A3" w:rsidRPr="00361664">
              <w:rPr>
                <w:rFonts w:asciiTheme="minorHAnsi" w:hAnsiTheme="minorHAnsi" w:cstheme="minorHAnsi"/>
                <w:sz w:val="20"/>
                <w:szCs w:val="20"/>
              </w:rPr>
              <w:t xml:space="preserve">ot programa </w:t>
            </w:r>
            <w:r w:rsidRPr="00361664">
              <w:rPr>
                <w:rFonts w:asciiTheme="minorHAnsi" w:hAnsiTheme="minorHAnsi" w:cstheme="minorHAnsi"/>
                <w:sz w:val="20"/>
                <w:szCs w:val="20"/>
              </w:rPr>
              <w:t xml:space="preserve">energetske obnove </w:t>
            </w:r>
            <w:r w:rsidR="00411708" w:rsidRPr="00361664">
              <w:rPr>
                <w:rFonts w:asciiTheme="minorHAnsi" w:hAnsiTheme="minorHAnsi" w:cstheme="minorHAnsi"/>
                <w:sz w:val="20"/>
                <w:szCs w:val="20"/>
              </w:rPr>
              <w:t>odgojno obrazovnih</w:t>
            </w:r>
            <w:r w:rsidRPr="00361664">
              <w:rPr>
                <w:rFonts w:asciiTheme="minorHAnsi" w:hAnsiTheme="minorHAnsi" w:cstheme="minorHAnsi"/>
                <w:sz w:val="20"/>
                <w:szCs w:val="20"/>
              </w:rPr>
              <w:t xml:space="preserve"> institucija u 2017. i 2018. godini.</w:t>
            </w:r>
            <w:bookmarkEnd w:id="39"/>
          </w:p>
          <w:p w:rsidR="00C774BA" w:rsidRPr="00361664" w:rsidRDefault="00C774BA" w:rsidP="00C774BA">
            <w:pPr>
              <w:jc w:val="both"/>
              <w:rPr>
                <w:rFonts w:asciiTheme="minorHAnsi" w:hAnsiTheme="minorHAnsi" w:cstheme="minorHAnsi"/>
                <w:sz w:val="20"/>
                <w:szCs w:val="20"/>
              </w:rPr>
            </w:pPr>
            <w:r w:rsidRPr="00361664">
              <w:rPr>
                <w:rFonts w:asciiTheme="minorHAnsi" w:hAnsiTheme="minorHAnsi" w:cstheme="minorHAnsi"/>
                <w:sz w:val="20"/>
                <w:szCs w:val="20"/>
              </w:rPr>
              <w:t xml:space="preserve">HABOR -specijalizirane </w:t>
            </w:r>
            <w:r w:rsidR="00481C44" w:rsidRPr="00361664">
              <w:rPr>
                <w:rFonts w:asciiTheme="minorHAnsi" w:hAnsiTheme="minorHAnsi" w:cstheme="minorHAnsi"/>
                <w:sz w:val="20"/>
                <w:szCs w:val="20"/>
              </w:rPr>
              <w:t>kreditne linije s</w:t>
            </w:r>
            <w:r w:rsidRPr="00361664">
              <w:rPr>
                <w:rFonts w:asciiTheme="minorHAnsi" w:hAnsiTheme="minorHAnsi" w:cstheme="minorHAnsi"/>
                <w:sz w:val="20"/>
                <w:szCs w:val="20"/>
              </w:rPr>
              <w:t xml:space="preserve"> povoljnom kamatnom stopom i odgodom plaćanja do završetka izv</w:t>
            </w:r>
            <w:r w:rsidR="00481C44" w:rsidRPr="00361664">
              <w:rPr>
                <w:rFonts w:asciiTheme="minorHAnsi" w:hAnsiTheme="minorHAnsi" w:cstheme="minorHAnsi"/>
                <w:sz w:val="20"/>
                <w:szCs w:val="20"/>
              </w:rPr>
              <w:t>ođenja radova energetske obnove koje se</w:t>
            </w:r>
            <w:r w:rsidRPr="00361664">
              <w:rPr>
                <w:rFonts w:asciiTheme="minorHAnsi" w:hAnsiTheme="minorHAnsi" w:cstheme="minorHAnsi"/>
                <w:sz w:val="20"/>
                <w:szCs w:val="20"/>
              </w:rPr>
              <w:t xml:space="preserve"> mogu se kombin</w:t>
            </w:r>
            <w:r w:rsidR="00635086" w:rsidRPr="00361664">
              <w:rPr>
                <w:rFonts w:asciiTheme="minorHAnsi" w:hAnsiTheme="minorHAnsi" w:cstheme="minorHAnsi"/>
                <w:sz w:val="20"/>
                <w:szCs w:val="20"/>
              </w:rPr>
              <w:t>irati s bespovratnim sredstvima.</w:t>
            </w:r>
          </w:p>
          <w:p w:rsidR="00413261" w:rsidRPr="00361664" w:rsidRDefault="009226B9" w:rsidP="00124FCB">
            <w:pPr>
              <w:jc w:val="both"/>
              <w:rPr>
                <w:rFonts w:asciiTheme="minorHAnsi" w:hAnsiTheme="minorHAnsi" w:cstheme="minorHAnsi"/>
                <w:sz w:val="20"/>
                <w:szCs w:val="20"/>
              </w:rPr>
            </w:pPr>
            <w:r w:rsidRPr="00361664">
              <w:rPr>
                <w:rFonts w:asciiTheme="minorHAnsi" w:hAnsiTheme="minorHAnsi" w:cstheme="minorHAnsi"/>
                <w:sz w:val="20"/>
                <w:szCs w:val="20"/>
              </w:rPr>
              <w:t>MGIPU i APN financiraju u iznosu 207.187.632,00 kn</w:t>
            </w:r>
          </w:p>
        </w:tc>
      </w:tr>
      <w:tr w:rsidR="00882317" w:rsidRPr="00361664" w:rsidTr="00CA3600">
        <w:trPr>
          <w:trHeight w:val="20"/>
        </w:trPr>
        <w:tc>
          <w:tcPr>
            <w:tcW w:w="654" w:type="pct"/>
            <w:vMerge/>
          </w:tcPr>
          <w:p w:rsidR="00882317" w:rsidRPr="00361664" w:rsidRDefault="00882317" w:rsidP="005E6F15">
            <w:pPr>
              <w:spacing w:after="0"/>
              <w:rPr>
                <w:rFonts w:asciiTheme="minorHAnsi" w:hAnsiTheme="minorHAnsi" w:cstheme="minorHAnsi"/>
                <w:sz w:val="20"/>
                <w:szCs w:val="20"/>
              </w:rPr>
            </w:pPr>
          </w:p>
        </w:tc>
        <w:tc>
          <w:tcPr>
            <w:tcW w:w="822" w:type="pct"/>
            <w:vAlign w:val="center"/>
          </w:tcPr>
          <w:p w:rsidR="00882317" w:rsidRPr="00361664" w:rsidRDefault="00882317" w:rsidP="005E6F15">
            <w:pPr>
              <w:spacing w:after="0"/>
              <w:rPr>
                <w:rFonts w:asciiTheme="minorHAnsi" w:hAnsiTheme="minorHAnsi" w:cstheme="minorHAnsi"/>
                <w:sz w:val="20"/>
                <w:szCs w:val="20"/>
              </w:rPr>
            </w:pPr>
            <w:r w:rsidRPr="00361664">
              <w:rPr>
                <w:rFonts w:asciiTheme="minorHAnsi" w:hAnsiTheme="minorHAnsi" w:cstheme="minorHAnsi"/>
                <w:sz w:val="20"/>
                <w:szCs w:val="20"/>
              </w:rPr>
              <w:t>Izvršno  tijelo</w:t>
            </w:r>
          </w:p>
        </w:tc>
        <w:tc>
          <w:tcPr>
            <w:tcW w:w="3524" w:type="pct"/>
            <w:vAlign w:val="center"/>
          </w:tcPr>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 xml:space="preserve">MGIPU – kao PT1 </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 izrađuje program;</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lastRenderedPageBreak/>
              <w:t>- priprema i objavljuje  javni poziv za dodjelu bespovratnih sredstava</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 planira sredstva;</w:t>
            </w:r>
          </w:p>
          <w:p w:rsidR="00882317" w:rsidRPr="00361664" w:rsidRDefault="00C774BA"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-provodi mjere informiranja;</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-inicira strateške projekte;</w:t>
            </w:r>
          </w:p>
          <w:p w:rsidR="00C774BA" w:rsidRPr="00361664" w:rsidRDefault="00C774BA"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-donosi Odluke o financiranju;</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w:t>
            </w:r>
            <w:r w:rsidR="00C774BA" w:rsidRPr="00361664">
              <w:rPr>
                <w:rFonts w:asciiTheme="minorHAnsi" w:hAnsiTheme="minorHAnsi" w:cstheme="minorHAnsi"/>
                <w:color w:val="000000"/>
                <w:sz w:val="20"/>
                <w:szCs w:val="20"/>
                <w:lang w:eastAsia="hr-HR" w:bidi="hr-HR"/>
              </w:rPr>
              <w:t>supotpisuje</w:t>
            </w:r>
            <w:r w:rsidRPr="00361664">
              <w:rPr>
                <w:rFonts w:asciiTheme="minorHAnsi" w:hAnsiTheme="minorHAnsi" w:cstheme="minorHAnsi"/>
                <w:color w:val="000000"/>
                <w:sz w:val="20"/>
                <w:szCs w:val="20"/>
                <w:lang w:eastAsia="hr-HR" w:bidi="hr-HR"/>
              </w:rPr>
              <w:t xml:space="preserve"> ugovor o dodjeli bespovratnih sredstava </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w:t>
            </w:r>
            <w:r w:rsidR="00C774BA" w:rsidRPr="00361664">
              <w:rPr>
                <w:rFonts w:asciiTheme="minorHAnsi" w:hAnsiTheme="minorHAnsi" w:cstheme="minorHAnsi"/>
                <w:color w:val="000000"/>
                <w:sz w:val="20"/>
                <w:szCs w:val="20"/>
                <w:lang w:eastAsia="hr-HR" w:bidi="hr-HR"/>
              </w:rPr>
              <w:t>izvršava plaćanja</w:t>
            </w:r>
            <w:r w:rsidRPr="00361664">
              <w:rPr>
                <w:rFonts w:asciiTheme="minorHAnsi" w:hAnsiTheme="minorHAnsi" w:cstheme="minorHAnsi"/>
                <w:color w:val="000000"/>
                <w:sz w:val="20"/>
                <w:szCs w:val="20"/>
                <w:lang w:eastAsia="hr-HR" w:bidi="hr-HR"/>
              </w:rPr>
              <w:t xml:space="preserve"> korisnicima i povrat</w:t>
            </w:r>
            <w:r w:rsidR="00C774BA" w:rsidRPr="00361664">
              <w:rPr>
                <w:rFonts w:asciiTheme="minorHAnsi" w:hAnsiTheme="minorHAnsi" w:cstheme="minorHAnsi"/>
                <w:color w:val="000000"/>
                <w:sz w:val="20"/>
                <w:szCs w:val="20"/>
                <w:lang w:eastAsia="hr-HR" w:bidi="hr-HR"/>
              </w:rPr>
              <w:t>e</w:t>
            </w:r>
            <w:r w:rsidRPr="00361664">
              <w:rPr>
                <w:rFonts w:asciiTheme="minorHAnsi" w:hAnsiTheme="minorHAnsi" w:cstheme="minorHAnsi"/>
                <w:color w:val="000000"/>
                <w:sz w:val="20"/>
                <w:szCs w:val="20"/>
                <w:lang w:eastAsia="hr-HR" w:bidi="hr-HR"/>
              </w:rPr>
              <w:t xml:space="preserve"> sredstava kod nepravilnosti; </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 xml:space="preserve"> APN – provedbeno tijelo za en. obnovu po modelu energetske usluge</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-određuje zgrade koje se obnavljaju po modelu energetske usluge;</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-priprema i provodi postupke javne nabave;</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-sa MGIPU provodi kontrolu energetskih obnova;</w:t>
            </w:r>
          </w:p>
          <w:p w:rsidR="00882317" w:rsidRPr="00361664" w:rsidRDefault="00E902CD"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-izvještava nadležna tijela</w:t>
            </w:r>
            <w:r w:rsidR="00882317" w:rsidRPr="00361664">
              <w:rPr>
                <w:rFonts w:asciiTheme="minorHAnsi" w:hAnsiTheme="minorHAnsi" w:cstheme="minorHAnsi"/>
                <w:color w:val="000000"/>
                <w:sz w:val="20"/>
                <w:szCs w:val="20"/>
                <w:lang w:eastAsia="hr-HR" w:bidi="hr-HR"/>
              </w:rPr>
              <w:t xml:space="preserve"> o provedbi Programa.</w:t>
            </w: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p>
          <w:p w:rsidR="00882317"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FZOEU – kao PT2:</w:t>
            </w:r>
          </w:p>
          <w:p w:rsidR="00C774BA" w:rsidRPr="00361664" w:rsidRDefault="00882317"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color w:val="000000"/>
                <w:sz w:val="20"/>
                <w:szCs w:val="20"/>
                <w:lang w:eastAsia="hr-HR" w:bidi="hr-HR"/>
              </w:rPr>
              <w:t>-sudjeluje u postupku dodjele bespovratnih sredstava iz EFRR-a sukladno regulativi.</w:t>
            </w:r>
          </w:p>
          <w:p w:rsidR="00E902CD" w:rsidRPr="00361664" w:rsidRDefault="00E902CD" w:rsidP="005E6F15">
            <w:pPr>
              <w:spacing w:after="0" w:line="240" w:lineRule="auto"/>
              <w:jc w:val="both"/>
              <w:rPr>
                <w:rFonts w:asciiTheme="minorHAnsi" w:hAnsiTheme="minorHAnsi" w:cstheme="minorHAnsi"/>
                <w:color w:val="000000"/>
                <w:sz w:val="20"/>
                <w:szCs w:val="20"/>
                <w:lang w:eastAsia="hr-HR" w:bidi="hr-HR"/>
              </w:rPr>
            </w:pPr>
            <w:r w:rsidRPr="00361664">
              <w:rPr>
                <w:rFonts w:asciiTheme="minorHAnsi" w:hAnsiTheme="minorHAnsi" w:cstheme="minorHAnsi"/>
                <w:sz w:val="20"/>
                <w:szCs w:val="20"/>
              </w:rPr>
              <w:t>MRREF –UT, upravljačko tijelo upravlja i odgovara za cjelokupnu provedbu</w:t>
            </w:r>
          </w:p>
        </w:tc>
      </w:tr>
      <w:tr w:rsidR="00882317" w:rsidRPr="00361664" w:rsidTr="00CA3600">
        <w:trPr>
          <w:trHeight w:val="20"/>
        </w:trPr>
        <w:tc>
          <w:tcPr>
            <w:tcW w:w="654" w:type="pct"/>
            <w:vMerge/>
          </w:tcPr>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640C0B" w:rsidP="00CA3600">
            <w:pPr>
              <w:rPr>
                <w:rFonts w:asciiTheme="minorHAnsi" w:hAnsiTheme="minorHAnsi" w:cstheme="minorHAnsi"/>
                <w:sz w:val="20"/>
                <w:szCs w:val="20"/>
              </w:rPr>
            </w:pPr>
            <w:r w:rsidRPr="00361664">
              <w:rPr>
                <w:rFonts w:asciiTheme="minorHAnsi" w:hAnsiTheme="minorHAnsi" w:cstheme="minorHAnsi"/>
                <w:sz w:val="20"/>
                <w:szCs w:val="20"/>
              </w:rPr>
              <w:t>Tijelo za praćenje, mjerenje i verifikaciju ušteda</w:t>
            </w:r>
          </w:p>
        </w:tc>
        <w:tc>
          <w:tcPr>
            <w:tcW w:w="3524" w:type="pct"/>
            <w:vAlign w:val="center"/>
          </w:tcPr>
          <w:p w:rsidR="00882317" w:rsidRPr="00361664" w:rsidRDefault="00E902CD" w:rsidP="005E6F15">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NKT</w:t>
            </w:r>
          </w:p>
        </w:tc>
      </w:tr>
      <w:tr w:rsidR="00882317" w:rsidRPr="00361664" w:rsidTr="00CA3600">
        <w:trPr>
          <w:trHeight w:val="20"/>
        </w:trPr>
        <w:tc>
          <w:tcPr>
            <w:tcW w:w="654" w:type="pct"/>
            <w:vMerge w:val="restar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Uštede energije</w:t>
            </w:r>
          </w:p>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Metoda praćenja / mjerenja ušteda energije</w:t>
            </w:r>
          </w:p>
        </w:tc>
        <w:tc>
          <w:tcPr>
            <w:tcW w:w="3524" w:type="pct"/>
            <w:vAlign w:val="center"/>
          </w:tcPr>
          <w:p w:rsidR="00882317" w:rsidRPr="00361664" w:rsidRDefault="00882317" w:rsidP="005E6F15">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lang w:eastAsia="hr-HR" w:bidi="hr-HR"/>
              </w:rPr>
              <w:t>Učinci mjere pratit će se</w:t>
            </w:r>
            <w:r w:rsidR="00E902CD" w:rsidRPr="00361664">
              <w:rPr>
                <w:rFonts w:asciiTheme="minorHAnsi" w:hAnsiTheme="minorHAnsi" w:cstheme="minorHAnsi"/>
                <w:sz w:val="20"/>
                <w:szCs w:val="20"/>
                <w:lang w:eastAsia="hr-HR" w:bidi="hr-HR"/>
              </w:rPr>
              <w:t xml:space="preserve"> pomoću nacionalnog</w:t>
            </w:r>
            <w:r w:rsidRPr="00361664">
              <w:rPr>
                <w:rFonts w:asciiTheme="minorHAnsi" w:hAnsiTheme="minorHAnsi"/>
                <w:sz w:val="20"/>
              </w:rPr>
              <w:t>Sustav</w:t>
            </w:r>
            <w:r w:rsidR="00E3351E" w:rsidRPr="00361664">
              <w:rPr>
                <w:rFonts w:asciiTheme="minorHAnsi" w:hAnsiTheme="minorHAnsi"/>
                <w:sz w:val="20"/>
              </w:rPr>
              <w:t>a</w:t>
            </w:r>
            <w:r w:rsidRPr="00361664">
              <w:rPr>
                <w:rFonts w:asciiTheme="minorHAnsi" w:hAnsiTheme="minorHAnsi"/>
                <w:sz w:val="20"/>
              </w:rPr>
              <w:t xml:space="preserve"> za </w:t>
            </w:r>
            <w:r w:rsidR="00154EC2" w:rsidRPr="00361664">
              <w:rPr>
                <w:sz w:val="20"/>
                <w:szCs w:val="20"/>
              </w:rPr>
              <w:t xml:space="preserve">praćenje, </w:t>
            </w:r>
            <w:r w:rsidRPr="00361664">
              <w:rPr>
                <w:rFonts w:asciiTheme="minorHAnsi" w:hAnsiTheme="minorHAnsi"/>
                <w:sz w:val="20"/>
              </w:rPr>
              <w:t xml:space="preserve">mjerenje i verifikaciju </w:t>
            </w:r>
            <w:r w:rsidR="00154EC2" w:rsidRPr="00361664">
              <w:rPr>
                <w:sz w:val="20"/>
                <w:szCs w:val="20"/>
              </w:rPr>
              <w:t xml:space="preserve">ušteda energije </w:t>
            </w:r>
            <w:r w:rsidRPr="00361664">
              <w:rPr>
                <w:rFonts w:asciiTheme="minorHAnsi" w:hAnsiTheme="minorHAnsi" w:cstheme="minorHAnsi"/>
                <w:sz w:val="20"/>
                <w:szCs w:val="20"/>
                <w:lang w:eastAsia="hr-HR" w:bidi="hr-HR"/>
              </w:rPr>
              <w:t>(SMIV)</w:t>
            </w:r>
            <w:r w:rsidR="00154EC2" w:rsidRPr="00361664">
              <w:rPr>
                <w:rFonts w:asciiTheme="minorHAnsi" w:hAnsiTheme="minorHAnsi" w:cstheme="minorHAnsi"/>
                <w:sz w:val="20"/>
                <w:szCs w:val="20"/>
                <w:lang w:eastAsia="hr-HR" w:bidi="hr-HR"/>
              </w:rPr>
              <w:t>.</w:t>
            </w:r>
          </w:p>
        </w:tc>
      </w:tr>
      <w:tr w:rsidR="00882317" w:rsidRPr="00361664" w:rsidTr="00CA3600">
        <w:trPr>
          <w:trHeight w:val="20"/>
        </w:trPr>
        <w:tc>
          <w:tcPr>
            <w:tcW w:w="654" w:type="pct"/>
            <w:vMerge/>
          </w:tcPr>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A9135D" w:rsidP="00CA3600">
            <w:pPr>
              <w:rPr>
                <w:rFonts w:asciiTheme="minorHAnsi" w:hAnsiTheme="minorHAnsi" w:cstheme="minorHAnsi"/>
                <w:sz w:val="20"/>
                <w:szCs w:val="20"/>
              </w:rPr>
            </w:pPr>
            <w:r w:rsidRPr="00361664">
              <w:rPr>
                <w:rFonts w:asciiTheme="minorHAnsi" w:hAnsiTheme="minorHAnsi" w:cstheme="minorHAnsi"/>
                <w:sz w:val="20"/>
                <w:szCs w:val="20"/>
              </w:rPr>
              <w:t>Očekivane uštede energije do kraja 2019.</w:t>
            </w:r>
          </w:p>
        </w:tc>
        <w:tc>
          <w:tcPr>
            <w:tcW w:w="3524" w:type="pct"/>
            <w:shd w:val="clear" w:color="auto" w:fill="auto"/>
            <w:vAlign w:val="center"/>
          </w:tcPr>
          <w:p w:rsidR="00882317" w:rsidRPr="00361664" w:rsidRDefault="00124FCB" w:rsidP="005E6F15">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79,2 TJ</w:t>
            </w:r>
          </w:p>
          <w:p w:rsidR="00882317" w:rsidRPr="00361664" w:rsidRDefault="00882317" w:rsidP="005E6F15">
            <w:pPr>
              <w:spacing w:line="240" w:lineRule="auto"/>
              <w:jc w:val="both"/>
              <w:rPr>
                <w:rFonts w:asciiTheme="minorHAnsi" w:hAnsiTheme="minorHAnsi" w:cstheme="minorHAnsi"/>
                <w:sz w:val="20"/>
                <w:szCs w:val="20"/>
              </w:rPr>
            </w:pPr>
          </w:p>
        </w:tc>
      </w:tr>
      <w:tr w:rsidR="00882317" w:rsidRPr="00361664" w:rsidTr="00CA3600">
        <w:trPr>
          <w:trHeight w:val="20"/>
        </w:trPr>
        <w:tc>
          <w:tcPr>
            <w:tcW w:w="654" w:type="pct"/>
            <w:vMerge/>
          </w:tcPr>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4831DF" w:rsidP="00CA3600">
            <w:pPr>
              <w:rPr>
                <w:rFonts w:asciiTheme="minorHAnsi" w:hAnsiTheme="minorHAnsi" w:cstheme="minorHAnsi"/>
                <w:sz w:val="20"/>
                <w:szCs w:val="20"/>
              </w:rPr>
            </w:pPr>
            <w:r w:rsidRPr="00361664">
              <w:rPr>
                <w:rFonts w:asciiTheme="minorHAnsi" w:hAnsiTheme="minorHAnsi" w:cstheme="minorHAnsi"/>
                <w:sz w:val="20"/>
                <w:szCs w:val="20"/>
              </w:rPr>
              <w:t>Očekivane uštede energije do kraja 2020.</w:t>
            </w:r>
          </w:p>
        </w:tc>
        <w:tc>
          <w:tcPr>
            <w:tcW w:w="3524" w:type="pct"/>
            <w:vAlign w:val="center"/>
          </w:tcPr>
          <w:p w:rsidR="00882317" w:rsidRPr="00361664" w:rsidRDefault="00124FCB" w:rsidP="005E6F15">
            <w:pPr>
              <w:spacing w:line="240" w:lineRule="auto"/>
              <w:jc w:val="both"/>
              <w:rPr>
                <w:rFonts w:asciiTheme="minorHAnsi" w:hAnsiTheme="minorHAnsi" w:cstheme="minorHAnsi"/>
                <w:sz w:val="20"/>
                <w:szCs w:val="20"/>
              </w:rPr>
            </w:pPr>
            <w:r w:rsidRPr="00361664">
              <w:rPr>
                <w:rFonts w:asciiTheme="minorHAnsi" w:hAnsiTheme="minorHAnsi" w:cstheme="minorHAnsi"/>
                <w:sz w:val="20"/>
                <w:szCs w:val="20"/>
              </w:rPr>
              <w:t>122,4 TJ</w:t>
            </w:r>
          </w:p>
        </w:tc>
      </w:tr>
      <w:tr w:rsidR="00882317" w:rsidRPr="00361664" w:rsidTr="00CA3600">
        <w:trPr>
          <w:trHeight w:val="20"/>
        </w:trPr>
        <w:tc>
          <w:tcPr>
            <w:tcW w:w="654" w:type="pct"/>
            <w:vMerge/>
          </w:tcPr>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Pretpostavke</w:t>
            </w:r>
          </w:p>
          <w:p w:rsidR="00882317" w:rsidRPr="00361664" w:rsidRDefault="00882317" w:rsidP="00CA3600">
            <w:pPr>
              <w:rPr>
                <w:rFonts w:asciiTheme="minorHAnsi" w:hAnsiTheme="minorHAnsi" w:cstheme="minorHAnsi"/>
                <w:sz w:val="20"/>
                <w:szCs w:val="20"/>
              </w:rPr>
            </w:pPr>
          </w:p>
        </w:tc>
        <w:tc>
          <w:tcPr>
            <w:tcW w:w="3524" w:type="pct"/>
            <w:vAlign w:val="center"/>
          </w:tcPr>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Pretpostavlja se da će se</w:t>
            </w:r>
            <w:r w:rsidR="00E902CD" w:rsidRPr="00361664">
              <w:rPr>
                <w:rFonts w:asciiTheme="minorHAnsi" w:hAnsiTheme="minorHAnsi" w:cstheme="minorHAnsi"/>
                <w:sz w:val="20"/>
                <w:szCs w:val="20"/>
              </w:rPr>
              <w:t xml:space="preserve"> provedbom programa</w:t>
            </w:r>
            <w:r w:rsidRPr="00361664">
              <w:rPr>
                <w:rFonts w:asciiTheme="minorHAnsi" w:hAnsiTheme="minorHAnsi" w:cstheme="minorHAnsi"/>
                <w:sz w:val="20"/>
                <w:szCs w:val="20"/>
              </w:rPr>
              <w:t>:</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 Povećati apsorpcije sredstava iz fondova Europske unije; </w:t>
            </w:r>
          </w:p>
          <w:p w:rsidR="00882317" w:rsidRPr="00361664" w:rsidRDefault="00E902CD"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 Potaknuti investicije</w:t>
            </w:r>
            <w:r w:rsidR="00882317" w:rsidRPr="00361664">
              <w:rPr>
                <w:rFonts w:asciiTheme="minorHAnsi" w:hAnsiTheme="minorHAnsi" w:cstheme="minorHAnsi"/>
                <w:sz w:val="20"/>
                <w:szCs w:val="20"/>
              </w:rPr>
              <w:t xml:space="preserve"> koje imaju pozitivan učinak na državni proračun;</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-Ulaganjem privatnog kapitala na javnim zgradama kroz ESCO model koji osigurava da se bez dodatnog trošenja proračunskih sredstava vlasnika/korisnika provedu mjere poboljšanja energetske učinkovitosti u zgradama javnog sektora povećati ukupna ulaganja u zgradarstvo;</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 xml:space="preserve">-Potaknuti daljnji razvoj tržišta energetskih usluga potrebom za ugradnju materijala i uređaja potrebnih za radove obnove; </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-Dugoročno smanjiti potrošnja energenata, fosilnih goriva i električne energije;</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-Dati doprinos povećanju korištenja obnovljivih izvora energije.</w:t>
            </w:r>
          </w:p>
        </w:tc>
      </w:tr>
      <w:tr w:rsidR="00882317" w:rsidRPr="00361664" w:rsidTr="00CA3600">
        <w:trPr>
          <w:trHeight w:val="20"/>
        </w:trPr>
        <w:tc>
          <w:tcPr>
            <w:tcW w:w="654" w:type="pct"/>
            <w:vMerge/>
          </w:tcPr>
          <w:p w:rsidR="00882317" w:rsidRPr="00361664" w:rsidRDefault="00882317" w:rsidP="00CA3600">
            <w:pPr>
              <w:rPr>
                <w:rFonts w:asciiTheme="minorHAnsi" w:hAnsiTheme="minorHAnsi" w:cstheme="minorHAnsi"/>
                <w:sz w:val="20"/>
                <w:szCs w:val="20"/>
              </w:rPr>
            </w:pPr>
          </w:p>
        </w:tc>
        <w:tc>
          <w:tcPr>
            <w:tcW w:w="822" w:type="pct"/>
            <w:vAlign w:val="center"/>
          </w:tcPr>
          <w:p w:rsidR="00882317" w:rsidRPr="00361664" w:rsidRDefault="00882317" w:rsidP="00CA3600">
            <w:pPr>
              <w:rPr>
                <w:rFonts w:asciiTheme="minorHAnsi" w:hAnsiTheme="minorHAnsi" w:cstheme="minorHAnsi"/>
                <w:sz w:val="20"/>
                <w:szCs w:val="20"/>
              </w:rPr>
            </w:pPr>
            <w:r w:rsidRPr="00361664">
              <w:rPr>
                <w:rFonts w:asciiTheme="minorHAnsi" w:hAnsiTheme="minorHAnsi" w:cstheme="minorHAnsi"/>
                <w:sz w:val="20"/>
                <w:szCs w:val="20"/>
              </w:rPr>
              <w:t xml:space="preserve">Preklapanja, efekt množenja, </w:t>
            </w:r>
            <w:r w:rsidRPr="00361664">
              <w:rPr>
                <w:rFonts w:asciiTheme="minorHAnsi" w:hAnsiTheme="minorHAnsi" w:cstheme="minorHAnsi"/>
                <w:sz w:val="20"/>
                <w:szCs w:val="20"/>
              </w:rPr>
              <w:lastRenderedPageBreak/>
              <w:t>sinergija</w:t>
            </w:r>
          </w:p>
        </w:tc>
        <w:tc>
          <w:tcPr>
            <w:tcW w:w="3524" w:type="pct"/>
            <w:vAlign w:val="center"/>
          </w:tcPr>
          <w:p w:rsidR="00882317" w:rsidRPr="00361664" w:rsidRDefault="005E6F15"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lastRenderedPageBreak/>
              <w:t xml:space="preserve"> - </w:t>
            </w:r>
            <w:r w:rsidR="00882317" w:rsidRPr="00361664">
              <w:rPr>
                <w:rFonts w:asciiTheme="minorHAnsi" w:hAnsiTheme="minorHAnsi" w:cstheme="minorHAnsi"/>
                <w:sz w:val="20"/>
                <w:szCs w:val="20"/>
              </w:rPr>
              <w:t xml:space="preserve">Povećanja standarda korištenja javnih zgrada, stvaranjem ugodnijeg i zdravijeg okružja za građane i korisnike javnih prostora utjecat će na </w:t>
            </w:r>
            <w:r w:rsidR="00882317" w:rsidRPr="00361664">
              <w:rPr>
                <w:rFonts w:asciiTheme="minorHAnsi" w:hAnsiTheme="minorHAnsi" w:cstheme="minorHAnsi"/>
                <w:sz w:val="20"/>
                <w:szCs w:val="20"/>
              </w:rPr>
              <w:lastRenderedPageBreak/>
              <w:t>poboljšanje produkt</w:t>
            </w:r>
            <w:r w:rsidR="001436C8" w:rsidRPr="00361664">
              <w:rPr>
                <w:rFonts w:asciiTheme="minorHAnsi" w:hAnsiTheme="minorHAnsi" w:cstheme="minorHAnsi"/>
                <w:sz w:val="20"/>
                <w:szCs w:val="20"/>
              </w:rPr>
              <w:t>ivnosti zaposlenika.</w:t>
            </w:r>
            <w:r w:rsidR="00882317" w:rsidRPr="00361664">
              <w:rPr>
                <w:rFonts w:asciiTheme="minorHAnsi" w:hAnsiTheme="minorHAnsi" w:cstheme="minorHAnsi"/>
                <w:sz w:val="20"/>
                <w:szCs w:val="20"/>
              </w:rPr>
              <w:t xml:space="preserve"> </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w:t>
            </w:r>
            <w:r w:rsidR="00DF48C4">
              <w:rPr>
                <w:rFonts w:asciiTheme="minorHAnsi" w:hAnsiTheme="minorHAnsi" w:cstheme="minorHAnsi"/>
                <w:sz w:val="20"/>
                <w:szCs w:val="20"/>
              </w:rPr>
              <w:t xml:space="preserve"> </w:t>
            </w:r>
            <w:r w:rsidRPr="00361664">
              <w:rPr>
                <w:rFonts w:asciiTheme="minorHAnsi" w:hAnsiTheme="minorHAnsi" w:cstheme="minorHAnsi"/>
                <w:sz w:val="20"/>
                <w:szCs w:val="20"/>
              </w:rPr>
              <w:t>Pojavit će se potreba za povećanjem zapošljavanja i to direktnog zapošljavanja u građevinskom sektoru i indirektnog zapošljavanja u pratećoj proizvodnoj industriji građevinskog materijala, u proizvodnji i instalaciji energetskih sustava i uređaja te zapošljavanje visokokvalificiranih stručnjaka iz područja arhitekture, građevinarstva, energetike, strojarstva, automatike (doprinos razvoju gospodarstva)</w:t>
            </w:r>
          </w:p>
          <w:p w:rsidR="00882317" w:rsidRPr="00361664" w:rsidRDefault="00882317" w:rsidP="008473BD">
            <w:pPr>
              <w:spacing w:after="0"/>
              <w:jc w:val="both"/>
              <w:rPr>
                <w:rFonts w:asciiTheme="minorHAnsi" w:hAnsiTheme="minorHAnsi" w:cstheme="minorHAnsi"/>
                <w:sz w:val="20"/>
                <w:szCs w:val="20"/>
              </w:rPr>
            </w:pPr>
            <w:r w:rsidRPr="00361664">
              <w:rPr>
                <w:rFonts w:asciiTheme="minorHAnsi" w:hAnsiTheme="minorHAnsi" w:cstheme="minorHAnsi"/>
                <w:sz w:val="20"/>
                <w:szCs w:val="20"/>
              </w:rPr>
              <w:t>-Obnova zgrada u kojima se obavljaju djelatnost odgoja i obrazovanja pozitivno će utjecati na cijelu zajednicu osobito u demografski najugroženijim sredinama, gdje obnovljene škole služe kao javni prostor i za druge sadržaje, poput kulturnih i društvenih događanja.</w:t>
            </w:r>
          </w:p>
        </w:tc>
      </w:tr>
    </w:tbl>
    <w:p w:rsidR="00882317" w:rsidRPr="00361664" w:rsidRDefault="00882317" w:rsidP="00651BCA">
      <w:pPr>
        <w:jc w:val="both"/>
        <w:rPr>
          <w:lang w:eastAsia="de-DE"/>
        </w:rPr>
      </w:pPr>
    </w:p>
    <w:p w:rsidR="005E6F15" w:rsidRPr="00361664" w:rsidRDefault="00F1792A" w:rsidP="00E3351E">
      <w:pPr>
        <w:rPr>
          <w:lang w:eastAsia="de-DE"/>
        </w:rPr>
      </w:pPr>
      <w:r w:rsidRPr="00361664">
        <w:rPr>
          <w:lang w:eastAsia="de-DE"/>
        </w:rPr>
        <w:br w:type="page"/>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01"/>
        <w:gridCol w:w="7017"/>
      </w:tblGrid>
      <w:tr w:rsidR="003A61DF" w:rsidRPr="00361664" w:rsidTr="001136FE">
        <w:trPr>
          <w:trHeight w:val="20"/>
        </w:trPr>
        <w:tc>
          <w:tcPr>
            <w:tcW w:w="1405" w:type="pct"/>
            <w:gridSpan w:val="2"/>
            <w:tcBorders>
              <w:top w:val="single" w:sz="4" w:space="0" w:color="auto"/>
              <w:left w:val="single" w:sz="4" w:space="0" w:color="auto"/>
              <w:bottom w:val="single" w:sz="4" w:space="0" w:color="auto"/>
              <w:right w:val="single" w:sz="4" w:space="0" w:color="auto"/>
            </w:tcBorders>
            <w:shd w:val="clear" w:color="auto" w:fill="CCFFCC"/>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lastRenderedPageBreak/>
              <w:t xml:space="preserve">Naziv mjere </w:t>
            </w:r>
          </w:p>
        </w:tc>
        <w:tc>
          <w:tcPr>
            <w:tcW w:w="3595" w:type="pct"/>
            <w:tcBorders>
              <w:top w:val="single" w:sz="4" w:space="0" w:color="auto"/>
              <w:left w:val="single" w:sz="4" w:space="0" w:color="auto"/>
              <w:bottom w:val="single" w:sz="4" w:space="0" w:color="auto"/>
              <w:right w:val="single" w:sz="4" w:space="0" w:color="auto"/>
            </w:tcBorders>
            <w:shd w:val="clear" w:color="auto" w:fill="CCFFCC"/>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Sustavno gospodarenje energijom u javnom sektoru </w:t>
            </w:r>
          </w:p>
        </w:tc>
      </w:tr>
      <w:tr w:rsidR="003A61DF" w:rsidRPr="00361664" w:rsidTr="001136FE">
        <w:trPr>
          <w:trHeight w:val="20"/>
        </w:trPr>
        <w:tc>
          <w:tcPr>
            <w:tcW w:w="1405" w:type="pct"/>
            <w:gridSpan w:val="2"/>
            <w:tcBorders>
              <w:top w:val="single" w:sz="4" w:space="0" w:color="auto"/>
              <w:left w:val="single" w:sz="4" w:space="0" w:color="auto"/>
              <w:bottom w:val="single" w:sz="4" w:space="0" w:color="auto"/>
              <w:right w:val="single" w:sz="4" w:space="0" w:color="auto"/>
            </w:tcBorders>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Indeks mjere</w:t>
            </w:r>
          </w:p>
        </w:tc>
        <w:tc>
          <w:tcPr>
            <w:tcW w:w="3595" w:type="pct"/>
            <w:tcBorders>
              <w:top w:val="single" w:sz="4" w:space="0" w:color="auto"/>
              <w:left w:val="single" w:sz="4" w:space="0" w:color="auto"/>
              <w:bottom w:val="single" w:sz="4" w:space="0" w:color="auto"/>
              <w:right w:val="single" w:sz="4" w:space="0" w:color="auto"/>
            </w:tcBorders>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P</w:t>
            </w:r>
            <w:r w:rsidR="00A7726C" w:rsidRPr="00361664">
              <w:rPr>
                <w:rFonts w:asciiTheme="minorHAnsi" w:eastAsia="Calibri" w:hAnsiTheme="minorHAnsi"/>
                <w:iCs/>
                <w:sz w:val="20"/>
                <w:lang w:eastAsia="hr-HR"/>
              </w:rPr>
              <w:t>.</w:t>
            </w:r>
            <w:r w:rsidRPr="00361664">
              <w:rPr>
                <w:rFonts w:asciiTheme="minorHAnsi" w:eastAsia="Calibri" w:hAnsiTheme="minorHAnsi"/>
                <w:iCs/>
                <w:sz w:val="20"/>
                <w:lang w:eastAsia="hr-HR"/>
              </w:rPr>
              <w:t>3</w:t>
            </w:r>
          </w:p>
        </w:tc>
      </w:tr>
      <w:tr w:rsidR="003A61DF" w:rsidRPr="00361664" w:rsidTr="001136FE">
        <w:trPr>
          <w:trHeight w:val="20"/>
        </w:trPr>
        <w:tc>
          <w:tcPr>
            <w:tcW w:w="636" w:type="pct"/>
            <w:vMerge w:val="restart"/>
            <w:tcBorders>
              <w:top w:val="single" w:sz="4" w:space="0" w:color="auto"/>
              <w:left w:val="single" w:sz="4" w:space="0" w:color="auto"/>
              <w:bottom w:val="single" w:sz="4" w:space="0" w:color="auto"/>
              <w:right w:val="single" w:sz="4" w:space="0" w:color="auto"/>
            </w:tcBorders>
            <w:vAlign w:val="center"/>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p>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Opis</w:t>
            </w: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Kategorija</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Informacijske i obvezne informacijske mjere</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Vremenski okvir</w:t>
            </w:r>
          </w:p>
        </w:tc>
        <w:tc>
          <w:tcPr>
            <w:tcW w:w="3595" w:type="pct"/>
            <w:tcBorders>
              <w:top w:val="single" w:sz="4" w:space="0" w:color="auto"/>
              <w:left w:val="single" w:sz="4" w:space="0" w:color="auto"/>
              <w:bottom w:val="single" w:sz="4" w:space="0" w:color="auto"/>
              <w:right w:val="single" w:sz="4" w:space="0" w:color="auto"/>
            </w:tcBorders>
            <w:vAlign w:val="center"/>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Početak: 2014.</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Kraj: 2019.</w:t>
            </w:r>
          </w:p>
        </w:tc>
      </w:tr>
      <w:tr w:rsidR="003A61DF" w:rsidRPr="00361664" w:rsidTr="001136FE">
        <w:trPr>
          <w:trHeight w:val="2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 / kratak opis</w:t>
            </w:r>
          </w:p>
        </w:tc>
        <w:tc>
          <w:tcPr>
            <w:tcW w:w="3595" w:type="pct"/>
            <w:tcBorders>
              <w:top w:val="single" w:sz="4" w:space="0" w:color="auto"/>
              <w:left w:val="single" w:sz="4" w:space="0" w:color="auto"/>
              <w:bottom w:val="single" w:sz="4" w:space="0" w:color="auto"/>
              <w:right w:val="single" w:sz="4" w:space="0" w:color="auto"/>
            </w:tcBorders>
            <w:vAlign w:val="center"/>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Kao glavni ciljevi ističu se primjena modela kontinuiranog i sustavnog gospodarenja energijom, strateškog planiranja energetike i održivog upravljanja energetskim resursima na lokalnoj, regionalnoj i državnoj razini, što doprinosi smanjenju potrošnje energenata, a s time i smanjenju emisija štetnih plinova u atmosferu, čime se potiče razvoj novih djelatnosti i poduzetništva.</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Cilj mjere je uvesti, provoditi i verificirati mjere sustavnog gospodarenja energijom u javnoj upravi.</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Rezultati uspješne provedbe SGE-a svode se na: smanjenje financijskih troškova za energiju i vodu kroz gospodarenje energijom te kroz primjenu mjera energetske efikasnosti, smanjenje štetnih utjecaja na okoliš, formiranje obrazovanih i kompetentnih EE timova sposobnih za planiranje i upravljanje potrošnjom energije i uspostavljanje sustava gospodarenja objektima u vlasništvu i na korištenju javnog sektora preko nacionalnog informacijskog sustava za gospodarenje energijom.</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Bitni elementi sustavnog gospodarenja energijom definirani su Zakonom o energetskoj učinkovitosti (NN 127/14), Direktivom o energetskoj efikasnosti Europske unije (Energy efficiencyDirective – EED, 2012/27/EU), Pravilnikom o sustavnom gospodarenju energijom (NN 18/15) i Metodologijom sustavnog gospodarenje energijom (NN18/15).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U periodu od 2017. do 2019. naglasak će biti na automatizaciji prikupljanja podataka o potrošnji energenata i vode, izvještavanju i verifikaciji mjera uštede te educiranju energetskih suradnika i savjetnika sukladno Pravilniku o sustavnom gospodarenju energijom. (NN 18/15)</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Unos računa i očitanja definirani su kao osnovne funkcionalnosti i zakonske obaveze korisnika ISGE-a te predstavljaju temelje za uspostavu osnovnih i naprednih analiza i predviđanje daljnjih EE mjera koje na kraju vode do monetarnih i energetskih ušteda od lokalne do nacionalne razine.</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Nakon ostvarivanja ušteda praćenjem potrošnje daljnji pravac razvoja i intenziviranja primjene ISGE-a je njegova sistemska integracija s vanjskim aplikativnim sustavima i servisima radi preuzimanja i razmjene podataka koji se zatim koriste i obrađuju te dovode u korelaciju i analiziraju s drugim podacima sadržanim u pojedinim modulima ISGE-a.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Očekuje se da bi daljnje integracije trebalo ostvariti s poslovno informacijskim sustavima opskrbljivača i distributera energenata i vode, kako bi se ostvarila mogućnost direktnog prijenosa podataka iz njihovog sustava naplate prema konceptu B2B (business-to-business). Razmotrit će se i mogućnosti povezivanja sa SMIV-om kako bi se povećala količina smislenih informacija i spriječilo duplo unošenje podataka.</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Povezivanje baze ISGE-a s vanjskim bazama distributera energenata i vode dovodi do kvalitetnijih, preciznijih i redovitijih podataka (što direktno omogućuje i „real-time“ planiranje potrošnje) koji ne ovise o ručnom unosu (i pogrešci) korisnika. Uspostavom takve među sustavne komunikacije omogućuje se korisnicima da se fokusiraju na samu stratešku analizu potrošnje te time kvalitetnije gospodare potrošnjom svojih objekata.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Krajnji cilj je povezivanje svih većih potrošača u javnom sektoru sa sustavom za daljinsko očitanje potrošnje energije i vode kako bi se pravovremeno moglo planirati, analizirati i u slučaju ekscesnih situacija, reagirati na potrošnju energije i vode. Kako bi se smanjili troškovi ugradnje sustava za daljinsko očitavanje planira se povezivanje naplatnih mjerila distributera/opskrbljivača energije i vode koja su opremljena sustavom za daljinsko očitavanje potrošnje s ISGE-om.  </w:t>
            </w:r>
          </w:p>
          <w:p w:rsidR="003A61DF" w:rsidRPr="00361664" w:rsidRDefault="00DF48C4" w:rsidP="00651BCA">
            <w:pPr>
              <w:spacing w:after="0" w:line="240" w:lineRule="auto"/>
              <w:jc w:val="both"/>
              <w:rPr>
                <w:rFonts w:asciiTheme="minorHAnsi" w:eastAsia="Calibri" w:hAnsiTheme="minorHAnsi"/>
                <w:iCs/>
                <w:sz w:val="20"/>
                <w:lang w:eastAsia="hr-HR"/>
              </w:rPr>
            </w:pPr>
            <w:r>
              <w:rPr>
                <w:rFonts w:asciiTheme="minorHAnsi" w:eastAsia="Calibri" w:hAnsiTheme="minorHAnsi"/>
                <w:iCs/>
                <w:sz w:val="20"/>
                <w:lang w:eastAsia="hr-HR"/>
              </w:rPr>
              <w:t>U</w:t>
            </w:r>
            <w:r w:rsidR="003A61DF" w:rsidRPr="00361664">
              <w:rPr>
                <w:rFonts w:asciiTheme="minorHAnsi" w:eastAsia="Calibri" w:hAnsiTheme="minorHAnsi"/>
                <w:iCs/>
                <w:sz w:val="20"/>
                <w:lang w:eastAsia="hr-HR"/>
              </w:rPr>
              <w:t xml:space="preserve"> ISGE bazu </w:t>
            </w:r>
            <w:r>
              <w:rPr>
                <w:rFonts w:asciiTheme="minorHAnsi" w:eastAsia="Calibri" w:hAnsiTheme="minorHAnsi"/>
                <w:iCs/>
                <w:sz w:val="20"/>
                <w:lang w:eastAsia="hr-HR"/>
              </w:rPr>
              <w:t xml:space="preserve">se </w:t>
            </w:r>
            <w:r w:rsidR="003A61DF" w:rsidRPr="00361664">
              <w:rPr>
                <w:rFonts w:asciiTheme="minorHAnsi" w:eastAsia="Calibri" w:hAnsiTheme="minorHAnsi"/>
                <w:iCs/>
                <w:sz w:val="20"/>
                <w:lang w:eastAsia="hr-HR"/>
              </w:rPr>
              <w:t xml:space="preserve">tjedno preko sustava za daljinsko očitanje potrošnje energije i vode </w:t>
            </w:r>
            <w:r w:rsidR="003A61DF" w:rsidRPr="00361664">
              <w:rPr>
                <w:rFonts w:asciiTheme="minorHAnsi" w:eastAsia="Calibri" w:hAnsiTheme="minorHAnsi"/>
                <w:iCs/>
                <w:sz w:val="20"/>
                <w:lang w:eastAsia="hr-HR"/>
              </w:rPr>
              <w:lastRenderedPageBreak/>
              <w:t xml:space="preserve">unese preko 130.000 očitanja, dok sama baza broji preko 3.200.000 očitanja. Cilj je obuhvatiti sve lokacije unutar javnog sektora čija je potrošnje energije i vode veća od 400.000,00 kn/god.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Daljinsko očitanje potrošnje energije učinkovit je alat za uspostavu sustavnog gospodarenja energijom u zgradarstvu. Tome u prilog govore mjere energetske učinkovitosti provedene na temelju informacija dobivenih iz sustav</w:t>
            </w:r>
            <w:r w:rsidR="00E902CD" w:rsidRPr="00361664">
              <w:rPr>
                <w:rFonts w:asciiTheme="minorHAnsi" w:eastAsia="Calibri" w:hAnsiTheme="minorHAnsi"/>
                <w:iCs/>
                <w:sz w:val="20"/>
                <w:lang w:eastAsia="hr-HR"/>
              </w:rPr>
              <w:t>a</w:t>
            </w:r>
            <w:r w:rsidRPr="00361664">
              <w:rPr>
                <w:rFonts w:asciiTheme="minorHAnsi" w:eastAsia="Calibri" w:hAnsiTheme="minorHAnsi"/>
                <w:iCs/>
                <w:sz w:val="20"/>
                <w:lang w:eastAsia="hr-HR"/>
              </w:rPr>
              <w:t xml:space="preserve"> daljinskog očitanja koje je financirao UNDP. Potencijalne uštede koje se mogu ostvariti uzevši u obzir stvarne potrošnje energije i vode na objektima i konzervativnu procjenu da sustavno gospodarenje energijom na temelju kvalitetnih informacija iz sustava daljinskog očitanja može ostvariti smanjenje potrošnje energije i vode od 5%, a u slučaju ekscesnih situacija postotak ušteda raste.</w:t>
            </w:r>
          </w:p>
          <w:p w:rsidR="003A61DF" w:rsidRPr="00361664" w:rsidRDefault="003A61DF" w:rsidP="00651BCA">
            <w:pPr>
              <w:spacing w:after="0" w:line="240" w:lineRule="auto"/>
              <w:jc w:val="both"/>
              <w:rPr>
                <w:rFonts w:asciiTheme="minorHAnsi" w:eastAsia="Calibri" w:hAnsiTheme="minorHAnsi"/>
                <w:iCs/>
                <w:sz w:val="20"/>
                <w:lang w:eastAsia="hr-HR"/>
              </w:rPr>
            </w:pP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neposredna potrošnja</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Postojeće zgrade u vlasništvu i na korištenju javnog sektora Republike Hrvatske</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skupina</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Zaposlenici javnog sektora</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Nacionalno</w:t>
            </w:r>
          </w:p>
        </w:tc>
      </w:tr>
      <w:tr w:rsidR="003A61DF" w:rsidRPr="00361664" w:rsidTr="001136FE">
        <w:trPr>
          <w:trHeight w:val="20"/>
        </w:trPr>
        <w:tc>
          <w:tcPr>
            <w:tcW w:w="636" w:type="pct"/>
            <w:vMerge w:val="restar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Informacije o  provedbi</w:t>
            </w: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Popis i opis aktivnosti za provođenje mjere </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Sustavno gospodarenje energijom provodi se kroz četiri segmenta: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1. Prikupljanje relevantnih podataka i potrošnji  objekata u vlasništvu i na korištenju javnog sektora te javne rasvjete od strane imenovanih osoba te putem sustava daljinskom mjerenja kroz Nacionalni informacijski sustav za gospodarenje energijom.</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2. Analiza prikupljenih podataka čime se uočava potencijal za energetske i popratne ekonomske uštede. Na taj način definiraju se prioriteti te se omogućuje strateško planiranje koje za svrhu, među ostalim,  ima i donošenje zakonskih akata.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Na temelju tih analiza predložena su četiri Nacionalna programa koje će APN provoditi s MGIPU-om.</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3. Izvještavanje i verifikacija</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Prikupljanje podataka za cilj ima mogućnost izvještavanja rezultata dobivenih analizom te valorizaciju mjera energetske efikasnosti kroz obnovu (OJZ) i uspostavu SGE-a.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4. Tehnička podrška I edukacijske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Jedan od segmenata programa SGE-a je pružanje tehničke pomoći vezane uz EE mjere u vidu izrade tehničke dokumentacije i korištenja ISGE-a, također i provođenje edukacija zaposlenika javnog sektora kroz specijalizirane tečajeve i radionice kao što su: Tečaj za energetske savjetnike i suradnike (TESS) i ISGE-onica – tečaj obuke korisnika za korištenje ISGE-a.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U sklopu tehničke pomoći javnom sektoru u periodu 2017-2019 predviđena je provedba pet programa iz područja sustavnog gospodarenja energijom koje će APN provoditi s MGIPU:</w:t>
            </w:r>
          </w:p>
          <w:p w:rsidR="003A61DF" w:rsidRPr="00361664" w:rsidRDefault="00E902CD" w:rsidP="00CD00FF">
            <w:pPr>
              <w:numPr>
                <w:ilvl w:val="0"/>
                <w:numId w:val="36"/>
              </w:num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Nacionalni projekt</w:t>
            </w:r>
            <w:r w:rsidR="003B3225" w:rsidRPr="00361664">
              <w:rPr>
                <w:rFonts w:asciiTheme="minorHAnsi" w:eastAsia="Calibri" w:hAnsiTheme="minorHAnsi"/>
                <w:iCs/>
                <w:sz w:val="20"/>
                <w:lang w:eastAsia="hr-HR"/>
              </w:rPr>
              <w:t xml:space="preserve">osiguravanja povoljnijeg obračuna </w:t>
            </w:r>
            <w:r w:rsidR="003A61DF" w:rsidRPr="00361664">
              <w:rPr>
                <w:rFonts w:asciiTheme="minorHAnsi" w:eastAsia="Calibri" w:hAnsiTheme="minorHAnsi"/>
                <w:iCs/>
                <w:sz w:val="20"/>
                <w:lang w:eastAsia="hr-HR"/>
              </w:rPr>
              <w:t>električne energije za javni sektor:</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Izrada studija za objekte koji ne ugovaraju dobro maksimalne mjesečne vrijednosti angažirane snage i koji su shodno tome penalizirani od stane </w:t>
            </w:r>
            <w:r w:rsidR="003B3225" w:rsidRPr="00361664">
              <w:rPr>
                <w:rFonts w:asciiTheme="minorHAnsi" w:eastAsia="Calibri" w:hAnsiTheme="minorHAnsi"/>
                <w:iCs/>
                <w:sz w:val="20"/>
                <w:lang w:eastAsia="hr-HR"/>
              </w:rPr>
              <w:t>distributera i opskrbljivača električne energije</w:t>
            </w:r>
            <w:r w:rsidRPr="00361664">
              <w:rPr>
                <w:rFonts w:asciiTheme="minorHAnsi" w:eastAsia="Calibri" w:hAnsiTheme="minorHAnsi"/>
                <w:iCs/>
                <w:sz w:val="20"/>
                <w:lang w:eastAsia="hr-HR"/>
              </w:rPr>
              <w:t>. Studije će sadržavati preporuke kako dobro ugovarati angažiranu snagu unutar granica 85%-105% i to za svaki objekt pojedinačno.</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Na osnovi podataka u bazi ISGE-a detektirano je preko 150 objekata sa pogrešno ugovorenom angažiranom snagom. Ukupna naplaćena angažirana snaga za izdvojene objekte je iznosila preko 580.000 kW, tj. preko 21.000.000 kn. Pravilnim ugovaranjem vršne snage uštede bi iznosile oko 20% od ukupnog troška za obračunatu snagu, odnosno preko 4.000.000 kn.</w:t>
            </w:r>
          </w:p>
          <w:p w:rsidR="003A61DF" w:rsidRPr="00361664" w:rsidRDefault="00E902CD" w:rsidP="00CD00FF">
            <w:pPr>
              <w:numPr>
                <w:ilvl w:val="0"/>
                <w:numId w:val="36"/>
              </w:num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Nacionalni projekt</w:t>
            </w:r>
            <w:r w:rsidR="003A61DF" w:rsidRPr="00361664">
              <w:rPr>
                <w:rFonts w:asciiTheme="minorHAnsi" w:eastAsia="Calibri" w:hAnsiTheme="minorHAnsi"/>
                <w:iCs/>
                <w:sz w:val="20"/>
                <w:lang w:eastAsia="hr-HR"/>
              </w:rPr>
              <w:t xml:space="preserve"> uklanjanja troškova prekomjerno preuzete jalove energije za javni sektor</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lastRenderedPageBreak/>
              <w:t>Utvrđivanje objekata koji prema bazi podataka u ISGE-u generiraju najveći trošak za prekomjerno preuzetu jalovu energiju. Izrada studija isplativosti ugradnje kompenzatora jalove energije za 500 objekata koji su najveći generatori troška.</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Cilj je ukloniti stavku prekomjerno preuzete jalove energije u javnom sektoru na 500 objekata koji su najveći generatori troška.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U elektroenergetskom sustavu postoje potrošači s induktivnom komponentom (troše jalovu energiju) ili kapacitivnom komponentom (proizvode jalovu energiju). Povećana potrošnja ili proizvodnja jalove energije disbalansira elektroenergetsku mrežu stoga ključni dionici elektroenergetskog sustava penaliziraju prekomjerno preuzetu odnosno prekomjerno odaslanu jalovu energiju u mrežu.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Ti </w:t>
            </w:r>
            <w:r w:rsidR="00411708" w:rsidRPr="00361664">
              <w:rPr>
                <w:rFonts w:asciiTheme="minorHAnsi" w:eastAsia="Calibri" w:hAnsiTheme="minorHAnsi"/>
                <w:iCs/>
                <w:sz w:val="20"/>
                <w:lang w:eastAsia="hr-HR"/>
              </w:rPr>
              <w:t>troškovi</w:t>
            </w:r>
            <w:r w:rsidRPr="00361664">
              <w:rPr>
                <w:rFonts w:asciiTheme="minorHAnsi" w:eastAsia="Calibri" w:hAnsiTheme="minorHAnsi"/>
                <w:iCs/>
                <w:sz w:val="20"/>
                <w:lang w:eastAsia="hr-HR"/>
              </w:rPr>
              <w:t xml:space="preserve"> se mogu izbjeći kompenzacijom jalove energije tako što bi se na objekte koji plaćaju najveće penale za jalovu energiju ugradili kompenzatori jalove energije. Studije o isplativosti ugradnje kompenzatora jalove energije pomogle bi identificirati i potvrditi takve objekte.</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Prema podacima iz ISGE-a izračunato je da javni sektor na stavku za prekomjerno preuzetu jalovu energiju troši oko 8.400.000 HRK. 500 najvećih generatora troška pokriva  oko 60% od ukupnih troškova (27.300.000 kVArh; odnosno oko 5.000.000 kn) na stavku za prekomjerno preuzetu jalovu energiju.</w:t>
            </w:r>
          </w:p>
          <w:p w:rsidR="003A61DF" w:rsidRPr="00361664" w:rsidRDefault="00E902CD" w:rsidP="00CD00FF">
            <w:pPr>
              <w:numPr>
                <w:ilvl w:val="0"/>
                <w:numId w:val="36"/>
              </w:num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Nacionalni projekt</w:t>
            </w:r>
            <w:r w:rsidR="003A61DF" w:rsidRPr="00361664">
              <w:rPr>
                <w:rFonts w:asciiTheme="minorHAnsi" w:eastAsia="Calibri" w:hAnsiTheme="minorHAnsi"/>
                <w:iCs/>
                <w:sz w:val="20"/>
                <w:lang w:eastAsia="hr-HR"/>
              </w:rPr>
              <w:t xml:space="preserve"> optimizacije troškova zakupa snage toplinske energije</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Izrada elaborata od strane ovlaštenih inženjera na objektima koji koriste toplinsku energiju, a kojima bi se potom obraćalo </w:t>
            </w:r>
            <w:r w:rsidR="003B3225" w:rsidRPr="00361664">
              <w:rPr>
                <w:rFonts w:asciiTheme="minorHAnsi" w:eastAsia="Calibri" w:hAnsiTheme="minorHAnsi"/>
                <w:iCs/>
                <w:sz w:val="20"/>
                <w:lang w:eastAsia="hr-HR"/>
              </w:rPr>
              <w:t>opskrbljivačima i distributerima toplinske energije</w:t>
            </w:r>
            <w:r w:rsidRPr="00361664">
              <w:rPr>
                <w:rFonts w:asciiTheme="minorHAnsi" w:eastAsia="Calibri" w:hAnsiTheme="minorHAnsi"/>
                <w:iCs/>
                <w:sz w:val="20"/>
                <w:lang w:eastAsia="hr-HR"/>
              </w:rPr>
              <w:t xml:space="preserve"> sa zahtjevom za promjenom (smanjenim zakupom) toplinske snage.</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Cilj je </w:t>
            </w:r>
            <w:r w:rsidR="00411708" w:rsidRPr="00361664">
              <w:rPr>
                <w:rFonts w:asciiTheme="minorHAnsi" w:eastAsia="Calibri" w:hAnsiTheme="minorHAnsi"/>
                <w:iCs/>
                <w:sz w:val="20"/>
                <w:lang w:eastAsia="hr-HR"/>
              </w:rPr>
              <w:t>promjenomprethodno</w:t>
            </w:r>
            <w:r w:rsidRPr="00361664">
              <w:rPr>
                <w:rFonts w:asciiTheme="minorHAnsi" w:eastAsia="Calibri" w:hAnsiTheme="minorHAnsi"/>
                <w:iCs/>
                <w:sz w:val="20"/>
                <w:lang w:eastAsia="hr-HR"/>
              </w:rPr>
              <w:t xml:space="preserve"> zakupljene toplinske snage smanjiti trošak zakupa snage toplinske energije u institucijama javnog sektora.</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Putem nacionalnog informacijskog sustava za gospodarenje energijom prikupljeni su podatci o objektima koji kao energenti za grijanje troše toplinsku energiju. Analizom tih podataka odabrano je 260 objekata koji bi bili kandidati za promjenu (smanjenje) zakupljene toplinske snage. Troškovi zakupljene toplinske snage smanjili bi se nakon provedene izradbe elaborate od strane ovlaštenog inženjerskog ureda i usuglašavanja s </w:t>
            </w:r>
            <w:r w:rsidR="003B3225" w:rsidRPr="00361664">
              <w:rPr>
                <w:rFonts w:asciiTheme="minorHAnsi" w:eastAsia="Calibri" w:hAnsiTheme="minorHAnsi"/>
                <w:iCs/>
                <w:sz w:val="20"/>
                <w:lang w:eastAsia="hr-HR"/>
              </w:rPr>
              <w:t>opskrbljivačima i distributerima toplinske energije</w:t>
            </w:r>
            <w:r w:rsidRPr="00361664">
              <w:rPr>
                <w:rFonts w:asciiTheme="minorHAnsi" w:eastAsia="Calibri" w:hAnsiTheme="minorHAnsi"/>
                <w:iCs/>
                <w:sz w:val="20"/>
                <w:lang w:eastAsia="hr-HR"/>
              </w:rPr>
              <w:t>.</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Zajedno s gore navedenim aktivnostima provodilo bi se kompletiranje baze podataka onih objekata koji se nalaze u nacionalnom informacijskom sustavu za gospodarenje energijom ISGE, a ne provode sustavno gospodarenje energijom.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Očekivana ušteda iznosi 8.600.000 HRK.</w:t>
            </w:r>
          </w:p>
          <w:p w:rsidR="003A61DF" w:rsidRPr="00361664" w:rsidRDefault="003A61DF" w:rsidP="00CD00FF">
            <w:pPr>
              <w:pStyle w:val="Tabletext"/>
              <w:numPr>
                <w:ilvl w:val="0"/>
                <w:numId w:val="36"/>
              </w:numPr>
              <w:tabs>
                <w:tab w:val="left" w:pos="244"/>
                <w:tab w:val="left" w:pos="5040"/>
              </w:tabs>
              <w:spacing w:before="0" w:after="0" w:line="240" w:lineRule="auto"/>
              <w:rPr>
                <w:rFonts w:asciiTheme="minorHAnsi" w:eastAsia="Calibri" w:hAnsiTheme="minorHAnsi"/>
                <w:iCs/>
                <w:sz w:val="20"/>
                <w:szCs w:val="22"/>
                <w:lang w:val="hr-HR" w:eastAsia="hr-HR"/>
              </w:rPr>
            </w:pPr>
            <w:r w:rsidRPr="00361664">
              <w:rPr>
                <w:rFonts w:asciiTheme="minorHAnsi" w:eastAsia="Calibri" w:hAnsiTheme="minorHAnsi"/>
                <w:iCs/>
                <w:sz w:val="20"/>
                <w:szCs w:val="22"/>
                <w:lang w:val="hr-HR" w:eastAsia="hr-HR"/>
              </w:rPr>
              <w:t>Naciona</w:t>
            </w:r>
            <w:r w:rsidR="00E902CD" w:rsidRPr="00361664">
              <w:rPr>
                <w:rFonts w:asciiTheme="minorHAnsi" w:eastAsia="Calibri" w:hAnsiTheme="minorHAnsi"/>
                <w:iCs/>
                <w:sz w:val="20"/>
                <w:szCs w:val="22"/>
                <w:lang w:val="hr-HR" w:eastAsia="hr-HR"/>
              </w:rPr>
              <w:t>lni projekt</w:t>
            </w:r>
            <w:r w:rsidRPr="00361664">
              <w:rPr>
                <w:rFonts w:asciiTheme="minorHAnsi" w:eastAsia="Calibri" w:hAnsiTheme="minorHAnsi"/>
                <w:iCs/>
                <w:sz w:val="20"/>
                <w:szCs w:val="22"/>
                <w:lang w:val="hr-HR" w:eastAsia="hr-HR"/>
              </w:rPr>
              <w:t xml:space="preserve"> optimizacije energetski neučinkovitih kotlova u javnom sektoru</w:t>
            </w:r>
          </w:p>
          <w:p w:rsidR="003A61DF" w:rsidRPr="00361664" w:rsidRDefault="003A61DF" w:rsidP="00651BCA">
            <w:pPr>
              <w:pStyle w:val="Tabletext"/>
              <w:tabs>
                <w:tab w:val="left" w:pos="244"/>
                <w:tab w:val="left" w:pos="5040"/>
              </w:tabs>
              <w:spacing w:before="0" w:after="0" w:line="240" w:lineRule="auto"/>
              <w:rPr>
                <w:rFonts w:asciiTheme="minorHAnsi" w:eastAsia="Calibri" w:hAnsiTheme="minorHAnsi"/>
                <w:iCs/>
                <w:sz w:val="20"/>
                <w:szCs w:val="22"/>
                <w:lang w:val="hr-HR" w:eastAsia="hr-HR"/>
              </w:rPr>
            </w:pPr>
            <w:r w:rsidRPr="00361664">
              <w:rPr>
                <w:rFonts w:asciiTheme="minorHAnsi" w:eastAsia="Calibri" w:hAnsiTheme="minorHAnsi"/>
                <w:iCs/>
                <w:sz w:val="20"/>
                <w:szCs w:val="22"/>
                <w:lang w:val="hr-HR" w:eastAsia="hr-HR"/>
              </w:rPr>
              <w:t xml:space="preserve">ISGE sustav je programski spreman za unos svih podataka vezanih za postojeće kotlove u zgradama javnog sektora. Za početak će se provoditi prikupljanje podatka od strane korisnika. Vjeruje se da će se nakon kvalitetne uspostave baze podataka moći napraviti kvalitetna analiza plana zamijene kotlova učinkovitijima, a krajnji cilj </w:t>
            </w:r>
            <w:r w:rsidR="00100390" w:rsidRPr="00361664">
              <w:rPr>
                <w:rFonts w:asciiTheme="minorHAnsi" w:eastAsia="Calibri" w:hAnsiTheme="minorHAnsi"/>
                <w:iCs/>
                <w:sz w:val="20"/>
                <w:szCs w:val="22"/>
                <w:lang w:val="hr-HR" w:eastAsia="hr-HR"/>
              </w:rPr>
              <w:t>je ušteda provedenom mjerom.</w:t>
            </w:r>
            <w:r w:rsidRPr="00361664">
              <w:rPr>
                <w:rFonts w:asciiTheme="minorHAnsi" w:eastAsia="Calibri" w:hAnsiTheme="minorHAnsi"/>
                <w:iCs/>
                <w:sz w:val="20"/>
                <w:szCs w:val="22"/>
                <w:lang w:val="hr-HR" w:eastAsia="hr-HR"/>
              </w:rPr>
              <w:t xml:space="preserve">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Putem nacionalnog informacijskog sustava za gospodarenje energijom u prvoj fazi programa se prikupljaju podaci o kotlovima u objektima tijela javne vlasti.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Trenutno su u ISGE bazu od strane korisnika uneseni podaci za 2.515  kotlova. Kompletiranjem baze podataka o kotlovima napravila bi se podloga planiranja zamijene kotlova učinkovitijima kao i zamjena energetski neefikasnog energenta. Druga faza programa uključuje analize i izrade studija isplativosti zamijene kotlova, dok se u trećoj fazi planira zamjena kotlova na lokacijama koje su se prema studijama pokazale najneučinkovitije tj. čija bi zamjena rezultirala najvećom uštedom.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Uspostavom takve među sustavne komunikacije omogućilo bi korisnicima da se fokusiraju na samu stratešku analizu potrošnje te time kvalitetnije gospodare potrošnjom svojih objekata. Kvalitetnijim gospodarenjem svojih objekata omogućuje se nacionalni „bottom-up“ pristup potrošnje kojem je krajnji cilj pružiti </w:t>
            </w:r>
            <w:r w:rsidRPr="00361664">
              <w:rPr>
                <w:rFonts w:asciiTheme="minorHAnsi" w:eastAsia="Calibri" w:hAnsiTheme="minorHAnsi"/>
                <w:iCs/>
                <w:sz w:val="20"/>
                <w:lang w:eastAsia="hr-HR"/>
              </w:rPr>
              <w:lastRenderedPageBreak/>
              <w:t xml:space="preserve">što točniju sliku nacionalne potrošnje energije.  </w:t>
            </w:r>
          </w:p>
          <w:p w:rsidR="003A61DF" w:rsidRPr="00361664" w:rsidRDefault="003A61DF" w:rsidP="00651BCA">
            <w:pPr>
              <w:pStyle w:val="Tabletext"/>
              <w:tabs>
                <w:tab w:val="left" w:pos="244"/>
                <w:tab w:val="left" w:pos="5040"/>
              </w:tabs>
              <w:spacing w:before="0" w:after="0" w:line="240" w:lineRule="auto"/>
              <w:rPr>
                <w:rFonts w:asciiTheme="minorHAnsi" w:eastAsia="Calibri" w:hAnsiTheme="minorHAnsi"/>
                <w:iCs/>
                <w:sz w:val="20"/>
                <w:szCs w:val="22"/>
                <w:lang w:val="hr-HR" w:eastAsia="hr-HR"/>
              </w:rPr>
            </w:pPr>
            <w:r w:rsidRPr="00361664">
              <w:rPr>
                <w:rFonts w:asciiTheme="minorHAnsi" w:eastAsia="Calibri" w:hAnsiTheme="minorHAnsi"/>
                <w:iCs/>
                <w:sz w:val="20"/>
                <w:szCs w:val="22"/>
                <w:lang w:val="hr-HR" w:eastAsia="hr-HR"/>
              </w:rPr>
              <w:t>Zamjenom neučinkovitih kotlova postigla bi se ušteda od 47TJ.</w:t>
            </w:r>
          </w:p>
          <w:p w:rsidR="003A61DF" w:rsidRPr="00361664" w:rsidRDefault="00E902CD" w:rsidP="00CD00FF">
            <w:pPr>
              <w:pStyle w:val="Tabletext"/>
              <w:numPr>
                <w:ilvl w:val="0"/>
                <w:numId w:val="36"/>
              </w:numPr>
              <w:tabs>
                <w:tab w:val="left" w:pos="244"/>
                <w:tab w:val="left" w:pos="5040"/>
              </w:tabs>
              <w:spacing w:before="0" w:after="0" w:line="240" w:lineRule="auto"/>
              <w:rPr>
                <w:rFonts w:asciiTheme="minorHAnsi" w:eastAsia="Calibri" w:hAnsiTheme="minorHAnsi"/>
                <w:iCs/>
                <w:sz w:val="20"/>
                <w:szCs w:val="22"/>
                <w:lang w:val="hr-HR" w:eastAsia="hr-HR"/>
              </w:rPr>
            </w:pPr>
            <w:r w:rsidRPr="00361664">
              <w:rPr>
                <w:rFonts w:asciiTheme="minorHAnsi" w:eastAsia="Calibri" w:hAnsiTheme="minorHAnsi"/>
                <w:iCs/>
                <w:sz w:val="20"/>
                <w:szCs w:val="22"/>
                <w:lang w:val="hr-HR" w:eastAsia="hr-HR"/>
              </w:rPr>
              <w:t>Nacionalni projekt</w:t>
            </w:r>
            <w:r w:rsidR="003A61DF" w:rsidRPr="00361664">
              <w:rPr>
                <w:rFonts w:asciiTheme="minorHAnsi" w:eastAsia="Calibri" w:hAnsiTheme="minorHAnsi"/>
                <w:iCs/>
                <w:sz w:val="20"/>
                <w:szCs w:val="22"/>
                <w:lang w:val="hr-HR" w:eastAsia="hr-HR"/>
              </w:rPr>
              <w:t xml:space="preserve"> akumulacije rashladne energije u zgradarstvu</w:t>
            </w:r>
          </w:p>
          <w:p w:rsidR="003A61DF" w:rsidRPr="00361664" w:rsidRDefault="003A61DF" w:rsidP="00651BCA">
            <w:pPr>
              <w:pStyle w:val="Tabletext"/>
              <w:tabs>
                <w:tab w:val="left" w:pos="244"/>
                <w:tab w:val="left" w:pos="5040"/>
              </w:tabs>
              <w:spacing w:before="0" w:after="0" w:line="240" w:lineRule="auto"/>
              <w:rPr>
                <w:rFonts w:asciiTheme="minorHAnsi" w:eastAsia="Calibri" w:hAnsiTheme="minorHAnsi"/>
                <w:iCs/>
                <w:sz w:val="20"/>
                <w:szCs w:val="22"/>
                <w:lang w:val="hr-HR" w:eastAsia="hr-HR"/>
              </w:rPr>
            </w:pPr>
            <w:r w:rsidRPr="00361664">
              <w:rPr>
                <w:rFonts w:asciiTheme="minorHAnsi" w:eastAsia="Calibri" w:hAnsiTheme="minorHAnsi"/>
                <w:iCs/>
                <w:sz w:val="20"/>
                <w:szCs w:val="22"/>
                <w:lang w:val="hr-HR" w:eastAsia="hr-HR"/>
              </w:rPr>
              <w:t xml:space="preserve">Cilj </w:t>
            </w:r>
            <w:r w:rsidR="00E902CD" w:rsidRPr="00361664">
              <w:rPr>
                <w:rFonts w:asciiTheme="minorHAnsi" w:eastAsia="Calibri" w:hAnsiTheme="minorHAnsi"/>
                <w:iCs/>
                <w:sz w:val="20"/>
                <w:szCs w:val="22"/>
                <w:lang w:val="hr-HR" w:eastAsia="hr-HR"/>
              </w:rPr>
              <w:t>pro</w:t>
            </w:r>
            <w:r w:rsidR="003B3225" w:rsidRPr="00361664">
              <w:rPr>
                <w:rFonts w:asciiTheme="minorHAnsi" w:eastAsia="Calibri" w:hAnsiTheme="minorHAnsi"/>
                <w:iCs/>
                <w:sz w:val="20"/>
                <w:szCs w:val="22"/>
                <w:lang w:val="hr-HR" w:eastAsia="hr-HR"/>
              </w:rPr>
              <w:t>jekta</w:t>
            </w:r>
            <w:r w:rsidR="00E902CD" w:rsidRPr="00361664">
              <w:rPr>
                <w:rFonts w:asciiTheme="minorHAnsi" w:eastAsia="Calibri" w:hAnsiTheme="minorHAnsi"/>
                <w:iCs/>
                <w:sz w:val="20"/>
                <w:szCs w:val="22"/>
                <w:lang w:val="hr-HR" w:eastAsia="hr-HR"/>
              </w:rPr>
              <w:t xml:space="preserve"> jest izrada studija o </w:t>
            </w:r>
            <w:r w:rsidRPr="00361664">
              <w:rPr>
                <w:rFonts w:asciiTheme="minorHAnsi" w:eastAsia="Calibri" w:hAnsiTheme="minorHAnsi"/>
                <w:iCs/>
                <w:sz w:val="20"/>
                <w:szCs w:val="22"/>
                <w:lang w:val="hr-HR" w:eastAsia="hr-HR"/>
              </w:rPr>
              <w:t>mogućnosti investicije u rekonstrukciji postojećih ili ugradnji novih rashladnih uređaja u sprezi sa sustavima za akumulaciju rashladne energije (spremnici hladne vode, banke leda) u području zgradarstva za primorsku Hrvatsku i industrije za na području cijele Hrvatske sa ciljem: smanjenja vršnih opterećenja elektroenergetskog sustava, povoljnog utjecaja na ravnotežu potrošnje električne energije rashladne i klimatizacijske opreme, smanjenje veličine (kapaciteta) rashladnog uređaja, smanjenje troška zakupa pogonske energije i trošak pogonske energije, viši faktor hlađenja rashladnog uređaja, primjena prirodnih radnih tvari (NH3, CO2, propan), smanjena količina punjenja radnih tvari, a time i ispuštanje te zagađivanje okoliša. Na temelju studija tražila bi se sredstva za provedbu programa na najisplativijem objektu.</w:t>
            </w:r>
          </w:p>
          <w:p w:rsidR="003A61DF" w:rsidRPr="00361664" w:rsidRDefault="003A61DF" w:rsidP="00651BCA">
            <w:pPr>
              <w:pStyle w:val="Tabletext"/>
              <w:tabs>
                <w:tab w:val="left" w:pos="244"/>
                <w:tab w:val="left" w:pos="5040"/>
              </w:tabs>
              <w:spacing w:before="0" w:after="0" w:line="240" w:lineRule="auto"/>
              <w:rPr>
                <w:rFonts w:asciiTheme="minorHAnsi" w:eastAsia="Calibri" w:hAnsiTheme="minorHAnsi"/>
                <w:iCs/>
                <w:sz w:val="20"/>
                <w:szCs w:val="22"/>
                <w:lang w:val="hr-HR" w:eastAsia="hr-HR"/>
              </w:rPr>
            </w:pPr>
          </w:p>
          <w:p w:rsidR="003A61DF" w:rsidRPr="00361664" w:rsidRDefault="003A61DF" w:rsidP="00651BCA">
            <w:pPr>
              <w:pStyle w:val="Tabletext"/>
              <w:tabs>
                <w:tab w:val="left" w:pos="244"/>
                <w:tab w:val="left" w:pos="5040"/>
              </w:tabs>
              <w:spacing w:before="0" w:after="0" w:line="240" w:lineRule="auto"/>
              <w:rPr>
                <w:rFonts w:asciiTheme="minorHAnsi" w:eastAsia="Calibri" w:hAnsiTheme="minorHAnsi"/>
                <w:iCs/>
                <w:sz w:val="20"/>
                <w:szCs w:val="22"/>
                <w:lang w:val="hr-HR" w:eastAsia="hr-HR"/>
              </w:rPr>
            </w:pPr>
            <w:r w:rsidRPr="00361664">
              <w:rPr>
                <w:rFonts w:asciiTheme="minorHAnsi" w:eastAsia="Calibri" w:hAnsiTheme="minorHAnsi"/>
                <w:iCs/>
                <w:sz w:val="20"/>
                <w:szCs w:val="22"/>
                <w:lang w:val="hr-HR" w:eastAsia="hr-HR"/>
              </w:rPr>
              <w:t xml:space="preserve">ISGE sustav je programski spreman upariti svoja postojeća polja s poljima pojedinog distributera. Za svakog pojedinog distributera potrebno je napraviti individualna „spajanja“ određenih polja zbog specifičnosti polja svakog pojedinog distributera. Vjeruje se da će se nakon kvalitetne uspostave podataka među bazama u oba smjera u mjeru priključiti sve veći broj dobavljača, a krajnji cilj je uvođenje mjere povezivanja ISGE-a sa sustavima za mjerenje i naplatu opskrbljivača i distributera energenata i vode u zakonodavni okvir RH.   </w:t>
            </w:r>
          </w:p>
          <w:p w:rsidR="003A61DF" w:rsidRPr="00361664" w:rsidRDefault="003A61DF" w:rsidP="00651BCA">
            <w:pPr>
              <w:pStyle w:val="Tabletext"/>
              <w:tabs>
                <w:tab w:val="left" w:pos="244"/>
                <w:tab w:val="left" w:pos="5040"/>
              </w:tabs>
              <w:spacing w:before="0" w:after="0" w:line="240" w:lineRule="auto"/>
              <w:rPr>
                <w:rFonts w:asciiTheme="minorHAnsi" w:eastAsia="Calibri" w:hAnsiTheme="minorHAnsi"/>
                <w:iCs/>
                <w:sz w:val="20"/>
                <w:szCs w:val="22"/>
                <w:lang w:val="hr-HR" w:eastAsia="hr-HR"/>
              </w:rPr>
            </w:pPr>
            <w:r w:rsidRPr="00361664">
              <w:rPr>
                <w:rFonts w:asciiTheme="minorHAnsi" w:eastAsia="Calibri" w:hAnsiTheme="minorHAnsi"/>
                <w:iCs/>
                <w:sz w:val="20"/>
                <w:szCs w:val="22"/>
                <w:lang w:val="hr-HR" w:eastAsia="hr-HR"/>
              </w:rPr>
              <w:t xml:space="preserve">ISGE sustav je programski spreman za povezivanje novih mjernih mjesta. Prema prikupljenim podacima o potrošnji objekata sa povećanom potrošnjom energije i vode od strane korisnika odabrat će se kandidati sa najvećom potrošnjom. Provest će se kvalitetna edukacija korisnika.  </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Financijska sredstva i izvori financiranja</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9F6928">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Planirana sredstva do kraja 2019.:</w:t>
            </w:r>
            <w:r w:rsidR="00F8315E" w:rsidRPr="00361664">
              <w:rPr>
                <w:rFonts w:asciiTheme="minorHAnsi" w:eastAsia="Calibri" w:hAnsiTheme="minorHAnsi"/>
                <w:iCs/>
                <w:sz w:val="20"/>
                <w:lang w:eastAsia="hr-HR"/>
              </w:rPr>
              <w:t xml:space="preserve"> </w:t>
            </w:r>
            <w:r w:rsidR="009F6928" w:rsidRPr="00361664">
              <w:rPr>
                <w:rFonts w:asciiTheme="minorHAnsi" w:eastAsia="Calibri" w:hAnsiTheme="minorHAnsi"/>
                <w:iCs/>
                <w:sz w:val="20"/>
                <w:lang w:eastAsia="hr-HR"/>
              </w:rPr>
              <w:t>6.579.327</w:t>
            </w:r>
            <w:r w:rsidR="00F8315E" w:rsidRPr="00361664">
              <w:rPr>
                <w:rFonts w:asciiTheme="minorHAnsi" w:eastAsia="Calibri" w:hAnsiTheme="minorHAnsi"/>
                <w:iCs/>
                <w:sz w:val="20"/>
                <w:lang w:eastAsia="hr-HR"/>
              </w:rPr>
              <w:t>,00</w:t>
            </w:r>
            <w:r w:rsidR="00753565" w:rsidRPr="00361664">
              <w:rPr>
                <w:rFonts w:asciiTheme="minorHAnsi" w:eastAsia="Calibri" w:hAnsiTheme="minorHAnsi"/>
                <w:iCs/>
                <w:sz w:val="20"/>
                <w:lang w:eastAsia="hr-HR"/>
              </w:rPr>
              <w:t xml:space="preserve"> kn. </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Izvršno tijelo</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APN – financira i provodi</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Dobav</w:t>
            </w:r>
            <w:r w:rsidR="00E902CD" w:rsidRPr="00361664">
              <w:rPr>
                <w:rFonts w:asciiTheme="minorHAnsi" w:eastAsia="Calibri" w:hAnsiTheme="minorHAnsi"/>
                <w:iCs/>
                <w:sz w:val="20"/>
                <w:lang w:eastAsia="hr-HR"/>
              </w:rPr>
              <w:t>ljači energenata i vode, operato</w:t>
            </w:r>
            <w:r w:rsidRPr="00361664">
              <w:rPr>
                <w:rFonts w:asciiTheme="minorHAnsi" w:eastAsia="Calibri" w:hAnsiTheme="minorHAnsi"/>
                <w:iCs/>
                <w:sz w:val="20"/>
                <w:lang w:eastAsia="hr-HR"/>
              </w:rPr>
              <w:t>ri distributivnih sustava – povezivanje s ISGE</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NKT – u dijelu povezivanja ISGE-a i SMIV-a</w:t>
            </w:r>
          </w:p>
          <w:p w:rsidR="00D40C7C" w:rsidRPr="00361664" w:rsidRDefault="00D40C7C"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FSB-</w:t>
            </w:r>
            <w:r w:rsidR="003B3225" w:rsidRPr="00361664">
              <w:rPr>
                <w:rFonts w:asciiTheme="minorHAnsi" w:eastAsia="Calibri" w:hAnsiTheme="minorHAnsi"/>
                <w:iCs/>
                <w:sz w:val="20"/>
                <w:lang w:eastAsia="hr-HR"/>
              </w:rPr>
              <w:t>Nacionalni projekt akumulacije rashladne energije u zgradarstvu</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640C0B"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Tijelo za praćenje, mjerenje i verifikaciju ušteda</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NKT</w:t>
            </w:r>
          </w:p>
        </w:tc>
      </w:tr>
      <w:tr w:rsidR="003A61DF" w:rsidRPr="00361664" w:rsidTr="001136FE">
        <w:trPr>
          <w:trHeight w:val="20"/>
        </w:trPr>
        <w:tc>
          <w:tcPr>
            <w:tcW w:w="636" w:type="pct"/>
            <w:vMerge w:val="restart"/>
            <w:tcBorders>
              <w:top w:val="single" w:sz="4" w:space="0" w:color="auto"/>
              <w:left w:val="single" w:sz="4" w:space="0" w:color="auto"/>
              <w:bottom w:val="single" w:sz="4" w:space="0" w:color="auto"/>
              <w:right w:val="single" w:sz="4" w:space="0" w:color="auto"/>
            </w:tcBorders>
            <w:vAlign w:val="center"/>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Uštede energije</w:t>
            </w:r>
          </w:p>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Metoda praćenja / mjerenja ušteda energije</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Do sada je praćenje ostvarenih ušteda energije omogućeno ISGE sustavom osnovnim i naprednim analizama baze podataka. Ostvarene uštede temelje se na mjerenim podacima o potrošnji svih oblika energije, čiji je unos baziran na dobrovoljnoj bazi. Sinkronizacijom baza dobivaju se provjereni  podaci, a povezivanjem s mjernim sustavima dobivaju se „real-time“ podaci koji omogućuju strateško planiranje i provođenje mjera.</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Na temelju direktnog satnog praćenja potrošnje energije i vode putem ISGE sustava dobivaju se kvalitetni pokazatelji energetskih potreba te se prema njima može bolje planirati i raspolagati sredstvima.</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A9135D"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Očekivane uštede energije do kraja 2019.</w:t>
            </w: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A071D7"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Ukupno: 1</w:t>
            </w:r>
            <w:r w:rsidR="008473BD" w:rsidRPr="00361664">
              <w:rPr>
                <w:rFonts w:asciiTheme="minorHAnsi" w:eastAsia="Calibri" w:hAnsiTheme="minorHAnsi"/>
                <w:iCs/>
                <w:sz w:val="20"/>
                <w:lang w:eastAsia="hr-HR"/>
              </w:rPr>
              <w:t>.</w:t>
            </w:r>
            <w:r w:rsidRPr="00361664">
              <w:rPr>
                <w:rFonts w:asciiTheme="minorHAnsi" w:eastAsia="Calibri" w:hAnsiTheme="minorHAnsi"/>
                <w:iCs/>
                <w:sz w:val="20"/>
                <w:lang w:eastAsia="hr-HR"/>
              </w:rPr>
              <w:t>052 TJ</w:t>
            </w:r>
          </w:p>
          <w:p w:rsidR="003A61DF" w:rsidRPr="00361664" w:rsidRDefault="00A071D7"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300</w:t>
            </w:r>
            <w:r w:rsidR="003A61DF" w:rsidRPr="00361664">
              <w:rPr>
                <w:rFonts w:asciiTheme="minorHAnsi" w:eastAsia="Calibri" w:hAnsiTheme="minorHAnsi"/>
                <w:iCs/>
                <w:sz w:val="20"/>
                <w:lang w:eastAsia="hr-HR"/>
              </w:rPr>
              <w:t>TJ (godišnje) Sustavno gospodarenje energijom</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35TJ (godišnje) Ugradnja sustava daljinskog očitanja potrošnje na mjernim mjestima u institucijama javnog sektora</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47TJ (u 2019. godini) Nacionalni program optimizacije energetski neučinkovitih kotlova u javnom sektoru</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4831DF" w:rsidP="00651BCA">
            <w:pPr>
              <w:pStyle w:val="Tabletext"/>
              <w:tabs>
                <w:tab w:val="left" w:pos="1440"/>
                <w:tab w:val="left" w:pos="5040"/>
              </w:tabs>
              <w:spacing w:before="0" w:after="0" w:line="240" w:lineRule="auto"/>
              <w:rPr>
                <w:rFonts w:asciiTheme="minorHAnsi" w:hAnsiTheme="minorHAnsi"/>
                <w:sz w:val="20"/>
                <w:szCs w:val="22"/>
                <w:highlight w:val="yellow"/>
                <w:lang w:val="hr-HR"/>
              </w:rPr>
            </w:pPr>
            <w:r w:rsidRPr="00361664">
              <w:rPr>
                <w:rFonts w:asciiTheme="minorHAnsi" w:hAnsiTheme="minorHAnsi"/>
                <w:sz w:val="20"/>
                <w:szCs w:val="22"/>
                <w:lang w:val="hr-HR"/>
              </w:rPr>
              <w:t xml:space="preserve">Očekivane uštede energije </w:t>
            </w:r>
            <w:r w:rsidRPr="00361664">
              <w:rPr>
                <w:rFonts w:asciiTheme="minorHAnsi" w:hAnsiTheme="minorHAnsi"/>
                <w:sz w:val="20"/>
                <w:szCs w:val="22"/>
                <w:lang w:val="hr-HR"/>
              </w:rPr>
              <w:lastRenderedPageBreak/>
              <w:t>do kraja 2020.</w:t>
            </w:r>
          </w:p>
        </w:tc>
        <w:tc>
          <w:tcPr>
            <w:tcW w:w="3595" w:type="pct"/>
            <w:tcBorders>
              <w:top w:val="single" w:sz="4" w:space="0" w:color="auto"/>
              <w:left w:val="single" w:sz="4" w:space="0" w:color="auto"/>
              <w:bottom w:val="single" w:sz="4" w:space="0" w:color="auto"/>
              <w:right w:val="single" w:sz="4" w:space="0" w:color="auto"/>
            </w:tcBorders>
            <w:vAlign w:val="center"/>
          </w:tcPr>
          <w:p w:rsidR="003A61DF" w:rsidRPr="00361664" w:rsidRDefault="00A071D7"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lastRenderedPageBreak/>
              <w:t>1</w:t>
            </w:r>
            <w:r w:rsidR="008473BD" w:rsidRPr="00361664">
              <w:rPr>
                <w:rFonts w:asciiTheme="minorHAnsi" w:eastAsia="Calibri" w:hAnsiTheme="minorHAnsi"/>
                <w:iCs/>
                <w:sz w:val="20"/>
                <w:lang w:eastAsia="hr-HR"/>
              </w:rPr>
              <w:t>.387</w:t>
            </w:r>
            <w:r w:rsidRPr="00361664">
              <w:rPr>
                <w:rFonts w:asciiTheme="minorHAnsi" w:eastAsia="Calibri" w:hAnsiTheme="minorHAnsi"/>
                <w:iCs/>
                <w:sz w:val="20"/>
                <w:lang w:eastAsia="hr-HR"/>
              </w:rPr>
              <w:t xml:space="preserve"> TJ</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Pretpostavke</w:t>
            </w:r>
          </w:p>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3595" w:type="pct"/>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Trenutno se u ISGE sustavu nalazi preko 38.000 ETC-a javnog sektora, od čega je preko 20.000 javne rasvjete, preko 53.000 mjernih mjesta, preko 400 distributera energenata i vode i preko 5.300 educiranih korisnika. Uzmemo li da HEP Distribucija (i pripadajuća Opskrba) pokriva gotovo sve objekte u sustavu, spajanjem samo njihove baze pokrila se  gotovo potpuna potrošnja električne energije u javnom sektoru na području cijele RH. Izračunom prema stvarnoj potrošnji unesenoj u ISGE dobio se podatak o uštedi energije u 2011.i 2012. godini. Te uštede rezultirale su uvođenjem tzv. 'malih mjera' koje su se na većini objekata počele provoditi 2011. Godišnje prosječne uštede iznose</w:t>
            </w:r>
            <w:r w:rsidR="0067001A" w:rsidRPr="00361664">
              <w:rPr>
                <w:rFonts w:asciiTheme="minorHAnsi" w:eastAsia="Calibri" w:hAnsiTheme="minorHAnsi"/>
                <w:iCs/>
                <w:sz w:val="20"/>
                <w:lang w:eastAsia="hr-HR"/>
              </w:rPr>
              <w:t xml:space="preserve"> 300</w:t>
            </w:r>
            <w:r w:rsidRPr="00361664">
              <w:rPr>
                <w:rFonts w:asciiTheme="minorHAnsi" w:eastAsia="Calibri" w:hAnsiTheme="minorHAnsi"/>
                <w:iCs/>
                <w:sz w:val="20"/>
                <w:lang w:eastAsia="hr-HR"/>
              </w:rPr>
              <w:t>TJ.</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Prema podacima u bazi ISGE-a o naplaćenoj angažiranoj snazi za 2015.  Za objekte javnog sektora i uz pretpostavku da korisnici ugovaraju maksimalne mjesečne vrijednosti angažirane snage točno onoliko koliko i ostvare, uštede bi se kretale oko 20% od ukupnog troška za stavku obračunate snage. Procjenjuje se ušteda od 4.000.000 HRK.</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U ISGE bazi detektirano je preko 7.500 objekata koji plaćaju stavku prekomjerno preuzete jalove energije. Uz pretpostavku da potrošnja/proizvodnja jalove energije godišnje ne varira mnogo i uz ugradnju kompenzatora jalove energije prema studijama isplativosti uštede bi se kretale oko 5.000.000 kn.</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U ISGE-u do sad je detektirano 630 objekata koje opskrbljuje HEP Toplinarstvo. Od toga je 260 objekata koji su kandidati za izradbu novog elaborata i promjenu količine zakupljene toplinske snage. Primjenom predložene mjere novčane uštede iznosile bi 8.600.000 HRK.</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Pretpostavlja se da ukupno postoji preko 10.000 kotlova u tijelima javne vlasti. Izračunom prema stvarnoj potrošnji unesenoj u ISGE dobio se podatak o uštedi energije u 2019. godini.</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 xml:space="preserve">U ISGE sustavu nalazi preko 400 distributera energenata i vode. </w:t>
            </w:r>
          </w:p>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Trenutno se u ISGE sustavu nalazi preko 100 lokacija unutar javnog sektora koji su opremljeni sa oko 787 individualnih mjerila spojenih na sustav daljinskog očitanja potrošnje energije i vode. Sa 100 lokacija obuhvatili smo oko 30 % potrošnje energije i vode u javnom sektoru. Povezivanjem 400 najvećih potrošača unutar javnog sektora obuhvatili bi oko 70% potrošnje i ako se uzme u obzir da aktivnim praćenjem potrošnje energije i vode možemo pridonijeti smanjenju troškova od 5% sustavom za daljinsko očitavanje možemo utjecati na 7% potrošnje energije i vode u javnom sektoru. Povezivanjem mjernih mjesta na sustav automatiziranog praćenja potrošnje energije i vode sa ISGE sustavom dobiva se mogućnost automatiziranog nadzora nad potrošnjom (satno praćenje potrošnje, analiza potrošnje) te dobivanje pravovremenih informacija o ekscesnim situacijama (povećana potrošnja, puknuća cijevi voda/plin, grijanje…).Godišnje prosječne uštede iznose 35 TJ.</w:t>
            </w:r>
          </w:p>
        </w:tc>
      </w:tr>
      <w:tr w:rsidR="003A61DF" w:rsidRPr="00361664" w:rsidTr="00113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61DF" w:rsidRPr="00361664" w:rsidRDefault="003A61DF" w:rsidP="00651BCA">
            <w:pPr>
              <w:spacing w:after="0" w:line="240" w:lineRule="auto"/>
              <w:jc w:val="both"/>
              <w:rPr>
                <w:rFonts w:asciiTheme="minorHAnsi" w:hAnsiTheme="minorHAnsi"/>
                <w:sz w:val="20"/>
                <w:lang w:eastAsia="de-DE"/>
              </w:rPr>
            </w:pPr>
          </w:p>
        </w:tc>
        <w:tc>
          <w:tcPr>
            <w:tcW w:w="769" w:type="pct"/>
            <w:tcBorders>
              <w:top w:val="single" w:sz="4" w:space="0" w:color="auto"/>
              <w:left w:val="single" w:sz="4" w:space="0" w:color="auto"/>
              <w:bottom w:val="single" w:sz="4" w:space="0" w:color="auto"/>
              <w:right w:val="single" w:sz="4" w:space="0" w:color="auto"/>
            </w:tcBorders>
            <w:vAlign w:val="center"/>
          </w:tcPr>
          <w:p w:rsidR="003A61DF" w:rsidRPr="00361664" w:rsidRDefault="003A6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Preklapanja, efekt množenja, sinergija</w:t>
            </w:r>
          </w:p>
        </w:tc>
        <w:tc>
          <w:tcPr>
            <w:tcW w:w="3595" w:type="pct"/>
            <w:tcBorders>
              <w:top w:val="single" w:sz="4" w:space="0" w:color="auto"/>
              <w:left w:val="single" w:sz="4" w:space="0" w:color="auto"/>
              <w:bottom w:val="single" w:sz="4" w:space="0" w:color="auto"/>
              <w:right w:val="single" w:sz="4" w:space="0" w:color="auto"/>
            </w:tcBorders>
            <w:vAlign w:val="center"/>
          </w:tcPr>
          <w:p w:rsidR="003A61DF" w:rsidRPr="00361664" w:rsidRDefault="003A61DF" w:rsidP="00651BCA">
            <w:pPr>
              <w:spacing w:after="0" w:line="240" w:lineRule="auto"/>
              <w:jc w:val="both"/>
              <w:rPr>
                <w:rFonts w:asciiTheme="minorHAnsi" w:eastAsia="Calibri" w:hAnsiTheme="minorHAnsi"/>
                <w:iCs/>
                <w:sz w:val="20"/>
                <w:lang w:eastAsia="hr-HR"/>
              </w:rPr>
            </w:pPr>
            <w:r w:rsidRPr="00361664">
              <w:rPr>
                <w:rFonts w:asciiTheme="minorHAnsi" w:eastAsia="Calibri" w:hAnsiTheme="minorHAnsi"/>
                <w:iCs/>
                <w:sz w:val="20"/>
                <w:lang w:eastAsia="hr-HR"/>
              </w:rPr>
              <w:t>Mjera je započela u 3. NAPEnU pod nazivom: Povezivanje ISGE-a sa sustavima za mjerenje i naplatu dobavljača energenata i vode</w:t>
            </w:r>
          </w:p>
        </w:tc>
      </w:tr>
    </w:tbl>
    <w:p w:rsidR="004B1C0A" w:rsidRPr="00361664" w:rsidRDefault="004B1C0A" w:rsidP="00651BCA">
      <w:pPr>
        <w:jc w:val="both"/>
        <w:rPr>
          <w:lang w:eastAsia="de-DE"/>
        </w:rPr>
      </w:pPr>
    </w:p>
    <w:p w:rsidR="00346BF8" w:rsidRPr="00361036" w:rsidRDefault="001D5B34" w:rsidP="00361036">
      <w:pPr>
        <w:pStyle w:val="Naslov3"/>
        <w:rPr>
          <w:rStyle w:val="Jakoisticanje"/>
          <w:b/>
          <w:bCs w:val="0"/>
          <w:i/>
          <w:iCs w:val="0"/>
          <w:color w:val="375F91"/>
        </w:rPr>
      </w:pPr>
      <w:bookmarkStart w:id="40" w:name="_Toc535245859"/>
      <w:r w:rsidRPr="00361036">
        <w:rPr>
          <w:rStyle w:val="Jakoisticanje"/>
          <w:b/>
          <w:bCs w:val="0"/>
          <w:i/>
          <w:iCs w:val="0"/>
          <w:color w:val="375F91"/>
        </w:rPr>
        <w:t xml:space="preserve">Zgrade drugih </w:t>
      </w:r>
      <w:r w:rsidR="00CE07A7" w:rsidRPr="00361036">
        <w:rPr>
          <w:rStyle w:val="Jakoisticanje"/>
          <w:b/>
          <w:bCs w:val="0"/>
          <w:i/>
          <w:iCs w:val="0"/>
          <w:color w:val="375F91"/>
        </w:rPr>
        <w:t>javnih tijela</w:t>
      </w:r>
      <w:r w:rsidR="00944F9E" w:rsidRPr="00361036">
        <w:rPr>
          <w:rStyle w:val="Jakoisticanje"/>
          <w:b/>
          <w:bCs w:val="0"/>
          <w:i/>
          <w:iCs w:val="0"/>
          <w:color w:val="375F91"/>
        </w:rPr>
        <w:t xml:space="preserve"> (</w:t>
      </w:r>
      <w:r w:rsidRPr="00361036">
        <w:rPr>
          <w:rStyle w:val="Jakoisticanje"/>
          <w:b/>
          <w:bCs w:val="0"/>
          <w:i/>
          <w:iCs w:val="0"/>
          <w:color w:val="375F91"/>
        </w:rPr>
        <w:t>č</w:t>
      </w:r>
      <w:r w:rsidR="003412CD" w:rsidRPr="00361036">
        <w:rPr>
          <w:rStyle w:val="Jakoisticanje"/>
          <w:b/>
          <w:bCs w:val="0"/>
          <w:i/>
          <w:iCs w:val="0"/>
          <w:color w:val="375F91"/>
        </w:rPr>
        <w:t>lanak</w:t>
      </w:r>
      <w:r w:rsidR="00944F9E" w:rsidRPr="00361036">
        <w:rPr>
          <w:rStyle w:val="Jakoisticanje"/>
          <w:b/>
          <w:bCs w:val="0"/>
          <w:i/>
          <w:iCs w:val="0"/>
          <w:color w:val="375F91"/>
        </w:rPr>
        <w:t xml:space="preserve"> 5</w:t>
      </w:r>
      <w:r w:rsidRPr="00361036">
        <w:rPr>
          <w:rStyle w:val="Jakoisticanje"/>
          <w:b/>
          <w:bCs w:val="0"/>
          <w:i/>
          <w:iCs w:val="0"/>
          <w:color w:val="375F91"/>
        </w:rPr>
        <w:t>. DEU-a</w:t>
      </w:r>
      <w:r w:rsidR="00944F9E" w:rsidRPr="00361036">
        <w:rPr>
          <w:rStyle w:val="Jakoisticanje"/>
          <w:b/>
          <w:bCs w:val="0"/>
          <w:i/>
          <w:iCs w:val="0"/>
          <w:color w:val="375F91"/>
        </w:rPr>
        <w:t>)</w:t>
      </w:r>
      <w:bookmarkEnd w:id="40"/>
    </w:p>
    <w:p w:rsidR="00B35BCD" w:rsidRPr="00361664" w:rsidRDefault="00B35BCD" w:rsidP="00B35BCD">
      <w:pPr>
        <w:jc w:val="both"/>
        <w:rPr>
          <w:sz w:val="20"/>
          <w:szCs w:val="20"/>
          <w:lang w:eastAsia="de-DE"/>
        </w:rPr>
      </w:pPr>
      <w:r w:rsidRPr="00361664">
        <w:rPr>
          <w:sz w:val="20"/>
          <w:szCs w:val="20"/>
          <w:lang w:eastAsia="de-DE"/>
        </w:rPr>
        <w:t>Praksa Europske unije nalaže izradu nacionalnih i lokalnih akcijskih planova energetske učinkovitosti kako bi se detaljno razradile mjere postizanja energetskih ušteda, uzimajući u obzir lokalne prilike i mogućnosti. Planovi energetske učinkovit</w:t>
      </w:r>
      <w:r w:rsidR="005E6F15" w:rsidRPr="00361664">
        <w:rPr>
          <w:sz w:val="20"/>
          <w:szCs w:val="20"/>
          <w:lang w:eastAsia="de-DE"/>
        </w:rPr>
        <w:t>osti su važni planski dokumenti</w:t>
      </w:r>
      <w:r w:rsidRPr="00361664">
        <w:rPr>
          <w:sz w:val="20"/>
          <w:szCs w:val="20"/>
          <w:lang w:eastAsia="de-DE"/>
        </w:rPr>
        <w:t xml:space="preserve"> jer se njima lokalna zajednica uključuje u postizanje ciljeva te se osluškuju želje i potrebe lokalnih vlasti, umjesto da država sama nameće rješenja. </w:t>
      </w:r>
    </w:p>
    <w:p w:rsidR="00B35BCD" w:rsidRPr="00361664" w:rsidRDefault="00B35BCD" w:rsidP="00B35BCD">
      <w:pPr>
        <w:jc w:val="both"/>
        <w:rPr>
          <w:sz w:val="20"/>
          <w:szCs w:val="20"/>
          <w:lang w:eastAsia="de-DE"/>
        </w:rPr>
      </w:pPr>
      <w:r w:rsidRPr="00361664">
        <w:rPr>
          <w:sz w:val="20"/>
          <w:szCs w:val="20"/>
          <w:lang w:eastAsia="de-DE"/>
        </w:rPr>
        <w:t>Do sada su samo županije bile obvezne planirati</w:t>
      </w:r>
      <w:r w:rsidR="005E6F15" w:rsidRPr="00361664">
        <w:rPr>
          <w:sz w:val="20"/>
          <w:szCs w:val="20"/>
          <w:lang w:eastAsia="de-DE"/>
        </w:rPr>
        <w:t xml:space="preserve"> mjere energetske učinkovitosti</w:t>
      </w:r>
      <w:r w:rsidRPr="00361664">
        <w:rPr>
          <w:sz w:val="20"/>
          <w:szCs w:val="20"/>
          <w:lang w:eastAsia="de-DE"/>
        </w:rPr>
        <w:t xml:space="preserve"> i to kroz trogodišnje programe i jednogodišnje planove. Cijela procedura planiranja je </w:t>
      </w:r>
      <w:r w:rsidR="00E902CD" w:rsidRPr="00361664">
        <w:rPr>
          <w:sz w:val="20"/>
          <w:szCs w:val="20"/>
          <w:lang w:eastAsia="de-DE"/>
        </w:rPr>
        <w:t>definirana</w:t>
      </w:r>
      <w:r w:rsidRPr="00361664">
        <w:rPr>
          <w:sz w:val="20"/>
          <w:szCs w:val="20"/>
          <w:lang w:eastAsia="de-DE"/>
        </w:rPr>
        <w:t xml:space="preserve"> u Zakonu</w:t>
      </w:r>
      <w:r w:rsidR="005E6F15" w:rsidRPr="00361664">
        <w:rPr>
          <w:sz w:val="20"/>
          <w:szCs w:val="20"/>
          <w:lang w:eastAsia="de-DE"/>
        </w:rPr>
        <w:t xml:space="preserve"> o energetskoj učinkovitosti (NN </w:t>
      </w:r>
      <w:r w:rsidRPr="00361664">
        <w:rPr>
          <w:sz w:val="20"/>
          <w:szCs w:val="20"/>
          <w:lang w:eastAsia="de-DE"/>
        </w:rPr>
        <w:lastRenderedPageBreak/>
        <w:t>127/14)</w:t>
      </w:r>
      <w:r w:rsidR="003343A1" w:rsidRPr="00361664">
        <w:rPr>
          <w:sz w:val="20"/>
          <w:szCs w:val="20"/>
          <w:lang w:eastAsia="de-DE"/>
        </w:rPr>
        <w:t xml:space="preserve"> kojim se usklađuje nacionalno,</w:t>
      </w:r>
      <w:r w:rsidRPr="00361664">
        <w:rPr>
          <w:sz w:val="20"/>
          <w:szCs w:val="20"/>
          <w:lang w:eastAsia="de-DE"/>
        </w:rPr>
        <w:t xml:space="preserve"> lokalno</w:t>
      </w:r>
      <w:r w:rsidR="003343A1" w:rsidRPr="00361664">
        <w:rPr>
          <w:sz w:val="20"/>
          <w:szCs w:val="20"/>
          <w:lang w:eastAsia="de-DE"/>
        </w:rPr>
        <w:t xml:space="preserve"> i regionalno</w:t>
      </w:r>
      <w:r w:rsidRPr="00361664">
        <w:rPr>
          <w:sz w:val="20"/>
          <w:szCs w:val="20"/>
          <w:lang w:eastAsia="de-DE"/>
        </w:rPr>
        <w:t xml:space="preserve"> planiranje. Trogodišnje planove d</w:t>
      </w:r>
      <w:r w:rsidR="005E6F15" w:rsidRPr="00361664">
        <w:rPr>
          <w:sz w:val="20"/>
          <w:szCs w:val="20"/>
          <w:lang w:eastAsia="de-DE"/>
        </w:rPr>
        <w:t xml:space="preserve">onosi predstavničko tijelo, a </w:t>
      </w:r>
      <w:r w:rsidRPr="00361664">
        <w:rPr>
          <w:sz w:val="20"/>
          <w:szCs w:val="20"/>
          <w:lang w:eastAsia="de-DE"/>
        </w:rPr>
        <w:t>godišnje planove donosi izvršno tijelo te je time procedura pojednostavljena. Planovi održivih razvoja gradova (koje većina gradova već ima: “Sustainableenergyefficiencyactionplans”</w:t>
      </w:r>
      <w:r w:rsidR="003343A1" w:rsidRPr="00361664">
        <w:rPr>
          <w:sz w:val="20"/>
          <w:szCs w:val="20"/>
          <w:lang w:eastAsia="de-DE"/>
        </w:rPr>
        <w:t xml:space="preserve"> - SEAP</w:t>
      </w:r>
      <w:r w:rsidRPr="00361664">
        <w:rPr>
          <w:sz w:val="20"/>
          <w:szCs w:val="20"/>
          <w:lang w:eastAsia="de-DE"/>
        </w:rPr>
        <w:t xml:space="preserve">) komplementarni su ovim dokumentima, tako da već postoji iskustvo u pripremi i provedbi ovih dokumenata. </w:t>
      </w:r>
    </w:p>
    <w:p w:rsidR="00B35BCD" w:rsidRPr="00361664" w:rsidRDefault="00B35BCD" w:rsidP="00B35BCD">
      <w:pPr>
        <w:jc w:val="both"/>
        <w:rPr>
          <w:sz w:val="20"/>
          <w:szCs w:val="20"/>
          <w:lang w:eastAsia="de-DE"/>
        </w:rPr>
      </w:pPr>
      <w:r w:rsidRPr="00361664">
        <w:rPr>
          <w:sz w:val="20"/>
          <w:szCs w:val="20"/>
          <w:lang w:eastAsia="de-DE"/>
        </w:rPr>
        <w:t>Zakonom</w:t>
      </w:r>
      <w:r w:rsidR="005E6F15" w:rsidRPr="00361664">
        <w:rPr>
          <w:sz w:val="20"/>
          <w:szCs w:val="20"/>
          <w:lang w:eastAsia="de-DE"/>
        </w:rPr>
        <w:t xml:space="preserve"> o energetskoj učinkovitosti (NN </w:t>
      </w:r>
      <w:r w:rsidRPr="00361664">
        <w:rPr>
          <w:sz w:val="20"/>
          <w:szCs w:val="20"/>
          <w:lang w:eastAsia="de-DE"/>
        </w:rPr>
        <w:t>127/14) obvezane su sve županije te gradovi veći od 35.000 stanovnika na donošenje trogodišnjih Akcijskih planova energetske učinkovitosti, koji se donose za vremenski period u skladu s Nacionalnim akcijskim planovima energetske učinkovitosti. Osim Akcijskog plana gradovi i županije također izrađuju Godišnje planove energetske učinkovitosti u kojima se precizno definiraju mjere s jasno naznačenim iznosima i izvorima financiranja i proračunatim uštedama. Planovi se dostavljaju Nacionalnom koordinacijskom tijelu za energetsku učinkovitost</w:t>
      </w:r>
      <w:r w:rsidR="003343A1" w:rsidRPr="00361664">
        <w:rPr>
          <w:sz w:val="20"/>
          <w:szCs w:val="20"/>
          <w:lang w:eastAsia="de-DE"/>
        </w:rPr>
        <w:t xml:space="preserve"> (NKT)</w:t>
      </w:r>
      <w:r w:rsidRPr="00361664">
        <w:rPr>
          <w:sz w:val="20"/>
          <w:szCs w:val="20"/>
          <w:lang w:eastAsia="de-DE"/>
        </w:rPr>
        <w:t xml:space="preserve"> na suglasnost, te nakon dobivene suglasnosti plan usvaja predstavničko odnosno izvršno tijelo grada/županije. Republika Hrvatska ima 37 obveznika planiranja: 20 županija te 17 velikih gradova. Do 1.3.2017. godine izrađeno je 113 planova energetske </w:t>
      </w:r>
      <w:r w:rsidR="00411708" w:rsidRPr="00361664">
        <w:rPr>
          <w:sz w:val="20"/>
          <w:szCs w:val="20"/>
          <w:lang w:eastAsia="de-DE"/>
        </w:rPr>
        <w:t>učinkovitosti</w:t>
      </w:r>
      <w:r w:rsidRPr="00361664">
        <w:rPr>
          <w:sz w:val="20"/>
          <w:szCs w:val="20"/>
          <w:lang w:eastAsia="de-DE"/>
        </w:rPr>
        <w:t xml:space="preserve"> od čega 42 Akc</w:t>
      </w:r>
      <w:r w:rsidR="005E6F15" w:rsidRPr="00361664">
        <w:rPr>
          <w:sz w:val="20"/>
          <w:szCs w:val="20"/>
          <w:lang w:eastAsia="de-DE"/>
        </w:rPr>
        <w:t>ijska plana energetske učinkovitosti</w:t>
      </w:r>
      <w:r w:rsidRPr="00361664">
        <w:rPr>
          <w:sz w:val="20"/>
          <w:szCs w:val="20"/>
          <w:lang w:eastAsia="de-DE"/>
        </w:rPr>
        <w:t xml:space="preserve"> i 71 Godišnji plan energetske učinkovitosti.</w:t>
      </w:r>
      <w:r w:rsidR="00B74DA4" w:rsidRPr="00361664">
        <w:rPr>
          <w:sz w:val="20"/>
          <w:szCs w:val="20"/>
          <w:lang w:eastAsia="de-DE"/>
        </w:rPr>
        <w:t xml:space="preserve"> Pregled svih obveznika planiranja i dostavljenih planova dan je u tablici 3-11. </w:t>
      </w:r>
    </w:p>
    <w:p w:rsidR="00B74DA4" w:rsidRPr="00361664" w:rsidRDefault="00B74DA4" w:rsidP="00B74DA4">
      <w:pPr>
        <w:spacing w:after="0"/>
        <w:jc w:val="both"/>
        <w:rPr>
          <w:sz w:val="20"/>
          <w:szCs w:val="20"/>
          <w:lang w:eastAsia="de-DE"/>
        </w:rPr>
      </w:pPr>
      <w:r w:rsidRPr="00361664">
        <w:rPr>
          <w:b/>
          <w:sz w:val="20"/>
          <w:szCs w:val="20"/>
          <w:lang w:eastAsia="de-DE"/>
        </w:rPr>
        <w:t>Tablica 3-11.</w:t>
      </w:r>
      <w:r w:rsidRPr="00361664">
        <w:rPr>
          <w:sz w:val="20"/>
          <w:szCs w:val="20"/>
          <w:lang w:eastAsia="de-DE"/>
        </w:rPr>
        <w:t xml:space="preserve"> Pregled obveznika planiranja i dostavljenih planova (Izvor: NKT)</w:t>
      </w:r>
    </w:p>
    <w:tbl>
      <w:tblPr>
        <w:tblW w:w="9209" w:type="dxa"/>
        <w:tblCellMar>
          <w:left w:w="0" w:type="dxa"/>
          <w:right w:w="0" w:type="dxa"/>
        </w:tblCellMar>
        <w:tblLook w:val="04A0" w:firstRow="1" w:lastRow="0" w:firstColumn="1" w:lastColumn="0" w:noHBand="0" w:noVBand="1"/>
      </w:tblPr>
      <w:tblGrid>
        <w:gridCol w:w="3000"/>
        <w:gridCol w:w="1260"/>
        <w:gridCol w:w="1880"/>
        <w:gridCol w:w="1880"/>
        <w:gridCol w:w="1189"/>
      </w:tblGrid>
      <w:tr w:rsidR="00B35BCD" w:rsidRPr="00361664" w:rsidTr="00DF48C4">
        <w:trPr>
          <w:trHeight w:val="300"/>
          <w:tblHeader/>
        </w:trPr>
        <w:tc>
          <w:tcPr>
            <w:tcW w:w="3000" w:type="dxa"/>
            <w:tcBorders>
              <w:top w:val="single" w:sz="4" w:space="0" w:color="auto"/>
              <w:left w:val="single" w:sz="4" w:space="0" w:color="auto"/>
              <w:bottom w:val="single" w:sz="4" w:space="0" w:color="auto"/>
              <w:right w:val="single" w:sz="4" w:space="0" w:color="auto"/>
            </w:tcBorders>
            <w:shd w:val="clear" w:color="auto" w:fill="CCFFCC"/>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Grad/županija</w:t>
            </w:r>
          </w:p>
        </w:tc>
        <w:tc>
          <w:tcPr>
            <w:tcW w:w="1260" w:type="dxa"/>
            <w:tcBorders>
              <w:top w:val="single" w:sz="4" w:space="0" w:color="auto"/>
              <w:left w:val="single" w:sz="4" w:space="0" w:color="auto"/>
              <w:bottom w:val="single" w:sz="4" w:space="0" w:color="auto"/>
              <w:right w:val="single" w:sz="4" w:space="0" w:color="auto"/>
            </w:tcBorders>
            <w:shd w:val="clear" w:color="auto" w:fill="CCFFCC"/>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Akcijski plan</w:t>
            </w:r>
          </w:p>
        </w:tc>
        <w:tc>
          <w:tcPr>
            <w:tcW w:w="1880" w:type="dxa"/>
            <w:tcBorders>
              <w:top w:val="single" w:sz="4" w:space="0" w:color="auto"/>
              <w:left w:val="single" w:sz="4" w:space="0" w:color="auto"/>
              <w:bottom w:val="single" w:sz="4" w:space="0" w:color="auto"/>
              <w:right w:val="single" w:sz="4" w:space="0" w:color="auto"/>
            </w:tcBorders>
            <w:shd w:val="clear" w:color="auto" w:fill="CCFFCC"/>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Godišnji plan 2015.</w:t>
            </w:r>
          </w:p>
        </w:tc>
        <w:tc>
          <w:tcPr>
            <w:tcW w:w="1880" w:type="dxa"/>
            <w:tcBorders>
              <w:top w:val="single" w:sz="4" w:space="0" w:color="auto"/>
              <w:left w:val="single" w:sz="4" w:space="0" w:color="auto"/>
              <w:bottom w:val="single" w:sz="4" w:space="0" w:color="auto"/>
              <w:right w:val="single" w:sz="4" w:space="0" w:color="auto"/>
            </w:tcBorders>
            <w:shd w:val="clear" w:color="auto" w:fill="CCFFCC"/>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Godišnji plan 2016.</w:t>
            </w:r>
          </w:p>
        </w:tc>
        <w:tc>
          <w:tcPr>
            <w:tcW w:w="1189" w:type="dxa"/>
            <w:tcBorders>
              <w:top w:val="single" w:sz="4" w:space="0" w:color="auto"/>
              <w:left w:val="single" w:sz="4" w:space="0" w:color="auto"/>
              <w:bottom w:val="single" w:sz="4" w:space="0" w:color="auto"/>
              <w:right w:val="single" w:sz="4" w:space="0" w:color="auto"/>
            </w:tcBorders>
            <w:shd w:val="clear" w:color="auto" w:fill="CCFFCC"/>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Godišnji plan 2017.</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 xml:space="preserve">Sisačko </w:t>
            </w:r>
            <w:r w:rsidR="00411708" w:rsidRPr="00361664">
              <w:rPr>
                <w:sz w:val="20"/>
                <w:szCs w:val="20"/>
                <w:lang w:eastAsia="hr-HR"/>
              </w:rPr>
              <w:t>moslavačka</w:t>
            </w:r>
            <w:r w:rsidRPr="00361664">
              <w:rPr>
                <w:sz w:val="20"/>
                <w:szCs w:val="20"/>
                <w:lang w:eastAsia="hr-HR"/>
              </w:rPr>
              <w:t xml:space="preserve">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+(2)</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Varaždinska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Krapinsko zagorska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Osječko baranjska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Karlovačka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+(2)</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Zagrebačka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Primorsko goranska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Međimurska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Šibensko kninska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+(2)</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Splitsko dalmatinska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Brodsko posavska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Zadarska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Virovitičko podravska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Istarska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+(2)</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Bjelovarsko bilogorska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Koprivničko križevačka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Požeško slavonska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Ličko senjska županija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Vukovarsko srijemska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Rijeka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Bjelovar</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Grad Split</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Sisak</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Varaždin</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Karlovac</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+(2)</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Grad Zadar</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Kaštela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+(2)</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lastRenderedPageBreak/>
              <w:t>Grad Velika gorica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Slavonski brod</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Grad Zagreb</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Grad Vinkovci</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Grad Bakar</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Pula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Grad Osijek</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Grad Šibenik</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r>
      <w:tr w:rsidR="00F60742"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F60742" w:rsidRPr="00361664" w:rsidRDefault="00F60742" w:rsidP="002A36F8">
            <w:pPr>
              <w:spacing w:after="0"/>
              <w:jc w:val="both"/>
              <w:rPr>
                <w:sz w:val="20"/>
                <w:szCs w:val="20"/>
                <w:lang w:eastAsia="hr-HR"/>
              </w:rPr>
            </w:pPr>
            <w:r w:rsidRPr="00361664">
              <w:rPr>
                <w:sz w:val="20"/>
                <w:szCs w:val="20"/>
                <w:lang w:eastAsia="hr-HR"/>
              </w:rPr>
              <w:t>Grad Samobor</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F60742" w:rsidRPr="00361664" w:rsidRDefault="00F60742" w:rsidP="002A36F8">
            <w:pPr>
              <w:spacing w:after="0"/>
              <w:jc w:val="both"/>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F60742" w:rsidRPr="00361664" w:rsidRDefault="00760AC7" w:rsidP="002A36F8">
            <w:pPr>
              <w:spacing w:after="0"/>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F60742" w:rsidRPr="00361664" w:rsidRDefault="00F60742"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F60742" w:rsidRPr="00361664" w:rsidRDefault="00F60742" w:rsidP="002A36F8">
            <w:pPr>
              <w:spacing w:after="0"/>
              <w:rPr>
                <w:rFonts w:ascii="Times New Roman" w:hAnsi="Times New Roman"/>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Općina Šestanovac*</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Općina Antunovac*</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Općina Erdut*</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Općina Vladislavci*</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Komiža*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Vis*</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w:t>
            </w: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r>
      <w:tr w:rsidR="00B35BCD" w:rsidRPr="00361664" w:rsidTr="002A36F8">
        <w:trPr>
          <w:trHeight w:val="300"/>
        </w:trPr>
        <w:tc>
          <w:tcPr>
            <w:tcW w:w="3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rFonts w:eastAsiaTheme="minorHAnsi" w:cs="Calibri"/>
                <w:sz w:val="20"/>
                <w:szCs w:val="20"/>
                <w:lang w:eastAsia="hr-HR"/>
              </w:rPr>
            </w:pPr>
            <w:r w:rsidRPr="00361664">
              <w:rPr>
                <w:sz w:val="20"/>
                <w:szCs w:val="20"/>
                <w:lang w:eastAsia="hr-HR"/>
              </w:rPr>
              <w:t>Grad Novska*</w:t>
            </w: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jc w:val="both"/>
              <w:rPr>
                <w:sz w:val="20"/>
                <w:szCs w:val="20"/>
                <w:lang w:eastAsia="hr-HR"/>
              </w:rPr>
            </w:pPr>
            <w:r w:rsidRPr="00361664">
              <w:rPr>
                <w:sz w:val="20"/>
                <w:szCs w:val="20"/>
                <w:lang w:eastAsia="hr-HR"/>
              </w:rPr>
              <w:t>+</w:t>
            </w: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sz w:val="20"/>
                <w:szCs w:val="20"/>
                <w:lang w:eastAsia="hr-HR"/>
              </w:rPr>
            </w:pPr>
          </w:p>
        </w:tc>
        <w:tc>
          <w:tcPr>
            <w:tcW w:w="18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B35BCD" w:rsidRPr="00361664" w:rsidRDefault="00B35BCD" w:rsidP="002A36F8">
            <w:pPr>
              <w:spacing w:after="0"/>
              <w:rPr>
                <w:rFonts w:ascii="Times New Roman" w:hAnsi="Times New Roman"/>
                <w:sz w:val="20"/>
                <w:szCs w:val="20"/>
                <w:lang w:eastAsia="hr-HR"/>
              </w:rPr>
            </w:pPr>
          </w:p>
        </w:tc>
      </w:tr>
    </w:tbl>
    <w:p w:rsidR="00B35BCD" w:rsidRPr="00361664" w:rsidRDefault="00B35BCD" w:rsidP="00B35BCD">
      <w:pPr>
        <w:jc w:val="both"/>
        <w:rPr>
          <w:rFonts w:eastAsiaTheme="minorHAnsi" w:cs="Calibri"/>
          <w:sz w:val="16"/>
          <w:szCs w:val="16"/>
          <w:lang w:eastAsia="hr-HR"/>
        </w:rPr>
      </w:pPr>
      <w:r w:rsidRPr="00361664">
        <w:rPr>
          <w:sz w:val="16"/>
          <w:szCs w:val="16"/>
          <w:lang w:eastAsia="hr-HR"/>
        </w:rPr>
        <w:t>* Nisu obveznici planiranja</w:t>
      </w:r>
    </w:p>
    <w:p w:rsidR="005E6F15" w:rsidRPr="00361664" w:rsidRDefault="00F1792A" w:rsidP="00E3351E">
      <w:pPr>
        <w:rPr>
          <w:lang w:eastAsia="de-DE"/>
        </w:rPr>
      </w:pPr>
      <w:r w:rsidRPr="00361664">
        <w:rPr>
          <w:lang w:eastAsia="de-DE"/>
        </w:rPr>
        <w:br w:type="page"/>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8"/>
        <w:gridCol w:w="7017"/>
      </w:tblGrid>
      <w:tr w:rsidR="00321EFB" w:rsidRPr="00361664" w:rsidTr="0044608A">
        <w:trPr>
          <w:trHeight w:val="20"/>
        </w:trPr>
        <w:tc>
          <w:tcPr>
            <w:tcW w:w="1405" w:type="pct"/>
            <w:gridSpan w:val="2"/>
            <w:shd w:val="clear" w:color="auto" w:fill="CCFFCC"/>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b/>
                <w:sz w:val="20"/>
                <w:lang w:val="hr-HR"/>
              </w:rPr>
            </w:pPr>
            <w:r w:rsidRPr="00361664">
              <w:rPr>
                <w:rFonts w:asciiTheme="minorHAnsi" w:hAnsiTheme="minorHAnsi"/>
                <w:b/>
                <w:sz w:val="20"/>
                <w:lang w:val="hr-HR"/>
              </w:rPr>
              <w:lastRenderedPageBreak/>
              <w:t xml:space="preserve">Naziv mjere </w:t>
            </w:r>
          </w:p>
        </w:tc>
        <w:tc>
          <w:tcPr>
            <w:tcW w:w="3595" w:type="pct"/>
            <w:shd w:val="clear" w:color="auto" w:fill="CCFFCC"/>
          </w:tcPr>
          <w:p w:rsidR="00321EFB" w:rsidRPr="00361664" w:rsidRDefault="00321EFB" w:rsidP="0044608A">
            <w:pPr>
              <w:pStyle w:val="Tabletext"/>
              <w:tabs>
                <w:tab w:val="left" w:pos="1440"/>
                <w:tab w:val="left" w:pos="5040"/>
              </w:tabs>
              <w:spacing w:before="0" w:after="0" w:line="240" w:lineRule="auto"/>
              <w:rPr>
                <w:rFonts w:asciiTheme="minorHAnsi" w:hAnsiTheme="minorHAnsi"/>
                <w:b/>
                <w:bCs/>
                <w:iCs/>
                <w:sz w:val="20"/>
                <w:szCs w:val="22"/>
                <w:lang w:val="hr-HR"/>
              </w:rPr>
            </w:pPr>
            <w:r w:rsidRPr="00361664">
              <w:rPr>
                <w:rFonts w:asciiTheme="minorHAnsi" w:hAnsiTheme="minorHAnsi"/>
                <w:b/>
                <w:bCs/>
                <w:iCs/>
                <w:sz w:val="20"/>
                <w:szCs w:val="22"/>
                <w:lang w:val="hr-HR"/>
              </w:rPr>
              <w:t>Program „Energetski učinkovita javna rasvjeta“</w:t>
            </w:r>
          </w:p>
        </w:tc>
      </w:tr>
      <w:tr w:rsidR="00321EFB" w:rsidRPr="00361664" w:rsidTr="0044608A">
        <w:trPr>
          <w:trHeight w:val="20"/>
        </w:trPr>
        <w:tc>
          <w:tcPr>
            <w:tcW w:w="1405" w:type="pct"/>
            <w:gridSpan w:val="2"/>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Indeks mjere</w:t>
            </w:r>
          </w:p>
        </w:tc>
        <w:tc>
          <w:tcPr>
            <w:tcW w:w="3595" w:type="pct"/>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P.4</w:t>
            </w:r>
          </w:p>
        </w:tc>
      </w:tr>
      <w:tr w:rsidR="00321EFB" w:rsidRPr="00361664" w:rsidTr="0044608A">
        <w:trPr>
          <w:trHeight w:val="20"/>
        </w:trPr>
        <w:tc>
          <w:tcPr>
            <w:tcW w:w="622" w:type="pct"/>
            <w:vMerge w:val="restart"/>
            <w:vAlign w:val="center"/>
          </w:tcPr>
          <w:p w:rsidR="00321EFB" w:rsidRPr="00361664" w:rsidRDefault="00321EFB" w:rsidP="0044608A">
            <w:pPr>
              <w:pStyle w:val="Tabletext"/>
              <w:tabs>
                <w:tab w:val="left" w:pos="1440"/>
                <w:tab w:val="left" w:pos="5040"/>
              </w:tabs>
              <w:spacing w:before="0" w:after="0" w:line="240" w:lineRule="auto"/>
              <w:jc w:val="center"/>
              <w:rPr>
                <w:rFonts w:asciiTheme="minorHAnsi" w:hAnsiTheme="minorHAnsi"/>
                <w:sz w:val="20"/>
                <w:lang w:val="hr-HR"/>
              </w:rPr>
            </w:pPr>
          </w:p>
          <w:p w:rsidR="00321EFB" w:rsidRPr="00361664" w:rsidRDefault="00321EFB" w:rsidP="0044608A">
            <w:pPr>
              <w:pStyle w:val="Tabletext"/>
              <w:tabs>
                <w:tab w:val="left" w:pos="1440"/>
                <w:tab w:val="left" w:pos="5040"/>
              </w:tabs>
              <w:spacing w:before="0" w:after="0" w:line="240" w:lineRule="auto"/>
              <w:jc w:val="center"/>
              <w:rPr>
                <w:rFonts w:asciiTheme="minorHAnsi" w:hAnsiTheme="minorHAnsi"/>
                <w:sz w:val="20"/>
                <w:lang w:val="hr-HR"/>
              </w:rPr>
            </w:pPr>
            <w:r w:rsidRPr="00361664">
              <w:rPr>
                <w:rFonts w:asciiTheme="minorHAnsi" w:hAnsiTheme="minorHAnsi"/>
                <w:sz w:val="20"/>
                <w:lang w:val="hr-HR"/>
              </w:rPr>
              <w:t>Opis</w:t>
            </w:r>
          </w:p>
        </w:tc>
        <w:tc>
          <w:tcPr>
            <w:tcW w:w="783"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Kategorija</w:t>
            </w:r>
          </w:p>
        </w:tc>
        <w:tc>
          <w:tcPr>
            <w:tcW w:w="3595"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Financijski instrumenti, energetske usluge za uštede energije</w:t>
            </w:r>
          </w:p>
        </w:tc>
      </w:tr>
      <w:tr w:rsidR="00321EFB" w:rsidRPr="00361664" w:rsidTr="0044608A">
        <w:trPr>
          <w:trHeight w:val="20"/>
        </w:trPr>
        <w:tc>
          <w:tcPr>
            <w:tcW w:w="622" w:type="pct"/>
            <w:vMerge/>
            <w:vAlign w:val="center"/>
          </w:tcPr>
          <w:p w:rsidR="00321EFB" w:rsidRPr="00361664" w:rsidRDefault="00321EFB" w:rsidP="0044608A">
            <w:pPr>
              <w:pStyle w:val="Tabletext"/>
              <w:tabs>
                <w:tab w:val="left" w:pos="1440"/>
                <w:tab w:val="left" w:pos="5040"/>
              </w:tabs>
              <w:spacing w:before="0" w:after="0" w:line="240" w:lineRule="auto"/>
              <w:jc w:val="center"/>
              <w:rPr>
                <w:rFonts w:asciiTheme="minorHAnsi" w:hAnsiTheme="minorHAnsi"/>
                <w:sz w:val="20"/>
                <w:lang w:val="hr-HR"/>
              </w:rPr>
            </w:pPr>
          </w:p>
        </w:tc>
        <w:tc>
          <w:tcPr>
            <w:tcW w:w="783"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Vremenski okvir</w:t>
            </w:r>
          </w:p>
        </w:tc>
        <w:tc>
          <w:tcPr>
            <w:tcW w:w="3595"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Početak: 2014.</w:t>
            </w:r>
          </w:p>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Kraj: 2025.</w:t>
            </w:r>
          </w:p>
          <w:p w:rsidR="00321EFB" w:rsidRPr="00361664" w:rsidRDefault="00321EFB" w:rsidP="00151DC5">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Predviđene veće promjene, dopune, poboljšanja:</w:t>
            </w:r>
          </w:p>
          <w:p w:rsidR="00321EFB" w:rsidRPr="00361664" w:rsidRDefault="00321EFB" w:rsidP="00BE271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Ova mjera dopuna je i revizija mjere iz 3. NAPEnU. Osmišljena je temeljem najboljih iskustava iz prakse različitih financijskih modela sufinanciranja projekata javne rasvjete (EBRD, FZOEU, ESCO pružatelji usluga). </w:t>
            </w:r>
            <w:r w:rsidR="00BE271A" w:rsidRPr="00361664">
              <w:rPr>
                <w:rFonts w:asciiTheme="minorHAnsi" w:hAnsiTheme="minorHAnsi"/>
                <w:sz w:val="20"/>
                <w:lang w:val="hr-HR"/>
              </w:rPr>
              <w:t>Mjerom se, osim energetske obnove javne rasvjete promoviraju i alternatini načini financiranja obnove kroz financijske instrumente</w:t>
            </w:r>
          </w:p>
        </w:tc>
      </w:tr>
      <w:tr w:rsidR="00321EFB" w:rsidRPr="00361664" w:rsidTr="0044608A">
        <w:trPr>
          <w:trHeight w:val="20"/>
        </w:trPr>
        <w:tc>
          <w:tcPr>
            <w:tcW w:w="622" w:type="pct"/>
            <w:vMerge/>
            <w:vAlign w:val="center"/>
          </w:tcPr>
          <w:p w:rsidR="00321EFB" w:rsidRPr="00361664" w:rsidRDefault="00321EFB" w:rsidP="0044608A">
            <w:pPr>
              <w:pStyle w:val="Tabletext"/>
              <w:tabs>
                <w:tab w:val="left" w:pos="1440"/>
                <w:tab w:val="left" w:pos="5040"/>
              </w:tabs>
              <w:spacing w:before="0" w:after="0" w:line="240" w:lineRule="auto"/>
              <w:jc w:val="center"/>
              <w:rPr>
                <w:rFonts w:asciiTheme="minorHAnsi" w:hAnsiTheme="minorHAnsi"/>
                <w:sz w:val="20"/>
                <w:lang w:val="hr-HR"/>
              </w:rPr>
            </w:pPr>
          </w:p>
        </w:tc>
        <w:tc>
          <w:tcPr>
            <w:tcW w:w="783"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Cilj / kratak opis</w:t>
            </w:r>
          </w:p>
        </w:tc>
        <w:tc>
          <w:tcPr>
            <w:tcW w:w="3595" w:type="pct"/>
            <w:vAlign w:val="center"/>
          </w:tcPr>
          <w:p w:rsidR="0067001A" w:rsidRPr="00361664" w:rsidRDefault="0067001A" w:rsidP="0067001A">
            <w:pPr>
              <w:pStyle w:val="Tabletext"/>
              <w:rPr>
                <w:rFonts w:asciiTheme="minorHAnsi" w:hAnsiTheme="minorHAnsi"/>
                <w:sz w:val="20"/>
                <w:lang w:val="hr-HR"/>
              </w:rPr>
            </w:pPr>
            <w:r w:rsidRPr="00361664">
              <w:rPr>
                <w:rFonts w:asciiTheme="minorHAnsi" w:hAnsiTheme="minorHAnsi"/>
                <w:sz w:val="20"/>
                <w:lang w:val="hr-HR"/>
              </w:rPr>
              <w:t xml:space="preserve">Javna rasvjeta u Hrvatskoj troši oko 450 GWh električne energije, što predstavlja oko 3% ukupne neposredne potrošnje električne energije (podaci iz 2009. godine). Projekti poboljšanja energetske učinkovitosti u javnoj rasvjeti isplativi su ovisno o visini cijene električne energije, no u dosadašnjoj praksi se pokazalo da su uštede vidljive odmah i lako su dokazive i provjerljive kroz primjenu protokola o mjerenju i verifikacija ušteda putem Nacionalnog Sustava za praćenje mjerenje i verifikaciju ušteda energije (SMIV). Zbog toga se ovi projekti mogu izvrsno iskoristiti za poticanje tržišta energetskih usluga. </w:t>
            </w:r>
          </w:p>
          <w:p w:rsidR="00321EFB" w:rsidRPr="00361664" w:rsidRDefault="0067001A" w:rsidP="0067001A">
            <w:pPr>
              <w:pStyle w:val="Tabletext"/>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Ova mjera obuhvaća i razrađuje inovativne financijske modele provedbe projekata javne rasvjete. Mjera uključuje primarno izradu Programa energetske obnove javne rasvjete u kojem će biti propisana ciljana primjena određenih financijskih modela ovisno o zahtjevima pojedinačnih projekta.</w:t>
            </w:r>
          </w:p>
        </w:tc>
      </w:tr>
      <w:tr w:rsidR="00321EFB" w:rsidRPr="00361664" w:rsidTr="0044608A">
        <w:trPr>
          <w:trHeight w:val="20"/>
        </w:trPr>
        <w:tc>
          <w:tcPr>
            <w:tcW w:w="622" w:type="pct"/>
            <w:vMerge/>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783" w:type="pc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neposredna potrošnja</w:t>
            </w:r>
          </w:p>
        </w:tc>
        <w:tc>
          <w:tcPr>
            <w:tcW w:w="3595" w:type="pc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Potrošnja električne energije u javnoj rasvjeti</w:t>
            </w:r>
            <w:r w:rsidR="00100390" w:rsidRPr="00361664">
              <w:rPr>
                <w:rFonts w:asciiTheme="minorHAnsi" w:hAnsiTheme="minorHAnsi"/>
                <w:sz w:val="20"/>
                <w:lang w:val="hr-HR"/>
              </w:rPr>
              <w:t>.</w:t>
            </w:r>
          </w:p>
        </w:tc>
      </w:tr>
      <w:tr w:rsidR="00AC683D" w:rsidRPr="00361664" w:rsidTr="0044608A">
        <w:trPr>
          <w:trHeight w:val="20"/>
        </w:trPr>
        <w:tc>
          <w:tcPr>
            <w:tcW w:w="622" w:type="pct"/>
            <w:vMerge/>
            <w:vAlign w:val="center"/>
          </w:tcPr>
          <w:p w:rsidR="00AC683D" w:rsidRPr="00361664" w:rsidRDefault="00AC683D" w:rsidP="00AC683D">
            <w:pPr>
              <w:pStyle w:val="Tabletext"/>
              <w:tabs>
                <w:tab w:val="left" w:pos="1440"/>
                <w:tab w:val="left" w:pos="5040"/>
              </w:tabs>
              <w:spacing w:before="0" w:after="0" w:line="240" w:lineRule="auto"/>
              <w:rPr>
                <w:rFonts w:asciiTheme="minorHAnsi" w:hAnsiTheme="minorHAnsi"/>
                <w:sz w:val="20"/>
                <w:lang w:val="hr-HR"/>
              </w:rPr>
            </w:pPr>
          </w:p>
        </w:tc>
        <w:tc>
          <w:tcPr>
            <w:tcW w:w="783" w:type="pct"/>
            <w:vAlign w:val="center"/>
          </w:tcPr>
          <w:p w:rsidR="00AC683D" w:rsidRPr="00361664" w:rsidRDefault="00AC683D" w:rsidP="00AC683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skupina</w:t>
            </w:r>
          </w:p>
        </w:tc>
        <w:tc>
          <w:tcPr>
            <w:tcW w:w="3595" w:type="pct"/>
            <w:vAlign w:val="center"/>
          </w:tcPr>
          <w:p w:rsidR="00AC683D" w:rsidRPr="00361664" w:rsidRDefault="00AC683D" w:rsidP="00AC683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Tjela regionalne i lokalne samouprave (kada nabavljaju radove) trgovačka društva (kada JLP®S od tih trgovačkih društava nabavljaju usluge raspoložoivosti)</w:t>
            </w:r>
          </w:p>
        </w:tc>
      </w:tr>
      <w:tr w:rsidR="00321EFB" w:rsidRPr="00361664" w:rsidTr="0044608A">
        <w:trPr>
          <w:trHeight w:val="20"/>
        </w:trPr>
        <w:tc>
          <w:tcPr>
            <w:tcW w:w="622" w:type="pct"/>
            <w:vMerge/>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783" w:type="pc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Regionalna primjena</w:t>
            </w:r>
          </w:p>
        </w:tc>
        <w:tc>
          <w:tcPr>
            <w:tcW w:w="3595" w:type="pc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Nacionalno</w:t>
            </w:r>
          </w:p>
        </w:tc>
      </w:tr>
      <w:tr w:rsidR="00321EFB" w:rsidRPr="00361664" w:rsidTr="0044608A">
        <w:trPr>
          <w:trHeight w:val="20"/>
        </w:trPr>
        <w:tc>
          <w:tcPr>
            <w:tcW w:w="622" w:type="pct"/>
            <w:vMerge w:val="restar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Informacije o  provedbi</w:t>
            </w:r>
          </w:p>
        </w:tc>
        <w:tc>
          <w:tcPr>
            <w:tcW w:w="783" w:type="pc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Popis i opis aktivnosti za provođenje mjere </w:t>
            </w:r>
          </w:p>
        </w:tc>
        <w:tc>
          <w:tcPr>
            <w:tcW w:w="3595" w:type="pct"/>
            <w:vAlign w:val="center"/>
          </w:tcPr>
          <w:p w:rsidR="00321EFB" w:rsidRPr="00361664" w:rsidRDefault="00573B8E" w:rsidP="0044608A">
            <w:pPr>
              <w:pStyle w:val="Tabletext"/>
              <w:tabs>
                <w:tab w:val="left" w:pos="1440"/>
                <w:tab w:val="left" w:pos="5040"/>
              </w:tabs>
              <w:spacing w:after="0" w:line="240" w:lineRule="auto"/>
              <w:rPr>
                <w:rFonts w:asciiTheme="minorHAnsi" w:hAnsiTheme="minorHAnsi"/>
                <w:sz w:val="20"/>
                <w:u w:val="single"/>
                <w:lang w:val="hr-HR"/>
              </w:rPr>
            </w:pPr>
            <w:r w:rsidRPr="00361664">
              <w:rPr>
                <w:rFonts w:asciiTheme="minorHAnsi" w:hAnsiTheme="minorHAnsi"/>
                <w:sz w:val="20"/>
                <w:u w:val="single"/>
                <w:lang w:val="hr-HR"/>
              </w:rPr>
              <w:t xml:space="preserve">Provedene </w:t>
            </w:r>
            <w:r w:rsidR="00321EFB" w:rsidRPr="00361664">
              <w:rPr>
                <w:rFonts w:asciiTheme="minorHAnsi" w:hAnsiTheme="minorHAnsi"/>
                <w:sz w:val="20"/>
                <w:u w:val="single"/>
                <w:lang w:val="hr-HR"/>
              </w:rPr>
              <w:t>aktivnosti:</w:t>
            </w:r>
          </w:p>
          <w:p w:rsidR="00321EFB" w:rsidRPr="00361664" w:rsidRDefault="00573B8E" w:rsidP="00573B8E">
            <w:pPr>
              <w:pStyle w:val="Tabletext"/>
              <w:numPr>
                <w:ilvl w:val="0"/>
                <w:numId w:val="5"/>
              </w:numPr>
              <w:tabs>
                <w:tab w:val="left" w:pos="244"/>
                <w:tab w:val="left" w:pos="5040"/>
              </w:tabs>
              <w:spacing w:after="0" w:line="240" w:lineRule="auto"/>
              <w:rPr>
                <w:rFonts w:asciiTheme="minorHAnsi" w:hAnsiTheme="minorHAnsi"/>
                <w:i/>
                <w:sz w:val="20"/>
                <w:lang w:val="hr-HR"/>
              </w:rPr>
            </w:pPr>
            <w:r w:rsidRPr="00361664">
              <w:rPr>
                <w:rFonts w:asciiTheme="minorHAnsi" w:hAnsiTheme="minorHAnsi"/>
                <w:sz w:val="20"/>
                <w:lang w:val="hr-HR"/>
              </w:rPr>
              <w:t xml:space="preserve">Ministarstvo zaštite okoliša i energetike je na osnovi </w:t>
            </w:r>
            <w:r w:rsidRPr="00361664">
              <w:rPr>
                <w:rFonts w:asciiTheme="minorHAnsi" w:hAnsiTheme="minorHAnsi"/>
                <w:i/>
                <w:sz w:val="20"/>
                <w:lang w:val="hr-HR"/>
              </w:rPr>
              <w:t>Studije potencijala energetskih ušteda u obnovi sustava javne rasvjete i inovativnih</w:t>
            </w:r>
            <w:r w:rsidR="00100390" w:rsidRPr="00361664">
              <w:rPr>
                <w:rFonts w:asciiTheme="minorHAnsi" w:hAnsiTheme="minorHAnsi"/>
                <w:i/>
                <w:sz w:val="20"/>
                <w:lang w:val="hr-HR"/>
              </w:rPr>
              <w:t xml:space="preserve"> modela</w:t>
            </w:r>
            <w:r w:rsidRPr="00361664">
              <w:rPr>
                <w:rFonts w:asciiTheme="minorHAnsi" w:hAnsiTheme="minorHAnsi"/>
                <w:i/>
                <w:sz w:val="20"/>
                <w:lang w:val="hr-HR"/>
              </w:rPr>
              <w:t xml:space="preserve"> financiranja</w:t>
            </w:r>
            <w:r w:rsidR="00100390" w:rsidRPr="00361664">
              <w:rPr>
                <w:rFonts w:asciiTheme="minorHAnsi" w:hAnsiTheme="minorHAnsi"/>
                <w:i/>
                <w:sz w:val="20"/>
                <w:lang w:val="hr-HR"/>
              </w:rPr>
              <w:t xml:space="preserve"> </w:t>
            </w:r>
            <w:r w:rsidRPr="00361664">
              <w:rPr>
                <w:rFonts w:asciiTheme="minorHAnsi" w:hAnsiTheme="minorHAnsi"/>
                <w:sz w:val="20"/>
                <w:lang w:val="hr-HR"/>
              </w:rPr>
              <w:t>izradilo programski dokument „Energetska obnova sustava javne rasvjete kroz financijski instrument „krediti sa sniženom kamatnom stopom za obnovu javne rasvjete“ do 2020. godine</w:t>
            </w:r>
          </w:p>
          <w:p w:rsidR="00573B8E" w:rsidRPr="00361664" w:rsidRDefault="009816FE">
            <w:pPr>
              <w:pStyle w:val="Tabletext"/>
              <w:numPr>
                <w:ilvl w:val="0"/>
                <w:numId w:val="5"/>
              </w:numPr>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 xml:space="preserve">Cilj ovog </w:t>
            </w:r>
            <w:r w:rsidRPr="00361664">
              <w:rPr>
                <w:rFonts w:asciiTheme="minorHAnsi" w:hAnsiTheme="minorHAnsi"/>
                <w:i/>
                <w:sz w:val="20"/>
                <w:lang w:val="hr-HR"/>
              </w:rPr>
              <w:t>programa</w:t>
            </w:r>
            <w:r w:rsidRPr="00361664">
              <w:rPr>
                <w:rFonts w:asciiTheme="minorHAnsi" w:hAnsiTheme="minorHAnsi"/>
                <w:sz w:val="20"/>
                <w:lang w:val="hr-HR"/>
              </w:rPr>
              <w:t xml:space="preserve"> je do 2</w:t>
            </w:r>
            <w:r w:rsidR="00573B8E" w:rsidRPr="00361664">
              <w:rPr>
                <w:rFonts w:asciiTheme="minorHAnsi" w:hAnsiTheme="minorHAnsi"/>
                <w:sz w:val="20"/>
                <w:lang w:val="hr-HR"/>
              </w:rPr>
              <w:t>023</w:t>
            </w:r>
            <w:r w:rsidRPr="00361664">
              <w:rPr>
                <w:rFonts w:asciiTheme="minorHAnsi" w:hAnsiTheme="minorHAnsi"/>
                <w:sz w:val="20"/>
                <w:lang w:val="hr-HR"/>
              </w:rPr>
              <w:t xml:space="preserve">. </w:t>
            </w:r>
            <w:r w:rsidR="00573B8E" w:rsidRPr="00361664">
              <w:rPr>
                <w:rFonts w:asciiTheme="minorHAnsi" w:hAnsiTheme="minorHAnsi"/>
                <w:sz w:val="20"/>
                <w:lang w:val="hr-HR"/>
              </w:rPr>
              <w:t>dostići uštede od ukupno 15 GWh što iznosi oko 3,5% ukupne potrošnje javne rasvjete u 2014. godini koja je iznosila 428,833 GWh</w:t>
            </w:r>
          </w:p>
          <w:p w:rsidR="009816FE" w:rsidRPr="00361664" w:rsidRDefault="00573B8E">
            <w:pPr>
              <w:pStyle w:val="Tabletext"/>
              <w:numPr>
                <w:ilvl w:val="0"/>
                <w:numId w:val="5"/>
              </w:numPr>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P</w:t>
            </w:r>
            <w:r w:rsidR="009816FE" w:rsidRPr="00361664">
              <w:rPr>
                <w:rFonts w:asciiTheme="minorHAnsi" w:hAnsiTheme="minorHAnsi"/>
                <w:sz w:val="20"/>
                <w:lang w:val="hr-HR"/>
              </w:rPr>
              <w:t xml:space="preserve">rihvatljive aktivnosti u programu energetske obnove javne rasvjete: </w:t>
            </w:r>
          </w:p>
          <w:p w:rsidR="009816FE" w:rsidRPr="00361664" w:rsidRDefault="009816FE" w:rsidP="009816FE">
            <w:pPr>
              <w:pStyle w:val="Tabletext"/>
              <w:tabs>
                <w:tab w:val="left" w:pos="244"/>
                <w:tab w:val="left" w:pos="5040"/>
              </w:tabs>
              <w:spacing w:after="0" w:line="240" w:lineRule="auto"/>
              <w:ind w:left="720"/>
              <w:rPr>
                <w:rFonts w:asciiTheme="minorHAnsi" w:hAnsiTheme="minorHAnsi"/>
                <w:sz w:val="20"/>
                <w:lang w:val="hr-HR"/>
              </w:rPr>
            </w:pPr>
            <w:r w:rsidRPr="00361664">
              <w:rPr>
                <w:rFonts w:asciiTheme="minorHAnsi" w:hAnsiTheme="minorHAnsi"/>
                <w:sz w:val="20"/>
                <w:lang w:val="hr-HR"/>
              </w:rPr>
              <w:t>Provedba – nabava i ugradnja nove rasvjetne i regulacijske opreme</w:t>
            </w:r>
          </w:p>
          <w:p w:rsidR="009816FE" w:rsidRPr="00361664" w:rsidRDefault="009816FE" w:rsidP="009816FE">
            <w:pPr>
              <w:pStyle w:val="Tabletext"/>
              <w:tabs>
                <w:tab w:val="left" w:pos="244"/>
                <w:tab w:val="left" w:pos="5040"/>
              </w:tabs>
              <w:spacing w:after="0" w:line="240" w:lineRule="auto"/>
              <w:ind w:left="720"/>
              <w:rPr>
                <w:rFonts w:asciiTheme="minorHAnsi" w:hAnsiTheme="minorHAnsi"/>
                <w:sz w:val="20"/>
                <w:lang w:val="hr-HR"/>
              </w:rPr>
            </w:pPr>
            <w:r w:rsidRPr="00361664">
              <w:rPr>
                <w:rFonts w:asciiTheme="minorHAnsi" w:hAnsiTheme="minorHAnsi"/>
                <w:sz w:val="20"/>
                <w:lang w:val="hr-HR"/>
              </w:rPr>
              <w:t>Građevinski radovi potrebni za usklađivanje s normiranim svjetlotehničkim vrijednostima</w:t>
            </w:r>
          </w:p>
          <w:p w:rsidR="009816FE" w:rsidRPr="00361664" w:rsidRDefault="009816FE" w:rsidP="009816FE">
            <w:pPr>
              <w:pStyle w:val="Tabletext"/>
              <w:tabs>
                <w:tab w:val="left" w:pos="244"/>
                <w:tab w:val="left" w:pos="5040"/>
              </w:tabs>
              <w:spacing w:after="0" w:line="240" w:lineRule="auto"/>
              <w:ind w:left="720"/>
              <w:rPr>
                <w:rFonts w:asciiTheme="minorHAnsi" w:hAnsiTheme="minorHAnsi"/>
                <w:sz w:val="20"/>
                <w:lang w:val="hr-HR"/>
              </w:rPr>
            </w:pPr>
            <w:r w:rsidRPr="00361664">
              <w:rPr>
                <w:rFonts w:asciiTheme="minorHAnsi" w:hAnsiTheme="minorHAnsi"/>
                <w:sz w:val="20"/>
                <w:lang w:val="hr-HR"/>
              </w:rPr>
              <w:t>Fotonaponski sustavi za napajanje</w:t>
            </w:r>
          </w:p>
          <w:p w:rsidR="00321EFB" w:rsidRPr="00361664" w:rsidRDefault="009816FE" w:rsidP="009816FE">
            <w:pPr>
              <w:pStyle w:val="Tabletext"/>
              <w:numPr>
                <w:ilvl w:val="0"/>
                <w:numId w:val="5"/>
              </w:numPr>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Stručni nadzor i dr.</w:t>
            </w:r>
          </w:p>
        </w:tc>
      </w:tr>
      <w:tr w:rsidR="00321EFB" w:rsidRPr="00361664" w:rsidTr="0044608A">
        <w:trPr>
          <w:trHeight w:val="20"/>
        </w:trPr>
        <w:tc>
          <w:tcPr>
            <w:tcW w:w="622" w:type="pct"/>
            <w:vMerge/>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783" w:type="pc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Financijska sredstva i izvori financiranja</w:t>
            </w:r>
          </w:p>
        </w:tc>
        <w:tc>
          <w:tcPr>
            <w:tcW w:w="3595" w:type="pct"/>
            <w:vAlign w:val="center"/>
          </w:tcPr>
          <w:p w:rsidR="00D208C4" w:rsidRPr="00361664" w:rsidRDefault="00D208C4" w:rsidP="00D208C4">
            <w:pPr>
              <w:pStyle w:val="Tabletext"/>
              <w:numPr>
                <w:ilvl w:val="0"/>
                <w:numId w:val="4"/>
              </w:numPr>
              <w:tabs>
                <w:tab w:val="left" w:pos="1440"/>
                <w:tab w:val="left" w:pos="5040"/>
              </w:tabs>
              <w:spacing w:after="0" w:line="240" w:lineRule="auto"/>
              <w:rPr>
                <w:rFonts w:asciiTheme="minorHAnsi" w:hAnsiTheme="minorHAnsi"/>
                <w:sz w:val="20"/>
                <w:lang w:val="hr-HR"/>
              </w:rPr>
            </w:pPr>
            <w:r w:rsidRPr="00361664">
              <w:rPr>
                <w:rFonts w:asciiTheme="minorHAnsi" w:hAnsiTheme="minorHAnsi"/>
                <w:sz w:val="20"/>
                <w:lang w:val="hr-HR"/>
              </w:rPr>
              <w:t xml:space="preserve">izrada Programa energetske obnove javne rasvjete u okviru proračuna </w:t>
            </w:r>
          </w:p>
          <w:p w:rsidR="00D208C4" w:rsidRPr="00361664" w:rsidRDefault="00D208C4" w:rsidP="00D208C4">
            <w:pPr>
              <w:pStyle w:val="Tabletext"/>
              <w:numPr>
                <w:ilvl w:val="0"/>
                <w:numId w:val="4"/>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ESCO model i ostali financijski mehanizmi (JPP model, isporuka robe i sl.): sufinanciranje sukladno financijskom planu na temelju Programa energetske obnove javne rasvjete</w:t>
            </w:r>
          </w:p>
          <w:p w:rsidR="00D208C4" w:rsidRPr="00361664" w:rsidRDefault="00D208C4" w:rsidP="00D208C4">
            <w:pPr>
              <w:pStyle w:val="Tabletext"/>
              <w:tabs>
                <w:tab w:val="left" w:pos="1440"/>
                <w:tab w:val="left" w:pos="5040"/>
              </w:tabs>
              <w:spacing w:before="0" w:after="0" w:line="240" w:lineRule="auto"/>
              <w:rPr>
                <w:rFonts w:asciiTheme="minorHAnsi" w:hAnsiTheme="minorHAnsi"/>
                <w:sz w:val="20"/>
                <w:lang w:val="hr-HR"/>
              </w:rPr>
            </w:pPr>
          </w:p>
          <w:p w:rsidR="00100390" w:rsidRPr="00361664" w:rsidRDefault="00D208C4" w:rsidP="00D208C4">
            <w:pPr>
              <w:pStyle w:val="Tabletext"/>
              <w:tabs>
                <w:tab w:val="left" w:pos="1440"/>
                <w:tab w:val="left" w:pos="5040"/>
              </w:tabs>
              <w:spacing w:after="0" w:line="240" w:lineRule="auto"/>
              <w:rPr>
                <w:rFonts w:asciiTheme="minorHAnsi" w:eastAsia="Calibri" w:hAnsiTheme="minorHAnsi" w:cs="Calibri"/>
                <w:sz w:val="20"/>
                <w:lang w:val="hr-HR"/>
              </w:rPr>
            </w:pPr>
            <w:r w:rsidRPr="00361664">
              <w:rPr>
                <w:rFonts w:asciiTheme="minorHAnsi" w:eastAsia="Calibri" w:hAnsiTheme="minorHAnsi" w:cs="Calibri"/>
                <w:sz w:val="20"/>
                <w:lang w:val="hr-HR"/>
              </w:rPr>
              <w:t>Za</w:t>
            </w:r>
            <w:r w:rsidR="00100390" w:rsidRPr="00361664">
              <w:rPr>
                <w:rFonts w:asciiTheme="minorHAnsi" w:eastAsia="Calibri" w:hAnsiTheme="minorHAnsi" w:cs="Calibri"/>
                <w:sz w:val="20"/>
                <w:lang w:val="hr-HR"/>
              </w:rPr>
              <w:t xml:space="preserve"> </w:t>
            </w:r>
            <w:r w:rsidRPr="00361664">
              <w:rPr>
                <w:rFonts w:asciiTheme="minorHAnsi" w:eastAsia="Calibri" w:hAnsiTheme="minorHAnsi" w:cs="Calibri"/>
                <w:sz w:val="20"/>
                <w:lang w:val="hr-HR"/>
              </w:rPr>
              <w:t>financiranje</w:t>
            </w:r>
            <w:r w:rsidR="00100390" w:rsidRPr="00361664">
              <w:rPr>
                <w:rFonts w:asciiTheme="minorHAnsi" w:eastAsia="Calibri" w:hAnsiTheme="minorHAnsi" w:cs="Calibri"/>
                <w:sz w:val="20"/>
                <w:lang w:val="hr-HR"/>
              </w:rPr>
              <w:t xml:space="preserve"> ove </w:t>
            </w:r>
            <w:r w:rsidRPr="00361664">
              <w:rPr>
                <w:rFonts w:asciiTheme="minorHAnsi" w:eastAsia="Calibri" w:hAnsiTheme="minorHAnsi" w:cs="Calibri"/>
                <w:sz w:val="20"/>
                <w:lang w:val="hr-HR"/>
              </w:rPr>
              <w:t>mjere</w:t>
            </w:r>
            <w:r w:rsidR="00100390" w:rsidRPr="00361664">
              <w:rPr>
                <w:rFonts w:asciiTheme="minorHAnsi" w:eastAsia="Calibri" w:hAnsiTheme="minorHAnsi" w:cs="Calibri"/>
                <w:sz w:val="20"/>
                <w:lang w:val="hr-HR"/>
              </w:rPr>
              <w:t xml:space="preserve"> </w:t>
            </w:r>
            <w:r w:rsidRPr="00361664">
              <w:rPr>
                <w:rFonts w:asciiTheme="minorHAnsi" w:eastAsia="Calibri" w:hAnsiTheme="minorHAnsi" w:cs="Calibri"/>
                <w:sz w:val="20"/>
                <w:lang w:val="hr-HR"/>
              </w:rPr>
              <w:t>koriste se sredstva</w:t>
            </w:r>
            <w:r w:rsidR="00100390" w:rsidRPr="00361664">
              <w:rPr>
                <w:rFonts w:asciiTheme="minorHAnsi" w:eastAsia="Calibri" w:hAnsiTheme="minorHAnsi" w:cs="Calibri"/>
                <w:sz w:val="20"/>
                <w:lang w:val="hr-HR"/>
              </w:rPr>
              <w:t xml:space="preserve"> </w:t>
            </w:r>
            <w:r w:rsidRPr="00361664">
              <w:rPr>
                <w:rFonts w:asciiTheme="minorHAnsi" w:eastAsia="Calibri" w:hAnsiTheme="minorHAnsi" w:cs="Calibri"/>
                <w:sz w:val="20"/>
                <w:lang w:val="hr-HR"/>
              </w:rPr>
              <w:t>namijenjena</w:t>
            </w:r>
            <w:r w:rsidR="00100390" w:rsidRPr="00361664">
              <w:rPr>
                <w:rFonts w:asciiTheme="minorHAnsi" w:eastAsia="Calibri" w:hAnsiTheme="minorHAnsi" w:cs="Calibri"/>
                <w:sz w:val="20"/>
                <w:lang w:val="hr-HR"/>
              </w:rPr>
              <w:t xml:space="preserve"> </w:t>
            </w:r>
            <w:r w:rsidRPr="00361664">
              <w:rPr>
                <w:rFonts w:asciiTheme="minorHAnsi" w:eastAsia="Calibri" w:hAnsiTheme="minorHAnsi" w:cs="Calibri"/>
                <w:sz w:val="20"/>
                <w:lang w:val="hr-HR"/>
              </w:rPr>
              <w:t>tematskom</w:t>
            </w:r>
            <w:r w:rsidR="00100390" w:rsidRPr="00361664">
              <w:rPr>
                <w:rFonts w:asciiTheme="minorHAnsi" w:eastAsia="Calibri" w:hAnsiTheme="minorHAnsi" w:cs="Calibri"/>
                <w:sz w:val="20"/>
                <w:lang w:val="hr-HR"/>
              </w:rPr>
              <w:t xml:space="preserve"> </w:t>
            </w:r>
            <w:r w:rsidRPr="00361664">
              <w:rPr>
                <w:rFonts w:asciiTheme="minorHAnsi" w:eastAsia="Calibri" w:hAnsiTheme="minorHAnsi" w:cs="Calibri"/>
                <w:sz w:val="20"/>
                <w:lang w:val="hr-HR"/>
              </w:rPr>
              <w:t>cilju „Podrška</w:t>
            </w:r>
            <w:r w:rsidR="00100390" w:rsidRPr="00361664">
              <w:rPr>
                <w:rFonts w:asciiTheme="minorHAnsi" w:eastAsia="Calibri" w:hAnsiTheme="minorHAnsi" w:cs="Calibri"/>
                <w:sz w:val="20"/>
                <w:lang w:val="hr-HR"/>
              </w:rPr>
              <w:t xml:space="preserve"> </w:t>
            </w:r>
            <w:r w:rsidRPr="00361664">
              <w:rPr>
                <w:rFonts w:asciiTheme="minorHAnsi" w:eastAsia="Calibri" w:hAnsiTheme="minorHAnsi" w:cs="Calibri"/>
                <w:sz w:val="20"/>
                <w:lang w:val="hr-HR"/>
              </w:rPr>
              <w:lastRenderedPageBreak/>
              <w:t>prelasku na ekonomiju s niskomrazinomemisije CO</w:t>
            </w:r>
            <w:r w:rsidRPr="00361664">
              <w:rPr>
                <w:rFonts w:asciiTheme="minorHAnsi" w:eastAsia="Calibri" w:hAnsiTheme="minorHAnsi" w:cs="Calibri"/>
                <w:sz w:val="20"/>
                <w:vertAlign w:val="subscript"/>
                <w:lang w:val="hr-HR"/>
              </w:rPr>
              <w:t>2</w:t>
            </w:r>
            <w:r w:rsidRPr="00361664">
              <w:rPr>
                <w:rFonts w:asciiTheme="minorHAnsi" w:eastAsia="Calibri" w:hAnsiTheme="minorHAnsi" w:cs="Calibri"/>
                <w:sz w:val="20"/>
                <w:lang w:val="hr-HR"/>
              </w:rPr>
              <w:t xml:space="preserve"> u svim</w:t>
            </w:r>
            <w:r w:rsidR="00100390" w:rsidRPr="00361664">
              <w:rPr>
                <w:rFonts w:asciiTheme="minorHAnsi" w:eastAsia="Calibri" w:hAnsiTheme="minorHAnsi" w:cs="Calibri"/>
                <w:sz w:val="20"/>
                <w:lang w:val="hr-HR"/>
              </w:rPr>
              <w:t xml:space="preserve"> </w:t>
            </w:r>
            <w:r w:rsidRPr="00361664">
              <w:rPr>
                <w:rFonts w:asciiTheme="minorHAnsi" w:eastAsia="Calibri" w:hAnsiTheme="minorHAnsi" w:cs="Calibri"/>
                <w:sz w:val="20"/>
                <w:lang w:val="hr-HR"/>
              </w:rPr>
              <w:t>sektorima“, kao</w:t>
            </w:r>
            <w:r w:rsidR="00100390" w:rsidRPr="00361664">
              <w:rPr>
                <w:rFonts w:asciiTheme="minorHAnsi" w:eastAsia="Calibri" w:hAnsiTheme="minorHAnsi" w:cs="Calibri"/>
                <w:sz w:val="20"/>
                <w:lang w:val="hr-HR"/>
              </w:rPr>
              <w:t xml:space="preserve"> </w:t>
            </w:r>
            <w:r w:rsidRPr="00361664">
              <w:rPr>
                <w:rFonts w:asciiTheme="minorHAnsi" w:eastAsia="Calibri" w:hAnsiTheme="minorHAnsi" w:cs="Calibri"/>
                <w:sz w:val="20"/>
                <w:lang w:val="hr-HR"/>
              </w:rPr>
              <w:t>jedan</w:t>
            </w:r>
          </w:p>
          <w:p w:rsidR="00321EFB" w:rsidRPr="00361664" w:rsidRDefault="00100390" w:rsidP="00D208C4">
            <w:pPr>
              <w:pStyle w:val="Tabletext"/>
              <w:tabs>
                <w:tab w:val="left" w:pos="1440"/>
                <w:tab w:val="left" w:pos="5040"/>
              </w:tabs>
              <w:spacing w:after="0" w:line="240" w:lineRule="auto"/>
              <w:rPr>
                <w:rFonts w:asciiTheme="minorHAnsi" w:eastAsia="Calibri" w:hAnsiTheme="minorHAnsi" w:cs="Calibri"/>
                <w:sz w:val="20"/>
                <w:lang w:val="hr-HR"/>
              </w:rPr>
            </w:pPr>
            <w:r w:rsidRPr="00361664">
              <w:rPr>
                <w:rFonts w:asciiTheme="minorHAnsi" w:eastAsia="Calibri" w:hAnsiTheme="minorHAnsi" w:cs="Calibri"/>
                <w:sz w:val="20"/>
                <w:lang w:val="hr-HR"/>
              </w:rPr>
              <w:t xml:space="preserve"> </w:t>
            </w:r>
            <w:r w:rsidR="00D208C4" w:rsidRPr="00361664">
              <w:rPr>
                <w:rFonts w:asciiTheme="minorHAnsi" w:eastAsia="Calibri" w:hAnsiTheme="minorHAnsi" w:cs="Calibri"/>
                <w:sz w:val="20"/>
                <w:lang w:val="hr-HR"/>
              </w:rPr>
              <w:t>od</w:t>
            </w:r>
            <w:r w:rsidRPr="00361664">
              <w:rPr>
                <w:rFonts w:asciiTheme="minorHAnsi" w:eastAsia="Calibri" w:hAnsiTheme="minorHAnsi" w:cs="Calibri"/>
                <w:sz w:val="20"/>
                <w:lang w:val="hr-HR"/>
              </w:rPr>
              <w:t xml:space="preserve"> izabranih ciljeva u koji se usmjeravaju sredstva unutar Operativnog programa </w:t>
            </w:r>
            <w:r w:rsidR="008743AA" w:rsidRPr="00361664">
              <w:rPr>
                <w:rFonts w:asciiTheme="minorHAnsi" w:eastAsia="Calibri" w:hAnsiTheme="minorHAnsi" w:cs="Calibri"/>
                <w:sz w:val="20"/>
                <w:lang w:val="hr-HR"/>
              </w:rPr>
              <w:t>konkurentnosti i kohezija 2014.-2020., sve zu suradnju s posredničkim tijelima razine 1 uz stručno-tehničku suradnju s Fondom za zaštitu okoliša i energetsku učinkovitost.</w:t>
            </w:r>
          </w:p>
        </w:tc>
      </w:tr>
      <w:tr w:rsidR="00321EFB" w:rsidRPr="00361664" w:rsidTr="0044608A">
        <w:trPr>
          <w:trHeight w:val="20"/>
        </w:trPr>
        <w:tc>
          <w:tcPr>
            <w:tcW w:w="622" w:type="pct"/>
            <w:vMerge/>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783" w:type="pct"/>
            <w:tcBorders>
              <w:top w:val="single" w:sz="4" w:space="0" w:color="auto"/>
              <w:left w:val="single" w:sz="4" w:space="0" w:color="auto"/>
              <w:bottom w:val="single" w:sz="4" w:space="0" w:color="auto"/>
              <w:right w:val="single" w:sz="4" w:space="0" w:color="auto"/>
            </w:tcBorders>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Izvršno tijelo</w:t>
            </w:r>
          </w:p>
        </w:tc>
        <w:tc>
          <w:tcPr>
            <w:tcW w:w="3595" w:type="pct"/>
            <w:tcBorders>
              <w:top w:val="single" w:sz="4" w:space="0" w:color="auto"/>
              <w:left w:val="single" w:sz="4" w:space="0" w:color="auto"/>
              <w:bottom w:val="single" w:sz="4" w:space="0" w:color="auto"/>
              <w:right w:val="single" w:sz="4" w:space="0" w:color="auto"/>
            </w:tcBorders>
            <w:vAlign w:val="center"/>
          </w:tcPr>
          <w:p w:rsidR="00AC683D" w:rsidRPr="00361664" w:rsidRDefault="00AC683D" w:rsidP="00AC683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MZOE– izrada krit</w:t>
            </w:r>
            <w:r w:rsidR="009226B9" w:rsidRPr="00361664">
              <w:rPr>
                <w:rFonts w:asciiTheme="minorHAnsi" w:hAnsiTheme="minorHAnsi"/>
                <w:sz w:val="20"/>
                <w:lang w:val="hr-HR"/>
              </w:rPr>
              <w:t>ert</w:t>
            </w:r>
            <w:r w:rsidRPr="00361664">
              <w:rPr>
                <w:rFonts w:asciiTheme="minorHAnsi" w:hAnsiTheme="minorHAnsi"/>
                <w:sz w:val="20"/>
                <w:lang w:val="hr-HR"/>
              </w:rPr>
              <w:t xml:space="preserve">ija odabira operacija i </w:t>
            </w:r>
            <w:r w:rsidR="008743AA" w:rsidRPr="00361664">
              <w:rPr>
                <w:rFonts w:asciiTheme="minorHAnsi" w:hAnsiTheme="minorHAnsi"/>
                <w:sz w:val="20"/>
                <w:lang w:val="hr-HR"/>
              </w:rPr>
              <w:t>pripadajue metodologije, te pri</w:t>
            </w:r>
            <w:r w:rsidRPr="00361664">
              <w:rPr>
                <w:rFonts w:asciiTheme="minorHAnsi" w:hAnsiTheme="minorHAnsi"/>
                <w:sz w:val="20"/>
                <w:lang w:val="hr-HR"/>
              </w:rPr>
              <w:t>kupaljenje podataka i praćenje uspješnosti</w:t>
            </w:r>
          </w:p>
          <w:p w:rsidR="00AC683D" w:rsidRPr="00361664" w:rsidRDefault="00AC683D" w:rsidP="00AC683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JLP(R)S - provedba</w:t>
            </w:r>
          </w:p>
          <w:p w:rsidR="00321EFB" w:rsidRPr="00361664" w:rsidRDefault="00AC683D"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HBOR- dodjela sredstava</w:t>
            </w:r>
            <w:r w:rsidR="00321EFB" w:rsidRPr="00361664">
              <w:rPr>
                <w:rFonts w:asciiTheme="minorHAnsi" w:hAnsiTheme="minorHAnsi"/>
                <w:sz w:val="20"/>
                <w:lang w:val="hr-HR"/>
              </w:rPr>
              <w:t>OPKK</w:t>
            </w:r>
          </w:p>
        </w:tc>
      </w:tr>
      <w:tr w:rsidR="00321EFB" w:rsidRPr="00361664" w:rsidTr="0044608A">
        <w:trPr>
          <w:trHeight w:val="20"/>
        </w:trPr>
        <w:tc>
          <w:tcPr>
            <w:tcW w:w="622" w:type="pct"/>
            <w:vMerge/>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783" w:type="pct"/>
            <w:tcBorders>
              <w:top w:val="single" w:sz="4" w:space="0" w:color="auto"/>
              <w:left w:val="single" w:sz="4" w:space="0" w:color="auto"/>
              <w:bottom w:val="single" w:sz="4" w:space="0" w:color="auto"/>
              <w:right w:val="single" w:sz="4" w:space="0" w:color="auto"/>
            </w:tcBorders>
            <w:vAlign w:val="center"/>
          </w:tcPr>
          <w:p w:rsidR="00321EFB" w:rsidRPr="00361664" w:rsidRDefault="00640C0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Tijelo za praćenje, mjerenje i verifikaciju ušteda</w:t>
            </w:r>
          </w:p>
        </w:tc>
        <w:tc>
          <w:tcPr>
            <w:tcW w:w="3595" w:type="pct"/>
            <w:tcBorders>
              <w:top w:val="single" w:sz="4" w:space="0" w:color="auto"/>
              <w:left w:val="single" w:sz="4" w:space="0" w:color="auto"/>
              <w:bottom w:val="single" w:sz="4" w:space="0" w:color="auto"/>
              <w:right w:val="single" w:sz="4" w:space="0" w:color="auto"/>
            </w:tcBorders>
            <w:vAlign w:val="center"/>
          </w:tcPr>
          <w:p w:rsidR="00321EFB" w:rsidRPr="00361664" w:rsidRDefault="00BE271A"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MZOE</w:t>
            </w:r>
          </w:p>
        </w:tc>
      </w:tr>
      <w:tr w:rsidR="00321EFB" w:rsidRPr="00361664" w:rsidTr="0044608A">
        <w:trPr>
          <w:trHeight w:val="20"/>
        </w:trPr>
        <w:tc>
          <w:tcPr>
            <w:tcW w:w="622" w:type="pct"/>
            <w:vMerge w:val="restart"/>
          </w:tcPr>
          <w:p w:rsidR="00321EFB" w:rsidRPr="00361664" w:rsidRDefault="00321EFB" w:rsidP="0044608A">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Uštede energije</w:t>
            </w:r>
          </w:p>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783" w:type="pct"/>
            <w:tcBorders>
              <w:top w:val="single" w:sz="4" w:space="0" w:color="auto"/>
              <w:left w:val="single" w:sz="4" w:space="0" w:color="auto"/>
              <w:bottom w:val="single" w:sz="4" w:space="0" w:color="auto"/>
              <w:right w:val="single" w:sz="4" w:space="0" w:color="auto"/>
            </w:tcBorders>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Metoda praćenja / mjerenja ušteda energije</w:t>
            </w:r>
          </w:p>
        </w:tc>
        <w:tc>
          <w:tcPr>
            <w:tcW w:w="3595" w:type="pct"/>
            <w:tcBorders>
              <w:top w:val="single" w:sz="4" w:space="0" w:color="auto"/>
              <w:left w:val="single" w:sz="4" w:space="0" w:color="auto"/>
              <w:bottom w:val="single" w:sz="4" w:space="0" w:color="auto"/>
              <w:right w:val="single" w:sz="4" w:space="0" w:color="auto"/>
            </w:tcBorders>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Ova mjera pratit će se BU metodom procjene ili ex-post analize putem SMIV sustava. </w:t>
            </w:r>
          </w:p>
        </w:tc>
      </w:tr>
      <w:tr w:rsidR="0067001A" w:rsidRPr="00361664" w:rsidTr="0044608A">
        <w:trPr>
          <w:trHeight w:val="20"/>
        </w:trPr>
        <w:tc>
          <w:tcPr>
            <w:tcW w:w="622" w:type="pct"/>
            <w:vMerge/>
          </w:tcPr>
          <w:p w:rsidR="0067001A" w:rsidRPr="00361664" w:rsidRDefault="0067001A" w:rsidP="0067001A">
            <w:pPr>
              <w:pStyle w:val="Tabletext"/>
              <w:tabs>
                <w:tab w:val="left" w:pos="1440"/>
                <w:tab w:val="left" w:pos="5040"/>
              </w:tabs>
              <w:spacing w:before="0" w:after="0" w:line="240" w:lineRule="auto"/>
              <w:rPr>
                <w:rFonts w:asciiTheme="minorHAnsi" w:hAnsiTheme="minorHAnsi"/>
                <w:sz w:val="20"/>
                <w:lang w:val="hr-HR"/>
              </w:rPr>
            </w:pPr>
          </w:p>
        </w:tc>
        <w:tc>
          <w:tcPr>
            <w:tcW w:w="783" w:type="pct"/>
            <w:tcBorders>
              <w:top w:val="single" w:sz="4" w:space="0" w:color="auto"/>
              <w:left w:val="single" w:sz="4" w:space="0" w:color="auto"/>
              <w:bottom w:val="single" w:sz="4" w:space="0" w:color="auto"/>
              <w:right w:val="single" w:sz="4" w:space="0" w:color="auto"/>
            </w:tcBorders>
            <w:vAlign w:val="center"/>
          </w:tcPr>
          <w:p w:rsidR="0067001A" w:rsidRPr="00361664" w:rsidRDefault="0067001A" w:rsidP="0067001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Očekivane uštede energije udo kraja 2019.</w:t>
            </w:r>
          </w:p>
        </w:tc>
        <w:tc>
          <w:tcPr>
            <w:tcW w:w="3595" w:type="pct"/>
            <w:tcBorders>
              <w:top w:val="single" w:sz="4" w:space="0" w:color="auto"/>
              <w:left w:val="single" w:sz="4" w:space="0" w:color="auto"/>
              <w:bottom w:val="single" w:sz="4" w:space="0" w:color="auto"/>
              <w:right w:val="single" w:sz="4" w:space="0" w:color="auto"/>
            </w:tcBorders>
          </w:tcPr>
          <w:p w:rsidR="0067001A" w:rsidRPr="00361664" w:rsidRDefault="0067001A" w:rsidP="0067001A">
            <w:pPr>
              <w:pStyle w:val="TableParagraph"/>
              <w:kinsoku w:val="0"/>
              <w:overflowPunct w:val="0"/>
              <w:spacing w:before="1" w:line="100" w:lineRule="exact"/>
              <w:jc w:val="both"/>
              <w:rPr>
                <w:rFonts w:asciiTheme="minorHAnsi" w:hAnsiTheme="minorHAnsi"/>
                <w:sz w:val="20"/>
                <w:szCs w:val="20"/>
                <w:lang w:eastAsia="en-US"/>
              </w:rPr>
            </w:pPr>
          </w:p>
          <w:p w:rsidR="0067001A" w:rsidRPr="00361664" w:rsidRDefault="00990AAA" w:rsidP="00990AAA">
            <w:pPr>
              <w:pStyle w:val="TableParagraph"/>
              <w:kinsoku w:val="0"/>
              <w:overflowPunct w:val="0"/>
              <w:spacing w:line="276" w:lineRule="auto"/>
              <w:ind w:left="102"/>
              <w:jc w:val="both"/>
              <w:rPr>
                <w:rFonts w:asciiTheme="minorHAnsi" w:hAnsiTheme="minorHAnsi"/>
                <w:sz w:val="20"/>
                <w:szCs w:val="20"/>
                <w:lang w:eastAsia="en-US"/>
              </w:rPr>
            </w:pPr>
            <w:r w:rsidRPr="00361664">
              <w:rPr>
                <w:rFonts w:asciiTheme="minorHAnsi" w:hAnsiTheme="minorHAnsi" w:cs="Calibri"/>
                <w:iCs/>
                <w:sz w:val="20"/>
                <w:szCs w:val="20"/>
                <w:lang w:eastAsia="en-US"/>
              </w:rPr>
              <w:t xml:space="preserve">118 TJ </w:t>
            </w:r>
          </w:p>
        </w:tc>
      </w:tr>
      <w:tr w:rsidR="0067001A" w:rsidRPr="00361664" w:rsidTr="0044608A">
        <w:trPr>
          <w:trHeight w:val="20"/>
        </w:trPr>
        <w:tc>
          <w:tcPr>
            <w:tcW w:w="622" w:type="pct"/>
            <w:vMerge/>
          </w:tcPr>
          <w:p w:rsidR="0067001A" w:rsidRPr="00361664" w:rsidRDefault="0067001A" w:rsidP="0067001A">
            <w:pPr>
              <w:pStyle w:val="Tabletext"/>
              <w:tabs>
                <w:tab w:val="left" w:pos="1440"/>
                <w:tab w:val="left" w:pos="5040"/>
              </w:tabs>
              <w:spacing w:before="0" w:after="0" w:line="240" w:lineRule="auto"/>
              <w:rPr>
                <w:rFonts w:asciiTheme="minorHAnsi" w:hAnsiTheme="minorHAnsi"/>
                <w:sz w:val="20"/>
                <w:lang w:val="hr-HR"/>
              </w:rPr>
            </w:pPr>
          </w:p>
        </w:tc>
        <w:tc>
          <w:tcPr>
            <w:tcW w:w="783" w:type="pct"/>
            <w:tcBorders>
              <w:top w:val="single" w:sz="4" w:space="0" w:color="auto"/>
              <w:left w:val="single" w:sz="4" w:space="0" w:color="auto"/>
              <w:bottom w:val="single" w:sz="4" w:space="0" w:color="auto"/>
              <w:right w:val="single" w:sz="4" w:space="0" w:color="auto"/>
            </w:tcBorders>
            <w:vAlign w:val="center"/>
          </w:tcPr>
          <w:p w:rsidR="0067001A" w:rsidRPr="00361664" w:rsidRDefault="0067001A" w:rsidP="0067001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Očekivane uštede energije do kraja 2020.</w:t>
            </w:r>
          </w:p>
        </w:tc>
        <w:tc>
          <w:tcPr>
            <w:tcW w:w="3595" w:type="pct"/>
            <w:tcBorders>
              <w:top w:val="single" w:sz="4" w:space="0" w:color="auto"/>
              <w:left w:val="single" w:sz="4" w:space="0" w:color="auto"/>
              <w:bottom w:val="single" w:sz="4" w:space="0" w:color="auto"/>
              <w:right w:val="single" w:sz="4" w:space="0" w:color="auto"/>
            </w:tcBorders>
          </w:tcPr>
          <w:p w:rsidR="0067001A" w:rsidRPr="00361664" w:rsidRDefault="0067001A" w:rsidP="0067001A">
            <w:pPr>
              <w:pStyle w:val="TableParagraph"/>
              <w:kinsoku w:val="0"/>
              <w:overflowPunct w:val="0"/>
              <w:spacing w:before="4" w:line="200" w:lineRule="exact"/>
              <w:jc w:val="both"/>
              <w:rPr>
                <w:rFonts w:asciiTheme="minorHAnsi" w:hAnsiTheme="minorHAnsi"/>
                <w:sz w:val="20"/>
                <w:szCs w:val="20"/>
                <w:lang w:eastAsia="en-US"/>
              </w:rPr>
            </w:pPr>
          </w:p>
          <w:p w:rsidR="0067001A" w:rsidRPr="00361664" w:rsidRDefault="00990AAA" w:rsidP="00990AAA">
            <w:pPr>
              <w:pStyle w:val="TableParagraph"/>
              <w:kinsoku w:val="0"/>
              <w:overflowPunct w:val="0"/>
              <w:spacing w:line="276" w:lineRule="auto"/>
              <w:ind w:left="102"/>
              <w:jc w:val="both"/>
              <w:rPr>
                <w:rFonts w:asciiTheme="minorHAnsi" w:hAnsiTheme="minorHAnsi"/>
                <w:sz w:val="20"/>
                <w:szCs w:val="20"/>
                <w:lang w:eastAsia="en-US"/>
              </w:rPr>
            </w:pPr>
            <w:r w:rsidRPr="00361664">
              <w:rPr>
                <w:rFonts w:asciiTheme="minorHAnsi" w:hAnsiTheme="minorHAnsi" w:cs="Calibri"/>
                <w:iCs/>
                <w:sz w:val="20"/>
                <w:szCs w:val="20"/>
                <w:lang w:eastAsia="en-US"/>
              </w:rPr>
              <w:t xml:space="preserve">136 TJ </w:t>
            </w:r>
          </w:p>
        </w:tc>
      </w:tr>
      <w:tr w:rsidR="00321EFB" w:rsidRPr="00361664" w:rsidTr="0044608A">
        <w:trPr>
          <w:trHeight w:val="20"/>
        </w:trPr>
        <w:tc>
          <w:tcPr>
            <w:tcW w:w="622" w:type="pct"/>
            <w:vMerge/>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783" w:type="pct"/>
            <w:tcBorders>
              <w:top w:val="single" w:sz="4" w:space="0" w:color="auto"/>
              <w:left w:val="single" w:sz="4" w:space="0" w:color="auto"/>
              <w:bottom w:val="single" w:sz="4" w:space="0" w:color="auto"/>
              <w:right w:val="single" w:sz="4" w:space="0" w:color="auto"/>
            </w:tcBorders>
            <w:vAlign w:val="center"/>
          </w:tcPr>
          <w:p w:rsidR="00321EFB" w:rsidRPr="00361664" w:rsidRDefault="00321EFB" w:rsidP="00990AA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Pretpostavke</w:t>
            </w:r>
          </w:p>
        </w:tc>
        <w:tc>
          <w:tcPr>
            <w:tcW w:w="3595" w:type="pct"/>
            <w:tcBorders>
              <w:top w:val="single" w:sz="4" w:space="0" w:color="auto"/>
              <w:left w:val="single" w:sz="4" w:space="0" w:color="auto"/>
              <w:bottom w:val="single" w:sz="4" w:space="0" w:color="auto"/>
              <w:right w:val="single" w:sz="4" w:space="0" w:color="auto"/>
            </w:tcBorders>
            <w:vAlign w:val="center"/>
          </w:tcPr>
          <w:p w:rsidR="00321EFB" w:rsidRPr="00361664" w:rsidRDefault="0067001A" w:rsidP="00956A25">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za 2020. godinu određen je temeljem sljedećih činjenica: potrošnja električne energije za javnu rasvjetu iznosi 450 GWh; u sustavima javne rasvjete postižu se uštede od oko 25%, pa i do 80% primjenom LED tehnologija i regulacijom rasvjete</w:t>
            </w:r>
            <w:r w:rsidR="00990AAA" w:rsidRPr="00361664">
              <w:rPr>
                <w:rFonts w:asciiTheme="minorHAnsi" w:hAnsiTheme="minorHAnsi"/>
                <w:sz w:val="20"/>
                <w:lang w:val="hr-HR"/>
              </w:rPr>
              <w:t xml:space="preserve">. </w:t>
            </w:r>
            <w:r w:rsidRPr="00361664">
              <w:rPr>
                <w:rFonts w:asciiTheme="minorHAnsi" w:hAnsiTheme="minorHAnsi"/>
                <w:sz w:val="20"/>
                <w:lang w:val="hr-HR"/>
              </w:rPr>
              <w:t xml:space="preserve"> Pretpostavljeno je </w:t>
            </w:r>
            <w:r w:rsidR="00990AAA" w:rsidRPr="00361664">
              <w:rPr>
                <w:rFonts w:asciiTheme="minorHAnsi" w:hAnsiTheme="minorHAnsi"/>
                <w:sz w:val="20"/>
                <w:lang w:val="hr-HR"/>
              </w:rPr>
              <w:t xml:space="preserve">da će se </w:t>
            </w:r>
            <w:r w:rsidR="00956A25" w:rsidRPr="00361664">
              <w:rPr>
                <w:rFonts w:asciiTheme="minorHAnsi" w:hAnsiTheme="minorHAnsi"/>
                <w:sz w:val="20"/>
                <w:lang w:val="hr-HR"/>
              </w:rPr>
              <w:t xml:space="preserve">ostvariti uštede od 5 GWh godišnje. </w:t>
            </w:r>
            <w:r w:rsidRPr="00361664">
              <w:rPr>
                <w:rFonts w:asciiTheme="minorHAnsi" w:hAnsiTheme="minorHAnsi"/>
                <w:sz w:val="20"/>
                <w:lang w:val="hr-HR"/>
              </w:rPr>
              <w:t xml:space="preserve">Životni vijek tehničkih mjera je 15 godina. </w:t>
            </w:r>
          </w:p>
        </w:tc>
      </w:tr>
      <w:tr w:rsidR="00321EFB" w:rsidRPr="00361664" w:rsidTr="0044608A">
        <w:trPr>
          <w:trHeight w:val="20"/>
        </w:trPr>
        <w:tc>
          <w:tcPr>
            <w:tcW w:w="622" w:type="pct"/>
            <w:vMerge/>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783" w:type="pct"/>
            <w:tcBorders>
              <w:top w:val="single" w:sz="4" w:space="0" w:color="auto"/>
              <w:left w:val="single" w:sz="4" w:space="0" w:color="auto"/>
              <w:bottom w:val="single" w:sz="4" w:space="0" w:color="auto"/>
              <w:right w:val="single" w:sz="4" w:space="0" w:color="auto"/>
            </w:tcBorders>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Preklapanja, efekt množenja, sinergija</w:t>
            </w:r>
          </w:p>
          <w:p w:rsidR="00321EFB" w:rsidRPr="00361664" w:rsidRDefault="00321EFB" w:rsidP="0044608A">
            <w:pPr>
              <w:pStyle w:val="Tabletext"/>
              <w:tabs>
                <w:tab w:val="left" w:pos="1440"/>
                <w:tab w:val="left" w:pos="5040"/>
              </w:tabs>
              <w:spacing w:before="0" w:after="0" w:line="240" w:lineRule="auto"/>
              <w:rPr>
                <w:rFonts w:asciiTheme="minorHAnsi" w:hAnsiTheme="minorHAnsi"/>
                <w:sz w:val="20"/>
                <w:lang w:val="hr-HR"/>
              </w:rPr>
            </w:pPr>
          </w:p>
        </w:tc>
        <w:tc>
          <w:tcPr>
            <w:tcW w:w="3595" w:type="pct"/>
            <w:tcBorders>
              <w:top w:val="single" w:sz="4" w:space="0" w:color="auto"/>
              <w:left w:val="single" w:sz="4" w:space="0" w:color="auto"/>
              <w:bottom w:val="single" w:sz="4" w:space="0" w:color="auto"/>
              <w:right w:val="single" w:sz="4" w:space="0" w:color="auto"/>
            </w:tcBorders>
            <w:vAlign w:val="center"/>
          </w:tcPr>
          <w:p w:rsidR="00321EFB" w:rsidRPr="00361664" w:rsidRDefault="00321EFB" w:rsidP="0044608A">
            <w:pPr>
              <w:pStyle w:val="Tabletext"/>
              <w:spacing w:line="240" w:lineRule="auto"/>
              <w:rPr>
                <w:rFonts w:asciiTheme="minorHAnsi" w:hAnsiTheme="minorHAnsi"/>
                <w:sz w:val="20"/>
                <w:lang w:val="hr-HR"/>
              </w:rPr>
            </w:pPr>
            <w:r w:rsidRPr="00361664">
              <w:rPr>
                <w:rFonts w:asciiTheme="minorHAnsi" w:hAnsiTheme="minorHAnsi"/>
                <w:sz w:val="20"/>
                <w:lang w:val="hr-HR"/>
              </w:rPr>
              <w:t>NKT na jednom mjestu prati sve projekte korištenjem Nacionalnog sustava za mjerenje i verifikaciju te se brine da se efekti ne preklapaju odnosno da se projekti ne zbrajaju dvostruko. Naime, podaci se dobivaju od FZEOU i financijskih institucija – projekte koje su sufinancirali te od JL(P)RS</w:t>
            </w:r>
            <w:r w:rsidR="003343A1" w:rsidRPr="00361664">
              <w:rPr>
                <w:rFonts w:asciiTheme="minorHAnsi" w:hAnsiTheme="minorHAnsi"/>
                <w:sz w:val="20"/>
                <w:lang w:val="hr-HR"/>
              </w:rPr>
              <w:t xml:space="preserve"> i ESCO poduzeća</w:t>
            </w:r>
            <w:r w:rsidRPr="00361664">
              <w:rPr>
                <w:rFonts w:asciiTheme="minorHAnsi" w:hAnsiTheme="minorHAnsi"/>
                <w:sz w:val="20"/>
                <w:lang w:val="hr-HR"/>
              </w:rPr>
              <w:t xml:space="preserve"> za svoje projekte.</w:t>
            </w:r>
          </w:p>
        </w:tc>
      </w:tr>
    </w:tbl>
    <w:p w:rsidR="00F1792A" w:rsidRPr="00361664" w:rsidRDefault="00F1792A" w:rsidP="00651BCA">
      <w:pPr>
        <w:jc w:val="both"/>
        <w:rPr>
          <w:lang w:eastAsia="de-DE"/>
        </w:rPr>
      </w:pPr>
    </w:p>
    <w:p w:rsidR="00192232" w:rsidRPr="00361036" w:rsidRDefault="001D5B34" w:rsidP="00361036">
      <w:pPr>
        <w:pStyle w:val="Naslov3"/>
        <w:rPr>
          <w:rStyle w:val="Jakoisticanje"/>
          <w:b/>
          <w:bCs w:val="0"/>
          <w:i/>
          <w:iCs w:val="0"/>
          <w:color w:val="375F91"/>
        </w:rPr>
      </w:pPr>
      <w:bookmarkStart w:id="41" w:name="_Toc535245860"/>
      <w:r w:rsidRPr="00361036">
        <w:t xml:space="preserve">Kupnja </w:t>
      </w:r>
      <w:r w:rsidR="00CE07A7" w:rsidRPr="00361036">
        <w:t>od strane javnih tijela</w:t>
      </w:r>
      <w:r w:rsidR="00944F9E" w:rsidRPr="00361036">
        <w:t xml:space="preserve"> (</w:t>
      </w:r>
      <w:r w:rsidRPr="00361036">
        <w:t>č</w:t>
      </w:r>
      <w:r w:rsidR="003412CD" w:rsidRPr="00361036">
        <w:t>lanak</w:t>
      </w:r>
      <w:r w:rsidR="00944F9E" w:rsidRPr="00361036">
        <w:t xml:space="preserve"> 6</w:t>
      </w:r>
      <w:r w:rsidRPr="00361036">
        <w:t>. DEU-a</w:t>
      </w:r>
      <w:r w:rsidR="00944F9E" w:rsidRPr="00361036">
        <w:rPr>
          <w:rStyle w:val="Jakoisticanje"/>
          <w:b/>
          <w:bCs w:val="0"/>
          <w:i/>
          <w:iCs w:val="0"/>
          <w:color w:val="375F91"/>
        </w:rPr>
        <w:t>)</w:t>
      </w:r>
      <w:bookmarkEnd w:id="41"/>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1454"/>
        <w:gridCol w:w="6974"/>
      </w:tblGrid>
      <w:tr w:rsidR="005D7B50" w:rsidRPr="00361664" w:rsidTr="005D7B50">
        <w:trPr>
          <w:trHeight w:val="20"/>
        </w:trPr>
        <w:tc>
          <w:tcPr>
            <w:tcW w:w="1416" w:type="pct"/>
            <w:gridSpan w:val="2"/>
            <w:shd w:val="clear" w:color="auto" w:fill="CCFFCC"/>
          </w:tcPr>
          <w:p w:rsidR="005D7B50" w:rsidRPr="00361664" w:rsidRDefault="005D7B50" w:rsidP="00651BCA">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eastAsia="en-US"/>
              </w:rPr>
              <w:br w:type="page"/>
            </w:r>
            <w:r w:rsidRPr="00361664">
              <w:rPr>
                <w:rFonts w:asciiTheme="minorHAnsi" w:hAnsiTheme="minorHAnsi"/>
                <w:b/>
                <w:sz w:val="20"/>
                <w:szCs w:val="22"/>
                <w:lang w:val="hr-HR"/>
              </w:rPr>
              <w:t xml:space="preserve">Naziv mjere </w:t>
            </w:r>
          </w:p>
        </w:tc>
        <w:tc>
          <w:tcPr>
            <w:tcW w:w="3584" w:type="pct"/>
            <w:shd w:val="clear" w:color="auto" w:fill="CCFFCC"/>
          </w:tcPr>
          <w:p w:rsidR="005D7B50" w:rsidRPr="00361664" w:rsidRDefault="005D7B50" w:rsidP="00651BCA">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bCs/>
                <w:iCs/>
                <w:sz w:val="20"/>
                <w:szCs w:val="22"/>
                <w:lang w:val="hr-HR"/>
              </w:rPr>
              <w:t>“Zelena” javna nabava</w:t>
            </w:r>
          </w:p>
        </w:tc>
      </w:tr>
      <w:tr w:rsidR="005D7B50" w:rsidRPr="00361664" w:rsidTr="005D7B50">
        <w:trPr>
          <w:trHeight w:val="20"/>
        </w:trPr>
        <w:tc>
          <w:tcPr>
            <w:tcW w:w="1416" w:type="pct"/>
            <w:gridSpan w:val="2"/>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Indeks mjere</w:t>
            </w:r>
          </w:p>
        </w:tc>
        <w:tc>
          <w:tcPr>
            <w:tcW w:w="3584" w:type="pct"/>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P.5</w:t>
            </w:r>
          </w:p>
        </w:tc>
      </w:tr>
      <w:tr w:rsidR="005D7B50" w:rsidRPr="00361664" w:rsidTr="005D7B50">
        <w:trPr>
          <w:trHeight w:val="20"/>
        </w:trPr>
        <w:tc>
          <w:tcPr>
            <w:tcW w:w="669" w:type="pct"/>
            <w:vMerge w:val="restar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Opis</w:t>
            </w: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Kategorija</w:t>
            </w:r>
          </w:p>
        </w:tc>
        <w:tc>
          <w:tcPr>
            <w:tcW w:w="3584"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Dobrovoljni sporazumi i kooperativni instrumenti</w:t>
            </w:r>
          </w:p>
        </w:tc>
      </w:tr>
      <w:tr w:rsidR="005D7B50" w:rsidRPr="00361664" w:rsidTr="005D7B50">
        <w:trPr>
          <w:trHeight w:val="20"/>
        </w:trPr>
        <w:tc>
          <w:tcPr>
            <w:tcW w:w="669" w:type="pct"/>
            <w:vMerge/>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Vremenski okvir</w:t>
            </w:r>
          </w:p>
        </w:tc>
        <w:tc>
          <w:tcPr>
            <w:tcW w:w="3584"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Početak: 201</w:t>
            </w:r>
            <w:r w:rsidR="00321EFB" w:rsidRPr="00361664">
              <w:rPr>
                <w:rFonts w:asciiTheme="minorHAnsi" w:hAnsiTheme="minorHAnsi"/>
                <w:sz w:val="20"/>
                <w:szCs w:val="22"/>
                <w:lang w:val="hr-HR"/>
              </w:rPr>
              <w:t>4</w:t>
            </w:r>
            <w:r w:rsidRPr="00361664">
              <w:rPr>
                <w:rFonts w:asciiTheme="minorHAnsi" w:hAnsiTheme="minorHAnsi"/>
                <w:sz w:val="20"/>
                <w:szCs w:val="22"/>
                <w:lang w:val="hr-HR"/>
              </w:rPr>
              <w:t>.</w:t>
            </w:r>
          </w:p>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Kraj: 2019.</w:t>
            </w:r>
          </w:p>
        </w:tc>
      </w:tr>
      <w:tr w:rsidR="005D7B50" w:rsidRPr="00361664" w:rsidTr="00B808A5">
        <w:trPr>
          <w:trHeight w:val="447"/>
        </w:trPr>
        <w:tc>
          <w:tcPr>
            <w:tcW w:w="669" w:type="pct"/>
            <w:vMerge/>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 / kratak opis</w:t>
            </w:r>
          </w:p>
        </w:tc>
        <w:tc>
          <w:tcPr>
            <w:tcW w:w="3584" w:type="pct"/>
            <w:vAlign w:val="center"/>
          </w:tcPr>
          <w:p w:rsidR="005D7B50" w:rsidRPr="00361664" w:rsidRDefault="005D7B50" w:rsidP="00651BCA">
            <w:pPr>
              <w:jc w:val="both"/>
              <w:rPr>
                <w:rFonts w:asciiTheme="minorHAnsi" w:hAnsiTheme="minorHAnsi"/>
                <w:sz w:val="20"/>
              </w:rPr>
            </w:pPr>
            <w:r w:rsidRPr="00361664">
              <w:rPr>
                <w:rFonts w:asciiTheme="minorHAnsi" w:hAnsiTheme="minorHAnsi"/>
                <w:sz w:val="20"/>
              </w:rPr>
              <w:t xml:space="preserve">Cilj ove mjere je uključiti mjerila zelene javne nabave u redovite postupke javne nabave na nacionalnoj i lokalnoj razini te edukacija, osposobljavanje i razvijanje kapaciteta neposrednih provoditelja postupka javne nabave za zelenu javnu nabavu. </w:t>
            </w:r>
          </w:p>
          <w:p w:rsidR="005D7B50" w:rsidRPr="00361664" w:rsidRDefault="00DF48C4" w:rsidP="00DF48C4">
            <w:pPr>
              <w:rPr>
                <w:rFonts w:asciiTheme="minorHAnsi" w:hAnsiTheme="minorHAnsi"/>
                <w:sz w:val="20"/>
              </w:rPr>
            </w:pPr>
            <w:r>
              <w:rPr>
                <w:rFonts w:asciiTheme="minorHAnsi" w:hAnsiTheme="minorHAnsi"/>
                <w:sz w:val="20"/>
              </w:rPr>
              <w:t xml:space="preserve">Tijekom </w:t>
            </w:r>
            <w:r w:rsidR="005D7B50" w:rsidRPr="00361664">
              <w:rPr>
                <w:rFonts w:asciiTheme="minorHAnsi" w:hAnsiTheme="minorHAnsi"/>
                <w:sz w:val="20"/>
              </w:rPr>
              <w:t xml:space="preserve">2017. </w:t>
            </w:r>
            <w:r>
              <w:rPr>
                <w:rFonts w:asciiTheme="minorHAnsi" w:hAnsiTheme="minorHAnsi"/>
                <w:sz w:val="20"/>
              </w:rPr>
              <w:t xml:space="preserve">nastavlja </w:t>
            </w:r>
            <w:r w:rsidR="005D7B50" w:rsidRPr="00361664">
              <w:rPr>
                <w:rFonts w:asciiTheme="minorHAnsi" w:hAnsiTheme="minorHAnsi"/>
                <w:sz w:val="20"/>
              </w:rPr>
              <w:t>se provoditi I. Nacionalni akcijski plan za Zelenu javnu nabavu za razdoblje od 2015. do 2017. godine s pogledom do 2020. godine (NAP ZeJN), kojeg je Vlada Republike Hrvatske donijela na sjednici 26. kolovoza 2015.g., kojim se preporuča obveznicima javne nabave uključiti mjerila ZeJN u tehničku dokumentaciju i postupak javne nabave;</w:t>
            </w:r>
            <w:r>
              <w:rPr>
                <w:rFonts w:asciiTheme="minorHAnsi" w:hAnsiTheme="minorHAnsi"/>
                <w:sz w:val="20"/>
              </w:rPr>
              <w:t xml:space="preserve">    </w:t>
            </w:r>
            <w:hyperlink r:id="rId24" w:history="1">
              <w:r w:rsidR="00B808A5" w:rsidRPr="00361664">
                <w:rPr>
                  <w:rStyle w:val="Hiperveza"/>
                  <w:rFonts w:asciiTheme="minorHAnsi" w:hAnsiTheme="minorHAnsi"/>
                  <w:sz w:val="18"/>
                </w:rPr>
                <w:t>http://www.mzoip.hr/doc/nacionalni_akcijski_plan_za_zelenu_javnu_nabavu.pdf</w:t>
              </w:r>
            </w:hyperlink>
          </w:p>
          <w:p w:rsidR="005D7B50" w:rsidRPr="00361664" w:rsidRDefault="005D7B50" w:rsidP="00651BCA">
            <w:pPr>
              <w:jc w:val="both"/>
              <w:rPr>
                <w:rFonts w:asciiTheme="minorHAnsi" w:hAnsiTheme="minorHAnsi"/>
                <w:sz w:val="20"/>
              </w:rPr>
            </w:pPr>
            <w:r w:rsidRPr="00361664">
              <w:rPr>
                <w:rFonts w:asciiTheme="minorHAnsi" w:hAnsiTheme="minorHAnsi"/>
                <w:sz w:val="20"/>
              </w:rPr>
              <w:lastRenderedPageBreak/>
              <w:t>I. NAP ZeJN između ostalog sadrži upute kako koristiti pokazatelje energetske učinkovitosti u javnoj nabavi i vodič za izračun troškova životnog vijeka proizvoda, a mjerila su koncipiran na način da se mogu jednostavno iskoristiti u postupcima javne nabave. Sva tijela obveznici javne nabave upućena su na korištenje mjerila ZeJN među ostali i za proizvode koji koriste energiju (informatička oprema, električna energija, mobilna telefonija).  Osnovano je nacionalno Povjerenstvo za zelenu javnu nabavu koje prati provedbu ZeJN putem anketnog upitnika i elektroničkog oglasnika javne nabave (https://eojn.nn.hr/Oglasnik/).</w:t>
            </w:r>
          </w:p>
          <w:p w:rsidR="005D7B50" w:rsidRPr="00361664" w:rsidRDefault="00DF48C4" w:rsidP="00651BCA">
            <w:pPr>
              <w:jc w:val="both"/>
              <w:rPr>
                <w:rFonts w:asciiTheme="minorHAnsi" w:hAnsiTheme="minorHAnsi"/>
                <w:sz w:val="20"/>
              </w:rPr>
            </w:pPr>
            <w:r>
              <w:rPr>
                <w:rFonts w:asciiTheme="minorHAnsi" w:hAnsiTheme="minorHAnsi"/>
                <w:sz w:val="20"/>
              </w:rPr>
              <w:t>U</w:t>
            </w:r>
            <w:r w:rsidR="005D7B50" w:rsidRPr="00361664">
              <w:rPr>
                <w:rFonts w:asciiTheme="minorHAnsi" w:hAnsiTheme="minorHAnsi"/>
                <w:sz w:val="20"/>
              </w:rPr>
              <w:t xml:space="preserve"> II. NAP ZeJN će se istaknuti prioritetne mjere za iduće trogodišnje razdoblje od 2018. – 2020. Cilj je da 50% provedenih postupaka javne nabave bude uz primjenu mjerila zelene javne nabave do 2020. godine. Kroz ZeJN se potiče razvoj tržišta zelenih proizvoda i usluga. Kupovinom zelenih proizvoda i usluga doprinosi se  zaštiti  okoliša, energetskoj učinkovitosti, smanjenju potrošnje resursa i kemikalija i smanjenju emisije stakleničkih plinova. </w:t>
            </w:r>
          </w:p>
          <w:p w:rsidR="005D7B50" w:rsidRPr="00361664" w:rsidRDefault="005D7B50" w:rsidP="00651BCA">
            <w:pPr>
              <w:jc w:val="both"/>
              <w:rPr>
                <w:rFonts w:asciiTheme="minorHAnsi" w:hAnsiTheme="minorHAnsi"/>
                <w:sz w:val="20"/>
              </w:rPr>
            </w:pPr>
            <w:r w:rsidRPr="00361664">
              <w:rPr>
                <w:rFonts w:asciiTheme="minorHAnsi" w:hAnsiTheme="minorHAnsi"/>
                <w:sz w:val="20"/>
              </w:rPr>
              <w:t xml:space="preserve">Zahtjevi energetske učinkovitosti proizvoda povezanih s energijom u postupcima javne nabave propisani su Pravilnikom o zahtjevima energetske učinkovitosti proizvoda povezanih s energijom u postupcima javne nabave (NN, br. 70/15). Na snazi je i Zakon o promicanju čistih i energetski učinkovitih vozila u cestovnom prijevozu (NN, br. 127/13) s </w:t>
            </w:r>
            <w:r w:rsidR="00411708" w:rsidRPr="00361664">
              <w:rPr>
                <w:rFonts w:asciiTheme="minorHAnsi" w:hAnsiTheme="minorHAnsi"/>
                <w:sz w:val="20"/>
              </w:rPr>
              <w:t>pod zakonskim</w:t>
            </w:r>
            <w:r w:rsidRPr="00361664">
              <w:rPr>
                <w:rFonts w:asciiTheme="minorHAnsi" w:hAnsiTheme="minorHAnsi"/>
                <w:sz w:val="20"/>
              </w:rPr>
              <w:t xml:space="preserve"> propisima.</w:t>
            </w:r>
          </w:p>
          <w:p w:rsidR="005D7B50" w:rsidRPr="00361664" w:rsidRDefault="005D7B50" w:rsidP="00651BCA">
            <w:pPr>
              <w:jc w:val="both"/>
              <w:rPr>
                <w:rFonts w:asciiTheme="minorHAnsi" w:hAnsiTheme="minorHAnsi"/>
                <w:sz w:val="20"/>
              </w:rPr>
            </w:pPr>
            <w:r w:rsidRPr="00361664">
              <w:rPr>
                <w:rFonts w:asciiTheme="minorHAnsi" w:hAnsiTheme="minorHAnsi"/>
                <w:sz w:val="20"/>
              </w:rPr>
              <w:t xml:space="preserve">Zakon o javnoj nabavi (NN, br. 120/16) propisuje obvezu provođenja postupka ekonomski najpovoljnije ponude što je otvorilo mogućnost uključivanja i drugih parametara osim cijene, poput okolišnih i socijalnih. Stoga se očekuje snažnija provedba zelene javne nabave u narednom razdoblju. </w:t>
            </w:r>
          </w:p>
        </w:tc>
      </w:tr>
      <w:tr w:rsidR="005D7B50" w:rsidRPr="00361664" w:rsidTr="005D7B50">
        <w:trPr>
          <w:trHeight w:val="20"/>
        </w:trPr>
        <w:tc>
          <w:tcPr>
            <w:tcW w:w="669" w:type="pct"/>
            <w:vMerge/>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neposredna potrošnja</w:t>
            </w:r>
          </w:p>
        </w:tc>
        <w:tc>
          <w:tcPr>
            <w:tcW w:w="3584"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Obveznici javne nabave pri nabavi uredske i informatičke opreme, telekomunikacijskih usluga i usluga mobilne telefonije i kućanskih uređaja, energetske usluge kao i drugih proizvoda i usluga upućeni su na korištenje mjerila ZeJN koja obuhvaćaju i mjerila energetske učinkovitosti.</w:t>
            </w:r>
          </w:p>
        </w:tc>
      </w:tr>
      <w:tr w:rsidR="005D7B50" w:rsidRPr="00361664" w:rsidTr="005D7B50">
        <w:trPr>
          <w:trHeight w:val="20"/>
        </w:trPr>
        <w:tc>
          <w:tcPr>
            <w:tcW w:w="669" w:type="pct"/>
            <w:vMerge/>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skupina</w:t>
            </w:r>
          </w:p>
        </w:tc>
        <w:tc>
          <w:tcPr>
            <w:tcW w:w="3584"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Obveznici javne nabave sukladno Zakonu o javnoj nabavi.</w:t>
            </w:r>
          </w:p>
        </w:tc>
      </w:tr>
      <w:tr w:rsidR="005D7B50" w:rsidRPr="00361664" w:rsidTr="005D7B50">
        <w:trPr>
          <w:trHeight w:val="20"/>
        </w:trPr>
        <w:tc>
          <w:tcPr>
            <w:tcW w:w="669" w:type="pct"/>
            <w:vMerge/>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584" w:type="pct"/>
            <w:tcBorders>
              <w:bottom w:val="single" w:sz="4" w:space="0" w:color="auto"/>
            </w:tcBorders>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Nacionalno, JLP(R)S i drugi obveznici javne nabave</w:t>
            </w:r>
          </w:p>
        </w:tc>
      </w:tr>
      <w:tr w:rsidR="005D7B50" w:rsidRPr="00361664" w:rsidTr="005D7B50">
        <w:trPr>
          <w:trHeight w:val="2504"/>
        </w:trPr>
        <w:tc>
          <w:tcPr>
            <w:tcW w:w="669" w:type="pct"/>
            <w:vMerge w:val="restar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Informacije o  provedbi</w:t>
            </w: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Popis i opis aktivnosti za provođenje mjere </w:t>
            </w:r>
          </w:p>
        </w:tc>
        <w:tc>
          <w:tcPr>
            <w:tcW w:w="3584" w:type="pct"/>
            <w:tcBorders>
              <w:bottom w:val="single" w:sz="4" w:space="0" w:color="auto"/>
            </w:tcBorders>
            <w:vAlign w:val="center"/>
          </w:tcPr>
          <w:p w:rsidR="005D7B50" w:rsidRPr="00361664" w:rsidRDefault="00DF48C4" w:rsidP="00651BCA">
            <w:pPr>
              <w:pStyle w:val="Tabletext"/>
              <w:tabs>
                <w:tab w:val="left" w:pos="1440"/>
                <w:tab w:val="left" w:pos="5040"/>
              </w:tabs>
              <w:spacing w:after="0" w:line="240" w:lineRule="auto"/>
              <w:rPr>
                <w:rFonts w:asciiTheme="minorHAnsi" w:hAnsiTheme="minorHAnsi"/>
                <w:sz w:val="20"/>
                <w:szCs w:val="22"/>
                <w:u w:val="single"/>
                <w:lang w:val="hr-HR"/>
              </w:rPr>
            </w:pPr>
            <w:r>
              <w:rPr>
                <w:rFonts w:asciiTheme="minorHAnsi" w:hAnsiTheme="minorHAnsi"/>
                <w:sz w:val="20"/>
                <w:szCs w:val="22"/>
                <w:u w:val="single"/>
                <w:lang w:val="hr-HR"/>
              </w:rPr>
              <w:t>A</w:t>
            </w:r>
            <w:r w:rsidR="005D7B50" w:rsidRPr="00361664">
              <w:rPr>
                <w:rFonts w:asciiTheme="minorHAnsi" w:hAnsiTheme="minorHAnsi"/>
                <w:sz w:val="20"/>
                <w:szCs w:val="22"/>
                <w:u w:val="single"/>
                <w:lang w:val="hr-HR"/>
              </w:rPr>
              <w:t>ktivnosti:</w:t>
            </w:r>
          </w:p>
          <w:p w:rsidR="005D7B50" w:rsidRPr="00361664" w:rsidRDefault="005D7B50" w:rsidP="00651BCA">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1. Nastaviti s provedbom aktivnosti vezanih uz izobrazbu, promidžbu i uključivanje mjerila zelene javne nabave u postupke javne nabave sukladno I. NAP ZeJN</w:t>
            </w:r>
          </w:p>
          <w:p w:rsidR="005D7B50" w:rsidRPr="00361664" w:rsidRDefault="005D7B50" w:rsidP="00651BCA">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2. Nastaviti s praćenjem provedbe zelene javne nabave na način kako je planirano I. NAP ZeJN-om.</w:t>
            </w:r>
          </w:p>
          <w:p w:rsidR="005D7B50" w:rsidRPr="00361664" w:rsidRDefault="005D7B50" w:rsidP="00651BCA">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3. Izrada prijedloga II. NAP ZeJN-a za drugo trogodišnje razdoblje 2018.-2020. godine u kojem će se navesti prioritetna mjerila ZeJN, a koja uključuju energetsku učinkovitost gdje je relevantno. Pri tome će se koristiti zajednička mjerila ZeJN EU. </w:t>
            </w:r>
          </w:p>
        </w:tc>
      </w:tr>
      <w:tr w:rsidR="005D7B50" w:rsidRPr="00361664" w:rsidTr="005D7B50">
        <w:trPr>
          <w:trHeight w:val="20"/>
        </w:trPr>
        <w:tc>
          <w:tcPr>
            <w:tcW w:w="669" w:type="pct"/>
            <w:vMerge/>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Financijska sredstva i izvori financiranja</w:t>
            </w:r>
          </w:p>
        </w:tc>
        <w:tc>
          <w:tcPr>
            <w:tcW w:w="3584" w:type="pct"/>
            <w:tcBorders>
              <w:top w:val="single" w:sz="4" w:space="0" w:color="auto"/>
            </w:tcBorders>
            <w:vAlign w:val="center"/>
          </w:tcPr>
          <w:p w:rsidR="009E3D78"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Provedba aktivnosti i mjera sukladno </w:t>
            </w:r>
            <w:r w:rsidR="0006156E" w:rsidRPr="00361664">
              <w:rPr>
                <w:rFonts w:asciiTheme="minorHAnsi" w:hAnsiTheme="minorHAnsi"/>
                <w:sz w:val="20"/>
                <w:szCs w:val="22"/>
                <w:lang w:val="hr-HR"/>
              </w:rPr>
              <w:t>Nacionalnim akcijskim planom za zelenu javnu nabavu</w:t>
            </w:r>
            <w:r w:rsidR="00827AD5" w:rsidRPr="00361664">
              <w:rPr>
                <w:rFonts w:asciiTheme="minorHAnsi" w:hAnsiTheme="minorHAnsi"/>
                <w:sz w:val="20"/>
                <w:szCs w:val="22"/>
                <w:lang w:val="hr-HR"/>
              </w:rPr>
              <w:t xml:space="preserve"> za razdoblje od 2015. do 2017. godine s pogledom do 2020. godine </w:t>
            </w:r>
            <w:r w:rsidR="0006156E" w:rsidRPr="00361664">
              <w:rPr>
                <w:rFonts w:asciiTheme="minorHAnsi" w:hAnsiTheme="minorHAnsi"/>
                <w:sz w:val="20"/>
                <w:szCs w:val="22"/>
                <w:lang w:val="hr-HR"/>
              </w:rPr>
              <w:t xml:space="preserve"> (</w:t>
            </w:r>
            <w:r w:rsidRPr="00361664">
              <w:rPr>
                <w:rFonts w:asciiTheme="minorHAnsi" w:hAnsiTheme="minorHAnsi"/>
                <w:sz w:val="20"/>
                <w:szCs w:val="22"/>
                <w:lang w:val="hr-HR"/>
              </w:rPr>
              <w:t>NAP ZeJN</w:t>
            </w:r>
            <w:r w:rsidR="002948A4" w:rsidRPr="00361664">
              <w:rPr>
                <w:rFonts w:asciiTheme="minorHAnsi" w:hAnsiTheme="minorHAnsi"/>
                <w:sz w:val="20"/>
                <w:szCs w:val="22"/>
                <w:lang w:val="hr-HR"/>
              </w:rPr>
              <w:t xml:space="preserve">) </w:t>
            </w:r>
            <w:r w:rsidR="002948A4" w:rsidRPr="00361664">
              <w:rPr>
                <w:rFonts w:asciiTheme="minorHAnsi" w:hAnsiTheme="minorHAnsi"/>
                <w:sz w:val="20"/>
                <w:lang w:val="hr-HR"/>
              </w:rPr>
              <w:t xml:space="preserve">kojeg je Vlada Republike Hrvatske donijela </w:t>
            </w:r>
            <w:r w:rsidR="00426D2F" w:rsidRPr="00361664">
              <w:rPr>
                <w:rFonts w:asciiTheme="minorHAnsi" w:hAnsiTheme="minorHAnsi"/>
                <w:sz w:val="20"/>
                <w:lang w:val="hr-HR"/>
              </w:rPr>
              <w:t xml:space="preserve">na sjednici 26. kolovoza 2015.g., te </w:t>
            </w:r>
            <w:r w:rsidR="00426D2F" w:rsidRPr="00361664">
              <w:rPr>
                <w:rFonts w:asciiTheme="minorHAnsi" w:hAnsiTheme="minorHAnsi"/>
                <w:sz w:val="20"/>
                <w:szCs w:val="22"/>
                <w:lang w:val="hr-HR"/>
              </w:rPr>
              <w:t>II. NAP ZeJN-a za drugo trogodišnje razdoblje 2018.-2020. godine koji će se tek izraditi.</w:t>
            </w:r>
          </w:p>
        </w:tc>
      </w:tr>
      <w:tr w:rsidR="005D7B50" w:rsidRPr="00361664" w:rsidTr="005D7B50">
        <w:trPr>
          <w:trHeight w:val="20"/>
        </w:trPr>
        <w:tc>
          <w:tcPr>
            <w:tcW w:w="669" w:type="pct"/>
            <w:vMerge/>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Izvršno  tijelo</w:t>
            </w:r>
          </w:p>
        </w:tc>
        <w:tc>
          <w:tcPr>
            <w:tcW w:w="3584"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MZOE u suradnji s MINGO i članovima Povjerenstva za zelenu javnu nabavu, Državni ured za središnju javnu nabavu, JLP(R)S i drugi obveznici javne nabave.</w:t>
            </w:r>
          </w:p>
        </w:tc>
      </w:tr>
      <w:tr w:rsidR="005D7B50" w:rsidRPr="00361664" w:rsidTr="005D7B50">
        <w:trPr>
          <w:trHeight w:val="20"/>
        </w:trPr>
        <w:tc>
          <w:tcPr>
            <w:tcW w:w="669" w:type="pct"/>
            <w:vMerge/>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640C0B"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Tijelo za </w:t>
            </w:r>
            <w:r w:rsidRPr="00361664">
              <w:rPr>
                <w:rFonts w:asciiTheme="minorHAnsi" w:hAnsiTheme="minorHAnsi"/>
                <w:sz w:val="20"/>
                <w:szCs w:val="22"/>
                <w:lang w:val="hr-HR"/>
              </w:rPr>
              <w:lastRenderedPageBreak/>
              <w:t>praćenje, mjerenje i verifikaciju ušteda</w:t>
            </w:r>
          </w:p>
        </w:tc>
        <w:tc>
          <w:tcPr>
            <w:tcW w:w="3584"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lastRenderedPageBreak/>
              <w:t xml:space="preserve">NKT </w:t>
            </w:r>
          </w:p>
        </w:tc>
      </w:tr>
      <w:tr w:rsidR="005D7B50" w:rsidRPr="00361664" w:rsidTr="005D7B50">
        <w:trPr>
          <w:trHeight w:val="20"/>
        </w:trPr>
        <w:tc>
          <w:tcPr>
            <w:tcW w:w="669" w:type="pct"/>
            <w:vMerge w:val="restar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lastRenderedPageBreak/>
              <w:t>Uštede energije</w:t>
            </w:r>
          </w:p>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Metoda praćenja / mjerenja ušteda energije</w:t>
            </w:r>
          </w:p>
        </w:tc>
        <w:tc>
          <w:tcPr>
            <w:tcW w:w="3584" w:type="pct"/>
            <w:shd w:val="clear" w:color="auto" w:fill="auto"/>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Praćenje ostvarenih ušteda energije u budućnosti će se provoditi primjenom BU metoda za svaku pojedinu skupinu uređaja koja se nabavljala uvažavajući kriterije energetske učinkovitosti. Pri tome se očekuje da će najveći broj nabava biti vezano uz računalnu i uredsku opremu i motorna vozila. Za vozila je razvijena nacionalna metoda koja se temelji na razlici potrošnje goriva standardnog automobila s motorom s unutrašnjim izgaranjem te novog vozila naprednije tehnologije (hibridni ili električni) i na prosječnoj godišnjoj kilometraži vozila. </w:t>
            </w:r>
          </w:p>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Državni ured za središnju javnu nabavu prati podatke o količinama i tipovima nabavljene računalne opreme i vozila te podatke dostavlja NKT-u koji ih unosi u SMIV. </w:t>
            </w:r>
          </w:p>
        </w:tc>
      </w:tr>
      <w:tr w:rsidR="005D7B50" w:rsidRPr="00361664" w:rsidTr="005D7B50">
        <w:trPr>
          <w:trHeight w:val="20"/>
        </w:trPr>
        <w:tc>
          <w:tcPr>
            <w:tcW w:w="669" w:type="pct"/>
            <w:vMerge/>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vAlign w:val="center"/>
          </w:tcPr>
          <w:p w:rsidR="005D7B50" w:rsidRPr="00361664" w:rsidRDefault="00A9135D" w:rsidP="00651BCA">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 xml:space="preserve">Očekivane uštede energije </w:t>
            </w:r>
            <w:r w:rsidR="00274B27" w:rsidRPr="00361664">
              <w:rPr>
                <w:rFonts w:asciiTheme="minorHAnsi" w:hAnsiTheme="minorHAnsi"/>
                <w:sz w:val="20"/>
                <w:szCs w:val="22"/>
                <w:lang w:val="hr-HR"/>
              </w:rPr>
              <w:t>u</w:t>
            </w:r>
            <w:r w:rsidRPr="00361664">
              <w:rPr>
                <w:rFonts w:asciiTheme="minorHAnsi" w:hAnsiTheme="minorHAnsi"/>
                <w:sz w:val="20"/>
                <w:szCs w:val="22"/>
                <w:lang w:val="hr-HR"/>
              </w:rPr>
              <w:t>do kraja 2019.</w:t>
            </w:r>
          </w:p>
        </w:tc>
        <w:tc>
          <w:tcPr>
            <w:tcW w:w="3584" w:type="pct"/>
            <w:vAlign w:val="center"/>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Nije </w:t>
            </w:r>
            <w:r w:rsidR="003343A1" w:rsidRPr="00361664">
              <w:rPr>
                <w:rFonts w:asciiTheme="minorHAnsi" w:hAnsiTheme="minorHAnsi"/>
                <w:sz w:val="20"/>
                <w:szCs w:val="22"/>
                <w:lang w:val="hr-HR"/>
              </w:rPr>
              <w:t>procijenjeno</w:t>
            </w:r>
          </w:p>
        </w:tc>
      </w:tr>
      <w:tr w:rsidR="005D7B50" w:rsidRPr="00361664" w:rsidTr="00E3351E">
        <w:trPr>
          <w:trHeight w:val="20"/>
        </w:trPr>
        <w:tc>
          <w:tcPr>
            <w:tcW w:w="669" w:type="pct"/>
            <w:vMerge/>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tcPr>
          <w:p w:rsidR="005D7B50" w:rsidRPr="00361664" w:rsidRDefault="004831DF"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Očekivane uštede energije do kraja 2020.</w:t>
            </w:r>
          </w:p>
        </w:tc>
        <w:tc>
          <w:tcPr>
            <w:tcW w:w="3584" w:type="pct"/>
            <w:vAlign w:val="center"/>
          </w:tcPr>
          <w:p w:rsidR="005D7B50" w:rsidRPr="00361664" w:rsidRDefault="003343A1" w:rsidP="00E3351E">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Nije procijenjeno</w:t>
            </w:r>
          </w:p>
        </w:tc>
      </w:tr>
      <w:tr w:rsidR="005D7B50" w:rsidRPr="00361664" w:rsidTr="005D7B50">
        <w:trPr>
          <w:trHeight w:val="20"/>
        </w:trPr>
        <w:tc>
          <w:tcPr>
            <w:tcW w:w="669" w:type="pct"/>
            <w:vMerge/>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tcPr>
          <w:p w:rsidR="005D7B50" w:rsidRPr="00361664" w:rsidRDefault="005D7B50" w:rsidP="00651BCA">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Pretpostavke</w:t>
            </w:r>
          </w:p>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3584" w:type="pct"/>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Obveznici javne nabave dužni su objaviti početkom godine svoje planove javne nabave na web stranicama, međutim statističko izvješće o javnoj nabavi  koje se generira iz EOJN, sadrži i informaciju jesu li korištena mjerila ZeJN te će za 2017.g. biti izrađeno tek početkom 2018.g., međutim bez navođenja detalja. Stoga bez razrade načina praćenja ZeJN u EOJN-u nije moguće izračunati uštede energije.  </w:t>
            </w:r>
          </w:p>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r>
      <w:tr w:rsidR="005D7B50" w:rsidRPr="00361664" w:rsidTr="005D7B50">
        <w:trPr>
          <w:trHeight w:val="20"/>
        </w:trPr>
        <w:tc>
          <w:tcPr>
            <w:tcW w:w="669" w:type="pct"/>
            <w:vMerge/>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746" w:type="pct"/>
          </w:tcPr>
          <w:p w:rsidR="005D7B50" w:rsidRPr="00361664" w:rsidRDefault="005D7B50"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Preklapanja, efekt množenja, sinergija</w:t>
            </w:r>
          </w:p>
        </w:tc>
        <w:tc>
          <w:tcPr>
            <w:tcW w:w="3584" w:type="pct"/>
          </w:tcPr>
          <w:p w:rsidR="005D7B50" w:rsidRPr="00361664" w:rsidRDefault="005D7B50" w:rsidP="00651BCA">
            <w:pPr>
              <w:tabs>
                <w:tab w:val="left" w:pos="1440"/>
                <w:tab w:val="left" w:pos="5040"/>
              </w:tabs>
              <w:spacing w:after="0" w:line="240" w:lineRule="auto"/>
              <w:jc w:val="both"/>
              <w:rPr>
                <w:rFonts w:asciiTheme="minorHAnsi" w:hAnsiTheme="minorHAnsi"/>
                <w:sz w:val="20"/>
              </w:rPr>
            </w:pPr>
            <w:r w:rsidRPr="00361664">
              <w:rPr>
                <w:rFonts w:asciiTheme="minorHAnsi" w:hAnsiTheme="minorHAnsi"/>
                <w:sz w:val="20"/>
              </w:rPr>
              <w:t>/</w:t>
            </w:r>
          </w:p>
        </w:tc>
      </w:tr>
    </w:tbl>
    <w:p w:rsidR="00C6626B" w:rsidRPr="00361664" w:rsidRDefault="00C6626B" w:rsidP="00651BCA">
      <w:pPr>
        <w:jc w:val="both"/>
        <w:rPr>
          <w:lang w:eastAsia="de-DE"/>
        </w:rPr>
      </w:pPr>
    </w:p>
    <w:p w:rsidR="00E96EA5" w:rsidRPr="00361664" w:rsidRDefault="00CE07A7" w:rsidP="00651BCA">
      <w:pPr>
        <w:pStyle w:val="Naslov3"/>
        <w:rPr>
          <w:rStyle w:val="Jakoisticanje"/>
          <w:b/>
          <w:bCs w:val="0"/>
          <w:i/>
          <w:iCs w:val="0"/>
          <w:color w:val="375F91"/>
          <w:lang w:val="hr-HR"/>
        </w:rPr>
      </w:pPr>
      <w:bookmarkStart w:id="42" w:name="_Toc535245861"/>
      <w:r w:rsidRPr="00361664">
        <w:rPr>
          <w:rStyle w:val="Jakoisticanje"/>
          <w:b/>
          <w:bCs w:val="0"/>
          <w:i/>
          <w:iCs w:val="0"/>
          <w:color w:val="375F91"/>
          <w:lang w:val="hr-HR"/>
        </w:rPr>
        <w:t>Uštede koje proizlaze iz mjera u javnom sektoru</w:t>
      </w:r>
      <w:bookmarkEnd w:id="42"/>
    </w:p>
    <w:p w:rsidR="00944F9E" w:rsidRPr="00361664" w:rsidRDefault="00E96EA5" w:rsidP="00651BCA">
      <w:pPr>
        <w:jc w:val="both"/>
        <w:rPr>
          <w:rStyle w:val="Jakoisticanje"/>
          <w:b w:val="0"/>
          <w:iCs w:val="0"/>
          <w:color w:val="365F91"/>
          <w:sz w:val="20"/>
          <w:szCs w:val="20"/>
        </w:rPr>
      </w:pPr>
      <w:r w:rsidRPr="00361664">
        <w:rPr>
          <w:sz w:val="20"/>
          <w:szCs w:val="20"/>
        </w:rPr>
        <w:t xml:space="preserve">Prethodno opisano </w:t>
      </w:r>
      <w:r w:rsidR="00716D5A" w:rsidRPr="00361664">
        <w:rPr>
          <w:sz w:val="20"/>
          <w:szCs w:val="20"/>
        </w:rPr>
        <w:t>u svakoj</w:t>
      </w:r>
      <w:r w:rsidRPr="00361664">
        <w:rPr>
          <w:sz w:val="20"/>
          <w:szCs w:val="20"/>
        </w:rPr>
        <w:t xml:space="preserve"> mjeri pojedinačno.</w:t>
      </w:r>
      <w:r w:rsidR="00944F9E" w:rsidRPr="00361664">
        <w:rPr>
          <w:rStyle w:val="Jakoisticanje"/>
          <w:b w:val="0"/>
          <w:iCs w:val="0"/>
          <w:color w:val="365F91"/>
          <w:sz w:val="20"/>
          <w:szCs w:val="20"/>
        </w:rPr>
        <w:tab/>
      </w:r>
    </w:p>
    <w:p w:rsidR="00192232" w:rsidRPr="00361664" w:rsidRDefault="00CE07A7" w:rsidP="00651BCA">
      <w:pPr>
        <w:pStyle w:val="Naslov3"/>
        <w:rPr>
          <w:rStyle w:val="Jakoisticanje"/>
          <w:b/>
          <w:bCs w:val="0"/>
          <w:i/>
          <w:iCs w:val="0"/>
          <w:color w:val="375F91"/>
          <w:lang w:val="hr-HR"/>
        </w:rPr>
      </w:pPr>
      <w:bookmarkStart w:id="43" w:name="_Toc535245862"/>
      <w:r w:rsidRPr="00361664">
        <w:rPr>
          <w:rStyle w:val="Jakoisticanje"/>
          <w:b/>
          <w:bCs w:val="0"/>
          <w:i/>
          <w:iCs w:val="0"/>
          <w:color w:val="375F91"/>
          <w:lang w:val="hr-HR"/>
        </w:rPr>
        <w:t>Financiranje mjera u javnom sektoru</w:t>
      </w:r>
      <w:bookmarkEnd w:id="43"/>
    </w:p>
    <w:p w:rsidR="00E96EA5" w:rsidRPr="00361664" w:rsidRDefault="00E96EA5" w:rsidP="00651BCA">
      <w:pPr>
        <w:jc w:val="both"/>
        <w:rPr>
          <w:sz w:val="20"/>
          <w:szCs w:val="20"/>
        </w:rPr>
      </w:pPr>
      <w:r w:rsidRPr="00361664">
        <w:rPr>
          <w:sz w:val="20"/>
          <w:szCs w:val="20"/>
        </w:rPr>
        <w:t xml:space="preserve">Prethodno opisano </w:t>
      </w:r>
      <w:r w:rsidR="00716D5A" w:rsidRPr="00361664">
        <w:rPr>
          <w:sz w:val="20"/>
          <w:szCs w:val="20"/>
        </w:rPr>
        <w:t>u svakoj</w:t>
      </w:r>
      <w:r w:rsidRPr="00361664">
        <w:rPr>
          <w:sz w:val="20"/>
          <w:szCs w:val="20"/>
        </w:rPr>
        <w:t xml:space="preserve"> mjeri pojedinačno.</w:t>
      </w:r>
    </w:p>
    <w:p w:rsidR="00E96EA5" w:rsidRPr="00361664" w:rsidRDefault="00E96EA5" w:rsidP="00651BCA">
      <w:pPr>
        <w:jc w:val="both"/>
        <w:rPr>
          <w:rStyle w:val="Jakoisticanje"/>
          <w:rFonts w:ascii="Cambria" w:hAnsi="Cambria" w:cs="Arial"/>
          <w:i w:val="0"/>
          <w:iCs w:val="0"/>
          <w:color w:val="365F91"/>
          <w:sz w:val="20"/>
          <w:szCs w:val="28"/>
        </w:rPr>
      </w:pPr>
      <w:r w:rsidRPr="00361664">
        <w:rPr>
          <w:rStyle w:val="Jakoisticanje"/>
          <w:b w:val="0"/>
          <w:bCs w:val="0"/>
          <w:color w:val="365F91"/>
        </w:rPr>
        <w:br w:type="page"/>
      </w:r>
    </w:p>
    <w:p w:rsidR="00944F9E" w:rsidRPr="00361036" w:rsidRDefault="001D5B34" w:rsidP="00651BCA">
      <w:pPr>
        <w:pStyle w:val="Naslov2"/>
        <w:jc w:val="both"/>
        <w:rPr>
          <w:rStyle w:val="Jakoisticanje"/>
          <w:b/>
          <w:bCs/>
          <w:iCs/>
          <w:color w:val="375F91"/>
        </w:rPr>
      </w:pPr>
      <w:bookmarkStart w:id="44" w:name="_Toc535245863"/>
      <w:r w:rsidRPr="00361036">
        <w:rPr>
          <w:rStyle w:val="Jakoisticanje"/>
          <w:b/>
          <w:bCs/>
          <w:iCs/>
          <w:color w:val="375F91"/>
        </w:rPr>
        <w:lastRenderedPageBreak/>
        <w:t xml:space="preserve">Ostale mjere </w:t>
      </w:r>
      <w:r w:rsidR="00CE07A7" w:rsidRPr="00361036">
        <w:rPr>
          <w:rStyle w:val="Jakoisticanje"/>
          <w:b/>
          <w:bCs/>
          <w:iCs/>
          <w:color w:val="375F91"/>
        </w:rPr>
        <w:t xml:space="preserve">energetske učinkovitosti </w:t>
      </w:r>
      <w:r w:rsidRPr="00361036">
        <w:rPr>
          <w:rStyle w:val="Jakoisticanje"/>
          <w:b/>
          <w:bCs/>
          <w:iCs/>
          <w:color w:val="375F91"/>
        </w:rPr>
        <w:t>krajnje potrošnje uk</w:t>
      </w:r>
      <w:r w:rsidR="00D76DBE" w:rsidRPr="00361036">
        <w:rPr>
          <w:rStyle w:val="Jakoisticanje"/>
          <w:b/>
          <w:bCs/>
          <w:iCs/>
          <w:color w:val="375F91"/>
        </w:rPr>
        <w:t>ljučujući indu</w:t>
      </w:r>
      <w:r w:rsidRPr="00361036">
        <w:rPr>
          <w:rStyle w:val="Jakoisticanje"/>
          <w:b/>
          <w:bCs/>
          <w:iCs/>
          <w:color w:val="375F91"/>
        </w:rPr>
        <w:t>striju i promet</w:t>
      </w:r>
      <w:bookmarkEnd w:id="44"/>
    </w:p>
    <w:p w:rsidR="00717071" w:rsidRPr="00361664" w:rsidRDefault="00256570" w:rsidP="00651BCA">
      <w:pPr>
        <w:jc w:val="both"/>
        <w:rPr>
          <w:sz w:val="20"/>
          <w:lang w:eastAsia="de-DE"/>
        </w:rPr>
      </w:pPr>
      <w:r w:rsidRPr="00361664">
        <w:rPr>
          <w:sz w:val="20"/>
          <w:lang w:eastAsia="de-DE"/>
        </w:rPr>
        <w:br/>
      </w:r>
      <w:r w:rsidR="00717071" w:rsidRPr="00361664">
        <w:rPr>
          <w:sz w:val="20"/>
          <w:lang w:eastAsia="de-DE"/>
        </w:rPr>
        <w:t>Sve mjere iz 3. NAPEnU vezane za sektor industrije revidirane su pri čemu su neke obustavljene sukladno promjenama važeće regulative (</w:t>
      </w:r>
      <w:r w:rsidRPr="00361664">
        <w:rPr>
          <w:sz w:val="20"/>
          <w:lang w:eastAsia="de-DE"/>
        </w:rPr>
        <w:t xml:space="preserve">obveza </w:t>
      </w:r>
      <w:r w:rsidR="00717071" w:rsidRPr="00361664">
        <w:rPr>
          <w:sz w:val="20"/>
          <w:lang w:eastAsia="de-DE"/>
        </w:rPr>
        <w:t>energetski</w:t>
      </w:r>
      <w:r w:rsidRPr="00361664">
        <w:rPr>
          <w:sz w:val="20"/>
          <w:lang w:eastAsia="de-DE"/>
        </w:rPr>
        <w:t>h</w:t>
      </w:r>
      <w:r w:rsidR="00717071" w:rsidRPr="00361664">
        <w:rPr>
          <w:sz w:val="20"/>
          <w:lang w:eastAsia="de-DE"/>
        </w:rPr>
        <w:t xml:space="preserve"> pregled</w:t>
      </w:r>
      <w:r w:rsidR="000977DC" w:rsidRPr="00361664">
        <w:rPr>
          <w:sz w:val="20"/>
          <w:lang w:eastAsia="de-DE"/>
        </w:rPr>
        <w:t>a</w:t>
      </w:r>
      <w:r w:rsidR="00717071" w:rsidRPr="00361664">
        <w:rPr>
          <w:sz w:val="20"/>
          <w:lang w:eastAsia="de-DE"/>
        </w:rPr>
        <w:t xml:space="preserve"> velikih poduzeća</w:t>
      </w:r>
      <w:r w:rsidRPr="00361664">
        <w:rPr>
          <w:sz w:val="20"/>
          <w:lang w:eastAsia="de-DE"/>
        </w:rPr>
        <w:t xml:space="preserve">) dok su ostale </w:t>
      </w:r>
      <w:r w:rsidR="00717071" w:rsidRPr="00361664">
        <w:rPr>
          <w:sz w:val="20"/>
          <w:lang w:eastAsia="de-DE"/>
        </w:rPr>
        <w:t>objedinjene</w:t>
      </w:r>
      <w:r w:rsidRPr="00361664">
        <w:rPr>
          <w:sz w:val="20"/>
          <w:lang w:eastAsia="de-DE"/>
        </w:rPr>
        <w:t xml:space="preserve"> s ciljem usmjeravanja resursa na komplementarne aktivnosti. </w:t>
      </w:r>
    </w:p>
    <w:p w:rsidR="00256570" w:rsidRPr="00361664" w:rsidRDefault="00CE07A7" w:rsidP="00651BCA">
      <w:pPr>
        <w:pStyle w:val="Naslov3"/>
        <w:rPr>
          <w:rStyle w:val="Jakoisticanje"/>
          <w:b/>
          <w:bCs w:val="0"/>
          <w:i/>
          <w:iCs w:val="0"/>
          <w:color w:val="375F91"/>
          <w:lang w:val="hr-HR"/>
        </w:rPr>
      </w:pPr>
      <w:bookmarkStart w:id="45" w:name="_Toc535245864"/>
      <w:r w:rsidRPr="00361664">
        <w:rPr>
          <w:rStyle w:val="Jakoisticanje"/>
          <w:b/>
          <w:bCs w:val="0"/>
          <w:i/>
          <w:iCs w:val="0"/>
          <w:color w:val="375F91"/>
          <w:lang w:val="hr-HR"/>
        </w:rPr>
        <w:t>Glavne mje</w:t>
      </w:r>
      <w:r w:rsidR="00B569A0" w:rsidRPr="00361664">
        <w:rPr>
          <w:rStyle w:val="Jakoisticanje"/>
          <w:b/>
          <w:bCs w:val="0"/>
          <w:i/>
          <w:iCs w:val="0"/>
          <w:color w:val="375F91"/>
          <w:lang w:val="hr-HR"/>
        </w:rPr>
        <w:t>re za povećanje energetske učinkovitost</w:t>
      </w:r>
      <w:r w:rsidRPr="00361664">
        <w:rPr>
          <w:rStyle w:val="Jakoisticanje"/>
          <w:b/>
          <w:bCs w:val="0"/>
          <w:i/>
          <w:iCs w:val="0"/>
          <w:color w:val="375F91"/>
          <w:lang w:val="hr-HR"/>
        </w:rPr>
        <w:t>i u industriji</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501"/>
        <w:gridCol w:w="6522"/>
      </w:tblGrid>
      <w:tr w:rsidR="00256570" w:rsidRPr="00361664" w:rsidTr="004B187E">
        <w:trPr>
          <w:trHeight w:val="20"/>
        </w:trPr>
        <w:tc>
          <w:tcPr>
            <w:tcW w:w="1489" w:type="pct"/>
            <w:gridSpan w:val="2"/>
            <w:shd w:val="clear" w:color="auto" w:fill="CCFFCC"/>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b/>
                <w:sz w:val="20"/>
                <w:szCs w:val="24"/>
                <w:lang w:val="hr-HR"/>
              </w:rPr>
            </w:pPr>
            <w:r w:rsidRPr="00361664">
              <w:rPr>
                <w:rFonts w:asciiTheme="minorHAnsi" w:hAnsiTheme="minorHAnsi" w:cstheme="minorHAnsi"/>
                <w:b/>
                <w:sz w:val="20"/>
                <w:szCs w:val="24"/>
                <w:lang w:val="hr-HR"/>
              </w:rPr>
              <w:t>Naziv mjere</w:t>
            </w:r>
          </w:p>
        </w:tc>
        <w:tc>
          <w:tcPr>
            <w:tcW w:w="3511" w:type="pct"/>
            <w:shd w:val="clear" w:color="auto" w:fill="CCFFCC"/>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b/>
                <w:bCs/>
                <w:iCs/>
                <w:sz w:val="20"/>
                <w:szCs w:val="24"/>
                <w:lang w:val="hr-HR"/>
              </w:rPr>
            </w:pPr>
            <w:r w:rsidRPr="00361664">
              <w:rPr>
                <w:rFonts w:asciiTheme="minorHAnsi" w:hAnsiTheme="minorHAnsi" w:cstheme="minorHAnsi"/>
                <w:b/>
                <w:sz w:val="20"/>
                <w:szCs w:val="24"/>
                <w:lang w:val="hr-HR"/>
              </w:rPr>
              <w:t>Mreža industrijske energetske efikasnosti (MIEE)</w:t>
            </w:r>
          </w:p>
        </w:tc>
      </w:tr>
      <w:tr w:rsidR="00256570" w:rsidRPr="00361664" w:rsidTr="004B187E">
        <w:trPr>
          <w:trHeight w:val="20"/>
        </w:trPr>
        <w:tc>
          <w:tcPr>
            <w:tcW w:w="1489" w:type="pct"/>
            <w:gridSpan w:val="2"/>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Indeks mjere</w:t>
            </w:r>
          </w:p>
        </w:tc>
        <w:tc>
          <w:tcPr>
            <w:tcW w:w="3511" w:type="pct"/>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I.1</w:t>
            </w:r>
          </w:p>
        </w:tc>
      </w:tr>
      <w:tr w:rsidR="00256570" w:rsidRPr="00361664" w:rsidTr="004B187E">
        <w:trPr>
          <w:trHeight w:val="20"/>
        </w:trPr>
        <w:tc>
          <w:tcPr>
            <w:tcW w:w="681" w:type="pct"/>
            <w:vMerge w:val="restar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Opis</w:t>
            </w: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Kategorija</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Dobrovoljni sporazumi i kooperativni instrumenti</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Vremenski okvir</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Početak: 2017.</w:t>
            </w:r>
          </w:p>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Kraj: 2025.</w:t>
            </w:r>
          </w:p>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Predviđene promjene, dopune, poboljšanja: </w:t>
            </w:r>
          </w:p>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Mjera je revidirana i dopunjena ciljanim aktivnostima.</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Cilj / kratak opis</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trike/>
                <w:sz w:val="20"/>
                <w:szCs w:val="24"/>
                <w:lang w:val="hr-HR"/>
              </w:rPr>
            </w:pPr>
            <w:r w:rsidRPr="00361664">
              <w:rPr>
                <w:rFonts w:asciiTheme="minorHAnsi" w:hAnsiTheme="minorHAnsi" w:cstheme="minorHAnsi"/>
                <w:sz w:val="20"/>
                <w:szCs w:val="24"/>
                <w:lang w:val="hr-HR"/>
              </w:rPr>
              <w:t>Kroz MIEE će se provoditi aktivnosti usmjerene na promoviranje energetske učinkovitosti u gospodarstvu. Osnovni je cilj poboljšati svijest i znanje vodstva gospodarskih poduzeća i zaposlenika kako bi se iskoristili cjelokupni potencijali ostvarivih mjera energetskih ušteda te povezati aktivnosti s EU izvorima financiranja kao i olakšati provedba regulative. Također, kroz aktivnosti MIEE promovirat će se i mjere vezane za povećanje energetske učink</w:t>
            </w:r>
            <w:r w:rsidR="00E3351E" w:rsidRPr="00361664">
              <w:rPr>
                <w:rFonts w:asciiTheme="minorHAnsi" w:hAnsiTheme="minorHAnsi" w:cstheme="minorHAnsi"/>
                <w:sz w:val="20"/>
                <w:szCs w:val="24"/>
                <w:lang w:val="hr-HR"/>
              </w:rPr>
              <w:t>ovitosti u industriji I.2</w:t>
            </w:r>
            <w:r w:rsidRPr="00361664">
              <w:rPr>
                <w:rFonts w:asciiTheme="minorHAnsi" w:hAnsiTheme="minorHAnsi" w:cstheme="minorHAnsi"/>
                <w:sz w:val="20"/>
                <w:szCs w:val="24"/>
                <w:lang w:val="hr-HR"/>
              </w:rPr>
              <w:t xml:space="preserve"> i ostali projekti povećanja energetsk</w:t>
            </w:r>
            <w:r w:rsidR="003343A1" w:rsidRPr="00361664">
              <w:rPr>
                <w:rFonts w:asciiTheme="minorHAnsi" w:hAnsiTheme="minorHAnsi" w:cstheme="minorHAnsi"/>
                <w:sz w:val="20"/>
                <w:szCs w:val="24"/>
                <w:lang w:val="hr-HR"/>
              </w:rPr>
              <w:t>e učinkovitos</w:t>
            </w:r>
            <w:r w:rsidR="00411708" w:rsidRPr="00361664">
              <w:rPr>
                <w:rFonts w:asciiTheme="minorHAnsi" w:hAnsiTheme="minorHAnsi" w:cstheme="minorHAnsi"/>
                <w:sz w:val="20"/>
                <w:szCs w:val="24"/>
                <w:lang w:val="hr-HR"/>
              </w:rPr>
              <w:t>ti u gospodarstvu i komercijalnim</w:t>
            </w:r>
            <w:r w:rsidR="003343A1" w:rsidRPr="00361664">
              <w:rPr>
                <w:rFonts w:asciiTheme="minorHAnsi" w:hAnsiTheme="minorHAnsi" w:cstheme="minorHAnsi"/>
                <w:sz w:val="20"/>
                <w:szCs w:val="24"/>
                <w:lang w:val="hr-HR"/>
              </w:rPr>
              <w:t xml:space="preserve"> zgrada</w:t>
            </w:r>
            <w:r w:rsidR="00411708" w:rsidRPr="00361664">
              <w:rPr>
                <w:rFonts w:asciiTheme="minorHAnsi" w:hAnsiTheme="minorHAnsi" w:cstheme="minorHAnsi"/>
                <w:sz w:val="20"/>
                <w:szCs w:val="24"/>
                <w:lang w:val="hr-HR"/>
              </w:rPr>
              <w:t>ma</w:t>
            </w:r>
            <w:r w:rsidR="003343A1" w:rsidRPr="00361664">
              <w:rPr>
                <w:rFonts w:asciiTheme="minorHAnsi" w:hAnsiTheme="minorHAnsi" w:cstheme="minorHAnsi"/>
                <w:sz w:val="20"/>
                <w:szCs w:val="24"/>
                <w:lang w:val="hr-HR"/>
              </w:rPr>
              <w:t>.</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Ciljna neposredna potrošnja</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Potrošnja svih vrsta energije u industriji i komercijalnom sektoru</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Ciljna skupina</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Gospodarski subjekti </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Regionalna primjena</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Nacionalno</w:t>
            </w:r>
          </w:p>
        </w:tc>
      </w:tr>
      <w:tr w:rsidR="00256570" w:rsidRPr="00361664" w:rsidTr="004B187E">
        <w:trPr>
          <w:trHeight w:val="20"/>
        </w:trPr>
        <w:tc>
          <w:tcPr>
            <w:tcW w:w="681" w:type="pct"/>
            <w:vMerge w:val="restar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Informacije o  provedbi</w:t>
            </w: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Popis i opis aktivnosti za provođenje mjere </w:t>
            </w:r>
          </w:p>
        </w:tc>
        <w:tc>
          <w:tcPr>
            <w:tcW w:w="3511" w:type="pct"/>
            <w:vAlign w:val="center"/>
          </w:tcPr>
          <w:p w:rsidR="00256570" w:rsidRPr="00361664" w:rsidRDefault="00256570" w:rsidP="00651BCA">
            <w:pPr>
              <w:pStyle w:val="Tabletext"/>
              <w:tabs>
                <w:tab w:val="left" w:pos="244"/>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Ključni elementi MIEE su: veza prema gospodarskim subjektima preko postojećih struktura HGK, uspostava popisa stručnjaka mjerodavnih za područje energetske učinkovitosti u komercijalnom sektoru, prijedlog pilot projekata, promovir</w:t>
            </w:r>
            <w:r w:rsidR="003343A1" w:rsidRPr="00361664">
              <w:rPr>
                <w:rFonts w:asciiTheme="minorHAnsi" w:hAnsiTheme="minorHAnsi" w:cstheme="minorHAnsi"/>
                <w:sz w:val="20"/>
                <w:szCs w:val="24"/>
                <w:lang w:val="hr-HR"/>
              </w:rPr>
              <w:t>anje projekata najbolje prakse te</w:t>
            </w:r>
            <w:r w:rsidRPr="00361664">
              <w:rPr>
                <w:rFonts w:asciiTheme="minorHAnsi" w:hAnsiTheme="minorHAnsi" w:cstheme="minorHAnsi"/>
                <w:sz w:val="20"/>
                <w:szCs w:val="24"/>
                <w:lang w:val="hr-HR"/>
              </w:rPr>
              <w:t xml:space="preserve"> trening i obrazovanje. Provedba svih navedenih aktivnosti usmjeravat će se na sredstva dostupna u Operativnom programu Konkurentnost i kohezija 2014. - 2020. (OPKK). </w:t>
            </w:r>
          </w:p>
          <w:p w:rsidR="00256570" w:rsidRPr="00361664" w:rsidRDefault="00256570" w:rsidP="00651BCA">
            <w:pPr>
              <w:pStyle w:val="Tabletext"/>
              <w:tabs>
                <w:tab w:val="left" w:pos="244"/>
              </w:tabs>
              <w:spacing w:before="0" w:after="0" w:line="240" w:lineRule="auto"/>
              <w:rPr>
                <w:rFonts w:asciiTheme="minorHAnsi" w:hAnsiTheme="minorHAnsi" w:cstheme="minorHAnsi"/>
                <w:sz w:val="20"/>
                <w:szCs w:val="24"/>
                <w:lang w:val="hr-HR"/>
              </w:rPr>
            </w:pPr>
          </w:p>
          <w:p w:rsidR="00256570" w:rsidRPr="00361664" w:rsidRDefault="00DF48C4" w:rsidP="00651BCA">
            <w:pPr>
              <w:pStyle w:val="Tabletext"/>
              <w:tabs>
                <w:tab w:val="left" w:pos="244"/>
              </w:tabs>
              <w:spacing w:before="0" w:after="0" w:line="240" w:lineRule="auto"/>
              <w:rPr>
                <w:rFonts w:asciiTheme="minorHAnsi" w:hAnsiTheme="minorHAnsi" w:cstheme="minorHAnsi"/>
                <w:sz w:val="20"/>
                <w:szCs w:val="24"/>
                <w:lang w:val="hr-HR"/>
              </w:rPr>
            </w:pPr>
            <w:r>
              <w:rPr>
                <w:rFonts w:asciiTheme="minorHAnsi" w:hAnsiTheme="minorHAnsi" w:cstheme="minorHAnsi"/>
                <w:sz w:val="20"/>
                <w:szCs w:val="24"/>
                <w:lang w:val="hr-HR"/>
              </w:rPr>
              <w:t>A</w:t>
            </w:r>
            <w:r w:rsidR="00256570" w:rsidRPr="00361664">
              <w:rPr>
                <w:rFonts w:asciiTheme="minorHAnsi" w:hAnsiTheme="minorHAnsi" w:cstheme="minorHAnsi"/>
                <w:sz w:val="20"/>
                <w:szCs w:val="24"/>
                <w:lang w:val="hr-HR"/>
              </w:rPr>
              <w:t>ktivnosti:</w:t>
            </w:r>
          </w:p>
          <w:p w:rsidR="00256570" w:rsidRPr="00361664" w:rsidRDefault="00256570" w:rsidP="00CD00FF">
            <w:pPr>
              <w:pStyle w:val="Tabletext"/>
              <w:numPr>
                <w:ilvl w:val="0"/>
                <w:numId w:val="21"/>
              </w:numPr>
              <w:tabs>
                <w:tab w:val="left" w:pos="244"/>
                <w:tab w:val="left" w:pos="5040"/>
              </w:tabs>
              <w:spacing w:after="0" w:line="240" w:lineRule="auto"/>
              <w:rPr>
                <w:rFonts w:asciiTheme="minorHAnsi" w:hAnsiTheme="minorHAnsi" w:cstheme="minorHAnsi"/>
                <w:bCs/>
                <w:sz w:val="20"/>
                <w:szCs w:val="24"/>
                <w:lang w:val="hr-HR"/>
              </w:rPr>
            </w:pPr>
            <w:r w:rsidRPr="00361664">
              <w:rPr>
                <w:rFonts w:asciiTheme="minorHAnsi" w:hAnsiTheme="minorHAnsi" w:cstheme="minorHAnsi"/>
                <w:bCs/>
                <w:sz w:val="20"/>
                <w:szCs w:val="24"/>
                <w:lang w:val="hr-HR"/>
              </w:rPr>
              <w:t>koordinacija institucija: ostvarenje suradnje između državnih i strukovnih tijela koja se uključuju u razvoj MIEE</w:t>
            </w:r>
          </w:p>
          <w:p w:rsidR="00256570" w:rsidRPr="00361664" w:rsidRDefault="00256570" w:rsidP="00CD00FF">
            <w:pPr>
              <w:pStyle w:val="Tabletext"/>
              <w:numPr>
                <w:ilvl w:val="0"/>
                <w:numId w:val="21"/>
              </w:numPr>
              <w:tabs>
                <w:tab w:val="left" w:pos="244"/>
                <w:tab w:val="left" w:pos="5040"/>
              </w:tabs>
              <w:spacing w:after="0" w:line="240" w:lineRule="auto"/>
              <w:rPr>
                <w:rFonts w:asciiTheme="minorHAnsi" w:hAnsiTheme="minorHAnsi" w:cstheme="minorHAnsi"/>
                <w:bCs/>
                <w:sz w:val="20"/>
                <w:szCs w:val="24"/>
                <w:lang w:val="hr-HR"/>
              </w:rPr>
            </w:pPr>
            <w:r w:rsidRPr="00361664">
              <w:rPr>
                <w:rFonts w:asciiTheme="minorHAnsi" w:hAnsiTheme="minorHAnsi" w:cstheme="minorHAnsi"/>
                <w:bCs/>
                <w:sz w:val="20"/>
                <w:szCs w:val="24"/>
                <w:lang w:val="hr-HR"/>
              </w:rPr>
              <w:t>raz</w:t>
            </w:r>
            <w:r w:rsidR="00756C66" w:rsidRPr="00361664">
              <w:rPr>
                <w:rFonts w:asciiTheme="minorHAnsi" w:hAnsiTheme="minorHAnsi" w:cstheme="minorHAnsi"/>
                <w:bCs/>
                <w:sz w:val="20"/>
                <w:szCs w:val="24"/>
                <w:lang w:val="hr-HR"/>
              </w:rPr>
              <w:t>rada alata: SGE</w:t>
            </w:r>
            <w:r w:rsidRPr="00361664">
              <w:rPr>
                <w:rFonts w:asciiTheme="minorHAnsi" w:hAnsiTheme="minorHAnsi" w:cstheme="minorHAnsi"/>
                <w:bCs/>
                <w:sz w:val="20"/>
                <w:szCs w:val="24"/>
                <w:lang w:val="hr-HR"/>
              </w:rPr>
              <w:t xml:space="preserve">, energetski pregledi, demo projekti </w:t>
            </w:r>
          </w:p>
          <w:p w:rsidR="00256570" w:rsidRPr="00361664" w:rsidRDefault="00256570" w:rsidP="00CD00FF">
            <w:pPr>
              <w:pStyle w:val="Tabletext"/>
              <w:numPr>
                <w:ilvl w:val="0"/>
                <w:numId w:val="21"/>
              </w:numPr>
              <w:tabs>
                <w:tab w:val="left" w:pos="244"/>
                <w:tab w:val="left" w:pos="5040"/>
              </w:tabs>
              <w:spacing w:after="0" w:line="240" w:lineRule="auto"/>
              <w:rPr>
                <w:rFonts w:asciiTheme="minorHAnsi" w:hAnsiTheme="minorHAnsi" w:cstheme="minorHAnsi"/>
                <w:bCs/>
                <w:sz w:val="20"/>
                <w:szCs w:val="24"/>
                <w:lang w:val="hr-HR"/>
              </w:rPr>
            </w:pPr>
            <w:r w:rsidRPr="00361664">
              <w:rPr>
                <w:rFonts w:asciiTheme="minorHAnsi" w:hAnsiTheme="minorHAnsi" w:cstheme="minorHAnsi"/>
                <w:bCs/>
                <w:sz w:val="20"/>
                <w:szCs w:val="24"/>
                <w:lang w:val="hr-HR"/>
              </w:rPr>
              <w:t>određivanje financija: Razrada aspekata financiranja, raz</w:t>
            </w:r>
            <w:r w:rsidR="00D76DBE" w:rsidRPr="00361664">
              <w:rPr>
                <w:rFonts w:asciiTheme="minorHAnsi" w:hAnsiTheme="minorHAnsi" w:cstheme="minorHAnsi"/>
                <w:bCs/>
                <w:sz w:val="20"/>
                <w:szCs w:val="24"/>
                <w:lang w:val="hr-HR"/>
              </w:rPr>
              <w:t>matranje mogućih baza</w:t>
            </w:r>
            <w:r w:rsidRPr="00361664">
              <w:rPr>
                <w:rFonts w:asciiTheme="minorHAnsi" w:hAnsiTheme="minorHAnsi" w:cstheme="minorHAnsi"/>
                <w:bCs/>
                <w:sz w:val="20"/>
                <w:szCs w:val="24"/>
                <w:lang w:val="hr-HR"/>
              </w:rPr>
              <w:t xml:space="preserve"> projekata, razrada moguće primjene ESCO principa i OPKK u industriji </w:t>
            </w:r>
          </w:p>
          <w:p w:rsidR="00256570" w:rsidRPr="00361664" w:rsidRDefault="00256570" w:rsidP="00CD00FF">
            <w:pPr>
              <w:pStyle w:val="Tabletext"/>
              <w:numPr>
                <w:ilvl w:val="0"/>
                <w:numId w:val="21"/>
              </w:numPr>
              <w:tabs>
                <w:tab w:val="left" w:pos="244"/>
                <w:tab w:val="left" w:pos="5040"/>
              </w:tabs>
              <w:spacing w:after="0" w:line="240" w:lineRule="auto"/>
              <w:rPr>
                <w:rFonts w:asciiTheme="minorHAnsi" w:hAnsiTheme="minorHAnsi" w:cstheme="minorHAnsi"/>
                <w:bCs/>
                <w:sz w:val="20"/>
                <w:szCs w:val="24"/>
                <w:lang w:val="hr-HR"/>
              </w:rPr>
            </w:pPr>
            <w:r w:rsidRPr="00361664">
              <w:rPr>
                <w:rFonts w:asciiTheme="minorHAnsi" w:hAnsiTheme="minorHAnsi" w:cstheme="minorHAnsi"/>
                <w:bCs/>
                <w:sz w:val="20"/>
                <w:szCs w:val="24"/>
                <w:lang w:val="hr-HR"/>
              </w:rPr>
              <w:t xml:space="preserve">promoviranje mjera vezanih za </w:t>
            </w:r>
            <w:r w:rsidRPr="00361664">
              <w:rPr>
                <w:rFonts w:asciiTheme="minorHAnsi" w:hAnsiTheme="minorHAnsi" w:cstheme="minorHAnsi"/>
                <w:sz w:val="20"/>
                <w:szCs w:val="24"/>
                <w:lang w:val="hr-HR"/>
              </w:rPr>
              <w:t>povećanje energetske učinko</w:t>
            </w:r>
            <w:r w:rsidR="00E3351E" w:rsidRPr="00361664">
              <w:rPr>
                <w:rFonts w:asciiTheme="minorHAnsi" w:hAnsiTheme="minorHAnsi" w:cstheme="minorHAnsi"/>
                <w:sz w:val="20"/>
                <w:szCs w:val="24"/>
                <w:lang w:val="hr-HR"/>
              </w:rPr>
              <w:t xml:space="preserve">vitosti u industriji I.2 </w:t>
            </w:r>
            <w:r w:rsidR="00867917" w:rsidRPr="00361664">
              <w:rPr>
                <w:rFonts w:asciiTheme="minorHAnsi" w:hAnsiTheme="minorHAnsi" w:cstheme="minorHAnsi"/>
                <w:sz w:val="20"/>
                <w:szCs w:val="24"/>
                <w:lang w:val="hr-HR"/>
              </w:rPr>
              <w:t>i u turizmu i trgovini B.4</w:t>
            </w:r>
          </w:p>
          <w:p w:rsidR="00867917" w:rsidRPr="00361664" w:rsidRDefault="00867917" w:rsidP="00867917">
            <w:pPr>
              <w:pStyle w:val="Tabletext"/>
              <w:numPr>
                <w:ilvl w:val="0"/>
                <w:numId w:val="21"/>
              </w:numPr>
              <w:tabs>
                <w:tab w:val="left" w:pos="244"/>
                <w:tab w:val="left" w:pos="5040"/>
              </w:tabs>
              <w:spacing w:after="0" w:line="240" w:lineRule="auto"/>
              <w:rPr>
                <w:rFonts w:asciiTheme="minorHAnsi" w:hAnsiTheme="minorHAnsi" w:cstheme="minorHAnsi"/>
                <w:bCs/>
                <w:sz w:val="20"/>
                <w:szCs w:val="24"/>
                <w:lang w:val="hr-HR"/>
              </w:rPr>
            </w:pPr>
            <w:r w:rsidRPr="00361664">
              <w:rPr>
                <w:rFonts w:asciiTheme="minorHAnsi" w:hAnsiTheme="minorHAnsi" w:cstheme="minorHAnsi"/>
                <w:bCs/>
                <w:sz w:val="20"/>
                <w:szCs w:val="24"/>
                <w:lang w:val="hr-HR"/>
              </w:rPr>
              <w:t>promocija primjera najbolje prakse i poticanje izvrsnosti: organiziranje prikupljanja prijava i organizacija dodjela nagrada za tvrtke koje su provele uspješne projekte u području energetske učinkovitosti i obnovljivih izvora energije</w:t>
            </w:r>
          </w:p>
          <w:p w:rsidR="00256570" w:rsidRPr="00361664" w:rsidRDefault="00256570" w:rsidP="00867917">
            <w:pPr>
              <w:pStyle w:val="Tabletext"/>
              <w:numPr>
                <w:ilvl w:val="0"/>
                <w:numId w:val="21"/>
              </w:numPr>
              <w:tabs>
                <w:tab w:val="left" w:pos="244"/>
                <w:tab w:val="left" w:pos="5040"/>
              </w:tabs>
              <w:spacing w:before="0" w:after="0" w:line="240" w:lineRule="auto"/>
              <w:rPr>
                <w:rFonts w:asciiTheme="minorHAnsi" w:hAnsiTheme="minorHAnsi" w:cstheme="minorHAnsi"/>
                <w:bCs/>
                <w:sz w:val="20"/>
                <w:szCs w:val="24"/>
                <w:lang w:val="hr-HR"/>
              </w:rPr>
            </w:pPr>
            <w:r w:rsidRPr="00361664">
              <w:rPr>
                <w:rFonts w:asciiTheme="minorHAnsi" w:hAnsiTheme="minorHAnsi" w:cstheme="minorHAnsi"/>
                <w:bCs/>
                <w:sz w:val="20"/>
                <w:szCs w:val="24"/>
                <w:lang w:val="hr-HR"/>
              </w:rPr>
              <w:t>informiranje i edukacija gospodarskih subjekata</w:t>
            </w:r>
            <w:r w:rsidR="00867917" w:rsidRPr="00361664">
              <w:rPr>
                <w:rFonts w:asciiTheme="minorHAnsi" w:hAnsiTheme="minorHAnsi" w:cstheme="minorHAnsi"/>
                <w:bCs/>
                <w:sz w:val="20"/>
                <w:szCs w:val="24"/>
                <w:lang w:val="hr-HR"/>
              </w:rPr>
              <w:t xml:space="preserve"> te izrada priručnika: edukacija i treninzi na više razina – sektorski; vodstvo tvrtki; zaposlenici zaduženi za pripremu, razvoj i provedbu projekata</w:t>
            </w:r>
          </w:p>
          <w:p w:rsidR="00256570" w:rsidRPr="00361664" w:rsidRDefault="00256570" w:rsidP="00651BCA">
            <w:pPr>
              <w:pStyle w:val="Tabletext"/>
              <w:tabs>
                <w:tab w:val="left" w:pos="244"/>
                <w:tab w:val="left" w:pos="5040"/>
              </w:tabs>
              <w:spacing w:before="0" w:after="0" w:line="240" w:lineRule="auto"/>
              <w:ind w:left="1440"/>
              <w:rPr>
                <w:rFonts w:asciiTheme="minorHAnsi" w:hAnsiTheme="minorHAnsi" w:cstheme="minorHAnsi"/>
                <w:bCs/>
                <w:sz w:val="20"/>
                <w:szCs w:val="24"/>
                <w:lang w:val="hr-HR"/>
              </w:rPr>
            </w:pPr>
          </w:p>
          <w:p w:rsidR="00256570" w:rsidRPr="00361664" w:rsidRDefault="00256570" w:rsidP="00651BCA">
            <w:pPr>
              <w:pStyle w:val="Tabletext"/>
              <w:tabs>
                <w:tab w:val="left" w:pos="244"/>
              </w:tabs>
              <w:spacing w:before="0" w:after="0" w:line="240" w:lineRule="auto"/>
              <w:rPr>
                <w:rFonts w:asciiTheme="minorHAnsi" w:hAnsiTheme="minorHAnsi" w:cstheme="minorHAnsi"/>
                <w:sz w:val="20"/>
                <w:szCs w:val="24"/>
                <w:u w:val="single"/>
                <w:lang w:val="hr-HR"/>
              </w:rPr>
            </w:pPr>
            <w:r w:rsidRPr="00361664">
              <w:rPr>
                <w:rFonts w:asciiTheme="minorHAnsi" w:hAnsiTheme="minorHAnsi" w:cstheme="minorHAnsi"/>
                <w:bCs/>
                <w:sz w:val="20"/>
                <w:szCs w:val="24"/>
                <w:lang w:val="hr-HR"/>
              </w:rPr>
              <w:t>Izvršavanje plana i praćenje provedbe na godišnjoj razini u smislu utrošenih sredstava i ostvarenih ušteda energije i emisija CO</w:t>
            </w:r>
            <w:r w:rsidRPr="00361664">
              <w:rPr>
                <w:rFonts w:asciiTheme="minorHAnsi" w:hAnsiTheme="minorHAnsi" w:cstheme="minorHAnsi"/>
                <w:bCs/>
                <w:sz w:val="20"/>
                <w:szCs w:val="24"/>
                <w:vertAlign w:val="subscript"/>
                <w:lang w:val="hr-HR"/>
              </w:rPr>
              <w:t xml:space="preserve">2 </w:t>
            </w:r>
            <w:r w:rsidRPr="00361664">
              <w:rPr>
                <w:rFonts w:asciiTheme="minorHAnsi" w:hAnsiTheme="minorHAnsi" w:cstheme="minorHAnsi"/>
                <w:bCs/>
                <w:sz w:val="20"/>
                <w:szCs w:val="24"/>
                <w:lang w:val="hr-HR"/>
              </w:rPr>
              <w:t>radi NKT.</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Financijska sredstva i izvori financiranja</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Izvor financiranja: aktivnosti rada MIEE: proračun HGK i NKT</w:t>
            </w:r>
          </w:p>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Potencijalni izvor sufinanciranja mjere:  fondovi EU, Program OPKK  za vezan</w:t>
            </w:r>
            <w:r w:rsidR="00E3351E" w:rsidRPr="00361664">
              <w:rPr>
                <w:rFonts w:asciiTheme="minorHAnsi" w:hAnsiTheme="minorHAnsi" w:cstheme="minorHAnsi"/>
                <w:sz w:val="20"/>
                <w:szCs w:val="24"/>
                <w:lang w:val="hr-HR"/>
              </w:rPr>
              <w:t>e mjere (kanaliziranje mjere I.2 i projekte</w:t>
            </w:r>
            <w:r w:rsidRPr="00361664">
              <w:rPr>
                <w:rFonts w:asciiTheme="minorHAnsi" w:hAnsiTheme="minorHAnsi" w:cstheme="minorHAnsi"/>
                <w:sz w:val="20"/>
                <w:szCs w:val="24"/>
                <w:lang w:val="hr-HR"/>
              </w:rPr>
              <w:t xml:space="preserve"> energetske učinkovitosti općenito u gospodarstvu)</w:t>
            </w:r>
          </w:p>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Financiranje promotivnih i informativnih materijala</w:t>
            </w:r>
            <w:r w:rsidR="003343A1" w:rsidRPr="00361664">
              <w:rPr>
                <w:rFonts w:asciiTheme="minorHAnsi" w:hAnsiTheme="minorHAnsi" w:cstheme="minorHAnsi"/>
                <w:sz w:val="20"/>
                <w:szCs w:val="24"/>
                <w:lang w:val="hr-HR"/>
              </w:rPr>
              <w:t xml:space="preserve"> te radionica</w:t>
            </w:r>
            <w:r w:rsidRPr="00361664">
              <w:rPr>
                <w:rFonts w:asciiTheme="minorHAnsi" w:hAnsiTheme="minorHAnsi" w:cstheme="minorHAnsi"/>
                <w:sz w:val="20"/>
                <w:szCs w:val="24"/>
                <w:lang w:val="hr-HR"/>
              </w:rPr>
              <w:t xml:space="preserve">: </w:t>
            </w:r>
            <w:r w:rsidR="00540715" w:rsidRPr="00361664">
              <w:rPr>
                <w:rFonts w:asciiTheme="minorHAnsi" w:hAnsiTheme="minorHAnsi"/>
                <w:sz w:val="20"/>
                <w:lang w:val="hr-HR"/>
              </w:rPr>
              <w:t>FZOEU -financiranje sredstvima stečenim od prodaje emisijskih jedinica putem dražbe na sustavu trgovanja emisijskim jedinicama EU-a temeljem Zakona o zaštiti zraka (</w:t>
            </w:r>
            <w:r w:rsidR="00C44613" w:rsidRPr="00361664">
              <w:rPr>
                <w:rFonts w:asciiTheme="minorHAnsi" w:hAnsiTheme="minorHAnsi"/>
                <w:sz w:val="20"/>
                <w:lang w:val="hr-HR"/>
              </w:rPr>
              <w:t>NN 130/11, 47/14, 61/17</w:t>
            </w:r>
            <w:r w:rsidR="00540715" w:rsidRPr="00361664">
              <w:rPr>
                <w:rFonts w:asciiTheme="minorHAnsi" w:hAnsiTheme="minorHAnsi"/>
                <w:sz w:val="20"/>
                <w:lang w:val="hr-HR"/>
              </w:rPr>
              <w:t xml:space="preserve">), </w:t>
            </w:r>
            <w:r w:rsidR="000D45EB" w:rsidRPr="00361664">
              <w:rPr>
                <w:rFonts w:asciiTheme="minorHAnsi" w:hAnsiTheme="minorHAnsi" w:cstheme="minorHAnsi"/>
                <w:sz w:val="20"/>
                <w:szCs w:val="24"/>
                <w:lang w:val="hr-HR"/>
              </w:rPr>
              <w:t>do kraja 2019. raspolož</w:t>
            </w:r>
            <w:r w:rsidR="00F8315E" w:rsidRPr="00361664">
              <w:rPr>
                <w:rFonts w:asciiTheme="minorHAnsi" w:hAnsiTheme="minorHAnsi" w:cstheme="minorHAnsi"/>
                <w:sz w:val="20"/>
                <w:szCs w:val="24"/>
                <w:lang w:val="hr-HR"/>
              </w:rPr>
              <w:t>ivo 3</w:t>
            </w:r>
            <w:r w:rsidR="000D45EB" w:rsidRPr="00361664">
              <w:rPr>
                <w:rFonts w:asciiTheme="minorHAnsi" w:hAnsiTheme="minorHAnsi" w:cstheme="minorHAnsi"/>
                <w:sz w:val="20"/>
                <w:szCs w:val="24"/>
                <w:lang w:val="hr-HR"/>
              </w:rPr>
              <w:t>0.000,00 kn</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Izvršno  tijelo</w:t>
            </w:r>
          </w:p>
        </w:tc>
        <w:tc>
          <w:tcPr>
            <w:tcW w:w="3511" w:type="pct"/>
            <w:shd w:val="clear" w:color="auto" w:fill="auto"/>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bCs/>
                <w:sz w:val="20"/>
                <w:szCs w:val="24"/>
                <w:lang w:val="hr-HR"/>
              </w:rPr>
              <w:t xml:space="preserve">HGK – provedba u suradnji s NKT, </w:t>
            </w:r>
            <w:r w:rsidR="00D76F3C" w:rsidRPr="00361664">
              <w:rPr>
                <w:rFonts w:asciiTheme="minorHAnsi" w:hAnsiTheme="minorHAnsi" w:cstheme="minorHAnsi"/>
                <w:bCs/>
                <w:sz w:val="20"/>
                <w:szCs w:val="24"/>
                <w:lang w:val="hr-HR"/>
              </w:rPr>
              <w:t>MZOE</w:t>
            </w:r>
            <w:r w:rsidRPr="00361664">
              <w:rPr>
                <w:rFonts w:asciiTheme="minorHAnsi" w:hAnsiTheme="minorHAnsi" w:cstheme="minorHAnsi"/>
                <w:bCs/>
                <w:sz w:val="20"/>
                <w:szCs w:val="24"/>
                <w:lang w:val="hr-HR"/>
              </w:rPr>
              <w:t xml:space="preserve"> – podrška </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640C0B"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Tijelo za praćenje, mjerenje i verifikaciju ušteda</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NKT </w:t>
            </w:r>
          </w:p>
        </w:tc>
      </w:tr>
      <w:tr w:rsidR="00256570" w:rsidRPr="00361664" w:rsidTr="004B187E">
        <w:trPr>
          <w:trHeight w:val="20"/>
        </w:trPr>
        <w:tc>
          <w:tcPr>
            <w:tcW w:w="681" w:type="pct"/>
            <w:vMerge w:val="restar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color w:val="FF0000"/>
                <w:sz w:val="20"/>
                <w:szCs w:val="24"/>
                <w:lang w:val="hr-HR"/>
              </w:rPr>
            </w:pPr>
            <w:r w:rsidRPr="00361664">
              <w:rPr>
                <w:rFonts w:asciiTheme="minorHAnsi" w:hAnsiTheme="minorHAnsi" w:cstheme="minorHAnsi"/>
                <w:sz w:val="20"/>
                <w:szCs w:val="24"/>
                <w:lang w:val="hr-HR"/>
              </w:rPr>
              <w:t>Uštede energije</w:t>
            </w:r>
          </w:p>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E3351E">
            <w:pPr>
              <w:pStyle w:val="Tabletext"/>
              <w:tabs>
                <w:tab w:val="left" w:pos="1440"/>
                <w:tab w:val="left" w:pos="5040"/>
              </w:tabs>
              <w:spacing w:before="0" w:after="0" w:line="240" w:lineRule="auto"/>
              <w:jc w:val="left"/>
              <w:rPr>
                <w:rFonts w:asciiTheme="minorHAnsi" w:hAnsiTheme="minorHAnsi" w:cstheme="minorHAnsi"/>
                <w:sz w:val="20"/>
                <w:szCs w:val="24"/>
                <w:lang w:val="hr-HR"/>
              </w:rPr>
            </w:pPr>
            <w:r w:rsidRPr="00361664">
              <w:rPr>
                <w:rFonts w:asciiTheme="minorHAnsi" w:hAnsiTheme="minorHAnsi" w:cstheme="minorHAnsi"/>
                <w:sz w:val="20"/>
                <w:szCs w:val="24"/>
                <w:lang w:val="hr-HR"/>
              </w:rPr>
              <w:t>Metoda praćenja / mjerenja ušteda energije</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Učinak mjere pratit će se kroz Sustav za mjerenje i verifikaciju ušteda energije kroz pojedinačne projekte ili pomoću provedenih energetskih pregleda. </w:t>
            </w:r>
          </w:p>
        </w:tc>
      </w:tr>
      <w:tr w:rsidR="00A9135D" w:rsidRPr="00361664" w:rsidTr="004B187E">
        <w:trPr>
          <w:trHeight w:val="20"/>
        </w:trPr>
        <w:tc>
          <w:tcPr>
            <w:tcW w:w="681" w:type="pct"/>
            <w:vMerge/>
            <w:vAlign w:val="center"/>
          </w:tcPr>
          <w:p w:rsidR="00A9135D" w:rsidRPr="00361664" w:rsidRDefault="00A9135D"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A9135D" w:rsidRPr="00361664" w:rsidRDefault="00A9135D" w:rsidP="00E3351E">
            <w:pPr>
              <w:pStyle w:val="Tabletext"/>
              <w:tabs>
                <w:tab w:val="left" w:pos="1440"/>
                <w:tab w:val="left" w:pos="5040"/>
              </w:tabs>
              <w:spacing w:before="0" w:after="0" w:line="240" w:lineRule="auto"/>
              <w:jc w:val="left"/>
              <w:rPr>
                <w:rFonts w:asciiTheme="minorHAnsi" w:hAnsiTheme="minorHAnsi" w:cstheme="minorHAnsi"/>
                <w:sz w:val="20"/>
                <w:szCs w:val="24"/>
                <w:lang w:val="hr-HR"/>
              </w:rPr>
            </w:pPr>
            <w:r w:rsidRPr="00361664">
              <w:rPr>
                <w:rFonts w:asciiTheme="minorHAnsi" w:hAnsiTheme="minorHAnsi"/>
                <w:sz w:val="20"/>
                <w:szCs w:val="22"/>
                <w:lang w:val="hr-HR"/>
              </w:rPr>
              <w:t xml:space="preserve">Očekivane uštede energije </w:t>
            </w:r>
            <w:r w:rsidR="00274B27" w:rsidRPr="00361664">
              <w:rPr>
                <w:rFonts w:asciiTheme="minorHAnsi" w:hAnsiTheme="minorHAnsi"/>
                <w:sz w:val="20"/>
                <w:szCs w:val="22"/>
                <w:lang w:val="hr-HR"/>
              </w:rPr>
              <w:t>u</w:t>
            </w:r>
            <w:r w:rsidRPr="00361664">
              <w:rPr>
                <w:rFonts w:asciiTheme="minorHAnsi" w:hAnsiTheme="minorHAnsi"/>
                <w:sz w:val="20"/>
                <w:szCs w:val="22"/>
                <w:lang w:val="hr-HR"/>
              </w:rPr>
              <w:t>do kraja 2019.</w:t>
            </w:r>
          </w:p>
        </w:tc>
        <w:tc>
          <w:tcPr>
            <w:tcW w:w="3511" w:type="pct"/>
            <w:vAlign w:val="center"/>
          </w:tcPr>
          <w:p w:rsidR="00A9135D" w:rsidRPr="00361664" w:rsidRDefault="00A9135D"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Nije procijenjeno</w:t>
            </w:r>
          </w:p>
        </w:tc>
      </w:tr>
      <w:tr w:rsidR="00A9135D" w:rsidRPr="00361664" w:rsidTr="004B187E">
        <w:trPr>
          <w:trHeight w:val="20"/>
        </w:trPr>
        <w:tc>
          <w:tcPr>
            <w:tcW w:w="681" w:type="pct"/>
            <w:vMerge/>
            <w:vAlign w:val="center"/>
          </w:tcPr>
          <w:p w:rsidR="00A9135D" w:rsidRPr="00361664" w:rsidRDefault="00A9135D"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A9135D" w:rsidRPr="00361664" w:rsidRDefault="00A9135D" w:rsidP="00E3351E">
            <w:pPr>
              <w:pStyle w:val="Tabletext"/>
              <w:tabs>
                <w:tab w:val="left" w:pos="1440"/>
                <w:tab w:val="left" w:pos="5040"/>
              </w:tabs>
              <w:spacing w:before="0" w:after="0" w:line="240" w:lineRule="auto"/>
              <w:jc w:val="left"/>
              <w:rPr>
                <w:rFonts w:asciiTheme="minorHAnsi" w:hAnsiTheme="minorHAnsi" w:cstheme="minorHAnsi"/>
                <w:sz w:val="20"/>
                <w:szCs w:val="24"/>
                <w:lang w:val="hr-HR"/>
              </w:rPr>
            </w:pPr>
            <w:r w:rsidRPr="00361664">
              <w:rPr>
                <w:rFonts w:asciiTheme="minorHAnsi" w:hAnsiTheme="minorHAnsi"/>
                <w:sz w:val="20"/>
                <w:szCs w:val="22"/>
                <w:lang w:val="hr-HR"/>
              </w:rPr>
              <w:t xml:space="preserve">Očekivane uštede energije </w:t>
            </w:r>
            <w:r w:rsidR="00274B27" w:rsidRPr="00361664">
              <w:rPr>
                <w:rFonts w:asciiTheme="minorHAnsi" w:hAnsiTheme="minorHAnsi"/>
                <w:sz w:val="20"/>
                <w:szCs w:val="22"/>
                <w:lang w:val="hr-HR"/>
              </w:rPr>
              <w:t>u</w:t>
            </w:r>
            <w:r w:rsidRPr="00361664">
              <w:rPr>
                <w:rFonts w:asciiTheme="minorHAnsi" w:hAnsiTheme="minorHAnsi"/>
                <w:sz w:val="20"/>
                <w:szCs w:val="22"/>
                <w:lang w:val="hr-HR"/>
              </w:rPr>
              <w:t>do kraja 2020.</w:t>
            </w:r>
          </w:p>
        </w:tc>
        <w:tc>
          <w:tcPr>
            <w:tcW w:w="3511" w:type="pct"/>
            <w:vAlign w:val="center"/>
          </w:tcPr>
          <w:p w:rsidR="00A9135D" w:rsidRPr="00361664" w:rsidRDefault="00A9135D"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Nije procijenjeno</w:t>
            </w:r>
          </w:p>
        </w:tc>
      </w:tr>
      <w:tr w:rsidR="00274B27" w:rsidRPr="00361664" w:rsidTr="004B187E">
        <w:trPr>
          <w:trHeight w:val="20"/>
        </w:trPr>
        <w:tc>
          <w:tcPr>
            <w:tcW w:w="681" w:type="pct"/>
            <w:vMerge/>
            <w:vAlign w:val="center"/>
          </w:tcPr>
          <w:p w:rsidR="00274B27" w:rsidRPr="00361664" w:rsidRDefault="00274B27"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74B27" w:rsidRPr="00361664" w:rsidRDefault="00274B27"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Pretpostavke</w:t>
            </w:r>
          </w:p>
        </w:tc>
        <w:tc>
          <w:tcPr>
            <w:tcW w:w="3511" w:type="pct"/>
            <w:vAlign w:val="center"/>
          </w:tcPr>
          <w:p w:rsidR="00274B27" w:rsidRPr="00361664" w:rsidRDefault="00274B27"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w:t>
            </w:r>
          </w:p>
        </w:tc>
      </w:tr>
      <w:tr w:rsidR="00256570" w:rsidRPr="00361664" w:rsidTr="004B187E">
        <w:trPr>
          <w:trHeight w:val="20"/>
        </w:trPr>
        <w:tc>
          <w:tcPr>
            <w:tcW w:w="681" w:type="pct"/>
            <w:vMerge/>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p>
        </w:tc>
        <w:tc>
          <w:tcPr>
            <w:tcW w:w="808"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Preklapanja, efekt množenja, sinergija</w:t>
            </w:r>
          </w:p>
        </w:tc>
        <w:tc>
          <w:tcPr>
            <w:tcW w:w="3511" w:type="pct"/>
            <w:vAlign w:val="center"/>
          </w:tcPr>
          <w:p w:rsidR="00256570" w:rsidRPr="00361664" w:rsidRDefault="00256570" w:rsidP="00651BCA">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Kroz ak</w:t>
            </w:r>
            <w:r w:rsidR="003343A1" w:rsidRPr="00361664">
              <w:rPr>
                <w:rFonts w:asciiTheme="minorHAnsi" w:hAnsiTheme="minorHAnsi" w:cstheme="minorHAnsi"/>
                <w:sz w:val="20"/>
                <w:szCs w:val="24"/>
                <w:lang w:val="hr-HR"/>
              </w:rPr>
              <w:t>tivnosti MIEE promovirat će se</w:t>
            </w:r>
            <w:r w:rsidR="00274B27" w:rsidRPr="00361664">
              <w:rPr>
                <w:rFonts w:asciiTheme="minorHAnsi" w:hAnsiTheme="minorHAnsi" w:cstheme="minorHAnsi"/>
                <w:sz w:val="20"/>
                <w:szCs w:val="24"/>
                <w:lang w:val="hr-HR"/>
              </w:rPr>
              <w:t xml:space="preserve">i </w:t>
            </w:r>
            <w:r w:rsidRPr="00361664">
              <w:rPr>
                <w:rFonts w:asciiTheme="minorHAnsi" w:hAnsiTheme="minorHAnsi" w:cstheme="minorHAnsi"/>
                <w:sz w:val="20"/>
                <w:szCs w:val="24"/>
                <w:lang w:val="hr-HR"/>
              </w:rPr>
              <w:t>mjere vezane za povećanje energetske učinkov</w:t>
            </w:r>
            <w:r w:rsidR="00E3351E" w:rsidRPr="00361664">
              <w:rPr>
                <w:rFonts w:asciiTheme="minorHAnsi" w:hAnsiTheme="minorHAnsi" w:cstheme="minorHAnsi"/>
                <w:sz w:val="20"/>
                <w:szCs w:val="24"/>
                <w:lang w:val="hr-HR"/>
              </w:rPr>
              <w:t>itosti u industriji I.2</w:t>
            </w:r>
            <w:r w:rsidR="003343A1" w:rsidRPr="00361664">
              <w:rPr>
                <w:rFonts w:asciiTheme="minorHAnsi" w:hAnsiTheme="minorHAnsi" w:cstheme="minorHAnsi"/>
                <w:sz w:val="20"/>
                <w:szCs w:val="24"/>
                <w:lang w:val="hr-HR"/>
              </w:rPr>
              <w:t xml:space="preserve"> i mjera iz zgradarstva B.4.</w:t>
            </w:r>
          </w:p>
        </w:tc>
      </w:tr>
    </w:tbl>
    <w:p w:rsidR="00F1792A" w:rsidRPr="00361664" w:rsidRDefault="00F1792A" w:rsidP="00651BCA">
      <w:pPr>
        <w:jc w:val="both"/>
      </w:pPr>
    </w:p>
    <w:p w:rsidR="00321EFB" w:rsidRPr="00361664" w:rsidRDefault="00F1792A" w:rsidP="00F1792A">
      <w:r w:rsidRPr="0036166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501"/>
        <w:gridCol w:w="6522"/>
      </w:tblGrid>
      <w:tr w:rsidR="00321EFB" w:rsidRPr="00361664" w:rsidTr="0044608A">
        <w:trPr>
          <w:trHeight w:val="20"/>
        </w:trPr>
        <w:tc>
          <w:tcPr>
            <w:tcW w:w="1489" w:type="pct"/>
            <w:gridSpan w:val="2"/>
            <w:shd w:val="clear" w:color="auto" w:fill="CCFFCC"/>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b/>
                <w:sz w:val="20"/>
                <w:szCs w:val="22"/>
                <w:lang w:val="hr-HR"/>
              </w:rPr>
            </w:pPr>
            <w:r w:rsidRPr="00361664">
              <w:rPr>
                <w:rFonts w:asciiTheme="minorHAnsi" w:hAnsiTheme="minorHAnsi"/>
                <w:b/>
                <w:sz w:val="20"/>
                <w:szCs w:val="22"/>
                <w:lang w:val="hr-HR"/>
              </w:rPr>
              <w:lastRenderedPageBreak/>
              <w:t>Naziv mjere</w:t>
            </w:r>
          </w:p>
        </w:tc>
        <w:tc>
          <w:tcPr>
            <w:tcW w:w="3511" w:type="pct"/>
            <w:shd w:val="clear" w:color="auto" w:fill="CCFFCC"/>
          </w:tcPr>
          <w:p w:rsidR="00321EFB" w:rsidRPr="00361664" w:rsidRDefault="008D3B3F" w:rsidP="0044608A">
            <w:pPr>
              <w:pStyle w:val="Tabletext"/>
              <w:tabs>
                <w:tab w:val="left" w:pos="1440"/>
                <w:tab w:val="left" w:pos="5040"/>
              </w:tabs>
              <w:spacing w:before="0" w:after="0" w:line="240" w:lineRule="auto"/>
              <w:rPr>
                <w:rFonts w:asciiTheme="minorHAnsi" w:hAnsiTheme="minorHAnsi" w:cs="Arial"/>
                <w:b/>
                <w:bCs/>
                <w:iCs/>
                <w:sz w:val="20"/>
                <w:szCs w:val="22"/>
                <w:lang w:val="hr-HR"/>
              </w:rPr>
            </w:pPr>
            <w:r w:rsidRPr="00361664">
              <w:rPr>
                <w:rFonts w:asciiTheme="minorHAnsi" w:hAnsiTheme="minorHAnsi" w:cs="Arial"/>
                <w:b/>
                <w:bCs/>
                <w:iCs/>
                <w:sz w:val="20"/>
                <w:szCs w:val="22"/>
                <w:lang w:val="hr-HR"/>
              </w:rPr>
              <w:t>Povećanje energetske učinkovitosti i korištenja OIE u proizvodnim industrijama</w:t>
            </w:r>
          </w:p>
        </w:tc>
      </w:tr>
      <w:tr w:rsidR="00321EFB" w:rsidRPr="00361664" w:rsidTr="0044608A">
        <w:trPr>
          <w:trHeight w:val="20"/>
        </w:trPr>
        <w:tc>
          <w:tcPr>
            <w:tcW w:w="1489" w:type="pct"/>
            <w:gridSpan w:val="2"/>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Indeks mjere</w:t>
            </w:r>
          </w:p>
        </w:tc>
        <w:tc>
          <w:tcPr>
            <w:tcW w:w="3511" w:type="pct"/>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I.2</w:t>
            </w:r>
          </w:p>
        </w:tc>
      </w:tr>
      <w:tr w:rsidR="00321EFB" w:rsidRPr="00361664" w:rsidTr="0044608A">
        <w:trPr>
          <w:trHeight w:val="20"/>
        </w:trPr>
        <w:tc>
          <w:tcPr>
            <w:tcW w:w="681" w:type="pct"/>
            <w:vMerge w:val="restar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Opis</w:t>
            </w: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Kategorija</w:t>
            </w:r>
          </w:p>
        </w:tc>
        <w:tc>
          <w:tcPr>
            <w:tcW w:w="3511"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Nepovratna sredstva i Financijski instrument</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Vremenski okvir</w:t>
            </w:r>
          </w:p>
        </w:tc>
        <w:tc>
          <w:tcPr>
            <w:tcW w:w="3511"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Početak: 2017.</w:t>
            </w:r>
          </w:p>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Kraj: 2023.</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Cilj / kratak opis</w:t>
            </w:r>
          </w:p>
        </w:tc>
        <w:tc>
          <w:tcPr>
            <w:tcW w:w="3511" w:type="pc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Ostvarenje energetskih ušteda kroz povećanje učinkovitosti korištenja energije u proizvodnim industrijama (omogućujući jednake količine rezultata (proizvodnje) korištenjem manje količine ulazne energije te smanjenje udjela konvencionalnih (fosilnih) goriva u ukupnoj potrošnji energije uvođenjem obnovljivih izvora energije u sektor proizvode industrije.</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Ciljna neposredna potrošnja</w:t>
            </w:r>
          </w:p>
        </w:tc>
        <w:tc>
          <w:tcPr>
            <w:tcW w:w="3511"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Proizvodnja i potrošnja električne energije te proizvodnja toplinske energije u gospodarskim subjektima i industrijskim postrojenjima</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Ciljna skupina</w:t>
            </w:r>
          </w:p>
        </w:tc>
        <w:tc>
          <w:tcPr>
            <w:tcW w:w="3511" w:type="pct"/>
            <w:vAlign w:val="center"/>
          </w:tcPr>
          <w:p w:rsidR="00321EFB" w:rsidRPr="00361664" w:rsidRDefault="00321EFB" w:rsidP="0044608A">
            <w:pPr>
              <w:pStyle w:val="Tabletext"/>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industrija željeza i čelika, </w:t>
            </w:r>
          </w:p>
          <w:p w:rsidR="00321EFB" w:rsidRPr="00361664" w:rsidRDefault="00321EFB" w:rsidP="0044608A">
            <w:pPr>
              <w:pStyle w:val="Tabletext"/>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industrija obojenih metala, </w:t>
            </w:r>
          </w:p>
          <w:p w:rsidR="00321EFB" w:rsidRPr="00361664" w:rsidRDefault="00321EFB" w:rsidP="0044608A">
            <w:pPr>
              <w:pStyle w:val="Tabletext"/>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kemijska industriju, </w:t>
            </w:r>
          </w:p>
          <w:p w:rsidR="00321EFB" w:rsidRPr="00361664" w:rsidRDefault="00321EFB" w:rsidP="0044608A">
            <w:pPr>
              <w:pStyle w:val="Tabletext"/>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industrija stakla, keramike i građevinskog materijala, </w:t>
            </w:r>
          </w:p>
          <w:p w:rsidR="00321EFB" w:rsidRPr="00361664" w:rsidRDefault="00321EFB" w:rsidP="0044608A">
            <w:pPr>
              <w:pStyle w:val="Tabletext"/>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rudarstvo, </w:t>
            </w:r>
          </w:p>
          <w:p w:rsidR="00321EFB" w:rsidRPr="00361664" w:rsidRDefault="00321EFB" w:rsidP="0044608A">
            <w:pPr>
              <w:pStyle w:val="Tabletext"/>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tekstilna industrija, </w:t>
            </w:r>
          </w:p>
          <w:p w:rsidR="00321EFB" w:rsidRPr="00361664" w:rsidRDefault="00321EFB" w:rsidP="0044608A">
            <w:pPr>
              <w:pStyle w:val="Tabletext"/>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kožno-prerađivačka i odjevna industrija, </w:t>
            </w:r>
          </w:p>
          <w:p w:rsidR="00321EFB" w:rsidRPr="00361664" w:rsidRDefault="00FC2211" w:rsidP="0044608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industrija papira i tiskarstvo</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511"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Nacionalno</w:t>
            </w:r>
          </w:p>
        </w:tc>
      </w:tr>
      <w:tr w:rsidR="00321EFB" w:rsidRPr="00361664" w:rsidTr="0044608A">
        <w:trPr>
          <w:trHeight w:val="20"/>
        </w:trPr>
        <w:tc>
          <w:tcPr>
            <w:tcW w:w="681" w:type="pct"/>
            <w:vMerge w:val="restar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Informacije o  provedbi</w:t>
            </w: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 xml:space="preserve">Popis i opis aktivnosti za provođenje mjere </w:t>
            </w:r>
          </w:p>
        </w:tc>
        <w:tc>
          <w:tcPr>
            <w:tcW w:w="3511" w:type="pct"/>
            <w:vAlign w:val="center"/>
          </w:tcPr>
          <w:p w:rsidR="00321EFB" w:rsidRPr="00361664" w:rsidRDefault="00321EFB" w:rsidP="0044608A">
            <w:pPr>
              <w:pStyle w:val="Tabletext"/>
              <w:tabs>
                <w:tab w:val="left" w:pos="244"/>
              </w:tabs>
              <w:spacing w:after="0" w:line="240" w:lineRule="auto"/>
              <w:rPr>
                <w:rFonts w:asciiTheme="minorHAnsi" w:hAnsiTheme="minorHAnsi"/>
                <w:sz w:val="20"/>
                <w:szCs w:val="22"/>
                <w:lang w:val="hr-HR"/>
              </w:rPr>
            </w:pPr>
            <w:r w:rsidRPr="00361664">
              <w:rPr>
                <w:rFonts w:asciiTheme="minorHAnsi" w:hAnsiTheme="minorHAnsi"/>
                <w:sz w:val="20"/>
                <w:szCs w:val="22"/>
                <w:lang w:val="hr-HR"/>
              </w:rPr>
              <w:t>Razvoj infrastrukture za obnovljive izvore energije u industrijskoj proizvodnji, uključujući prelazak s konvencionalnih na alternativne izvore energije (OIE) kao što su: ugrađeni solarni kolektori</w:t>
            </w:r>
            <w:r w:rsidR="00501E68" w:rsidRPr="00361664">
              <w:rPr>
                <w:rFonts w:asciiTheme="minorHAnsi" w:hAnsiTheme="minorHAnsi"/>
                <w:sz w:val="20"/>
                <w:szCs w:val="22"/>
                <w:lang w:val="hr-HR"/>
              </w:rPr>
              <w:t>, toplinske pumpe, visoko učinkovita</w:t>
            </w:r>
            <w:r w:rsidR="00290BA5" w:rsidRPr="00361664">
              <w:rPr>
                <w:rFonts w:asciiTheme="minorHAnsi" w:hAnsiTheme="minorHAnsi"/>
                <w:sz w:val="20"/>
                <w:szCs w:val="22"/>
                <w:lang w:val="hr-HR"/>
              </w:rPr>
              <w:t>kogeneracija, prelazak na uči</w:t>
            </w:r>
            <w:r w:rsidRPr="00361664">
              <w:rPr>
                <w:rFonts w:asciiTheme="minorHAnsi" w:hAnsiTheme="minorHAnsi"/>
                <w:sz w:val="20"/>
                <w:szCs w:val="22"/>
                <w:lang w:val="hr-HR"/>
              </w:rPr>
              <w:t>nkovitija goriva s manjim utjecajem na okoliš</w:t>
            </w:r>
            <w:r w:rsidR="00290BA5" w:rsidRPr="00361664">
              <w:rPr>
                <w:rFonts w:asciiTheme="minorHAnsi" w:hAnsiTheme="minorHAnsi"/>
                <w:sz w:val="20"/>
                <w:szCs w:val="22"/>
                <w:lang w:val="hr-HR"/>
              </w:rPr>
              <w:t xml:space="preserve">. </w:t>
            </w:r>
          </w:p>
          <w:p w:rsidR="00321EFB" w:rsidRPr="00361664" w:rsidRDefault="00321EFB" w:rsidP="0044608A">
            <w:pPr>
              <w:pStyle w:val="Tabletext"/>
              <w:tabs>
                <w:tab w:val="left" w:pos="244"/>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Provedba mjera za povećavanje energetske učinkovitosti u industrijskoj proizvodnji.</w:t>
            </w:r>
          </w:p>
          <w:p w:rsidR="00321EFB" w:rsidRPr="00361664" w:rsidRDefault="00290BA5" w:rsidP="0044608A">
            <w:pPr>
              <w:pStyle w:val="Tabletext"/>
              <w:tabs>
                <w:tab w:val="left" w:pos="244"/>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Provedeni energetski pregled za mala i srednja poduzeća.</w:t>
            </w:r>
          </w:p>
          <w:p w:rsidR="00321EFB" w:rsidRPr="00361664" w:rsidRDefault="00321EFB" w:rsidP="0044608A">
            <w:pPr>
              <w:pStyle w:val="Tabletext"/>
              <w:tabs>
                <w:tab w:val="left" w:pos="244"/>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Izveden glavni projekt razine izvedbeni projekt za energetske troškovne centre za koje se prijavljuje projekt energetske uštede.</w:t>
            </w:r>
          </w:p>
          <w:p w:rsidR="00290BA5" w:rsidRPr="00361664" w:rsidRDefault="00290BA5" w:rsidP="0044608A">
            <w:pPr>
              <w:pStyle w:val="Tabletext"/>
              <w:tabs>
                <w:tab w:val="left" w:pos="244"/>
              </w:tabs>
              <w:spacing w:before="0" w:after="0" w:line="240" w:lineRule="auto"/>
              <w:rPr>
                <w:rFonts w:asciiTheme="minorHAnsi" w:hAnsiTheme="minorHAnsi"/>
                <w:sz w:val="20"/>
                <w:szCs w:val="22"/>
                <w:lang w:val="hr-HR"/>
              </w:rPr>
            </w:pPr>
          </w:p>
          <w:p w:rsidR="00321EFB" w:rsidRPr="00361664" w:rsidRDefault="00290BA5" w:rsidP="00290BA5">
            <w:pPr>
              <w:pStyle w:val="Tabletext"/>
              <w:tabs>
                <w:tab w:val="left" w:pos="244"/>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Dodatno: ovisno o raspoloživosti financijskih sredstava stečenih od prodaje emisijskih jedinica putem dražbe na sustavu trgovanja emisijskim jedinicama EU-a temeljem Zakona o zaštiti zraka (</w:t>
            </w:r>
            <w:r w:rsidR="00C44613" w:rsidRPr="00361664">
              <w:rPr>
                <w:rFonts w:asciiTheme="minorHAnsi" w:hAnsiTheme="minorHAnsi"/>
                <w:sz w:val="20"/>
                <w:szCs w:val="22"/>
                <w:lang w:val="hr-HR"/>
              </w:rPr>
              <w:t>NN 130/11, 47/14, 61/17</w:t>
            </w:r>
            <w:r w:rsidRPr="00361664">
              <w:rPr>
                <w:rFonts w:asciiTheme="minorHAnsi" w:hAnsiTheme="minorHAnsi"/>
                <w:sz w:val="20"/>
                <w:szCs w:val="22"/>
                <w:lang w:val="hr-HR"/>
              </w:rPr>
              <w:t xml:space="preserve">), poticat će se provedba mjera fokusiranih </w:t>
            </w:r>
            <w:r w:rsidR="00C44613" w:rsidRPr="00361664">
              <w:rPr>
                <w:rFonts w:asciiTheme="minorHAnsi" w:hAnsiTheme="minorHAnsi"/>
                <w:sz w:val="20"/>
                <w:szCs w:val="22"/>
                <w:lang w:val="hr-HR"/>
              </w:rPr>
              <w:t>na industrijska poduzeća koja nisu prihvatljivi prijavitelji za sufinanciranje mjera energetske učinkovitosi i obnovljivih izvora energije iz sredstava ERDF-a</w:t>
            </w:r>
            <w:r w:rsidRPr="00361664">
              <w:rPr>
                <w:rFonts w:asciiTheme="minorHAnsi" w:hAnsiTheme="minorHAnsi"/>
                <w:sz w:val="20"/>
                <w:szCs w:val="22"/>
                <w:lang w:val="hr-HR"/>
              </w:rPr>
              <w:t>. Navedene aktivnosti komplementarne su s aktivnostima mjere, ali se razlikuju u izvoru financiranja.  Učinci će se pribrojati uštedama ostvarenim kroz mjeru te će se kroz SMIV razgraničiti učinci ovisno o izvorima financiranja (OPKK i ETS).</w:t>
            </w:r>
          </w:p>
          <w:p w:rsidR="00151DC5" w:rsidRPr="00361664" w:rsidRDefault="00151DC5" w:rsidP="00290BA5">
            <w:pPr>
              <w:pStyle w:val="Tabletext"/>
              <w:tabs>
                <w:tab w:val="left" w:pos="244"/>
              </w:tabs>
              <w:spacing w:before="0" w:after="0" w:line="240" w:lineRule="auto"/>
              <w:rPr>
                <w:rFonts w:asciiTheme="minorHAnsi" w:hAnsiTheme="minorHAnsi"/>
                <w:sz w:val="20"/>
                <w:szCs w:val="22"/>
                <w:lang w:val="hr-HR"/>
              </w:rPr>
            </w:pPr>
          </w:p>
          <w:p w:rsidR="00151DC5" w:rsidRPr="00361664" w:rsidRDefault="00151DC5" w:rsidP="00151DC5">
            <w:pPr>
              <w:pStyle w:val="Tabletext"/>
              <w:tabs>
                <w:tab w:val="left" w:pos="244"/>
              </w:tabs>
              <w:spacing w:before="0" w:after="0" w:line="240" w:lineRule="auto"/>
              <w:rPr>
                <w:rFonts w:asciiTheme="minorHAnsi" w:hAnsiTheme="minorHAnsi"/>
                <w:sz w:val="20"/>
                <w:szCs w:val="22"/>
                <w:u w:val="single"/>
                <w:lang w:val="hr-HR"/>
              </w:rPr>
            </w:pPr>
            <w:r w:rsidRPr="00361664">
              <w:rPr>
                <w:rFonts w:asciiTheme="minorHAnsi" w:hAnsiTheme="minorHAnsi"/>
                <w:sz w:val="20"/>
                <w:szCs w:val="22"/>
                <w:lang w:val="hr-HR"/>
              </w:rPr>
              <w:t xml:space="preserve">Također, </w:t>
            </w:r>
            <w:r w:rsidR="00411708" w:rsidRPr="00361664">
              <w:rPr>
                <w:rFonts w:asciiTheme="minorHAnsi" w:hAnsiTheme="minorHAnsi"/>
                <w:sz w:val="20"/>
                <w:szCs w:val="22"/>
                <w:lang w:val="hr-HR"/>
              </w:rPr>
              <w:t>sufinanciranjem</w:t>
            </w:r>
            <w:r w:rsidRPr="00361664">
              <w:rPr>
                <w:rFonts w:asciiTheme="minorHAnsi" w:hAnsiTheme="minorHAnsi"/>
                <w:sz w:val="20"/>
                <w:szCs w:val="22"/>
                <w:lang w:val="hr-HR"/>
              </w:rPr>
              <w:t xml:space="preserve"> preko FZOEU poticat će se uvođenje sustava gospodarenja (upravljanja) energijom u skladu sa standardom HRN EN ISO50001 u poduzećima i obrtima, kao i energetskih pregleda malih, srednjih poduzeća i obrta. Ova aktivnost osigurava potporu za procjenu potencijala uštede energije u poduzećima te se njome osigurava kontinuirano praćenje potrošnje energije i identificiranje mogućnosti za uštede.</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Financijska sredstva i izvori financiranja</w:t>
            </w:r>
          </w:p>
        </w:tc>
        <w:tc>
          <w:tcPr>
            <w:tcW w:w="3511" w:type="pct"/>
            <w:vAlign w:val="center"/>
          </w:tcPr>
          <w:p w:rsidR="00956A25" w:rsidRPr="00361664" w:rsidRDefault="00321EFB" w:rsidP="00675C22">
            <w:pPr>
              <w:jc w:val="both"/>
              <w:rPr>
                <w:rFonts w:eastAsia="Calibri" w:cs="Calibri"/>
                <w:sz w:val="20"/>
                <w:szCs w:val="20"/>
              </w:rPr>
            </w:pPr>
            <w:r w:rsidRPr="00361664">
              <w:rPr>
                <w:rFonts w:asciiTheme="minorHAnsi" w:hAnsiTheme="minorHAnsi"/>
                <w:sz w:val="20"/>
              </w:rPr>
              <w:t xml:space="preserve">Provedba aktivnosti usmjeravat će se na sredstva dostupna u Operativnom programu Konkurentnost </w:t>
            </w:r>
            <w:r w:rsidR="00675C22" w:rsidRPr="00361664">
              <w:rPr>
                <w:rFonts w:asciiTheme="minorHAnsi" w:hAnsiTheme="minorHAnsi"/>
                <w:sz w:val="20"/>
              </w:rPr>
              <w:t>i kohezija 2014. - 2020. (OPKK) n</w:t>
            </w:r>
            <w:r w:rsidR="00675C22" w:rsidRPr="00361664">
              <w:rPr>
                <w:rFonts w:eastAsia="Calibri" w:cs="Calibri"/>
                <w:sz w:val="20"/>
                <w:szCs w:val="20"/>
              </w:rPr>
              <w:t xml:space="preserve">amijenjena </w:t>
            </w:r>
            <w:r w:rsidR="00675C22" w:rsidRPr="00361664">
              <w:rPr>
                <w:rFonts w:eastAsia="Calibri" w:cs="Calibri"/>
                <w:sz w:val="20"/>
                <w:szCs w:val="20"/>
              </w:rPr>
              <w:lastRenderedPageBreak/>
              <w:t>tematskom cilju „Podrška prelasku na ekonomiju s niskom razinom emisije CO</w:t>
            </w:r>
            <w:r w:rsidR="00675C22" w:rsidRPr="00361664">
              <w:rPr>
                <w:rFonts w:eastAsia="Calibri" w:cs="Calibri"/>
                <w:sz w:val="20"/>
                <w:szCs w:val="20"/>
                <w:vertAlign w:val="subscript"/>
              </w:rPr>
              <w:t>2</w:t>
            </w:r>
            <w:r w:rsidR="00675C22" w:rsidRPr="00361664">
              <w:rPr>
                <w:rFonts w:eastAsia="Calibri" w:cs="Calibri"/>
                <w:sz w:val="20"/>
                <w:szCs w:val="20"/>
              </w:rPr>
              <w:t xml:space="preserve"> u svim sektorima“. </w:t>
            </w:r>
          </w:p>
          <w:p w:rsidR="00151DC5" w:rsidRPr="00361664" w:rsidRDefault="008D3B3F" w:rsidP="00E3351E">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Iznos nepovratnih sredstava za aktivnosti biti će određen u skladu s Uredbom komisije (EU) br. 651/2014 оd 17. lipnja 2014. o ocjenjivanju određenih kategorija potpora spojivima s unutarnjim tržištem u primjeni članaka 107. i 108. Ugovora. Iznos nepovratnih sredstava za projektnu i pripremnu dokumentaciju bit će određeni prema Uredba komisije (EU) br. 1407/2013 оd 18. prosinca 2013. o primjeni članaka 107. i 108. Ugovora o funkcioniranju Europske unije na de minimis potpore.</w:t>
            </w:r>
          </w:p>
          <w:p w:rsidR="00675C22" w:rsidRPr="00361664" w:rsidRDefault="00675C22" w:rsidP="00E3351E">
            <w:pPr>
              <w:pStyle w:val="Tabletext"/>
              <w:tabs>
                <w:tab w:val="left" w:pos="1440"/>
                <w:tab w:val="left" w:pos="5040"/>
              </w:tabs>
              <w:spacing w:before="0" w:after="0" w:line="240" w:lineRule="auto"/>
              <w:rPr>
                <w:rFonts w:asciiTheme="minorHAnsi" w:hAnsiTheme="minorHAnsi"/>
                <w:sz w:val="20"/>
                <w:szCs w:val="22"/>
                <w:lang w:val="hr-HR"/>
              </w:rPr>
            </w:pPr>
          </w:p>
          <w:p w:rsidR="00151DC5" w:rsidRPr="00361664" w:rsidRDefault="00151DC5" w:rsidP="00E3351E">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FZOEU: uvođenje sustava gospodarenja (upravljanja) energijom u skladu</w:t>
            </w:r>
            <w:r w:rsidR="00E166C9" w:rsidRPr="00361664">
              <w:rPr>
                <w:rFonts w:asciiTheme="minorHAnsi" w:hAnsiTheme="minorHAnsi"/>
                <w:sz w:val="20"/>
                <w:szCs w:val="22"/>
                <w:lang w:val="hr-HR"/>
              </w:rPr>
              <w:t xml:space="preserve"> sa standardom HRN EN ISO50001 4</w:t>
            </w:r>
            <w:r w:rsidR="00F8315E" w:rsidRPr="00361664">
              <w:rPr>
                <w:rFonts w:asciiTheme="minorHAnsi" w:hAnsiTheme="minorHAnsi"/>
                <w:sz w:val="20"/>
                <w:szCs w:val="22"/>
                <w:lang w:val="hr-HR"/>
              </w:rPr>
              <w:t>.000.000,00 kn</w:t>
            </w:r>
            <w:r w:rsidRPr="00361664">
              <w:rPr>
                <w:rFonts w:asciiTheme="minorHAnsi" w:hAnsiTheme="minorHAnsi"/>
                <w:sz w:val="20"/>
                <w:szCs w:val="22"/>
                <w:lang w:val="hr-HR"/>
              </w:rPr>
              <w:t xml:space="preserve"> za 2018. </w:t>
            </w:r>
          </w:p>
          <w:p w:rsidR="00956A25" w:rsidRPr="00361664" w:rsidRDefault="00956A25" w:rsidP="00E3351E">
            <w:pPr>
              <w:pStyle w:val="Tabletext"/>
              <w:tabs>
                <w:tab w:val="left" w:pos="1440"/>
                <w:tab w:val="left" w:pos="5040"/>
              </w:tabs>
              <w:spacing w:before="0" w:after="0" w:line="240" w:lineRule="auto"/>
              <w:rPr>
                <w:rFonts w:asciiTheme="minorHAnsi" w:hAnsiTheme="minorHAnsi"/>
                <w:sz w:val="20"/>
                <w:szCs w:val="22"/>
                <w:lang w:val="hr-HR"/>
              </w:rPr>
            </w:pPr>
          </w:p>
          <w:p w:rsidR="00A97508" w:rsidRPr="00361664" w:rsidRDefault="00A97508" w:rsidP="00F8315E">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Ukupno predviđeno do kraja 2019. godine: </w:t>
            </w:r>
            <w:r w:rsidR="00956A25" w:rsidRPr="00361664">
              <w:rPr>
                <w:rFonts w:asciiTheme="minorHAnsi" w:hAnsiTheme="minorHAnsi"/>
                <w:sz w:val="20"/>
                <w:szCs w:val="22"/>
                <w:lang w:val="hr-HR"/>
              </w:rPr>
              <w:t>30.</w:t>
            </w:r>
            <w:r w:rsidR="00F8315E" w:rsidRPr="00361664">
              <w:rPr>
                <w:rFonts w:asciiTheme="minorHAnsi" w:hAnsiTheme="minorHAnsi"/>
                <w:sz w:val="20"/>
                <w:szCs w:val="22"/>
                <w:lang w:val="hr-HR"/>
              </w:rPr>
              <w:t>184</w:t>
            </w:r>
            <w:r w:rsidR="00956A25" w:rsidRPr="00361664">
              <w:rPr>
                <w:rFonts w:asciiTheme="minorHAnsi" w:hAnsiTheme="minorHAnsi"/>
                <w:sz w:val="20"/>
                <w:szCs w:val="22"/>
                <w:lang w:val="hr-HR"/>
              </w:rPr>
              <w:t>.</w:t>
            </w:r>
            <w:r w:rsidR="00F8315E" w:rsidRPr="00361664">
              <w:rPr>
                <w:rFonts w:asciiTheme="minorHAnsi" w:hAnsiTheme="minorHAnsi"/>
                <w:sz w:val="20"/>
                <w:szCs w:val="22"/>
                <w:lang w:val="hr-HR"/>
              </w:rPr>
              <w:t>396</w:t>
            </w:r>
            <w:r w:rsidR="00956A25" w:rsidRPr="00361664">
              <w:rPr>
                <w:rFonts w:asciiTheme="minorHAnsi" w:hAnsiTheme="minorHAnsi"/>
                <w:sz w:val="20"/>
                <w:szCs w:val="22"/>
                <w:lang w:val="hr-HR"/>
              </w:rPr>
              <w:t>,00</w:t>
            </w:r>
            <w:r w:rsidRPr="00361664">
              <w:rPr>
                <w:rFonts w:asciiTheme="minorHAnsi" w:hAnsiTheme="minorHAnsi"/>
                <w:sz w:val="20"/>
                <w:szCs w:val="22"/>
                <w:lang w:val="hr-HR"/>
              </w:rPr>
              <w:t xml:space="preserve"> kn.</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Izvršno  tijelo</w:t>
            </w:r>
          </w:p>
        </w:tc>
        <w:tc>
          <w:tcPr>
            <w:tcW w:w="3511" w:type="pct"/>
            <w:shd w:val="clear" w:color="auto" w:fill="auto"/>
            <w:vAlign w:val="center"/>
          </w:tcPr>
          <w:p w:rsidR="00321EFB" w:rsidRPr="00361664" w:rsidRDefault="00D76F3C" w:rsidP="0044608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MZOE</w:t>
            </w:r>
            <w:r w:rsidR="00321EFB" w:rsidRPr="00361664">
              <w:rPr>
                <w:rFonts w:asciiTheme="minorHAnsi" w:hAnsiTheme="minorHAnsi"/>
                <w:sz w:val="20"/>
                <w:szCs w:val="22"/>
                <w:lang w:val="hr-HR"/>
              </w:rPr>
              <w:t xml:space="preserve"> i FZOEU</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640C0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Tijelo za praćenje, mjerenje i verifikaciju ušteda</w:t>
            </w:r>
          </w:p>
        </w:tc>
        <w:tc>
          <w:tcPr>
            <w:tcW w:w="3511" w:type="pct"/>
            <w:vAlign w:val="center"/>
          </w:tcPr>
          <w:p w:rsidR="00321EFB" w:rsidRPr="00361664" w:rsidRDefault="00321EFB" w:rsidP="0044608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 xml:space="preserve">NKT </w:t>
            </w:r>
          </w:p>
        </w:tc>
      </w:tr>
      <w:tr w:rsidR="00321EFB" w:rsidRPr="00361664" w:rsidTr="0044608A">
        <w:trPr>
          <w:trHeight w:val="20"/>
        </w:trPr>
        <w:tc>
          <w:tcPr>
            <w:tcW w:w="681" w:type="pct"/>
            <w:vMerge w:val="restar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color w:val="FF0000"/>
                <w:sz w:val="20"/>
                <w:szCs w:val="22"/>
                <w:lang w:val="hr-HR"/>
              </w:rPr>
            </w:pPr>
            <w:r w:rsidRPr="00361664">
              <w:rPr>
                <w:rFonts w:asciiTheme="minorHAnsi" w:hAnsiTheme="minorHAnsi"/>
                <w:sz w:val="20"/>
                <w:szCs w:val="22"/>
                <w:lang w:val="hr-HR"/>
              </w:rPr>
              <w:t>Uštede energije</w:t>
            </w:r>
          </w:p>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Metoda praćenja / mjerenja ušteda energije</w:t>
            </w:r>
          </w:p>
        </w:tc>
        <w:tc>
          <w:tcPr>
            <w:tcW w:w="3511" w:type="pct"/>
            <w:vAlign w:val="center"/>
          </w:tcPr>
          <w:p w:rsidR="00321EFB" w:rsidRPr="00361664" w:rsidRDefault="00321EFB" w:rsidP="0044608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Mjera će se pratiti BU metodom procijenjenih ušteda. Rezultati provedenih mjera unosit će se u Sustav za praćenje</w:t>
            </w:r>
            <w:r w:rsidR="00154EC2" w:rsidRPr="00361664">
              <w:rPr>
                <w:rFonts w:asciiTheme="minorHAnsi" w:hAnsiTheme="minorHAnsi"/>
                <w:sz w:val="20"/>
                <w:szCs w:val="22"/>
                <w:lang w:val="hr-HR"/>
              </w:rPr>
              <w:t>, mjerenje</w:t>
            </w:r>
            <w:r w:rsidRPr="00361664">
              <w:rPr>
                <w:rFonts w:asciiTheme="minorHAnsi" w:hAnsiTheme="minorHAnsi"/>
                <w:sz w:val="20"/>
                <w:szCs w:val="22"/>
                <w:lang w:val="hr-HR"/>
              </w:rPr>
              <w:t xml:space="preserve"> i verifikaciju ušteda energije (</w:t>
            </w:r>
            <w:r w:rsidR="00154EC2" w:rsidRPr="00361664">
              <w:rPr>
                <w:rFonts w:asciiTheme="minorHAnsi" w:hAnsiTheme="minorHAnsi"/>
                <w:sz w:val="20"/>
                <w:szCs w:val="22"/>
                <w:lang w:val="hr-HR"/>
              </w:rPr>
              <w:t>SMI</w:t>
            </w:r>
            <w:r w:rsidR="00274B27" w:rsidRPr="00361664">
              <w:rPr>
                <w:rFonts w:asciiTheme="minorHAnsi" w:hAnsiTheme="minorHAnsi"/>
                <w:sz w:val="20"/>
                <w:szCs w:val="22"/>
                <w:lang w:val="hr-HR"/>
              </w:rPr>
              <w:t>V</w:t>
            </w:r>
            <w:r w:rsidRPr="00361664">
              <w:rPr>
                <w:rFonts w:asciiTheme="minorHAnsi" w:hAnsiTheme="minorHAnsi"/>
                <w:sz w:val="20"/>
                <w:szCs w:val="22"/>
                <w:lang w:val="hr-HR"/>
              </w:rPr>
              <w:t xml:space="preserve">). </w:t>
            </w:r>
          </w:p>
        </w:tc>
      </w:tr>
      <w:tr w:rsidR="0067001A" w:rsidRPr="00361664" w:rsidTr="0044608A">
        <w:trPr>
          <w:trHeight w:val="20"/>
        </w:trPr>
        <w:tc>
          <w:tcPr>
            <w:tcW w:w="681" w:type="pct"/>
            <w:vMerge/>
            <w:vAlign w:val="center"/>
          </w:tcPr>
          <w:p w:rsidR="0067001A" w:rsidRPr="00361664" w:rsidRDefault="0067001A" w:rsidP="0067001A">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67001A" w:rsidRPr="00361664" w:rsidRDefault="0067001A" w:rsidP="0067001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Očekivane uštede energije udo kraja 2019.</w:t>
            </w:r>
          </w:p>
        </w:tc>
        <w:tc>
          <w:tcPr>
            <w:tcW w:w="3511" w:type="pct"/>
            <w:vAlign w:val="center"/>
          </w:tcPr>
          <w:p w:rsidR="0067001A" w:rsidRPr="00361664" w:rsidRDefault="00956A25" w:rsidP="00956A25">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92</w:t>
            </w:r>
            <w:r w:rsidR="0067001A" w:rsidRPr="00361664">
              <w:rPr>
                <w:rFonts w:asciiTheme="minorHAnsi" w:hAnsiTheme="minorHAnsi"/>
                <w:sz w:val="20"/>
                <w:szCs w:val="22"/>
                <w:lang w:val="hr-HR"/>
              </w:rPr>
              <w:t xml:space="preserve"> TJ</w:t>
            </w:r>
          </w:p>
        </w:tc>
      </w:tr>
      <w:tr w:rsidR="0067001A" w:rsidRPr="00361664" w:rsidTr="0044608A">
        <w:trPr>
          <w:trHeight w:val="20"/>
        </w:trPr>
        <w:tc>
          <w:tcPr>
            <w:tcW w:w="681" w:type="pct"/>
            <w:vMerge/>
            <w:vAlign w:val="center"/>
          </w:tcPr>
          <w:p w:rsidR="0067001A" w:rsidRPr="00361664" w:rsidRDefault="0067001A" w:rsidP="0067001A">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67001A" w:rsidRPr="00361664" w:rsidRDefault="0067001A" w:rsidP="0067001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Očekivani utjecaj naOčekivane uštede energije udo kraja 2020.</w:t>
            </w:r>
          </w:p>
        </w:tc>
        <w:tc>
          <w:tcPr>
            <w:tcW w:w="3511" w:type="pct"/>
            <w:vAlign w:val="center"/>
          </w:tcPr>
          <w:p w:rsidR="0067001A" w:rsidRPr="00361664" w:rsidRDefault="00956A25" w:rsidP="00956A25">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110</w:t>
            </w:r>
            <w:r w:rsidR="0067001A" w:rsidRPr="00361664">
              <w:rPr>
                <w:rFonts w:asciiTheme="minorHAnsi" w:hAnsiTheme="minorHAnsi"/>
                <w:sz w:val="20"/>
                <w:szCs w:val="22"/>
                <w:lang w:val="hr-HR"/>
              </w:rPr>
              <w:t xml:space="preserve"> TJ</w:t>
            </w:r>
          </w:p>
        </w:tc>
      </w:tr>
      <w:tr w:rsidR="0067001A" w:rsidRPr="00361664" w:rsidTr="0044608A">
        <w:trPr>
          <w:trHeight w:val="20"/>
        </w:trPr>
        <w:tc>
          <w:tcPr>
            <w:tcW w:w="681" w:type="pct"/>
            <w:vMerge/>
            <w:vAlign w:val="center"/>
          </w:tcPr>
          <w:p w:rsidR="0067001A" w:rsidRPr="00361664" w:rsidRDefault="0067001A" w:rsidP="0067001A">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67001A" w:rsidRPr="00361664" w:rsidRDefault="0067001A" w:rsidP="0067001A">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Pretpostavke</w:t>
            </w:r>
          </w:p>
        </w:tc>
        <w:tc>
          <w:tcPr>
            <w:tcW w:w="3511" w:type="pct"/>
            <w:vAlign w:val="center"/>
          </w:tcPr>
          <w:p w:rsidR="0067001A" w:rsidRPr="00361664" w:rsidRDefault="0067001A" w:rsidP="0067001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Uštede su procijenjene s obzirom na planirana sredstva i pokazatelje ostvarenih uštede po jedinici isplaćenih sredstava FZOEU u 2015. i 2016. godini. Za mjere energetske učinkovitosti u industriji za uštedu 1 kWh/god u životnom vijeku mjere jednokratno je isplaćeno 0,75 kn. Životni vijek većine mjera je 15 godina.</w:t>
            </w:r>
          </w:p>
        </w:tc>
      </w:tr>
      <w:tr w:rsidR="00321EFB" w:rsidRPr="00361664" w:rsidTr="0044608A">
        <w:trPr>
          <w:trHeight w:val="20"/>
        </w:trPr>
        <w:tc>
          <w:tcPr>
            <w:tcW w:w="681" w:type="pct"/>
            <w:vMerge/>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p>
        </w:tc>
        <w:tc>
          <w:tcPr>
            <w:tcW w:w="808" w:type="pct"/>
            <w:vAlign w:val="center"/>
          </w:tcPr>
          <w:p w:rsidR="00321EFB" w:rsidRPr="00361664" w:rsidRDefault="00321EFB" w:rsidP="00321EFB">
            <w:pPr>
              <w:pStyle w:val="Tabletext"/>
              <w:tabs>
                <w:tab w:val="left" w:pos="1440"/>
                <w:tab w:val="left" w:pos="5040"/>
              </w:tabs>
              <w:spacing w:before="0" w:after="0" w:line="240" w:lineRule="auto"/>
              <w:jc w:val="left"/>
              <w:rPr>
                <w:rFonts w:asciiTheme="minorHAnsi" w:hAnsiTheme="minorHAnsi"/>
                <w:sz w:val="20"/>
                <w:szCs w:val="22"/>
                <w:lang w:val="hr-HR"/>
              </w:rPr>
            </w:pPr>
            <w:r w:rsidRPr="00361664">
              <w:rPr>
                <w:rFonts w:asciiTheme="minorHAnsi" w:hAnsiTheme="minorHAnsi"/>
                <w:sz w:val="20"/>
                <w:szCs w:val="22"/>
                <w:lang w:val="hr-HR"/>
              </w:rPr>
              <w:t>Preklapanja, efekt množenja, sinergija</w:t>
            </w:r>
          </w:p>
        </w:tc>
        <w:tc>
          <w:tcPr>
            <w:tcW w:w="3511" w:type="pct"/>
            <w:vAlign w:val="center"/>
          </w:tcPr>
          <w:p w:rsidR="00321EFB" w:rsidRPr="00361664" w:rsidRDefault="00274B27" w:rsidP="0044608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Aktivnosti</w:t>
            </w:r>
            <w:r w:rsidR="00321EFB" w:rsidRPr="00361664">
              <w:rPr>
                <w:rFonts w:asciiTheme="minorHAnsi" w:hAnsiTheme="minorHAnsi"/>
                <w:sz w:val="20"/>
                <w:szCs w:val="22"/>
                <w:lang w:val="hr-HR"/>
              </w:rPr>
              <w:t xml:space="preserve"> mjere promovirat će se kroz mjeru I.1 Mreža industrijske energetske efikasnosti.</w:t>
            </w:r>
          </w:p>
        </w:tc>
      </w:tr>
    </w:tbl>
    <w:p w:rsidR="00321EFB" w:rsidRPr="00361664" w:rsidRDefault="00321EFB" w:rsidP="00651BCA">
      <w:pPr>
        <w:jc w:val="both"/>
      </w:pPr>
    </w:p>
    <w:p w:rsidR="00192232" w:rsidRPr="00361664" w:rsidRDefault="00CE07A7" w:rsidP="00651BCA">
      <w:pPr>
        <w:pStyle w:val="Naslov3"/>
        <w:rPr>
          <w:rStyle w:val="Jakoisticanje"/>
          <w:b/>
          <w:bCs w:val="0"/>
          <w:i/>
          <w:iCs w:val="0"/>
          <w:color w:val="375F91"/>
          <w:lang w:val="hr-HR"/>
        </w:rPr>
      </w:pPr>
      <w:bookmarkStart w:id="46" w:name="_Toc535245865"/>
      <w:r w:rsidRPr="00361664">
        <w:rPr>
          <w:rStyle w:val="Jakoisticanje"/>
          <w:b/>
          <w:bCs w:val="0"/>
          <w:i/>
          <w:iCs w:val="0"/>
          <w:color w:val="375F91"/>
          <w:lang w:val="hr-HR"/>
        </w:rPr>
        <w:t>Uštede koje proizlaze iz</w:t>
      </w:r>
      <w:r w:rsidR="00FF5967" w:rsidRPr="00361664">
        <w:rPr>
          <w:rStyle w:val="Jakoisticanje"/>
          <w:b/>
          <w:bCs w:val="0"/>
          <w:i/>
          <w:iCs w:val="0"/>
          <w:color w:val="375F91"/>
          <w:lang w:val="hr-HR"/>
        </w:rPr>
        <w:t xml:space="preserve"> mjera energetske učinkovitosti u industriji</w:t>
      </w:r>
      <w:bookmarkEnd w:id="46"/>
    </w:p>
    <w:p w:rsidR="007871C0" w:rsidRPr="00361664" w:rsidRDefault="00E96EA5" w:rsidP="00651BCA">
      <w:pPr>
        <w:jc w:val="both"/>
        <w:rPr>
          <w:rStyle w:val="Jakoisticanje"/>
          <w:bCs w:val="0"/>
          <w:iCs w:val="0"/>
          <w:color w:val="auto"/>
          <w:sz w:val="20"/>
          <w:szCs w:val="20"/>
        </w:rPr>
      </w:pPr>
      <w:r w:rsidRPr="00361664">
        <w:rPr>
          <w:sz w:val="20"/>
          <w:szCs w:val="20"/>
        </w:rPr>
        <w:t xml:space="preserve">Prethodno opisano </w:t>
      </w:r>
      <w:r w:rsidR="00716D5A" w:rsidRPr="00361664">
        <w:rPr>
          <w:sz w:val="20"/>
          <w:szCs w:val="20"/>
        </w:rPr>
        <w:t>u svakoj</w:t>
      </w:r>
      <w:r w:rsidRPr="00361664">
        <w:rPr>
          <w:sz w:val="20"/>
          <w:szCs w:val="20"/>
        </w:rPr>
        <w:t xml:space="preserve"> mjeri pojedinačno.</w:t>
      </w:r>
      <w:r w:rsidR="007871C0" w:rsidRPr="00361664">
        <w:rPr>
          <w:rStyle w:val="Jakoisticanje"/>
          <w:b w:val="0"/>
          <w:iCs w:val="0"/>
          <w:color w:val="365F91"/>
          <w:sz w:val="20"/>
          <w:szCs w:val="20"/>
        </w:rPr>
        <w:tab/>
      </w:r>
    </w:p>
    <w:p w:rsidR="00E96EA5" w:rsidRPr="00361664" w:rsidRDefault="00944F9E" w:rsidP="00651BCA">
      <w:pPr>
        <w:pStyle w:val="Naslov3"/>
        <w:rPr>
          <w:rStyle w:val="Jakoisticanje"/>
          <w:b/>
          <w:bCs w:val="0"/>
          <w:i/>
          <w:iCs w:val="0"/>
          <w:color w:val="375F91"/>
          <w:lang w:val="hr-HR"/>
        </w:rPr>
      </w:pPr>
      <w:bookmarkStart w:id="47" w:name="_Toc535245866"/>
      <w:r w:rsidRPr="00361664">
        <w:rPr>
          <w:rStyle w:val="Jakoisticanje"/>
          <w:b/>
          <w:bCs w:val="0"/>
          <w:i/>
          <w:iCs w:val="0"/>
          <w:color w:val="375F91"/>
          <w:lang w:val="hr-HR"/>
        </w:rPr>
        <w:t>Finan</w:t>
      </w:r>
      <w:r w:rsidR="00FF5967" w:rsidRPr="00361664">
        <w:rPr>
          <w:rStyle w:val="Jakoisticanje"/>
          <w:b/>
          <w:bCs w:val="0"/>
          <w:i/>
          <w:iCs w:val="0"/>
          <w:color w:val="375F91"/>
          <w:lang w:val="hr-HR"/>
        </w:rPr>
        <w:t>ciranje mjera energetske učinkovitosti u industriji</w:t>
      </w:r>
      <w:bookmarkEnd w:id="47"/>
    </w:p>
    <w:p w:rsidR="007871C0" w:rsidRPr="00361664" w:rsidRDefault="00E96EA5" w:rsidP="00651BCA">
      <w:pPr>
        <w:jc w:val="both"/>
        <w:rPr>
          <w:rStyle w:val="Jakoisticanje"/>
          <w:b w:val="0"/>
          <w:iCs w:val="0"/>
          <w:color w:val="365F91"/>
        </w:rPr>
      </w:pPr>
      <w:r w:rsidRPr="00361664">
        <w:rPr>
          <w:sz w:val="20"/>
          <w:szCs w:val="20"/>
        </w:rPr>
        <w:t xml:space="preserve">Prethodno opisano </w:t>
      </w:r>
      <w:r w:rsidR="00716D5A" w:rsidRPr="00361664">
        <w:rPr>
          <w:sz w:val="20"/>
          <w:szCs w:val="20"/>
        </w:rPr>
        <w:t>u svakoj</w:t>
      </w:r>
      <w:r w:rsidRPr="00361664">
        <w:rPr>
          <w:sz w:val="20"/>
          <w:szCs w:val="20"/>
        </w:rPr>
        <w:t xml:space="preserve"> mjeri pojedinačno.</w:t>
      </w:r>
      <w:r w:rsidR="007871C0" w:rsidRPr="00361664">
        <w:rPr>
          <w:rStyle w:val="Jakoisticanje"/>
          <w:b w:val="0"/>
          <w:iCs w:val="0"/>
          <w:color w:val="365F91"/>
        </w:rPr>
        <w:tab/>
      </w:r>
    </w:p>
    <w:p w:rsidR="00E96EA5" w:rsidRPr="00361664" w:rsidRDefault="00E96EA5" w:rsidP="00651BCA">
      <w:pPr>
        <w:jc w:val="both"/>
        <w:rPr>
          <w:rStyle w:val="Jakoisticanje"/>
          <w:rFonts w:ascii="Cambria" w:hAnsi="Cambria" w:cs="Arial"/>
          <w:i w:val="0"/>
          <w:iCs w:val="0"/>
          <w:color w:val="365F91"/>
          <w:sz w:val="20"/>
          <w:szCs w:val="28"/>
        </w:rPr>
      </w:pPr>
      <w:r w:rsidRPr="00361664">
        <w:rPr>
          <w:rStyle w:val="Jakoisticanje"/>
          <w:b w:val="0"/>
          <w:bCs w:val="0"/>
          <w:color w:val="365F91"/>
        </w:rPr>
        <w:br w:type="page"/>
      </w:r>
    </w:p>
    <w:p w:rsidR="002A3905" w:rsidRPr="00361664" w:rsidRDefault="00FF5967" w:rsidP="001D5B34">
      <w:pPr>
        <w:pStyle w:val="Naslov3"/>
        <w:rPr>
          <w:rStyle w:val="Jakoisticanje"/>
          <w:b/>
          <w:bCs w:val="0"/>
          <w:i/>
          <w:iCs w:val="0"/>
          <w:color w:val="375F91"/>
          <w:lang w:val="hr-HR"/>
        </w:rPr>
      </w:pPr>
      <w:bookmarkStart w:id="48" w:name="_Toc535245867"/>
      <w:r w:rsidRPr="00361664">
        <w:rPr>
          <w:rStyle w:val="Jakoisticanje"/>
          <w:b/>
          <w:bCs w:val="0"/>
          <w:i/>
          <w:iCs w:val="0"/>
          <w:color w:val="375F91"/>
          <w:lang w:val="hr-HR"/>
        </w:rPr>
        <w:lastRenderedPageBreak/>
        <w:t>Glavne mjere za povećanje energetske učinkovitosti u prometu</w:t>
      </w:r>
      <w:bookmarkEnd w:id="48"/>
    </w:p>
    <w:p w:rsidR="001D5B34" w:rsidRPr="00361664" w:rsidRDefault="002F0075" w:rsidP="001D5B34">
      <w:pPr>
        <w:jc w:val="both"/>
        <w:rPr>
          <w:sz w:val="20"/>
          <w:szCs w:val="20"/>
        </w:rPr>
      </w:pPr>
      <w:r w:rsidRPr="00361664">
        <w:rPr>
          <w:sz w:val="20"/>
          <w:szCs w:val="20"/>
        </w:rPr>
        <w:t>Promet ima veliki udio u ukupnoj energetskoj potrošnji te u emisijama stakleničkih plinova, čak oko 30% u zemljama Europske unije.  S druge strane promet je preduvjet mobilnosti i razmjene dobara te kao takav preduvjet je za daljnji razvoj. Mjerama energetske učinkovitosti u prometu smanjuje se utjecaj prometa na okoliš, bez sputavanja daljnjeg razvoja. Sve mjere  iz 3. NAPEnU iz sektora prometa su revidirane pri čemu su neke obustavljene dok su neke dodane ili objedinjene.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6"/>
        <w:gridCol w:w="1481"/>
        <w:gridCol w:w="58"/>
        <w:gridCol w:w="6478"/>
      </w:tblGrid>
      <w:tr w:rsidR="00D93DBD" w:rsidRPr="00361664" w:rsidTr="00E3351E">
        <w:trPr>
          <w:trHeight w:val="120"/>
        </w:trPr>
        <w:tc>
          <w:tcPr>
            <w:tcW w:w="1514" w:type="pct"/>
            <w:gridSpan w:val="4"/>
            <w:tcBorders>
              <w:top w:val="single" w:sz="4" w:space="0" w:color="auto"/>
              <w:left w:val="single" w:sz="4" w:space="0" w:color="auto"/>
              <w:bottom w:val="single" w:sz="4" w:space="0" w:color="auto"/>
              <w:right w:val="single" w:sz="4" w:space="0" w:color="auto"/>
            </w:tcBorders>
            <w:shd w:val="clear" w:color="auto" w:fill="CCFFCC"/>
            <w:hideMark/>
          </w:tcPr>
          <w:p w:rsidR="00D93DBD" w:rsidRPr="00361664" w:rsidRDefault="00D93DBD" w:rsidP="00D93DBD">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Naziv mjere </w:t>
            </w:r>
          </w:p>
        </w:tc>
        <w:tc>
          <w:tcPr>
            <w:tcW w:w="3486" w:type="pct"/>
            <w:tcBorders>
              <w:top w:val="single" w:sz="4" w:space="0" w:color="auto"/>
              <w:left w:val="single" w:sz="4" w:space="0" w:color="auto"/>
              <w:bottom w:val="single" w:sz="4" w:space="0" w:color="auto"/>
              <w:right w:val="single" w:sz="4" w:space="0" w:color="auto"/>
            </w:tcBorders>
            <w:shd w:val="clear" w:color="auto" w:fill="CCFFCC"/>
          </w:tcPr>
          <w:p w:rsidR="00D93DBD" w:rsidRPr="00361664" w:rsidRDefault="00D93DBD" w:rsidP="00D93DBD">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Trening eko vožnje</w:t>
            </w:r>
          </w:p>
        </w:tc>
      </w:tr>
      <w:tr w:rsidR="00D93DBD" w:rsidRPr="00361664" w:rsidTr="00E3351E">
        <w:trPr>
          <w:trHeight w:val="120"/>
        </w:trPr>
        <w:tc>
          <w:tcPr>
            <w:tcW w:w="1514" w:type="pct"/>
            <w:gridSpan w:val="4"/>
            <w:tcBorders>
              <w:top w:val="single" w:sz="4" w:space="0" w:color="auto"/>
              <w:left w:val="single" w:sz="4" w:space="0" w:color="auto"/>
              <w:bottom w:val="single" w:sz="4" w:space="0" w:color="auto"/>
              <w:right w:val="single" w:sz="4" w:space="0" w:color="auto"/>
            </w:tcBorders>
            <w:shd w:val="clear" w:color="auto" w:fill="auto"/>
            <w:hideMark/>
          </w:tcPr>
          <w:p w:rsidR="00D93DBD" w:rsidRPr="00361664" w:rsidRDefault="00D93DBD" w:rsidP="00D93DBD">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Indeks mjere</w:t>
            </w:r>
          </w:p>
        </w:tc>
        <w:tc>
          <w:tcPr>
            <w:tcW w:w="3486" w:type="pct"/>
            <w:tcBorders>
              <w:top w:val="single" w:sz="4" w:space="0" w:color="auto"/>
              <w:left w:val="single" w:sz="4" w:space="0" w:color="auto"/>
              <w:bottom w:val="single" w:sz="4" w:space="0" w:color="auto"/>
              <w:right w:val="single" w:sz="4" w:space="0" w:color="auto"/>
            </w:tcBorders>
            <w:shd w:val="clear" w:color="auto" w:fill="auto"/>
          </w:tcPr>
          <w:p w:rsidR="00D93DBD" w:rsidRPr="00361664" w:rsidRDefault="00D93DBD" w:rsidP="00D93DBD">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T.1</w:t>
            </w:r>
          </w:p>
        </w:tc>
      </w:tr>
      <w:tr w:rsidR="00D93DBD" w:rsidRPr="00361664" w:rsidTr="00D93DBD">
        <w:trPr>
          <w:trHeight w:val="20"/>
        </w:trPr>
        <w:tc>
          <w:tcPr>
            <w:tcW w:w="672" w:type="pct"/>
            <w:vMerge w:val="restar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Opis</w:t>
            </w: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Kategorija</w:t>
            </w:r>
          </w:p>
        </w:tc>
        <w:tc>
          <w:tcPr>
            <w:tcW w:w="3486" w:type="pc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Informacijske i obvezujuće informacijske mjere</w:t>
            </w:r>
          </w:p>
        </w:tc>
      </w:tr>
      <w:tr w:rsidR="00D93DBD" w:rsidRPr="00361664" w:rsidTr="00D93DBD">
        <w:trPr>
          <w:trHeight w:val="20"/>
        </w:trPr>
        <w:tc>
          <w:tcPr>
            <w:tcW w:w="672" w:type="pct"/>
            <w:vMerge/>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Vremenski okvir</w:t>
            </w:r>
          </w:p>
        </w:tc>
        <w:tc>
          <w:tcPr>
            <w:tcW w:w="3486" w:type="pc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Početak: 2011.</w:t>
            </w:r>
          </w:p>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Kraj: 2020.</w:t>
            </w:r>
          </w:p>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Mjera je nastavljena iz 3. NAPEnU</w:t>
            </w:r>
          </w:p>
        </w:tc>
      </w:tr>
      <w:tr w:rsidR="00D93DBD" w:rsidRPr="00361664" w:rsidTr="00D93DBD">
        <w:trPr>
          <w:trHeight w:val="6887"/>
        </w:trPr>
        <w:tc>
          <w:tcPr>
            <w:tcW w:w="672" w:type="pct"/>
            <w:vMerge/>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 kratak opis</w:t>
            </w:r>
          </w:p>
        </w:tc>
        <w:tc>
          <w:tcPr>
            <w:tcW w:w="3486" w:type="pct"/>
            <w:vAlign w:val="center"/>
          </w:tcPr>
          <w:p w:rsidR="00D93DBD" w:rsidRPr="00361664" w:rsidRDefault="00D93DBD" w:rsidP="00D93DBD">
            <w:pPr>
              <w:pStyle w:val="Tabletext"/>
              <w:tabs>
                <w:tab w:val="left" w:pos="1440"/>
                <w:tab w:val="left" w:pos="5040"/>
              </w:tabs>
              <w:spacing w:before="0" w:after="0" w:line="240" w:lineRule="auto"/>
              <w:contextualSpacing/>
              <w:rPr>
                <w:rFonts w:asciiTheme="minorHAnsi" w:hAnsiTheme="minorHAnsi"/>
                <w:sz w:val="20"/>
                <w:lang w:val="hr-HR"/>
              </w:rPr>
            </w:pPr>
            <w:r w:rsidRPr="00361664">
              <w:rPr>
                <w:rFonts w:asciiTheme="minorHAnsi" w:hAnsiTheme="minorHAnsi"/>
                <w:sz w:val="20"/>
                <w:lang w:val="hr-HR"/>
              </w:rPr>
              <w:t xml:space="preserve">Eko vožnja prepoznata je kao jedna od najučinkovitijih mjera za poticanje energetske učinkovitosti na razini Europske unije. Pokretanjem </w:t>
            </w:r>
            <w:r w:rsidRPr="00361664">
              <w:rPr>
                <w:rFonts w:asciiTheme="minorHAnsi" w:hAnsiTheme="minorHAnsi"/>
                <w:b/>
                <w:sz w:val="20"/>
                <w:lang w:val="hr-HR"/>
              </w:rPr>
              <w:t>Nacionalne kampanja eko vožnje</w:t>
            </w:r>
            <w:r w:rsidRPr="00361664">
              <w:rPr>
                <w:rFonts w:asciiTheme="minorHAnsi" w:hAnsiTheme="minorHAnsi"/>
                <w:sz w:val="20"/>
                <w:lang w:val="hr-HR"/>
              </w:rPr>
              <w:t xml:space="preserve">  postići će se maksimalna razina osviještenosti svih građana i vozača u Republici Hrvatskoj o prednostima ovog modernog, inteligentnog i ekološki prihvatljivog stila vožnje, kroz aktivno provođenje treninga eko vožnje među </w:t>
            </w:r>
            <w:r w:rsidRPr="00361664">
              <w:rPr>
                <w:rFonts w:asciiTheme="minorHAnsi" w:hAnsiTheme="minorHAnsi"/>
                <w:b/>
                <w:sz w:val="20"/>
                <w:lang w:val="hr-HR"/>
              </w:rPr>
              <w:t>licenciranim (postojećim) vozačima</w:t>
            </w:r>
            <w:r w:rsidRPr="00361664">
              <w:rPr>
                <w:rFonts w:asciiTheme="minorHAnsi" w:hAnsiTheme="minorHAnsi"/>
                <w:sz w:val="20"/>
                <w:lang w:val="hr-HR"/>
              </w:rPr>
              <w:t>.</w:t>
            </w:r>
          </w:p>
          <w:p w:rsidR="00D93DBD" w:rsidRPr="00361664" w:rsidRDefault="00D93DBD" w:rsidP="00D93DBD">
            <w:pPr>
              <w:pStyle w:val="Tabletext"/>
              <w:tabs>
                <w:tab w:val="left" w:pos="1440"/>
                <w:tab w:val="left" w:pos="5040"/>
              </w:tabs>
              <w:spacing w:after="0" w:line="240" w:lineRule="auto"/>
              <w:contextualSpacing/>
              <w:rPr>
                <w:rFonts w:asciiTheme="minorHAnsi" w:hAnsiTheme="minorHAnsi"/>
                <w:sz w:val="20"/>
                <w:lang w:val="hr-HR"/>
              </w:rPr>
            </w:pPr>
            <w:r w:rsidRPr="00361664">
              <w:rPr>
                <w:rFonts w:asciiTheme="minorHAnsi" w:hAnsiTheme="minorHAnsi"/>
                <w:sz w:val="20"/>
                <w:lang w:val="hr-HR"/>
              </w:rPr>
              <w:t>Posebni elementi nacionalne kampanje trebaju biti posvećeni  edukaciji o eko vožnji  za vozače:</w:t>
            </w:r>
          </w:p>
          <w:p w:rsidR="00D93DBD" w:rsidRPr="00361664" w:rsidRDefault="00D93DBD" w:rsidP="00CD00FF">
            <w:pPr>
              <w:pStyle w:val="Tabletext"/>
              <w:numPr>
                <w:ilvl w:val="0"/>
                <w:numId w:val="37"/>
              </w:numPr>
              <w:tabs>
                <w:tab w:val="left" w:pos="1440"/>
                <w:tab w:val="left" w:pos="5040"/>
              </w:tabs>
              <w:spacing w:after="0" w:line="240" w:lineRule="auto"/>
              <w:contextualSpacing/>
              <w:rPr>
                <w:rFonts w:asciiTheme="minorHAnsi" w:hAnsiTheme="minorHAnsi"/>
                <w:sz w:val="20"/>
                <w:lang w:val="hr-HR"/>
              </w:rPr>
            </w:pPr>
            <w:r w:rsidRPr="00361664">
              <w:rPr>
                <w:rFonts w:asciiTheme="minorHAnsi" w:hAnsiTheme="minorHAnsi"/>
                <w:sz w:val="20"/>
                <w:lang w:val="hr-HR"/>
              </w:rPr>
              <w:t>osobnih automobila;</w:t>
            </w:r>
          </w:p>
          <w:p w:rsidR="00D93DBD" w:rsidRPr="00361664" w:rsidRDefault="00D93DBD" w:rsidP="00CD00FF">
            <w:pPr>
              <w:pStyle w:val="Tabletext"/>
              <w:numPr>
                <w:ilvl w:val="0"/>
                <w:numId w:val="37"/>
              </w:numPr>
              <w:tabs>
                <w:tab w:val="left" w:pos="1440"/>
                <w:tab w:val="left" w:pos="5040"/>
              </w:tabs>
              <w:spacing w:after="0" w:line="240" w:lineRule="auto"/>
              <w:contextualSpacing/>
              <w:rPr>
                <w:rFonts w:asciiTheme="minorHAnsi" w:hAnsiTheme="minorHAnsi"/>
                <w:sz w:val="20"/>
                <w:lang w:val="hr-HR"/>
              </w:rPr>
            </w:pPr>
            <w:r w:rsidRPr="00361664">
              <w:rPr>
                <w:rFonts w:asciiTheme="minorHAnsi" w:hAnsiTheme="minorHAnsi"/>
                <w:sz w:val="20"/>
                <w:lang w:val="hr-HR"/>
              </w:rPr>
              <w:t>autobusa;</w:t>
            </w:r>
          </w:p>
          <w:p w:rsidR="00D93DBD" w:rsidRPr="00361664" w:rsidRDefault="00D93DBD" w:rsidP="00CD00FF">
            <w:pPr>
              <w:pStyle w:val="Tabletext"/>
              <w:numPr>
                <w:ilvl w:val="0"/>
                <w:numId w:val="37"/>
              </w:numPr>
              <w:tabs>
                <w:tab w:val="left" w:pos="1440"/>
                <w:tab w:val="left" w:pos="5040"/>
              </w:tabs>
              <w:spacing w:after="0" w:line="240" w:lineRule="auto"/>
              <w:contextualSpacing/>
              <w:rPr>
                <w:rFonts w:asciiTheme="minorHAnsi" w:hAnsiTheme="minorHAnsi"/>
                <w:sz w:val="20"/>
                <w:lang w:val="hr-HR"/>
              </w:rPr>
            </w:pPr>
            <w:r w:rsidRPr="00361664">
              <w:rPr>
                <w:rFonts w:asciiTheme="minorHAnsi" w:hAnsiTheme="minorHAnsi"/>
                <w:sz w:val="20"/>
                <w:lang w:val="hr-HR"/>
              </w:rPr>
              <w:t>teretnih vozila &gt; 3,5 tone</w:t>
            </w:r>
          </w:p>
          <w:p w:rsidR="003B2843" w:rsidRPr="00361664" w:rsidRDefault="003B2843" w:rsidP="00CD00FF">
            <w:pPr>
              <w:pStyle w:val="Tabletext"/>
              <w:numPr>
                <w:ilvl w:val="0"/>
                <w:numId w:val="37"/>
              </w:numPr>
              <w:tabs>
                <w:tab w:val="left" w:pos="1440"/>
                <w:tab w:val="left" w:pos="5040"/>
              </w:tabs>
              <w:spacing w:after="0" w:line="240" w:lineRule="auto"/>
              <w:contextualSpacing/>
              <w:rPr>
                <w:rFonts w:asciiTheme="minorHAnsi" w:hAnsiTheme="minorHAnsi"/>
                <w:sz w:val="20"/>
                <w:lang w:val="hr-HR"/>
              </w:rPr>
            </w:pPr>
            <w:r w:rsidRPr="00361664">
              <w:rPr>
                <w:rFonts w:asciiTheme="minorHAnsi" w:hAnsiTheme="minorHAnsi"/>
                <w:sz w:val="20"/>
                <w:lang w:val="hr-HR"/>
              </w:rPr>
              <w:t>gospodarskih vozila</w:t>
            </w:r>
          </w:p>
          <w:p w:rsidR="00D93DBD" w:rsidRPr="00361664" w:rsidRDefault="00D93DBD" w:rsidP="00D93DBD">
            <w:pPr>
              <w:pStyle w:val="Tabletext"/>
              <w:tabs>
                <w:tab w:val="left" w:pos="1440"/>
                <w:tab w:val="left" w:pos="5040"/>
              </w:tabs>
              <w:spacing w:after="0" w:line="240" w:lineRule="auto"/>
              <w:contextualSpacing/>
              <w:rPr>
                <w:rFonts w:asciiTheme="minorHAnsi" w:hAnsiTheme="minorHAnsi"/>
                <w:sz w:val="20"/>
                <w:lang w:val="hr-HR"/>
              </w:rPr>
            </w:pPr>
            <w:r w:rsidRPr="00361664">
              <w:rPr>
                <w:rFonts w:asciiTheme="minorHAnsi" w:hAnsiTheme="minorHAnsi"/>
                <w:sz w:val="20"/>
                <w:lang w:val="hr-HR"/>
              </w:rPr>
              <w:t xml:space="preserve">Obrazovanje o elementima eko vožnje provodi se </w:t>
            </w:r>
            <w:r w:rsidRPr="00361664">
              <w:rPr>
                <w:rFonts w:asciiTheme="minorHAnsi" w:hAnsiTheme="minorHAnsi"/>
                <w:b/>
                <w:sz w:val="20"/>
                <w:lang w:val="hr-HR"/>
              </w:rPr>
              <w:t xml:space="preserve">kratkim treninzima </w:t>
            </w:r>
            <w:r w:rsidRPr="00361664">
              <w:rPr>
                <w:rFonts w:asciiTheme="minorHAnsi" w:hAnsiTheme="minorHAnsi"/>
                <w:sz w:val="20"/>
                <w:lang w:val="hr-HR"/>
              </w:rPr>
              <w:t xml:space="preserve">(u trajanju do oko 60-120 minuta po kandidatu) među vozačima koji su </w:t>
            </w:r>
            <w:r w:rsidRPr="00361664">
              <w:rPr>
                <w:rFonts w:asciiTheme="minorHAnsi" w:hAnsiTheme="minorHAnsi"/>
                <w:b/>
                <w:sz w:val="20"/>
                <w:lang w:val="hr-HR"/>
              </w:rPr>
              <w:t>vozačku dozvolu dobili prije stupanja na snagu</w:t>
            </w:r>
            <w:r w:rsidRPr="00361664">
              <w:rPr>
                <w:rFonts w:asciiTheme="minorHAnsi" w:hAnsiTheme="minorHAnsi"/>
                <w:sz w:val="20"/>
                <w:lang w:val="hr-HR"/>
              </w:rPr>
              <w:t xml:space="preserve"> Pravilnika o osposobljavanju kandidata za vozače (NN 13/09), kojim je za sve autoškole i instruktore postavljena obveza provođenja izobrazbe o elementima eko-vožnje tijekom standardne izobrazbe vozača kandidata. Treba istaknuti da se predložena mjera </w:t>
            </w:r>
            <w:r w:rsidRPr="00361664">
              <w:rPr>
                <w:rFonts w:asciiTheme="minorHAnsi" w:hAnsiTheme="minorHAnsi"/>
                <w:b/>
                <w:sz w:val="20"/>
                <w:lang w:val="hr-HR"/>
              </w:rPr>
              <w:t>ne odnosi</w:t>
            </w:r>
            <w:r w:rsidRPr="00361664">
              <w:rPr>
                <w:rFonts w:asciiTheme="minorHAnsi" w:hAnsiTheme="minorHAnsi"/>
                <w:sz w:val="20"/>
                <w:lang w:val="hr-HR"/>
              </w:rPr>
              <w:t xml:space="preserve"> na nove vozače, koji izobrazbu o eko vožnji dobivaju sukladno zakonskim obvezama iskazanim u gore navedenom Pravilniku. </w:t>
            </w:r>
          </w:p>
          <w:p w:rsidR="00D93DBD" w:rsidRPr="00361664" w:rsidRDefault="00D93DBD" w:rsidP="00D93DBD">
            <w:pPr>
              <w:pStyle w:val="Tabletext"/>
              <w:tabs>
                <w:tab w:val="left" w:pos="1440"/>
                <w:tab w:val="left" w:pos="5040"/>
              </w:tabs>
              <w:spacing w:after="0" w:line="240" w:lineRule="auto"/>
              <w:contextualSpacing/>
              <w:rPr>
                <w:rFonts w:asciiTheme="minorHAnsi" w:hAnsiTheme="minorHAnsi"/>
                <w:sz w:val="20"/>
                <w:lang w:val="hr-HR"/>
              </w:rPr>
            </w:pPr>
          </w:p>
          <w:p w:rsidR="00D93DBD" w:rsidRPr="00361664" w:rsidRDefault="00D93DBD" w:rsidP="00D93DBD">
            <w:pPr>
              <w:pStyle w:val="Tabletext"/>
              <w:tabs>
                <w:tab w:val="left" w:pos="1440"/>
                <w:tab w:val="left" w:pos="5040"/>
              </w:tabs>
              <w:spacing w:after="0" w:line="240" w:lineRule="auto"/>
              <w:contextualSpacing/>
              <w:rPr>
                <w:rFonts w:asciiTheme="minorHAnsi" w:hAnsiTheme="minorHAnsi"/>
                <w:sz w:val="20"/>
                <w:lang w:val="hr-HR"/>
              </w:rPr>
            </w:pPr>
            <w:r w:rsidRPr="00361664">
              <w:rPr>
                <w:rFonts w:asciiTheme="minorHAnsi" w:hAnsiTheme="minorHAnsi"/>
                <w:sz w:val="20"/>
                <w:lang w:val="hr-HR"/>
              </w:rPr>
              <w:t xml:space="preserve">U 2015. godini trening eko vožnje prošlo je približno 1000 vozača. Ovom mjerom u 2015. postignuta je ušteda od 17,513 TJ. Najveći broj je obučenih vozača kamiona i autobusa (čak 645 obučenih vozača) koji su ujedno i najveći potrošači te je njihovom obukom postignuta najveća ušteda, 14,6 TJ.  </w:t>
            </w:r>
          </w:p>
          <w:p w:rsidR="00D93DBD" w:rsidRPr="00361664" w:rsidRDefault="00D93DBD" w:rsidP="00D93DBD">
            <w:pPr>
              <w:pStyle w:val="Tabletext"/>
              <w:tabs>
                <w:tab w:val="left" w:pos="1440"/>
                <w:tab w:val="left" w:pos="5040"/>
              </w:tabs>
              <w:spacing w:after="0" w:line="240" w:lineRule="auto"/>
              <w:contextualSpacing/>
              <w:rPr>
                <w:rFonts w:asciiTheme="minorHAnsi" w:hAnsiTheme="minorHAnsi"/>
                <w:sz w:val="20"/>
                <w:lang w:val="hr-HR"/>
              </w:rPr>
            </w:pPr>
          </w:p>
          <w:p w:rsidR="00D93DBD" w:rsidRPr="00361664" w:rsidRDefault="00D93DBD" w:rsidP="00D93DBD">
            <w:pPr>
              <w:pStyle w:val="Tabletext"/>
              <w:tabs>
                <w:tab w:val="left" w:pos="1440"/>
                <w:tab w:val="left" w:pos="5040"/>
              </w:tabs>
              <w:spacing w:after="0" w:line="240" w:lineRule="auto"/>
              <w:contextualSpacing/>
              <w:rPr>
                <w:rFonts w:asciiTheme="minorHAnsi" w:hAnsiTheme="minorHAnsi"/>
                <w:sz w:val="20"/>
                <w:lang w:val="hr-HR"/>
              </w:rPr>
            </w:pPr>
            <w:r w:rsidRPr="00361664">
              <w:rPr>
                <w:rFonts w:asciiTheme="minorHAnsi" w:hAnsiTheme="minorHAnsi"/>
                <w:sz w:val="20"/>
                <w:lang w:val="hr-HR"/>
              </w:rPr>
              <w:t>Procijenjeno je da u Hrvatskoj postoji oko 1.500.000 vozača koji su vozačku dozvolu stekli prije nego je na snagu stupio Pravilnik o osposobljavanju kandidata za vozače (NN 13/09), odnosno vozača koji nisu prošli nikakvu odnosno nedostatnu edukaciju eko-vožnje.</w:t>
            </w:r>
          </w:p>
        </w:tc>
      </w:tr>
      <w:tr w:rsidR="00D93DBD" w:rsidRPr="00361664" w:rsidTr="00D93DBD">
        <w:trPr>
          <w:trHeight w:val="20"/>
        </w:trPr>
        <w:tc>
          <w:tcPr>
            <w:tcW w:w="672" w:type="pct"/>
            <w:vMerge/>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neposredna potrošnja</w:t>
            </w:r>
          </w:p>
        </w:tc>
        <w:tc>
          <w:tcPr>
            <w:tcW w:w="3486" w:type="pct"/>
            <w:vAlign w:val="center"/>
          </w:tcPr>
          <w:p w:rsidR="00D93DBD" w:rsidRPr="00361664" w:rsidRDefault="00D86D0A"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Cestovna osobna,</w:t>
            </w:r>
            <w:r w:rsidR="00D93DBD" w:rsidRPr="00361664">
              <w:rPr>
                <w:rFonts w:asciiTheme="minorHAnsi" w:hAnsiTheme="minorHAnsi"/>
                <w:sz w:val="20"/>
                <w:lang w:val="hr-HR"/>
              </w:rPr>
              <w:t xml:space="preserve"> teretna</w:t>
            </w:r>
            <w:r w:rsidRPr="00361664">
              <w:rPr>
                <w:rFonts w:asciiTheme="minorHAnsi" w:hAnsiTheme="minorHAnsi"/>
                <w:sz w:val="20"/>
                <w:lang w:val="hr-HR"/>
              </w:rPr>
              <w:t xml:space="preserve"> i gospodarska</w:t>
            </w:r>
            <w:r w:rsidR="00D93DBD" w:rsidRPr="00361664">
              <w:rPr>
                <w:rFonts w:asciiTheme="minorHAnsi" w:hAnsiTheme="minorHAnsi"/>
                <w:sz w:val="20"/>
                <w:lang w:val="hr-HR"/>
              </w:rPr>
              <w:t xml:space="preserve"> vozila te autobusi</w:t>
            </w:r>
          </w:p>
        </w:tc>
      </w:tr>
      <w:tr w:rsidR="00D93DBD" w:rsidRPr="00361664" w:rsidTr="00D93DBD">
        <w:trPr>
          <w:trHeight w:val="20"/>
        </w:trPr>
        <w:tc>
          <w:tcPr>
            <w:tcW w:w="672" w:type="pct"/>
            <w:vMerge/>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skupina</w:t>
            </w:r>
          </w:p>
        </w:tc>
        <w:tc>
          <w:tcPr>
            <w:tcW w:w="3486" w:type="pc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Svi vozači osobnih vozila s</w:t>
            </w:r>
            <w:r w:rsidR="00E3351E" w:rsidRPr="00361664">
              <w:rPr>
                <w:rFonts w:asciiTheme="minorHAnsi" w:hAnsiTheme="minorHAnsi"/>
                <w:sz w:val="20"/>
                <w:lang w:val="hr-HR"/>
              </w:rPr>
              <w:t>a stečenom</w:t>
            </w:r>
            <w:r w:rsidRPr="00361664">
              <w:rPr>
                <w:rFonts w:asciiTheme="minorHAnsi" w:hAnsiTheme="minorHAnsi"/>
                <w:sz w:val="20"/>
                <w:lang w:val="hr-HR"/>
              </w:rPr>
              <w:t xml:space="preserve"> vozačkom dozvolom </w:t>
            </w:r>
            <w:r w:rsidRPr="00361664">
              <w:rPr>
                <w:rFonts w:asciiTheme="minorHAnsi" w:hAnsiTheme="minorHAnsi"/>
                <w:b/>
                <w:sz w:val="20"/>
                <w:lang w:val="hr-HR"/>
              </w:rPr>
              <w:t>prije stupanja</w:t>
            </w:r>
            <w:r w:rsidRPr="00361664">
              <w:rPr>
                <w:rFonts w:asciiTheme="minorHAnsi" w:hAnsiTheme="minorHAnsi"/>
                <w:sz w:val="20"/>
                <w:lang w:val="hr-HR"/>
              </w:rPr>
              <w:t xml:space="preserve"> na snagu Pravilnika o osposobljavanju kandidata za vozače (NN 13/09); Vozači autobusa javnog gradskog prijevoza; Vozači javnih i komercijalnih teretnih vozila najveće dopuštene mase &gt; 3,5tona </w:t>
            </w:r>
          </w:p>
        </w:tc>
      </w:tr>
      <w:tr w:rsidR="00D93DBD" w:rsidRPr="00361664" w:rsidTr="00D93DBD">
        <w:trPr>
          <w:trHeight w:val="20"/>
        </w:trPr>
        <w:tc>
          <w:tcPr>
            <w:tcW w:w="672" w:type="pct"/>
            <w:vMerge/>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Regionalna primjena</w:t>
            </w:r>
          </w:p>
        </w:tc>
        <w:tc>
          <w:tcPr>
            <w:tcW w:w="3486" w:type="pc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Nacionalno </w:t>
            </w:r>
          </w:p>
        </w:tc>
      </w:tr>
      <w:tr w:rsidR="00D93DBD" w:rsidRPr="00361664" w:rsidTr="00D93DBD">
        <w:trPr>
          <w:trHeight w:val="20"/>
        </w:trPr>
        <w:tc>
          <w:tcPr>
            <w:tcW w:w="672" w:type="pc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Informacije o  provedbi</w:t>
            </w: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Popis i opis aktivnosti za </w:t>
            </w:r>
            <w:r w:rsidRPr="00361664">
              <w:rPr>
                <w:rFonts w:asciiTheme="minorHAnsi" w:hAnsiTheme="minorHAnsi"/>
                <w:sz w:val="20"/>
                <w:lang w:val="hr-HR"/>
              </w:rPr>
              <w:lastRenderedPageBreak/>
              <w:t xml:space="preserve">provođenje mjere </w:t>
            </w:r>
          </w:p>
        </w:tc>
        <w:tc>
          <w:tcPr>
            <w:tcW w:w="3486" w:type="pc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lastRenderedPageBreak/>
              <w:t>Kako je mjera nastavljena iz razdoblja 3. NAPEnU, prvi korak osposobljavanja ispitivača i instruktora već je proveden.</w:t>
            </w:r>
            <w:r w:rsidR="003B2843" w:rsidRPr="00361664">
              <w:rPr>
                <w:rFonts w:asciiTheme="minorHAnsi" w:hAnsiTheme="minorHAnsi"/>
                <w:sz w:val="20"/>
                <w:lang w:val="hr-HR"/>
              </w:rPr>
              <w:t xml:space="preserve"> Moguće su i dodatne edukacije o eko </w:t>
            </w:r>
            <w:r w:rsidR="003B2843" w:rsidRPr="00361664">
              <w:rPr>
                <w:rFonts w:asciiTheme="minorHAnsi" w:hAnsiTheme="minorHAnsi"/>
                <w:sz w:val="20"/>
                <w:lang w:val="hr-HR"/>
              </w:rPr>
              <w:lastRenderedPageBreak/>
              <w:t>vožnji samih edukatora koji su obvezni aktivno provoditi trening eko vo</w:t>
            </w:r>
            <w:r w:rsidR="004D0AD0">
              <w:rPr>
                <w:rFonts w:asciiTheme="minorHAnsi" w:hAnsiTheme="minorHAnsi"/>
                <w:sz w:val="20"/>
                <w:lang w:val="hr-HR"/>
              </w:rPr>
              <w:t>žnje među postojećim vozačima.</w:t>
            </w:r>
          </w:p>
          <w:p w:rsidR="00D93DBD" w:rsidRPr="00361664" w:rsidRDefault="00D93DBD" w:rsidP="00D93DBD">
            <w:pPr>
              <w:pStyle w:val="Tabletext"/>
              <w:tabs>
                <w:tab w:val="left" w:pos="732"/>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Izobrazba vozača licenciranih prije 2009. godine</w:t>
            </w:r>
          </w:p>
          <w:p w:rsidR="00D93DBD" w:rsidRPr="00361664" w:rsidRDefault="00D93DBD" w:rsidP="00CD00FF">
            <w:pPr>
              <w:pStyle w:val="Tabletext"/>
              <w:numPr>
                <w:ilvl w:val="0"/>
                <w:numId w:val="38"/>
              </w:numPr>
              <w:tabs>
                <w:tab w:val="left" w:pos="732"/>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edukacija približno </w:t>
            </w:r>
            <w:r w:rsidR="000C604F" w:rsidRPr="00361664">
              <w:rPr>
                <w:rFonts w:asciiTheme="minorHAnsi" w:hAnsiTheme="minorHAnsi"/>
                <w:sz w:val="20"/>
                <w:lang w:val="hr-HR"/>
              </w:rPr>
              <w:t>2400</w:t>
            </w:r>
            <w:r w:rsidRPr="00361664">
              <w:rPr>
                <w:rFonts w:asciiTheme="minorHAnsi" w:hAnsiTheme="minorHAnsi"/>
                <w:sz w:val="20"/>
                <w:lang w:val="hr-HR"/>
              </w:rPr>
              <w:t xml:space="preserve"> vozača do kraja 2019. godine. Očekuje se da će i ovaj put najveći broj educiranih biti vozači teretnih vozila i autobusa - oko 60% od broja ukupno educiranih. </w:t>
            </w:r>
          </w:p>
          <w:p w:rsidR="00D93DBD" w:rsidRPr="00361664" w:rsidRDefault="00D93DBD" w:rsidP="00D93DBD">
            <w:pPr>
              <w:pStyle w:val="Tabletext"/>
              <w:tabs>
                <w:tab w:val="left" w:pos="1440"/>
                <w:tab w:val="left" w:pos="5040"/>
              </w:tabs>
              <w:spacing w:before="0" w:after="0" w:line="240" w:lineRule="auto"/>
              <w:ind w:left="360"/>
              <w:rPr>
                <w:rFonts w:asciiTheme="minorHAnsi" w:hAnsiTheme="minorHAnsi"/>
                <w:sz w:val="20"/>
                <w:lang w:val="hr-HR"/>
              </w:rPr>
            </w:pPr>
          </w:p>
          <w:p w:rsidR="00D93DBD" w:rsidRPr="00361664" w:rsidRDefault="00D93DBD" w:rsidP="00DF48C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Nacionalno koordinacijsko tijelo - NKT će na stranicama Nacionalnog portala za energetsku učinkovitost  www.enu.hr pripremiti edukativne materijale za ciljne skupine i posebno za zainteresiranu javnost, a također će se i izvještavati o provedbi Nacionalne kampanje eko vožnje.  Također, NKT će poticati obveznike planirana (JLP(R)S, posebno velike gradove i županije) na provedbu aktivnosti kod vozača u svojoj nadležnosti (komunalna poduzeća) i građana sa svojeg geografskog područja. Ovo će se posebno </w:t>
            </w:r>
            <w:r w:rsidR="00411708" w:rsidRPr="00361664">
              <w:rPr>
                <w:rFonts w:asciiTheme="minorHAnsi" w:hAnsiTheme="minorHAnsi"/>
                <w:sz w:val="20"/>
                <w:lang w:val="hr-HR"/>
              </w:rPr>
              <w:t>provoditi</w:t>
            </w:r>
            <w:r w:rsidRPr="00361664">
              <w:rPr>
                <w:rFonts w:asciiTheme="minorHAnsi" w:hAnsiTheme="minorHAnsi"/>
                <w:sz w:val="20"/>
                <w:lang w:val="hr-HR"/>
              </w:rPr>
              <w:t xml:space="preserve"> u koordinaciji s NKT, a prilikom izrade Planova energetske učinkovitosti gradova i županija. </w:t>
            </w:r>
          </w:p>
        </w:tc>
      </w:tr>
      <w:tr w:rsidR="00D93DBD" w:rsidRPr="00361664" w:rsidTr="00D93DBD">
        <w:trPr>
          <w:trHeight w:val="1026"/>
        </w:trPr>
        <w:tc>
          <w:tcPr>
            <w:tcW w:w="672" w:type="pct"/>
            <w:vMerge w:val="restar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Financijska sredstva i izvori financiranja</w:t>
            </w:r>
          </w:p>
        </w:tc>
        <w:tc>
          <w:tcPr>
            <w:tcW w:w="3486" w:type="pct"/>
            <w:vAlign w:val="center"/>
          </w:tcPr>
          <w:p w:rsidR="00D93DBD" w:rsidRPr="00361664" w:rsidRDefault="00540715" w:rsidP="00CD00FF">
            <w:pPr>
              <w:pStyle w:val="Tabletext"/>
              <w:numPr>
                <w:ilvl w:val="0"/>
                <w:numId w:val="39"/>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FZOEU - financiranje sredstvima stečenim od prodaje emisijskih jedinica putem dražbe na sustavu trgovanja emisijskim jedinicama EU-a temeljem Zakona o zaštiti zraka (</w:t>
            </w:r>
            <w:r w:rsidR="00C44613" w:rsidRPr="00361664">
              <w:rPr>
                <w:rFonts w:asciiTheme="minorHAnsi" w:hAnsiTheme="minorHAnsi"/>
                <w:sz w:val="20"/>
                <w:lang w:val="hr-HR"/>
              </w:rPr>
              <w:t>NN 130/11, 47/14, 61/17</w:t>
            </w:r>
            <w:r w:rsidR="00F8315E" w:rsidRPr="00361664">
              <w:rPr>
                <w:rFonts w:asciiTheme="minorHAnsi" w:hAnsiTheme="minorHAnsi"/>
                <w:sz w:val="20"/>
                <w:lang w:val="hr-HR"/>
              </w:rPr>
              <w:t xml:space="preserve">) u iznosu </w:t>
            </w:r>
            <w:r w:rsidRPr="00361664">
              <w:rPr>
                <w:rFonts w:asciiTheme="minorHAnsi" w:hAnsiTheme="minorHAnsi"/>
                <w:sz w:val="20"/>
                <w:lang w:val="hr-HR"/>
              </w:rPr>
              <w:t xml:space="preserve"> </w:t>
            </w:r>
            <w:r w:rsidR="004504BF" w:rsidRPr="00361664">
              <w:rPr>
                <w:rFonts w:asciiTheme="minorHAnsi" w:hAnsiTheme="minorHAnsi"/>
                <w:sz w:val="20"/>
                <w:lang w:val="hr-HR"/>
              </w:rPr>
              <w:t>860.000</w:t>
            </w:r>
            <w:r w:rsidR="000E4E39" w:rsidRPr="00361664">
              <w:rPr>
                <w:rFonts w:asciiTheme="minorHAnsi" w:hAnsiTheme="minorHAnsi"/>
                <w:sz w:val="20"/>
                <w:lang w:val="hr-HR"/>
              </w:rPr>
              <w:t xml:space="preserve">,00 kn </w:t>
            </w:r>
          </w:p>
          <w:p w:rsidR="00D93DBD" w:rsidRPr="00361664" w:rsidRDefault="00D93DBD" w:rsidP="00CD00FF">
            <w:pPr>
              <w:pStyle w:val="Tabletext"/>
              <w:numPr>
                <w:ilvl w:val="0"/>
                <w:numId w:val="39"/>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Ostatak financiranja: vlastita sredstva korisnika</w:t>
            </w:r>
          </w:p>
        </w:tc>
      </w:tr>
      <w:tr w:rsidR="00D93DBD" w:rsidRPr="00361664" w:rsidTr="00D93DBD">
        <w:trPr>
          <w:trHeight w:val="20"/>
        </w:trPr>
        <w:tc>
          <w:tcPr>
            <w:tcW w:w="672" w:type="pct"/>
            <w:vMerge/>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Izvršno  tijelo</w:t>
            </w:r>
          </w:p>
        </w:tc>
        <w:tc>
          <w:tcPr>
            <w:tcW w:w="3486" w:type="pc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FZOEU</w:t>
            </w:r>
            <w:r w:rsidR="00540715" w:rsidRPr="00361664">
              <w:rPr>
                <w:rFonts w:asciiTheme="minorHAnsi" w:hAnsiTheme="minorHAnsi"/>
                <w:sz w:val="20"/>
                <w:lang w:val="hr-HR"/>
              </w:rPr>
              <w:t xml:space="preserve"> - financiranje sredstvima stečenim od prodaje emisijskih jedinica putem dražbe na sustavu trgovanja emisijskim jedinicama EU-a temeljem Zakona o zaštiti zraka (</w:t>
            </w:r>
            <w:r w:rsidR="00C44613" w:rsidRPr="00361664">
              <w:rPr>
                <w:rFonts w:asciiTheme="minorHAnsi" w:hAnsiTheme="minorHAnsi"/>
                <w:sz w:val="20"/>
                <w:lang w:val="hr-HR"/>
              </w:rPr>
              <w:t>NN 130/11, 47/14, 61/17</w:t>
            </w:r>
            <w:r w:rsidR="00540715" w:rsidRPr="00361664">
              <w:rPr>
                <w:rFonts w:asciiTheme="minorHAnsi" w:hAnsiTheme="minorHAnsi"/>
                <w:sz w:val="20"/>
                <w:lang w:val="hr-HR"/>
              </w:rPr>
              <w:t>)</w:t>
            </w:r>
          </w:p>
          <w:p w:rsidR="00D93DBD" w:rsidRPr="00361664" w:rsidRDefault="00D93DBD" w:rsidP="00D93DBD">
            <w:pPr>
              <w:pStyle w:val="Tabletext"/>
              <w:tabs>
                <w:tab w:val="left" w:pos="1440"/>
                <w:tab w:val="left" w:pos="5040"/>
              </w:tabs>
              <w:spacing w:before="0" w:after="0" w:line="240" w:lineRule="auto"/>
              <w:rPr>
                <w:rFonts w:asciiTheme="minorHAnsi" w:eastAsiaTheme="minorHAnsi" w:hAnsiTheme="minorHAnsi"/>
                <w:sz w:val="20"/>
                <w:lang w:val="hr-HR"/>
              </w:rPr>
            </w:pPr>
            <w:r w:rsidRPr="00361664">
              <w:rPr>
                <w:rFonts w:asciiTheme="minorHAnsi" w:eastAsiaTheme="minorHAnsi" w:hAnsiTheme="minorHAnsi"/>
                <w:sz w:val="20"/>
                <w:lang w:val="hr-HR"/>
              </w:rPr>
              <w:t>Nacionalno koordinacijsko tijelo za energetsku učinkovitost (NKT) – edukacijske kampanje putem web portala enu.hr, koordinacija s JLP(R)S</w:t>
            </w:r>
          </w:p>
        </w:tc>
      </w:tr>
      <w:tr w:rsidR="00D93DBD" w:rsidRPr="00361664" w:rsidTr="00D93DBD">
        <w:trPr>
          <w:trHeight w:val="20"/>
        </w:trPr>
        <w:tc>
          <w:tcPr>
            <w:tcW w:w="672" w:type="pct"/>
            <w:vMerge/>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640C0B"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Tijelo za praćenje, mjerenje i verifikaciju ušteda</w:t>
            </w:r>
          </w:p>
        </w:tc>
        <w:tc>
          <w:tcPr>
            <w:tcW w:w="3486" w:type="pct"/>
            <w:vAlign w:val="center"/>
          </w:tcPr>
          <w:p w:rsidR="00D93DBD" w:rsidRPr="00361664" w:rsidRDefault="00194ED3"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eastAsiaTheme="minorHAnsi" w:hAnsiTheme="minorHAnsi"/>
                <w:sz w:val="20"/>
                <w:lang w:val="hr-HR"/>
              </w:rPr>
              <w:t>NKT</w:t>
            </w:r>
          </w:p>
        </w:tc>
      </w:tr>
      <w:tr w:rsidR="00D93DBD" w:rsidRPr="00361664" w:rsidTr="00D93DBD">
        <w:trPr>
          <w:trHeight w:val="20"/>
        </w:trPr>
        <w:tc>
          <w:tcPr>
            <w:tcW w:w="672" w:type="pct"/>
            <w:vMerge w:val="restar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Uštede energije</w:t>
            </w:r>
          </w:p>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Metoda praćenja / mjerenja ušteda energije</w:t>
            </w:r>
          </w:p>
        </w:tc>
        <w:tc>
          <w:tcPr>
            <w:tcW w:w="3486" w:type="pct"/>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Ova mjera će se pratiti putem Sustava za praćenje, </w:t>
            </w:r>
            <w:r w:rsidR="001E243B" w:rsidRPr="00361664">
              <w:rPr>
                <w:rFonts w:asciiTheme="minorHAnsi" w:hAnsiTheme="minorHAnsi"/>
                <w:sz w:val="20"/>
                <w:lang w:val="hr-HR"/>
              </w:rPr>
              <w:t>mjerenje i</w:t>
            </w:r>
            <w:r w:rsidRPr="00361664">
              <w:rPr>
                <w:rFonts w:asciiTheme="minorHAnsi" w:hAnsiTheme="minorHAnsi"/>
                <w:sz w:val="20"/>
                <w:lang w:val="hr-HR"/>
              </w:rPr>
              <w:t xml:space="preserve"> verifikaciju ušteda energije (</w:t>
            </w:r>
            <w:r w:rsidR="00154EC2" w:rsidRPr="00361664">
              <w:rPr>
                <w:rFonts w:asciiTheme="minorHAnsi" w:hAnsiTheme="minorHAnsi"/>
                <w:sz w:val="20"/>
                <w:lang w:val="hr-HR"/>
              </w:rPr>
              <w:t>SMI</w:t>
            </w:r>
            <w:r w:rsidR="00DC3DA4" w:rsidRPr="00361664">
              <w:rPr>
                <w:rFonts w:asciiTheme="minorHAnsi" w:hAnsiTheme="minorHAnsi"/>
                <w:sz w:val="20"/>
                <w:lang w:val="hr-HR"/>
              </w:rPr>
              <w:t>V)</w:t>
            </w:r>
            <w:r w:rsidR="00154EC2" w:rsidRPr="00361664">
              <w:rPr>
                <w:rFonts w:asciiTheme="minorHAnsi" w:hAnsiTheme="minorHAnsi"/>
                <w:sz w:val="20"/>
                <w:lang w:val="hr-HR"/>
              </w:rPr>
              <w:t>.</w:t>
            </w:r>
          </w:p>
        </w:tc>
      </w:tr>
      <w:tr w:rsidR="00D93DBD" w:rsidRPr="00361664" w:rsidTr="00D93DBD">
        <w:trPr>
          <w:trHeight w:val="20"/>
        </w:trPr>
        <w:tc>
          <w:tcPr>
            <w:tcW w:w="672" w:type="pct"/>
            <w:vMerge/>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A9135D" w:rsidP="00D93DBD">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Očekivane uštede energije do kraja 2019.</w:t>
            </w:r>
          </w:p>
        </w:tc>
        <w:tc>
          <w:tcPr>
            <w:tcW w:w="3486" w:type="pct"/>
            <w:vAlign w:val="center"/>
          </w:tcPr>
          <w:p w:rsidR="00D93DBD" w:rsidRPr="00361664" w:rsidRDefault="000C604F" w:rsidP="00D93DBD">
            <w:pPr>
              <w:jc w:val="both"/>
              <w:rPr>
                <w:iCs/>
                <w:sz w:val="20"/>
                <w:szCs w:val="20"/>
              </w:rPr>
            </w:pPr>
            <w:r w:rsidRPr="00361664">
              <w:rPr>
                <w:iCs/>
                <w:sz w:val="20"/>
                <w:szCs w:val="20"/>
              </w:rPr>
              <w:t>30,97</w:t>
            </w:r>
            <w:r w:rsidR="00D93DBD" w:rsidRPr="00361664">
              <w:rPr>
                <w:iCs/>
                <w:sz w:val="20"/>
                <w:szCs w:val="20"/>
              </w:rPr>
              <w:t xml:space="preserve"> TJ</w:t>
            </w:r>
          </w:p>
        </w:tc>
      </w:tr>
      <w:tr w:rsidR="00D93DBD" w:rsidRPr="00361664" w:rsidTr="00D93DBD">
        <w:trPr>
          <w:trHeight w:val="20"/>
        </w:trPr>
        <w:tc>
          <w:tcPr>
            <w:tcW w:w="672" w:type="pct"/>
            <w:vMerge/>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6805E4"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Očekivane uštede energije do kraja 2020.</w:t>
            </w:r>
          </w:p>
        </w:tc>
        <w:tc>
          <w:tcPr>
            <w:tcW w:w="3486" w:type="pct"/>
            <w:vAlign w:val="center"/>
          </w:tcPr>
          <w:p w:rsidR="00D93DBD" w:rsidRPr="00361664" w:rsidRDefault="000C604F" w:rsidP="00D93DBD">
            <w:pPr>
              <w:jc w:val="both"/>
              <w:rPr>
                <w:iCs/>
                <w:sz w:val="20"/>
                <w:szCs w:val="20"/>
              </w:rPr>
            </w:pPr>
            <w:r w:rsidRPr="00361664">
              <w:rPr>
                <w:iCs/>
                <w:sz w:val="20"/>
                <w:szCs w:val="20"/>
              </w:rPr>
              <w:t>46,45</w:t>
            </w:r>
            <w:r w:rsidR="00D93DBD" w:rsidRPr="00361664">
              <w:rPr>
                <w:iCs/>
                <w:sz w:val="20"/>
                <w:szCs w:val="20"/>
              </w:rPr>
              <w:t xml:space="preserve"> TJ</w:t>
            </w:r>
          </w:p>
        </w:tc>
      </w:tr>
      <w:tr w:rsidR="00D93DBD" w:rsidRPr="00361664" w:rsidTr="00D93DBD">
        <w:trPr>
          <w:trHeight w:val="20"/>
        </w:trPr>
        <w:tc>
          <w:tcPr>
            <w:tcW w:w="672" w:type="pct"/>
            <w:vMerge/>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Pretpostavke</w:t>
            </w:r>
          </w:p>
        </w:tc>
        <w:tc>
          <w:tcPr>
            <w:tcW w:w="3486" w:type="pct"/>
          </w:tcPr>
          <w:p w:rsidR="00E20BC1" w:rsidRPr="00361664" w:rsidRDefault="00E20BC1" w:rsidP="00E20BC1">
            <w:pPr>
              <w:pStyle w:val="Tabletext"/>
              <w:tabs>
                <w:tab w:val="left" w:pos="732"/>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Pretpostavlja se edukacija približno </w:t>
            </w:r>
            <w:r w:rsidR="000C604F" w:rsidRPr="00361664">
              <w:rPr>
                <w:rFonts w:asciiTheme="minorHAnsi" w:hAnsiTheme="minorHAnsi"/>
                <w:sz w:val="20"/>
                <w:lang w:val="hr-HR"/>
              </w:rPr>
              <w:t>2400</w:t>
            </w:r>
            <w:r w:rsidRPr="00361664">
              <w:rPr>
                <w:rFonts w:asciiTheme="minorHAnsi" w:hAnsiTheme="minorHAnsi"/>
                <w:sz w:val="20"/>
                <w:lang w:val="hr-HR"/>
              </w:rPr>
              <w:t xml:space="preserve"> vozača do kraja 2019. godine. Očekuje se da će i ovaj put najveći broj educiranih biti vozači teretnih vozila i autobusa - oko 60% od broja ukupno educiranih. </w:t>
            </w:r>
          </w:p>
          <w:p w:rsidR="00D93DBD" w:rsidRPr="00361664" w:rsidRDefault="00D93DBD" w:rsidP="00D93DBD">
            <w:pPr>
              <w:pStyle w:val="Tabletext"/>
              <w:tabs>
                <w:tab w:val="left" w:pos="1440"/>
                <w:tab w:val="left" w:pos="5040"/>
              </w:tabs>
              <w:spacing w:before="0" w:after="0" w:line="240" w:lineRule="auto"/>
              <w:rPr>
                <w:rFonts w:asciiTheme="minorHAnsi" w:hAnsiTheme="minorHAnsi"/>
                <w:iCs/>
                <w:sz w:val="20"/>
                <w:lang w:val="hr-HR"/>
              </w:rPr>
            </w:pPr>
            <w:r w:rsidRPr="00361664">
              <w:rPr>
                <w:rFonts w:asciiTheme="minorHAnsi" w:hAnsiTheme="minorHAnsi"/>
                <w:iCs/>
                <w:sz w:val="20"/>
                <w:lang w:val="hr-HR"/>
              </w:rPr>
              <w:t>P</w:t>
            </w:r>
            <w:r w:rsidR="00E20BC1" w:rsidRPr="00361664">
              <w:rPr>
                <w:rFonts w:asciiTheme="minorHAnsi" w:hAnsiTheme="minorHAnsi"/>
                <w:iCs/>
                <w:sz w:val="20"/>
                <w:lang w:val="hr-HR"/>
              </w:rPr>
              <w:t>retpostavlja se</w:t>
            </w:r>
            <w:r w:rsidRPr="00361664">
              <w:rPr>
                <w:rFonts w:asciiTheme="minorHAnsi" w:hAnsiTheme="minorHAnsi"/>
                <w:iCs/>
                <w:sz w:val="20"/>
                <w:lang w:val="hr-HR"/>
              </w:rPr>
              <w:t xml:space="preserve"> kako će 50% vozača promijeniti navike nakon tečaja te kako će prosječne uštede goriva za njih biti 7,5%. Prosječna kilometraža za vozače osobnih vozila pretpostavlja 12.000 km, za vozače teretnih vozila 38.000 km, a za vozače autobusa 54.700 km. Prosječna potrošnja goriva osobnih automobila pretpostavljena je na razini 7 l/100km uz udio od 50% automobila na dizel, a 50% na benzin, prosječna potrošnja teretnih vozila od 32,3 l/100km te za autobuse 37,2 l/100km. Vrijeme trajanja mjere je 2 godine.</w:t>
            </w:r>
          </w:p>
        </w:tc>
      </w:tr>
      <w:tr w:rsidR="00D93DBD" w:rsidRPr="00361664" w:rsidTr="00D93DBD">
        <w:trPr>
          <w:trHeight w:val="20"/>
        </w:trPr>
        <w:tc>
          <w:tcPr>
            <w:tcW w:w="672" w:type="pct"/>
            <w:vMerge/>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vAlign w:val="center"/>
          </w:tcPr>
          <w:p w:rsidR="00D93DBD" w:rsidRPr="00361664" w:rsidRDefault="00D93DBD" w:rsidP="00D93D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Preklapanja, efekt množenja, sinergija</w:t>
            </w:r>
          </w:p>
        </w:tc>
        <w:tc>
          <w:tcPr>
            <w:tcW w:w="3486" w:type="pct"/>
            <w:vAlign w:val="center"/>
          </w:tcPr>
          <w:p w:rsidR="00D93DBD" w:rsidRPr="00361664" w:rsidRDefault="00D93DBD" w:rsidP="00D93DBD">
            <w:pPr>
              <w:tabs>
                <w:tab w:val="left" w:pos="1440"/>
                <w:tab w:val="left" w:pos="5040"/>
              </w:tabs>
              <w:spacing w:after="0" w:line="240" w:lineRule="auto"/>
              <w:jc w:val="both"/>
              <w:rPr>
                <w:sz w:val="20"/>
                <w:szCs w:val="20"/>
              </w:rPr>
            </w:pPr>
            <w:r w:rsidRPr="00361664">
              <w:rPr>
                <w:sz w:val="20"/>
                <w:szCs w:val="20"/>
              </w:rPr>
              <w:t>/</w:t>
            </w:r>
          </w:p>
        </w:tc>
      </w:tr>
      <w:tr w:rsidR="00DC3DA4" w:rsidRPr="00361664" w:rsidTr="004D0AD0">
        <w:trPr>
          <w:trHeight w:val="120"/>
        </w:trPr>
        <w:tc>
          <w:tcPr>
            <w:tcW w:w="1514" w:type="pct"/>
            <w:gridSpan w:val="4"/>
            <w:tcBorders>
              <w:top w:val="single" w:sz="4" w:space="0" w:color="auto"/>
              <w:left w:val="single" w:sz="4" w:space="0" w:color="auto"/>
              <w:bottom w:val="single" w:sz="4" w:space="0" w:color="auto"/>
              <w:right w:val="single" w:sz="4" w:space="0" w:color="auto"/>
            </w:tcBorders>
            <w:shd w:val="clear" w:color="auto" w:fill="CCFFCC"/>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lastRenderedPageBreak/>
              <w:t xml:space="preserve">Naziv mjere </w:t>
            </w:r>
          </w:p>
        </w:tc>
        <w:tc>
          <w:tcPr>
            <w:tcW w:w="3486" w:type="pct"/>
            <w:tcBorders>
              <w:top w:val="single" w:sz="4" w:space="0" w:color="auto"/>
              <w:left w:val="single" w:sz="4" w:space="0" w:color="auto"/>
              <w:bottom w:val="single" w:sz="4" w:space="0" w:color="auto"/>
              <w:right w:val="single" w:sz="4" w:space="0" w:color="auto"/>
            </w:tcBorders>
            <w:shd w:val="clear" w:color="auto" w:fill="CCFFCC"/>
          </w:tcPr>
          <w:p w:rsidR="00DC3DA4" w:rsidRPr="00361664" w:rsidRDefault="00DC3DA4" w:rsidP="00651BCA">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Zakonodavna prilagodba odredbi o uspostavi infrastrukture za alternativna goriva</w:t>
            </w:r>
          </w:p>
        </w:tc>
      </w:tr>
      <w:tr w:rsidR="00DC3DA4" w:rsidRPr="00361664" w:rsidTr="004D0AD0">
        <w:trPr>
          <w:trHeight w:val="20"/>
        </w:trPr>
        <w:tc>
          <w:tcPr>
            <w:tcW w:w="1514" w:type="pct"/>
            <w:gridSpan w:val="4"/>
            <w:tcBorders>
              <w:top w:val="single" w:sz="4" w:space="0" w:color="auto"/>
              <w:left w:val="single" w:sz="4" w:space="0" w:color="auto"/>
              <w:bottom w:val="single" w:sz="4" w:space="0" w:color="auto"/>
              <w:right w:val="single" w:sz="4" w:space="0" w:color="auto"/>
            </w:tcBorders>
            <w:shd w:val="clear" w:color="auto" w:fill="auto"/>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Indeks mjere</w:t>
            </w:r>
          </w:p>
        </w:tc>
        <w:tc>
          <w:tcPr>
            <w:tcW w:w="3486" w:type="pct"/>
            <w:tcBorders>
              <w:top w:val="single" w:sz="4" w:space="0" w:color="auto"/>
              <w:left w:val="single" w:sz="4" w:space="0" w:color="auto"/>
              <w:bottom w:val="single" w:sz="4" w:space="0" w:color="auto"/>
              <w:right w:val="single" w:sz="4" w:space="0" w:color="auto"/>
            </w:tcBorders>
            <w:shd w:val="clear" w:color="auto" w:fill="auto"/>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T.2</w:t>
            </w:r>
          </w:p>
        </w:tc>
      </w:tr>
      <w:tr w:rsidR="00DC3DA4" w:rsidRPr="00361664" w:rsidTr="004D0AD0">
        <w:trPr>
          <w:trHeight w:val="20"/>
        </w:trPr>
        <w:tc>
          <w:tcPr>
            <w:tcW w:w="672" w:type="pct"/>
            <w:vMerge w:val="restart"/>
            <w:tcBorders>
              <w:top w:val="single" w:sz="4" w:space="0" w:color="auto"/>
              <w:left w:val="single" w:sz="4" w:space="0" w:color="auto"/>
              <w:bottom w:val="single" w:sz="4" w:space="0" w:color="auto"/>
              <w:right w:val="single" w:sz="4" w:space="0" w:color="auto"/>
            </w:tcBorders>
            <w:vAlign w:val="center"/>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p>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Opis</w:t>
            </w: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Kategorija</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Regulativa</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Vremenski okvir</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Početak: 2017.</w:t>
            </w:r>
          </w:p>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Kraj: 2030.</w:t>
            </w:r>
          </w:p>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Predviđene veće promjene, dopune, poboljšanja: </w:t>
            </w:r>
          </w:p>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Nova mjera</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 kratak opis</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4D0AD0">
            <w:pPr>
              <w:pStyle w:val="Tabletext"/>
              <w:tabs>
                <w:tab w:val="left" w:pos="1440"/>
                <w:tab w:val="left" w:pos="5040"/>
              </w:tabs>
              <w:spacing w:after="0" w:line="240" w:lineRule="auto"/>
              <w:rPr>
                <w:rFonts w:asciiTheme="minorHAnsi" w:hAnsiTheme="minorHAnsi"/>
                <w:sz w:val="20"/>
                <w:lang w:val="hr-HR"/>
              </w:rPr>
            </w:pPr>
            <w:r w:rsidRPr="00361664">
              <w:rPr>
                <w:rFonts w:asciiTheme="minorHAnsi" w:hAnsiTheme="minorHAnsi"/>
                <w:sz w:val="20"/>
                <w:lang w:val="hr-HR"/>
              </w:rPr>
              <w:t xml:space="preserve">Na nacionalnoj razini potrebno je donijeti zakonske i </w:t>
            </w:r>
            <w:r w:rsidR="00411708" w:rsidRPr="00361664">
              <w:rPr>
                <w:rFonts w:asciiTheme="minorHAnsi" w:hAnsiTheme="minorHAnsi"/>
                <w:sz w:val="20"/>
                <w:lang w:val="hr-HR"/>
              </w:rPr>
              <w:t>pod zakonske</w:t>
            </w:r>
            <w:r w:rsidRPr="00361664">
              <w:rPr>
                <w:rFonts w:asciiTheme="minorHAnsi" w:hAnsiTheme="minorHAnsi"/>
                <w:sz w:val="20"/>
                <w:lang w:val="hr-HR"/>
              </w:rPr>
              <w:t xml:space="preserve"> akte kojima će se urediti određivanje uvjeta priključka na elektroenergetski sustav za punionice, uvjete distribuiranja,  naplate i jediničnu cijenu alternativnih energenata koji se koriste u prometu, određivanje uvjeta punionica za ukapljeni prirodni plin i stlačeni prirodni plin (UPP i SPP). Ispunjenje ove obaveze preduvjet su daljnjeg razvoja infrastrukture alternativnih goriva. </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neposredna potrošnja</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Cestovni, željeznički i pomorski promet i unutarnja plovidba</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skupina</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Trgovačka društva vezana za infrastrukturu i prijevozne tvrtke u cestovnom,  željezničkom i pomorskom prometu i unutarnjoj plovidbi</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Regionalna primjena</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Nacionalno </w:t>
            </w:r>
          </w:p>
        </w:tc>
      </w:tr>
      <w:tr w:rsidR="00DC3DA4" w:rsidRPr="00361664" w:rsidTr="004D0AD0">
        <w:trPr>
          <w:trHeight w:val="1241"/>
        </w:trPr>
        <w:tc>
          <w:tcPr>
            <w:tcW w:w="672"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Informacije o  provedbi</w:t>
            </w: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Popis i opis aktivnosti za provođenje mjere </w:t>
            </w:r>
          </w:p>
        </w:tc>
        <w:tc>
          <w:tcPr>
            <w:tcW w:w="3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DA4" w:rsidRPr="00361664" w:rsidRDefault="00DC3DA4" w:rsidP="00CE08DD">
            <w:pPr>
              <w:pStyle w:val="Tabletext"/>
              <w:tabs>
                <w:tab w:val="left" w:pos="1440"/>
                <w:tab w:val="left" w:pos="5040"/>
              </w:tabs>
              <w:spacing w:after="0" w:line="240" w:lineRule="auto"/>
              <w:rPr>
                <w:rFonts w:asciiTheme="minorHAnsi" w:hAnsiTheme="minorHAnsi"/>
                <w:sz w:val="20"/>
                <w:lang w:val="hr-HR"/>
              </w:rPr>
            </w:pPr>
            <w:r w:rsidRPr="00361664">
              <w:rPr>
                <w:rFonts w:asciiTheme="minorHAnsi" w:hAnsiTheme="minorHAnsi"/>
                <w:sz w:val="20"/>
                <w:lang w:val="hr-HR"/>
              </w:rPr>
              <w:t>Potrebno je predvidjeti izmjene i dopune zakona koji reguliraju prometnu regulativnu na način da se propišu obaveze uspostave infrastrukture za alternativna goriva za subjekte koji upravljaju prometnom infrastrukturom, te dopune zakona koji reguliraju uvjete građenja parkirališnih prostora tako da se uvede obveza postojanja punionica alternativnim gorivima.</w:t>
            </w:r>
          </w:p>
        </w:tc>
      </w:tr>
      <w:tr w:rsidR="00DC3DA4" w:rsidRPr="00361664" w:rsidTr="004D0AD0">
        <w:trPr>
          <w:trHeight w:val="20"/>
        </w:trPr>
        <w:tc>
          <w:tcPr>
            <w:tcW w:w="672" w:type="pct"/>
            <w:vMerge w:val="restart"/>
            <w:tcBorders>
              <w:top w:val="single" w:sz="4" w:space="0" w:color="auto"/>
              <w:left w:val="single" w:sz="4" w:space="0" w:color="auto"/>
              <w:bottom w:val="single" w:sz="4" w:space="0" w:color="auto"/>
              <w:right w:val="single" w:sz="4" w:space="0" w:color="auto"/>
            </w:tcBorders>
            <w:vAlign w:val="center"/>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Financijska sredstva i izvori financiranja</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Nisu potrebna dodatna financijska sredstva, priprema zakonodavstva je rad tijela državne uprave.</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Izvršno  tijelo</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eastAsiaTheme="minorHAnsi" w:hAnsiTheme="minorHAnsi"/>
                <w:sz w:val="20"/>
                <w:lang w:val="hr-HR"/>
              </w:rPr>
              <w:t>NKT i druga tijela državne uprave: ministarstvo zaduženo za financije, ministarstvo zaduženo za prometnu infrastrukturu, ministarstvo zaduženo za energetiku, ministarstvo zaduženo za unutarnje poslove, ministarstvo zaduženo za graditeljstvo i prostorno uređenje i ministarstvo zaduženo za zaštitu okoliša, kao i odgovarajući fondovi te regulatorna tijela.</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640C0B"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Tijelo za praćenje, mjerenje i verifikaciju ušteda</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NKT </w:t>
            </w:r>
          </w:p>
        </w:tc>
      </w:tr>
      <w:tr w:rsidR="00DC3DA4" w:rsidRPr="00361664" w:rsidTr="004D0AD0">
        <w:trPr>
          <w:trHeight w:val="20"/>
        </w:trPr>
        <w:tc>
          <w:tcPr>
            <w:tcW w:w="672" w:type="pct"/>
            <w:vMerge w:val="restart"/>
            <w:tcBorders>
              <w:top w:val="single" w:sz="4" w:space="0" w:color="auto"/>
              <w:left w:val="single" w:sz="4" w:space="0" w:color="auto"/>
              <w:bottom w:val="single" w:sz="4" w:space="0" w:color="auto"/>
              <w:right w:val="single" w:sz="4" w:space="0" w:color="auto"/>
            </w:tcBorders>
            <w:vAlign w:val="center"/>
          </w:tcPr>
          <w:p w:rsidR="00DC3DA4" w:rsidRPr="00361664" w:rsidRDefault="00DC3DA4" w:rsidP="00651BCA">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Uštede energije</w:t>
            </w:r>
          </w:p>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Metoda praćenja  mjerenja ušteda energije</w:t>
            </w:r>
          </w:p>
        </w:tc>
        <w:tc>
          <w:tcPr>
            <w:tcW w:w="3486" w:type="pct"/>
            <w:tcBorders>
              <w:top w:val="single" w:sz="4" w:space="0" w:color="auto"/>
              <w:left w:val="single" w:sz="4" w:space="0" w:color="auto"/>
              <w:bottom w:val="single" w:sz="4" w:space="0" w:color="auto"/>
              <w:right w:val="single" w:sz="4" w:space="0" w:color="auto"/>
            </w:tcBorders>
            <w:vAlign w:val="center"/>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Očekivane uštede energije u 2019.</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2155B8"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Očekivani utjecaj na uštede energije za 2020.</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2155B8"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Pretpostavke</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w:t>
            </w:r>
          </w:p>
        </w:tc>
      </w:tr>
      <w:tr w:rsidR="00DC3DA4" w:rsidRPr="00361664" w:rsidTr="004D0AD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spacing w:after="0" w:line="240" w:lineRule="auto"/>
              <w:jc w:val="both"/>
              <w:rPr>
                <w:sz w:val="20"/>
                <w:szCs w:val="20"/>
                <w:lang w:eastAsia="de-DE"/>
              </w:rPr>
            </w:pPr>
          </w:p>
        </w:tc>
        <w:tc>
          <w:tcPr>
            <w:tcW w:w="842" w:type="pct"/>
            <w:gridSpan w:val="3"/>
            <w:tcBorders>
              <w:top w:val="single" w:sz="4" w:space="0" w:color="auto"/>
              <w:left w:val="single" w:sz="4" w:space="0" w:color="auto"/>
              <w:bottom w:val="single" w:sz="4" w:space="0" w:color="auto"/>
              <w:right w:val="single" w:sz="4" w:space="0" w:color="auto"/>
            </w:tcBorders>
            <w:hideMark/>
          </w:tcPr>
          <w:p w:rsidR="00DC3DA4" w:rsidRPr="00361664" w:rsidRDefault="00DC3DA4" w:rsidP="00651BC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Preklapanja, efekt množenja, sinergija</w:t>
            </w:r>
          </w:p>
        </w:tc>
        <w:tc>
          <w:tcPr>
            <w:tcW w:w="3486" w:type="pct"/>
            <w:tcBorders>
              <w:top w:val="single" w:sz="4" w:space="0" w:color="auto"/>
              <w:left w:val="single" w:sz="4" w:space="0" w:color="auto"/>
              <w:bottom w:val="single" w:sz="4" w:space="0" w:color="auto"/>
              <w:right w:val="single" w:sz="4" w:space="0" w:color="auto"/>
            </w:tcBorders>
            <w:vAlign w:val="center"/>
            <w:hideMark/>
          </w:tcPr>
          <w:p w:rsidR="00DC3DA4" w:rsidRPr="00361664" w:rsidRDefault="00DC3DA4" w:rsidP="00651BCA">
            <w:pPr>
              <w:tabs>
                <w:tab w:val="left" w:pos="1440"/>
                <w:tab w:val="left" w:pos="5040"/>
              </w:tabs>
              <w:spacing w:after="0" w:line="240" w:lineRule="auto"/>
              <w:jc w:val="both"/>
              <w:rPr>
                <w:sz w:val="20"/>
                <w:szCs w:val="20"/>
              </w:rPr>
            </w:pPr>
            <w:r w:rsidRPr="00361664">
              <w:rPr>
                <w:sz w:val="20"/>
                <w:szCs w:val="20"/>
              </w:rPr>
              <w:t>/</w:t>
            </w:r>
          </w:p>
        </w:tc>
      </w:tr>
      <w:tr w:rsidR="007D41DB" w:rsidRPr="00361664" w:rsidTr="00F60742">
        <w:trPr>
          <w:trHeight w:val="20"/>
        </w:trPr>
        <w:tc>
          <w:tcPr>
            <w:tcW w:w="1483" w:type="pct"/>
            <w:gridSpan w:val="3"/>
            <w:tcBorders>
              <w:top w:val="single" w:sz="4" w:space="0" w:color="auto"/>
              <w:left w:val="single" w:sz="4" w:space="0" w:color="auto"/>
              <w:bottom w:val="single" w:sz="4" w:space="0" w:color="auto"/>
              <w:right w:val="single" w:sz="4" w:space="0" w:color="auto"/>
            </w:tcBorders>
            <w:shd w:val="clear" w:color="auto" w:fill="CCFFCC"/>
          </w:tcPr>
          <w:p w:rsidR="007D41DB" w:rsidRPr="00361664" w:rsidRDefault="007D41DB" w:rsidP="00B34CA2">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lastRenderedPageBreak/>
              <w:t xml:space="preserve">Naziv mjere </w:t>
            </w:r>
          </w:p>
        </w:tc>
        <w:tc>
          <w:tcPr>
            <w:tcW w:w="3517" w:type="pct"/>
            <w:gridSpan w:val="2"/>
            <w:tcBorders>
              <w:top w:val="single" w:sz="4" w:space="0" w:color="auto"/>
              <w:left w:val="single" w:sz="4" w:space="0" w:color="auto"/>
              <w:bottom w:val="single" w:sz="4" w:space="0" w:color="auto"/>
              <w:right w:val="single" w:sz="4" w:space="0" w:color="auto"/>
            </w:tcBorders>
            <w:shd w:val="clear" w:color="auto" w:fill="CCFFCC"/>
          </w:tcPr>
          <w:p w:rsidR="007D41DB" w:rsidRPr="00361664" w:rsidRDefault="007D41DB" w:rsidP="00B34CA2">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Promicanje integriranog i inteligentnog prometa i razvoj infrastrukture za alternativna goriva na lokalnoj i područnoj razini</w:t>
            </w:r>
          </w:p>
        </w:tc>
      </w:tr>
      <w:tr w:rsidR="007D41DB" w:rsidRPr="00361664" w:rsidTr="006569E5">
        <w:trPr>
          <w:trHeight w:val="20"/>
        </w:trPr>
        <w:tc>
          <w:tcPr>
            <w:tcW w:w="148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D41DB" w:rsidRPr="00361664" w:rsidRDefault="007D41DB" w:rsidP="00B34CA2">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Indeks mjere</w:t>
            </w:r>
          </w:p>
        </w:tc>
        <w:tc>
          <w:tcPr>
            <w:tcW w:w="351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D41DB" w:rsidRPr="00361664" w:rsidRDefault="007D41DB" w:rsidP="00B34CA2">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T.3</w:t>
            </w:r>
          </w:p>
        </w:tc>
      </w:tr>
      <w:tr w:rsidR="007D41DB" w:rsidRPr="00361664" w:rsidTr="00F60742">
        <w:trPr>
          <w:trHeight w:val="20"/>
        </w:trPr>
        <w:tc>
          <w:tcPr>
            <w:tcW w:w="686" w:type="pct"/>
            <w:gridSpan w:val="2"/>
            <w:vMerge w:val="restar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Opis</w:t>
            </w: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Kategorija</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Informacijska i organizacijska mjera, infrastruktura</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Vremenski okvir</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Početak: 2014.</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Kraj: 2030.</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Mjera je spoj mjera T.4 i T.8 iz 3. NAPEnU te nove mjere, uz veće promjene, dopune i poboljšanja.</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 kratak opis</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Prometne gužve postaju sve veći problem u gradovima, koji značajno utječe na nepotrebno povećanu potrošnju goriva. Stoga je potrebno promovirati održivi razvoj gradskih prometnih sustava i to kroz:</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Optimiranje logistike prijevoza tereta te inteligentno upravljanje javnim parkirnim površinama (ICT tehnologije)</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Uvođenje integriranog prijevoza putnika</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Uvođenje car-sharing sheme u gradovima</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Uvođenje sustava javnih gradskih bicikala i izgradnja pripadajuće biciklističke infrastrukture</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Inteligentno upravljanje u prometu</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Uz mjere promicanja infrastrukture za alternativna goriva na nacionalnoj razini, preporučen je i niz mjera na lokalnoj razini:</w:t>
            </w:r>
          </w:p>
          <w:p w:rsidR="007D41DB" w:rsidRPr="00361664" w:rsidRDefault="007D41DB" w:rsidP="00CD00FF">
            <w:pPr>
              <w:pStyle w:val="Tabletext"/>
              <w:numPr>
                <w:ilvl w:val="0"/>
                <w:numId w:val="42"/>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Razvoj infrastrukture za alternativna goriva na lokalnoj i područnoj razini</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neposredna potrošnja</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Cestovna vozila</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skupina</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Vozači</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Regionalna primjena</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Gradska/Nacionalna</w:t>
            </w:r>
          </w:p>
        </w:tc>
      </w:tr>
      <w:tr w:rsidR="007D41DB" w:rsidRPr="00361664" w:rsidTr="00F60742">
        <w:trPr>
          <w:trHeight w:val="20"/>
        </w:trPr>
        <w:tc>
          <w:tcPr>
            <w:tcW w:w="686" w:type="pct"/>
            <w:gridSpan w:val="2"/>
            <w:vMerge w:val="restar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4Informacije o  provedbi</w:t>
            </w: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Popis i opis aktivnosti za provođenje mjere </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Veliki gradovi (s više od 35.000 stanovnika) i sve županije trebaju u svoje Akcijske planove uvrstiti i mjere iz područja promicanja integriranog i inteligentnog prometa. U nastavku su definirane predložene mjere/aktivnosti.</w:t>
            </w:r>
          </w:p>
          <w:p w:rsidR="007D41DB" w:rsidRPr="00361664" w:rsidRDefault="007D41DB" w:rsidP="00B34CA2">
            <w:pPr>
              <w:pStyle w:val="Tabletext"/>
              <w:tabs>
                <w:tab w:val="left" w:pos="1440"/>
                <w:tab w:val="left" w:pos="5040"/>
              </w:tabs>
              <w:spacing w:before="0" w:after="0" w:line="240" w:lineRule="auto"/>
              <w:ind w:left="720"/>
              <w:rPr>
                <w:rFonts w:asciiTheme="minorHAnsi" w:hAnsiTheme="minorHAnsi"/>
                <w:sz w:val="20"/>
                <w:lang w:val="hr-HR"/>
              </w:rPr>
            </w:pP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Optimiranje logistike prijevoza tereta </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Optimiranje logistike prijevoza tereta poseban je izazov s obzirom na specifičnosti konfiguracije urbanog terena, lokalne potrebe tržišta i navike opskrbljivača. Kako bi se aktivno doprinijelo povećanju energetske učinkovitosti u procesu urbane logistike prijevoza tereta, mjerom će se prvenstveno definirati smjernice za povećanje učinkovitosti u prijevozu tereta na osnovu kojih će se krenuti sa provedbom edukacije operatora</w:t>
            </w:r>
            <w:r w:rsidR="00103DCB" w:rsidRPr="00361664">
              <w:rPr>
                <w:rFonts w:asciiTheme="minorHAnsi" w:hAnsiTheme="minorHAnsi"/>
                <w:sz w:val="20"/>
                <w:lang w:val="hr-HR"/>
              </w:rPr>
              <w:t xml:space="preserve"> flota</w:t>
            </w:r>
            <w:r w:rsidRPr="00361664">
              <w:rPr>
                <w:rFonts w:asciiTheme="minorHAnsi" w:hAnsiTheme="minorHAnsi"/>
                <w:sz w:val="20"/>
                <w:lang w:val="hr-HR"/>
              </w:rPr>
              <w:t xml:space="preserve"> dostavnih vozila. Gradovi pripremaju smjernice za prijevoznike sa svojim područja kojima se optimira vrijeme ulaska teretnih i dostavnih vozila u gradska središta. Na ovaj način poboljšava se propusnost i smanjuju gužve posebno u vršim jutarnjim terminima opterećenja.</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FZOEU će osigurati sredstva u obliku subvencije (iz alokacije sredstava dobivenih od emisijskih jedinica) za </w:t>
            </w:r>
            <w:r w:rsidR="003B2843" w:rsidRPr="00361664">
              <w:rPr>
                <w:rFonts w:asciiTheme="minorHAnsi" w:hAnsiTheme="minorHAnsi"/>
                <w:sz w:val="20"/>
                <w:lang w:val="hr-HR"/>
              </w:rPr>
              <w:t>10-ak većih</w:t>
            </w:r>
            <w:r w:rsidRPr="00361664">
              <w:rPr>
                <w:rFonts w:asciiTheme="minorHAnsi" w:hAnsiTheme="minorHAnsi"/>
                <w:sz w:val="20"/>
                <w:lang w:val="hr-HR"/>
              </w:rPr>
              <w:t xml:space="preserve"> gradova RH. Gradovi mogu koristiti ova sredstva za izradu stručnih analiza u svrhu optimiziranje gradske logistike prijevoza tereta.</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Uvođenje integriranog i održivog prijevoza putnika</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Potrebno je motivirati  JLP(R)S (s naglaskom na velike gradove) da potiču putnike u korištenju javnog gradskog prijevoza te u kombiniranju različitih sustava/modaliteta javnog gradskog prijevoza. Cilj je da čim veći broj putnika gradskog i prigradskog prometa prelazi s osobnih automobila na kombinirane </w:t>
            </w:r>
            <w:r w:rsidRPr="00361664">
              <w:rPr>
                <w:rFonts w:asciiTheme="minorHAnsi" w:hAnsiTheme="minorHAnsi"/>
                <w:sz w:val="20"/>
                <w:lang w:val="hr-HR"/>
              </w:rPr>
              <w:lastRenderedPageBreak/>
              <w:t xml:space="preserve">sustave javnog gradskog prijevoza. Nacionalno koordinacijsko tijelo za energetske učinkovitosti potiče gradove da pri izradi i provedbi planskih dokumenata energetske učinkovitosti promoviraju i aktivno se posvećuju </w:t>
            </w:r>
            <w:r w:rsidR="00411708" w:rsidRPr="00361664">
              <w:rPr>
                <w:rFonts w:asciiTheme="minorHAnsi" w:hAnsiTheme="minorHAnsi"/>
                <w:sz w:val="20"/>
                <w:lang w:val="hr-HR"/>
              </w:rPr>
              <w:t>rješavanju</w:t>
            </w:r>
            <w:r w:rsidRPr="00361664">
              <w:rPr>
                <w:rFonts w:asciiTheme="minorHAnsi" w:hAnsiTheme="minorHAnsi"/>
                <w:sz w:val="20"/>
                <w:lang w:val="hr-HR"/>
              </w:rPr>
              <w:t xml:space="preserve"> ove problematike. </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Kroz Godišnje planove, Akcijske planove i izvješća gradovi samostalno razvijaju i </w:t>
            </w:r>
            <w:r w:rsidR="00411708" w:rsidRPr="00361664">
              <w:rPr>
                <w:rFonts w:asciiTheme="minorHAnsi" w:hAnsiTheme="minorHAnsi"/>
                <w:sz w:val="20"/>
                <w:lang w:val="hr-HR"/>
              </w:rPr>
              <w:t>unaprjeđuju</w:t>
            </w:r>
            <w:r w:rsidRPr="00361664">
              <w:rPr>
                <w:rFonts w:asciiTheme="minorHAnsi" w:hAnsiTheme="minorHAnsi"/>
                <w:sz w:val="20"/>
                <w:lang w:val="hr-HR"/>
              </w:rPr>
              <w:t xml:space="preserve"> javne gradske prometne servise i infrastrukturu u suradnji s NKT-om.</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Primjeri aktivnosti u svrhu integriranog i održivog prijevoza putnika:</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Uvođenje opcije kupovine jedne povoljnije karte koja će se moći koristiti za sav javni gradski prijevoz i ostale gradske servise prijevoza putnika</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Omogućiti informacije o statusu dostupnih servisa javnog gradskog prometa putem ICT tehnologija i/ili na „mjestu korištenja“ (stajališta autobusa, tramvaja, parkirališta za bicikle i sl.)</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Daljnji razvoj gradske i prigradske mreže dostupne širem krugu korisnika (autobusne, tramvajske, željezničke linije i biciklističke staze i osigurana parkirališta za bicikle)</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Ostale mjere koje doprinose motivaciji korisnika za prelazak sa osobnih vozila na sustave javnog gradskog prometa (</w:t>
            </w:r>
            <w:r w:rsidR="00411708" w:rsidRPr="00361664">
              <w:rPr>
                <w:rFonts w:asciiTheme="minorHAnsi" w:hAnsiTheme="minorHAnsi"/>
                <w:sz w:val="20"/>
                <w:lang w:val="hr-HR"/>
              </w:rPr>
              <w:t>omogućuju</w:t>
            </w:r>
            <w:r w:rsidRPr="00361664">
              <w:rPr>
                <w:rFonts w:asciiTheme="minorHAnsi" w:hAnsiTheme="minorHAnsi"/>
                <w:sz w:val="20"/>
                <w:lang w:val="hr-HR"/>
              </w:rPr>
              <w:t xml:space="preserve"> jeftinije, brže, lakše i efikasniji javni gradski prijevoz)</w:t>
            </w:r>
          </w:p>
          <w:p w:rsidR="007D41DB" w:rsidRPr="00361664" w:rsidRDefault="007D41DB" w:rsidP="00B34CA2">
            <w:pPr>
              <w:pStyle w:val="Tabletext"/>
              <w:tabs>
                <w:tab w:val="left" w:pos="897"/>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Gradovi mogu za pojedine projekte tražiti/ugovarati direktnu pomoć od FZOEU ukoliko se to pokaže opravdano (kroz dokaz</w:t>
            </w:r>
            <w:r w:rsidR="004D0AD0">
              <w:rPr>
                <w:rFonts w:asciiTheme="minorHAnsi" w:hAnsiTheme="minorHAnsi"/>
                <w:sz w:val="20"/>
                <w:lang w:val="hr-HR"/>
              </w:rPr>
              <w:t>ivu uštedu energije i CO2). FZOE</w:t>
            </w:r>
            <w:r w:rsidRPr="00361664">
              <w:rPr>
                <w:rFonts w:asciiTheme="minorHAnsi" w:hAnsiTheme="minorHAnsi"/>
                <w:sz w:val="20"/>
                <w:lang w:val="hr-HR"/>
              </w:rPr>
              <w:t xml:space="preserve">U će za ovu svrhu osigurati oko 1.000.000 kn ukupno za razdoblje 4. NAPEnU. </w:t>
            </w:r>
          </w:p>
          <w:p w:rsidR="007D41DB" w:rsidRPr="00361664" w:rsidRDefault="007D41DB" w:rsidP="00B34CA2">
            <w:pPr>
              <w:pStyle w:val="Tabletext"/>
              <w:tabs>
                <w:tab w:val="left" w:pos="897"/>
                <w:tab w:val="left" w:pos="5040"/>
              </w:tabs>
              <w:spacing w:before="0" w:after="0" w:line="240" w:lineRule="auto"/>
              <w:rPr>
                <w:rFonts w:asciiTheme="minorHAnsi" w:hAnsiTheme="minorHAnsi"/>
                <w:sz w:val="20"/>
                <w:lang w:val="hr-HR"/>
              </w:rPr>
            </w:pP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Inteligentno upravljanje u prometu</w:t>
            </w:r>
          </w:p>
          <w:p w:rsidR="007D41DB" w:rsidRPr="00361664" w:rsidRDefault="007D41DB" w:rsidP="00B34CA2">
            <w:pPr>
              <w:pStyle w:val="Tabletext"/>
              <w:tabs>
                <w:tab w:val="left" w:pos="1440"/>
                <w:tab w:val="left" w:pos="5040"/>
              </w:tabs>
              <w:spacing w:before="0" w:after="0" w:line="240" w:lineRule="auto"/>
              <w:rPr>
                <w:rFonts w:asciiTheme="minorHAnsi" w:hAnsiTheme="minorHAnsi"/>
                <w:color w:val="000000" w:themeColor="text1"/>
                <w:sz w:val="20"/>
                <w:lang w:val="hr-HR"/>
              </w:rPr>
            </w:pPr>
            <w:r w:rsidRPr="00361664">
              <w:rPr>
                <w:rFonts w:asciiTheme="minorHAnsi" w:hAnsiTheme="minorHAnsi"/>
                <w:color w:val="000000" w:themeColor="text1"/>
                <w:sz w:val="20"/>
                <w:lang w:val="hr-HR"/>
              </w:rPr>
              <w:t>Uvođenje naprednih tehnologija u regulaciji i upravljanju prometom doprinosi smanjenju primarne potrošnje energije, kao i emisije ugljičnog dioksida i ostalih štetnih plinova. Neke od predloženih aktivnosti uvođenja inteligentnog upravljanja u prometu uključuju:</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color w:val="000000" w:themeColor="text1"/>
                <w:sz w:val="20"/>
                <w:lang w:val="hr-HR"/>
              </w:rPr>
            </w:pPr>
            <w:r w:rsidRPr="00361664">
              <w:rPr>
                <w:rFonts w:asciiTheme="minorHAnsi" w:hAnsiTheme="minorHAnsi"/>
                <w:color w:val="000000" w:themeColor="text1"/>
                <w:sz w:val="20"/>
                <w:lang w:val="hr-HR"/>
              </w:rPr>
              <w:t>Nadogradnju, prilagodbu i zamjenu zastarjelih signalnih uređaja i opreme,</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color w:val="000000" w:themeColor="text1"/>
                <w:sz w:val="20"/>
                <w:lang w:val="hr-HR"/>
              </w:rPr>
            </w:pPr>
            <w:r w:rsidRPr="00361664">
              <w:rPr>
                <w:rFonts w:asciiTheme="minorHAnsi" w:hAnsiTheme="minorHAnsi"/>
                <w:color w:val="000000" w:themeColor="text1"/>
                <w:sz w:val="20"/>
                <w:lang w:val="hr-HR"/>
              </w:rPr>
              <w:t>Ugradnju napredne prometne opreme i inteligentnih semafora opremljenih autonomnim sustavom napajanja iz obnovljivih izvora (sunce, vjetar),</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color w:val="000000" w:themeColor="text1"/>
                <w:sz w:val="20"/>
                <w:lang w:val="hr-HR"/>
              </w:rPr>
            </w:pPr>
            <w:r w:rsidRPr="00361664">
              <w:rPr>
                <w:rFonts w:asciiTheme="minorHAnsi" w:hAnsiTheme="minorHAnsi"/>
                <w:color w:val="000000" w:themeColor="text1"/>
                <w:sz w:val="20"/>
                <w:lang w:val="hr-HR"/>
              </w:rPr>
              <w:t>Izgradnja i opremanje središnjih operativnih centara za nadzor i upravljanje raskrižjima s postavljenim semaforima,</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color w:val="000000" w:themeColor="text1"/>
                <w:sz w:val="20"/>
                <w:lang w:val="hr-HR"/>
              </w:rPr>
            </w:pPr>
            <w:r w:rsidRPr="00361664">
              <w:rPr>
                <w:rFonts w:asciiTheme="minorHAnsi" w:hAnsiTheme="minorHAnsi"/>
                <w:color w:val="000000" w:themeColor="text1"/>
                <w:sz w:val="20"/>
                <w:lang w:val="hr-HR"/>
              </w:rPr>
              <w:t>Povezivanje s postojećim i budućim sustavima napredne regulacije križanja opremljenih inteligentnim semaforima u gradu (sustavi napredne regulacije križanja opremljenih inteligentnim semaforima).</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color w:val="000000" w:themeColor="text1"/>
                <w:sz w:val="20"/>
                <w:lang w:val="hr-HR"/>
              </w:rPr>
            </w:pPr>
            <w:r w:rsidRPr="00361664">
              <w:rPr>
                <w:rFonts w:asciiTheme="minorHAnsi" w:hAnsiTheme="minorHAnsi"/>
                <w:sz w:val="20"/>
                <w:lang w:val="hr-HR"/>
              </w:rPr>
              <w:t>inteligentno upravljanje javnim parkirnim površinama (ICT tehnologije)uspostava jednostavnog praćenja trenutne raspoloživosti parkirnih mjesta na javnim parkirnim površinama i garažama.</w:t>
            </w:r>
          </w:p>
          <w:p w:rsidR="007D41DB" w:rsidRPr="00361664" w:rsidRDefault="007D41DB" w:rsidP="00B34CA2">
            <w:pPr>
              <w:pStyle w:val="Tabletext"/>
              <w:spacing w:before="0" w:after="0" w:line="240" w:lineRule="auto"/>
              <w:rPr>
                <w:rFonts w:ascii="Calibri" w:hAnsi="Calibri" w:cs="Calibri"/>
                <w:color w:val="000000"/>
                <w:sz w:val="20"/>
                <w:lang w:val="hr-HR"/>
              </w:rPr>
            </w:pPr>
            <w:r w:rsidRPr="00361664">
              <w:rPr>
                <w:rFonts w:ascii="Calibri" w:hAnsi="Calibri" w:cs="Calibri"/>
                <w:color w:val="000000"/>
                <w:sz w:val="20"/>
                <w:lang w:val="hr-HR"/>
              </w:rPr>
              <w:t>Implementacija ove mjere će rezultirati povećanjem protočnosti individualnog prometa, ubrzanjem javnog gradskog prometa, smanjenjem potrošnje goriva i pripadajućih emisija CO</w:t>
            </w:r>
            <w:r w:rsidRPr="00361664">
              <w:rPr>
                <w:rFonts w:ascii="Calibri" w:hAnsi="Calibri" w:cs="Calibri"/>
                <w:color w:val="000000"/>
                <w:sz w:val="20"/>
                <w:vertAlign w:val="subscript"/>
                <w:lang w:val="hr-HR"/>
              </w:rPr>
              <w:t>2</w:t>
            </w:r>
            <w:r w:rsidRPr="00361664">
              <w:rPr>
                <w:rFonts w:ascii="Calibri" w:hAnsi="Calibri" w:cs="Calibri"/>
                <w:color w:val="000000"/>
                <w:sz w:val="20"/>
                <w:lang w:val="hr-HR"/>
              </w:rPr>
              <w:t xml:space="preserve"> te će se znatno rasteretiti prometnice. Na ovaj način može se značajno smanjiti potrošnja goriva primjerice ugrađivanjem vizualnog indikatora trajanja faze crvenog svijetla podignut će se svijest vozača o mogućnostima donošenja odluke vezane uz gašenje motora tijekom čekanja u koloni ispred raskrižja, dok će izgradnjom i </w:t>
            </w:r>
            <w:r w:rsidRPr="00361664">
              <w:rPr>
                <w:rFonts w:ascii="Calibri" w:hAnsi="Calibri" w:cs="Calibri"/>
                <w:color w:val="000000"/>
                <w:sz w:val="20"/>
                <w:lang w:val="hr-HR"/>
              </w:rPr>
              <w:lastRenderedPageBreak/>
              <w:t xml:space="preserve">opremanjem operativnog centra za nadzor </w:t>
            </w:r>
            <w:r w:rsidRPr="00361664">
              <w:rPr>
                <w:rFonts w:ascii="Calibri" w:hAnsi="Calibri" w:cs="Calibri"/>
                <w:sz w:val="20"/>
                <w:lang w:val="hr-HR"/>
              </w:rPr>
              <w:t xml:space="preserve">odnosno automatiziranim i inteligentnim </w:t>
            </w:r>
            <w:r w:rsidRPr="00361664">
              <w:rPr>
                <w:rFonts w:ascii="Calibri" w:hAnsi="Calibri" w:cs="Calibri"/>
                <w:color w:val="000000"/>
                <w:sz w:val="20"/>
                <w:lang w:val="hr-HR"/>
              </w:rPr>
              <w:t>upravljanje</w:t>
            </w:r>
            <w:r w:rsidRPr="00361664">
              <w:rPr>
                <w:rFonts w:ascii="Calibri" w:hAnsi="Calibri" w:cs="Calibri"/>
                <w:sz w:val="20"/>
                <w:lang w:val="hr-HR"/>
              </w:rPr>
              <w:t>m prometom</w:t>
            </w:r>
            <w:r w:rsidRPr="00361664">
              <w:rPr>
                <w:rFonts w:ascii="Calibri" w:hAnsi="Calibri" w:cs="Calibri"/>
                <w:color w:val="000000"/>
                <w:sz w:val="20"/>
                <w:lang w:val="hr-HR"/>
              </w:rPr>
              <w:t xml:space="preserve"> u slučaju prometne nezgode</w:t>
            </w:r>
            <w:r w:rsidRPr="00361664">
              <w:rPr>
                <w:rFonts w:ascii="Calibri" w:hAnsi="Calibri" w:cs="Calibri"/>
                <w:sz w:val="20"/>
                <w:lang w:val="hr-HR"/>
              </w:rPr>
              <w:t xml:space="preserve"> i dnevnih zahtjeva</w:t>
            </w:r>
            <w:r w:rsidRPr="00361664">
              <w:rPr>
                <w:rFonts w:ascii="Calibri" w:hAnsi="Calibri" w:cs="Calibri"/>
                <w:color w:val="000000"/>
                <w:sz w:val="20"/>
                <w:lang w:val="hr-HR"/>
              </w:rPr>
              <w:t xml:space="preserve"> lako će se moći preusmjeriti promet te tako smanjiti gužve i potrošnja. </w:t>
            </w:r>
          </w:p>
          <w:p w:rsidR="007D41DB" w:rsidRPr="00361664" w:rsidRDefault="007D41DB" w:rsidP="00B34CA2">
            <w:pPr>
              <w:pStyle w:val="Tabletext"/>
              <w:tabs>
                <w:tab w:val="left" w:pos="1440"/>
                <w:tab w:val="left" w:pos="5040"/>
              </w:tabs>
              <w:spacing w:before="0" w:after="0" w:line="240" w:lineRule="auto"/>
              <w:ind w:left="360"/>
              <w:rPr>
                <w:rFonts w:asciiTheme="minorHAnsi" w:hAnsiTheme="minorHAnsi"/>
                <w:sz w:val="20"/>
                <w:lang w:val="hr-HR"/>
              </w:rPr>
            </w:pP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Uvođenje Car Sharing sheme </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Iskustvo DČ EU pokazalo je da jedno vozilo u Car Sharing shemi zamjenjuje 4-8 normalnih(osobnih) vozila na prometnicama. Za potrebe realizacije Car Sharing sheme, kao jedne od mjera za povećanje energetske učinkovitosti u prometu. Predlaže se sukcesivno uvođenje do 100 električnih i/ili plug-in hibridnih vozila godišnje u shemu u najvećim gradovima zaključno do 2020. godine. FZOEU će sufinancirati Car Sharing sheme sa isključivo električnim i plug-in hibridnim vozilima. Ova mjera ima i posredan utjecaj na okoliš i: manji broj vozila na prometnicama, manje opterećenje na parkiralištima u središtima gradova, smanjenje onečišćujućih tvari u okoliš, smanjenje potrošnje goriva (posebno fosilnih). </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Uvođenje sustava javnih gradskih bicikala i nabava biciklističke parkirne infrastrukture </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uvođenja sustava javnih gradskih bicikala je građanima urbanih sredina pružiti alternativno rješenje mobilnosti, koje će direktno pozitivno utjecati na izbjegavanje potrošnje fosilnih goriva, smanjenje ekološkog opterećenja okoliša, smanjenje prometnog opterećenja kao i sveukupnom povećanju kvalitete života građana kroz povećanu fizičku aktivnost. U proteklom razdoblju uspostavljena je infrastruktura sustava javnih gradskih bicikala u 10 gradova u RH. Ukupno je dostupno 283 bicikala, odnosno 44 terminala u gradovima: Zagreb, Ivanić Grad, Slavonski Brod, Karlovac, Brinje, Gospić, Zadar, Šibenik, Makarska, Lastovo.</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Planirano je da do 2019. godine bude javno dostupno oko 700 bicikala, odnosno oko 100 terminala na području RH. Daljnji razvoj sustava javnih bicikala mora biti na otvaranju i izgradnji dodatnih terminala/lokacija prvenstveno u većim gradovima RH, odnosno prvenstveno kao nadopuna javnom prijevozu, a ne kao dodatna turistička usluga. Ovakvi sustavi su najiskoristiviji i imaju najveći učinak na potrošnju i smanjenje onečišćenja upravo u većim urbanim mjestima gdje zamjenjuju osobna vozila i nadopunjuju ostale sustave javnog prijevoza. Potrebno je uvesti oko 400 novih javnih gradskih bicikala na oko 70 novih lokacija u vremenskom razdoblju 4. NAPEnU.</w:t>
            </w:r>
          </w:p>
          <w:p w:rsidR="007D41DB" w:rsidRPr="00361664" w:rsidRDefault="007D41DB" w:rsidP="00B34CA2">
            <w:pPr>
              <w:pStyle w:val="Tabletext"/>
              <w:spacing w:before="0" w:after="0" w:line="240" w:lineRule="auto"/>
              <w:rPr>
                <w:rFonts w:ascii="Calibri" w:eastAsiaTheme="minorHAnsi" w:hAnsi="Calibri" w:cs="Calibri"/>
                <w:color w:val="000000"/>
                <w:sz w:val="20"/>
                <w:lang w:val="hr-HR"/>
              </w:rPr>
            </w:pPr>
          </w:p>
          <w:p w:rsidR="007D41DB" w:rsidRPr="00361664" w:rsidRDefault="007D41DB" w:rsidP="00CD00FF">
            <w:pPr>
              <w:pStyle w:val="Tabletext"/>
              <w:numPr>
                <w:ilvl w:val="0"/>
                <w:numId w:val="40"/>
              </w:numPr>
              <w:tabs>
                <w:tab w:val="left" w:pos="897"/>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Razvoj infrastrukture za alternativna goriva na lokalnoj i područnoj razini</w:t>
            </w:r>
          </w:p>
          <w:p w:rsidR="007D41DB" w:rsidRPr="00361664" w:rsidRDefault="007D41DB" w:rsidP="00B34CA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Potrebno je potaknuti jedinice lokalne i regionalne samouprave na uključivanje mjera za razvoj infrastrukture za alternativna goriva u svoje Akcijske i Godišnje planove energetske učinkovitosti.</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Calibri" w:hAnsi="Calibri"/>
                <w:sz w:val="20"/>
                <w:lang w:val="hr-HR"/>
              </w:rPr>
              <w:t>Neke od predloženih aktivnosti za razvoj infrastrukture</w:t>
            </w:r>
            <w:r w:rsidRPr="00361664">
              <w:rPr>
                <w:rFonts w:asciiTheme="minorHAnsi" w:hAnsiTheme="minorHAnsi"/>
                <w:sz w:val="20"/>
                <w:lang w:val="hr-HR"/>
              </w:rPr>
              <w:t xml:space="preserve"> za alternativna goriva na lokalnoj i područnoj razini:</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Parkirna mjesta</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Potrebno je uvesti mogućnost povlaštenog parkiranja za vozila nultih emisija ili ograničavanje pristupa parkirnom mjestu vozilima s motorima na unutarnje izgaranje. Za potrebe provođenja mjere, potrebno će biti definirati smjernice na osnovu kojih bi se mogle donositi odluke o izuzećima ili popustima za korištenje usluge javnog parkirališta za ekološki prihvatljivija vozila. </w:t>
            </w:r>
          </w:p>
          <w:p w:rsidR="007D41DB" w:rsidRPr="00361664" w:rsidRDefault="007D41DB" w:rsidP="00CD00FF">
            <w:pPr>
              <w:pStyle w:val="Tabletext"/>
              <w:numPr>
                <w:ilvl w:val="0"/>
                <w:numId w:val="41"/>
              </w:numPr>
              <w:tabs>
                <w:tab w:val="left" w:pos="897"/>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Zone čistog prometa</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Slično kao kod uvođenja povlaštenog parkinga za vozila nultih emisija, </w:t>
            </w:r>
            <w:r w:rsidRPr="00361664">
              <w:rPr>
                <w:rFonts w:asciiTheme="minorHAnsi" w:hAnsiTheme="minorHAnsi"/>
                <w:sz w:val="20"/>
                <w:lang w:val="hr-HR"/>
              </w:rPr>
              <w:lastRenderedPageBreak/>
              <w:t xml:space="preserve">predlaže se uvođenje zabrane prometa svih vozila osim onih nultih emisija kroz centralne dijelove gradova, a u dijelovima gradova gdje je sada uvedena zabrana svim vozilima osim vozila javnog pometa dozvoliti prometovanje vozilima nultih emisija. </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Financijska sredstva i izvori financiranja</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JLP(R)S - Proračuni JLP(R)S, EU fondovi – ovisno o planovima i projektima JLP(R)S-a</w:t>
            </w:r>
          </w:p>
          <w:p w:rsidR="007D41DB" w:rsidRPr="00361664" w:rsidRDefault="007D41DB" w:rsidP="00B34CA2">
            <w:pPr>
              <w:pStyle w:val="Tabletext"/>
              <w:tabs>
                <w:tab w:val="left" w:pos="1440"/>
                <w:tab w:val="left" w:pos="5040"/>
              </w:tabs>
              <w:spacing w:before="0" w:after="0" w:line="240" w:lineRule="auto"/>
              <w:rPr>
                <w:rFonts w:ascii="Calibri" w:hAnsi="Calibri"/>
                <w:sz w:val="20"/>
                <w:lang w:val="hr-HR"/>
              </w:rPr>
            </w:pPr>
          </w:p>
          <w:p w:rsidR="007D41DB" w:rsidRPr="00361664" w:rsidRDefault="00A972EA" w:rsidP="00F8315E">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FZOEU </w:t>
            </w:r>
            <w:r w:rsidRPr="00361664">
              <w:rPr>
                <w:sz w:val="20"/>
                <w:lang w:val="hr-HR"/>
              </w:rPr>
              <w:t xml:space="preserve">- </w:t>
            </w:r>
            <w:r w:rsidRPr="00361664">
              <w:rPr>
                <w:rFonts w:asciiTheme="minorHAnsi" w:hAnsiTheme="minorHAnsi"/>
                <w:sz w:val="20"/>
                <w:lang w:val="hr-HR"/>
              </w:rPr>
              <w:t>financiranje sredstvima stečenim od prodaje emisijskih jedinica putem dražbe na sustavu trgovanja emisijskim jedinicama EU-a temeljem Zakona o zaštiti zraka (</w:t>
            </w:r>
            <w:r w:rsidR="00C44613" w:rsidRPr="00361664">
              <w:rPr>
                <w:rFonts w:asciiTheme="minorHAnsi" w:hAnsiTheme="minorHAnsi"/>
                <w:sz w:val="20"/>
                <w:lang w:val="hr-HR"/>
              </w:rPr>
              <w:t>NN 130/11, 47/14, 61/17</w:t>
            </w:r>
            <w:r w:rsidR="00F8315E" w:rsidRPr="00361664">
              <w:rPr>
                <w:rFonts w:asciiTheme="minorHAnsi" w:hAnsiTheme="minorHAnsi"/>
                <w:sz w:val="20"/>
                <w:lang w:val="hr-HR"/>
              </w:rPr>
              <w:t>) u iznosu 21.242.900</w:t>
            </w:r>
            <w:r w:rsidR="007D41DB" w:rsidRPr="00361664">
              <w:rPr>
                <w:rFonts w:asciiTheme="minorHAnsi" w:hAnsiTheme="minorHAnsi"/>
                <w:sz w:val="20"/>
                <w:lang w:val="hr-HR"/>
              </w:rPr>
              <w:t>,00 kuna za razdoblje</w:t>
            </w:r>
            <w:r w:rsidR="00A03F6F" w:rsidRPr="00361664">
              <w:rPr>
                <w:rFonts w:asciiTheme="minorHAnsi" w:hAnsiTheme="minorHAnsi"/>
                <w:sz w:val="20"/>
                <w:lang w:val="hr-HR"/>
              </w:rPr>
              <w:t xml:space="preserve"> do kraja 2019. godine.</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Izvršno  tijelo</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FZOEU (sufinanciranje i raspisivanje natječaja)</w:t>
            </w:r>
            <w:r w:rsidRPr="00361664">
              <w:rPr>
                <w:rFonts w:asciiTheme="minorHAnsi" w:hAnsiTheme="minorHAnsi"/>
                <w:sz w:val="20"/>
                <w:lang w:val="hr-HR"/>
              </w:rPr>
              <w:br/>
              <w:t>JLP(R)S – planiranje kroz godišnje i akcijske planove i provedba</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Tijela za praćenje </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NKT u koordinaciji s MMPI </w:t>
            </w:r>
          </w:p>
        </w:tc>
      </w:tr>
      <w:tr w:rsidR="007D41DB" w:rsidRPr="00361664" w:rsidTr="00F60742">
        <w:trPr>
          <w:trHeight w:val="20"/>
        </w:trPr>
        <w:tc>
          <w:tcPr>
            <w:tcW w:w="686" w:type="pct"/>
            <w:gridSpan w:val="2"/>
            <w:vMerge w:val="restar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Uštede energije</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Metoda praćenja / mjerenja ušteda energije</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Učinci ove mjere evidentirat će se zasebno po projektima, </w:t>
            </w:r>
            <w:r w:rsidR="00411708" w:rsidRPr="00361664">
              <w:rPr>
                <w:rFonts w:asciiTheme="minorHAnsi" w:hAnsiTheme="minorHAnsi"/>
                <w:sz w:val="20"/>
                <w:lang w:val="hr-HR"/>
              </w:rPr>
              <w:t>propisanom</w:t>
            </w:r>
            <w:r w:rsidRPr="00361664">
              <w:rPr>
                <w:rFonts w:asciiTheme="minorHAnsi" w:hAnsiTheme="minorHAnsi"/>
                <w:sz w:val="20"/>
                <w:lang w:val="hr-HR"/>
              </w:rPr>
              <w:t xml:space="preserve"> TD metodologijom, uz eventualnu nadopunu/razradu nove BU metodologije</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Očekivane uštede energije do kraja 2019.</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Inteligentno upravljanje u prometu: 201 TJ</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Uvođenje Car Sharing sheme: 9,3 TJ</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Uvođenje sustava javnih gradskih bicikala i nabava biciklističke parkirne infrastrukture: 0,5 TJ</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Očekivane uštede energije do kraja 2020.</w:t>
            </w:r>
          </w:p>
        </w:tc>
        <w:tc>
          <w:tcPr>
            <w:tcW w:w="3517" w:type="pct"/>
            <w:gridSpan w:val="2"/>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Inteligentno upravljanje u prometu: 402 TJ</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Uvođenje Car Sharing sheme:  12,4 TJ</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Uvođenje sustava javnih gradskih bicikala i nabava biciklističke parkirne infrastrukture: 0,7 TJ</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Pretpostavke</w:t>
            </w:r>
          </w:p>
        </w:tc>
        <w:tc>
          <w:tcPr>
            <w:tcW w:w="3517" w:type="pct"/>
            <w:gridSpan w:val="2"/>
            <w:vAlign w:val="center"/>
          </w:tcPr>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Optimiranje logistike prijevoza tereta </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Uvođenje integriranog i održivog prijevoza putnika</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Inteligentno upravljanje u prometu</w:t>
            </w:r>
          </w:p>
          <w:p w:rsidR="007D41DB" w:rsidRPr="00361664" w:rsidRDefault="007D41DB" w:rsidP="00B34CA2">
            <w:pPr>
              <w:pStyle w:val="Tabletext"/>
              <w:tabs>
                <w:tab w:val="left" w:pos="1440"/>
                <w:tab w:val="left" w:pos="5040"/>
              </w:tabs>
              <w:spacing w:before="0" w:after="0" w:line="240" w:lineRule="auto"/>
              <w:rPr>
                <w:rFonts w:asciiTheme="minorHAnsi" w:hAnsiTheme="minorHAnsi"/>
                <w:color w:val="000000" w:themeColor="text1"/>
                <w:sz w:val="20"/>
                <w:lang w:val="hr-HR"/>
              </w:rPr>
            </w:pPr>
            <w:r w:rsidRPr="00361664">
              <w:rPr>
                <w:rFonts w:asciiTheme="minorHAnsi" w:hAnsiTheme="minorHAnsi"/>
                <w:color w:val="000000" w:themeColor="text1"/>
                <w:sz w:val="20"/>
                <w:lang w:val="hr-HR"/>
              </w:rPr>
              <w:t>Ukupna dnevna potrošnja svih vozila u Hrvatskoj se zbog čekanja na semaforima procjenjuje na oko 160.000 litara. U Republici Hrvatskoj trenutno je oko 1.000 prometnih raskrižja opremljeno semaforima. U prosjeku se po raskrižju dnevno potroši oko 160 litara goriva zbog nepotrebnog čekanja vozila na semaforu. Predlaže se sukcesivna zamjena postojećih semafora instaliranih na 200 raskrižja do 2020. godine, pretpostavljeno je 20 semafora 2017., 30 semafora 2018., 50 semafora 2019. i 100 semafora 2020. godine. U takvim okolnostima, mjerom bi se mogla smanjiti potrošnja goriva na prometnim raskrižjima energetske vrijednosti do 201 TJ u 2019. godini te do 402 TJ u 2020. godini.</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Uvođenje Car Sharing sheme </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Procjenjuje se da bi se uvođenjem najučinkovitijih vozila u predmetnu shemu mogla postići razlika u iznosu od preko 3 l/100 km u odnosu na postojeća vozila. S druge strane, prosječna godišnja kilometraža po vozilu u Car Sharing shemi se procjenjuje na 30.000 km. Uz navedene pretpostavke, nove godišnje uštede iznosile bi 860 MWh, odnosno ukupno 9,3 TJ u 2019. godini te 12,4 TJ u 2020. godini.</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Uvođenje sustava javnih gradskih bicikala i nabava biciklističke parkirne infrastrukture </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Do sada se pokazalo da je prosječna dnevna kilometraža jednog bicikla 1,5 km, računajući i period u godini kada zbog zime sustav javnih bicikala nije dostupan. S oko 140 novih bicikala godišnje može se izbjeći oko 76.650 km vožnje automobila godišnje. Uz navedene pretpostavke, nove godišnje uštede </w:t>
            </w:r>
            <w:r w:rsidRPr="00361664">
              <w:rPr>
                <w:rFonts w:asciiTheme="minorHAnsi" w:hAnsiTheme="minorHAnsi"/>
                <w:sz w:val="20"/>
                <w:lang w:val="hr-HR"/>
              </w:rPr>
              <w:lastRenderedPageBreak/>
              <w:t>iznosile bi 52 MWh, odnosno ukupno 0,5 TJ u 2019. godini i 0,7 TJ u 2020. godini (bez zbrajanja ušteda temeljem ranije provedenih mjera).</w:t>
            </w:r>
          </w:p>
          <w:p w:rsidR="007D41DB" w:rsidRPr="00361664" w:rsidRDefault="007D41DB" w:rsidP="00CD00FF">
            <w:pPr>
              <w:pStyle w:val="Tabletext"/>
              <w:numPr>
                <w:ilvl w:val="0"/>
                <w:numId w:val="40"/>
              </w:numPr>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Razvoj infrastrukture za alternativna goriva na lokalnoj i područnoj razini</w:t>
            </w:r>
          </w:p>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tc>
      </w:tr>
      <w:tr w:rsidR="007D41DB" w:rsidRPr="00361664" w:rsidTr="00F60742">
        <w:trPr>
          <w:trHeight w:val="20"/>
        </w:trPr>
        <w:tc>
          <w:tcPr>
            <w:tcW w:w="686" w:type="pct"/>
            <w:gridSpan w:val="2"/>
            <w:vMerge/>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p>
        </w:tc>
        <w:tc>
          <w:tcPr>
            <w:tcW w:w="797" w:type="pct"/>
            <w:vAlign w:val="center"/>
          </w:tcPr>
          <w:p w:rsidR="007D41DB" w:rsidRPr="00361664" w:rsidRDefault="007D41DB" w:rsidP="00B34CA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Preklapanja, efekt množenja, sinergija</w:t>
            </w:r>
          </w:p>
        </w:tc>
        <w:tc>
          <w:tcPr>
            <w:tcW w:w="3517" w:type="pct"/>
            <w:gridSpan w:val="2"/>
            <w:vAlign w:val="center"/>
          </w:tcPr>
          <w:p w:rsidR="007D41DB" w:rsidRPr="00361664" w:rsidRDefault="007D41DB" w:rsidP="00B34CA2">
            <w:pPr>
              <w:tabs>
                <w:tab w:val="left" w:pos="1440"/>
                <w:tab w:val="left" w:pos="5040"/>
              </w:tabs>
              <w:jc w:val="both"/>
              <w:rPr>
                <w:sz w:val="20"/>
                <w:szCs w:val="20"/>
              </w:rPr>
            </w:pPr>
            <w:r w:rsidRPr="00361664">
              <w:rPr>
                <w:sz w:val="20"/>
                <w:szCs w:val="20"/>
              </w:rPr>
              <w:t>/</w:t>
            </w:r>
          </w:p>
        </w:tc>
      </w:tr>
    </w:tbl>
    <w:p w:rsidR="004B187E" w:rsidRPr="00361664" w:rsidRDefault="004B187E" w:rsidP="001E243B">
      <w:pPr>
        <w:rPr>
          <w:rFonts w:asciiTheme="minorHAnsi" w:hAnsiTheme="minorHAnsi"/>
          <w:b/>
          <w:sz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528"/>
        <w:gridCol w:w="6551"/>
      </w:tblGrid>
      <w:tr w:rsidR="00842D58" w:rsidRPr="00361664" w:rsidTr="00DC5C62">
        <w:trPr>
          <w:trHeight w:val="20"/>
        </w:trPr>
        <w:tc>
          <w:tcPr>
            <w:tcW w:w="1475" w:type="pct"/>
            <w:gridSpan w:val="2"/>
            <w:tcBorders>
              <w:top w:val="single" w:sz="4" w:space="0" w:color="auto"/>
              <w:left w:val="single" w:sz="4" w:space="0" w:color="auto"/>
              <w:bottom w:val="single" w:sz="4" w:space="0" w:color="auto"/>
              <w:right w:val="single" w:sz="4" w:space="0" w:color="auto"/>
            </w:tcBorders>
            <w:shd w:val="clear" w:color="auto" w:fill="CCFFCC"/>
            <w:hideMark/>
          </w:tcPr>
          <w:p w:rsidR="00842D58" w:rsidRPr="00361664" w:rsidRDefault="00842D58" w:rsidP="00DC5C62">
            <w:pPr>
              <w:pStyle w:val="Tabletext"/>
              <w:tabs>
                <w:tab w:val="left" w:pos="1440"/>
                <w:tab w:val="left" w:pos="5040"/>
              </w:tabs>
              <w:spacing w:before="0" w:after="0" w:line="240" w:lineRule="auto"/>
              <w:rPr>
                <w:rFonts w:ascii="Calibri" w:hAnsi="Calibri"/>
                <w:b/>
                <w:sz w:val="20"/>
                <w:lang w:val="hr-HR"/>
              </w:rPr>
            </w:pPr>
            <w:r w:rsidRPr="00361664">
              <w:rPr>
                <w:rFonts w:ascii="Calibri" w:hAnsi="Calibri"/>
                <w:b/>
                <w:sz w:val="20"/>
                <w:lang w:val="hr-HR"/>
              </w:rPr>
              <w:t xml:space="preserve">Naziv mjere </w:t>
            </w:r>
          </w:p>
        </w:tc>
        <w:tc>
          <w:tcPr>
            <w:tcW w:w="3525" w:type="pct"/>
            <w:tcBorders>
              <w:top w:val="single" w:sz="4" w:space="0" w:color="auto"/>
              <w:left w:val="single" w:sz="4" w:space="0" w:color="auto"/>
              <w:bottom w:val="single" w:sz="4" w:space="0" w:color="auto"/>
              <w:right w:val="single" w:sz="4" w:space="0" w:color="auto"/>
            </w:tcBorders>
            <w:shd w:val="clear" w:color="auto" w:fill="CCFFCC"/>
            <w:hideMark/>
          </w:tcPr>
          <w:p w:rsidR="00842D58" w:rsidRPr="00361664" w:rsidRDefault="00842D58" w:rsidP="00DC5C62">
            <w:pPr>
              <w:pStyle w:val="Tabletext"/>
              <w:tabs>
                <w:tab w:val="left" w:pos="1440"/>
                <w:tab w:val="left" w:pos="5040"/>
              </w:tabs>
              <w:spacing w:before="0" w:after="0" w:line="240" w:lineRule="auto"/>
              <w:rPr>
                <w:rFonts w:ascii="Calibri" w:hAnsi="Calibri"/>
                <w:b/>
                <w:sz w:val="20"/>
                <w:lang w:val="hr-HR"/>
              </w:rPr>
            </w:pPr>
            <w:r w:rsidRPr="00361664">
              <w:rPr>
                <w:rFonts w:ascii="Calibri" w:hAnsi="Calibri"/>
                <w:b/>
                <w:sz w:val="20"/>
                <w:lang w:val="hr-HR"/>
              </w:rPr>
              <w:t xml:space="preserve">Financijski poticaji za energetski učinkovita vozila </w:t>
            </w:r>
          </w:p>
        </w:tc>
      </w:tr>
      <w:tr w:rsidR="00842D58" w:rsidRPr="00361664" w:rsidTr="00DC5C62">
        <w:trPr>
          <w:trHeight w:val="20"/>
        </w:trPr>
        <w:tc>
          <w:tcPr>
            <w:tcW w:w="1475" w:type="pct"/>
            <w:gridSpan w:val="2"/>
            <w:tcBorders>
              <w:top w:val="single" w:sz="4" w:space="0" w:color="auto"/>
              <w:left w:val="single" w:sz="4" w:space="0" w:color="auto"/>
              <w:bottom w:val="single" w:sz="4" w:space="0" w:color="auto"/>
              <w:right w:val="single" w:sz="4" w:space="0" w:color="auto"/>
            </w:tcBorders>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Indeks mjere</w:t>
            </w:r>
          </w:p>
        </w:tc>
        <w:tc>
          <w:tcPr>
            <w:tcW w:w="3525" w:type="pct"/>
            <w:tcBorders>
              <w:top w:val="single" w:sz="4" w:space="0" w:color="auto"/>
              <w:left w:val="single" w:sz="4" w:space="0" w:color="auto"/>
              <w:bottom w:val="single" w:sz="4" w:space="0" w:color="auto"/>
              <w:right w:val="single" w:sz="4" w:space="0" w:color="auto"/>
            </w:tcBorders>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T.4</w:t>
            </w:r>
          </w:p>
        </w:tc>
      </w:tr>
      <w:tr w:rsidR="00842D58" w:rsidRPr="00361664" w:rsidTr="00DC5C62">
        <w:trPr>
          <w:trHeight w:val="20"/>
        </w:trPr>
        <w:tc>
          <w:tcPr>
            <w:tcW w:w="653" w:type="pct"/>
            <w:vMerge w:val="restart"/>
            <w:tcBorders>
              <w:top w:val="single" w:sz="4" w:space="0" w:color="auto"/>
              <w:left w:val="single" w:sz="4" w:space="0" w:color="auto"/>
              <w:bottom w:val="single" w:sz="4" w:space="0" w:color="auto"/>
              <w:right w:val="single" w:sz="4" w:space="0" w:color="auto"/>
            </w:tcBorders>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Opis</w:t>
            </w: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Kategorija</w:t>
            </w:r>
          </w:p>
        </w:tc>
        <w:tc>
          <w:tcPr>
            <w:tcW w:w="3525"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Financijski instrumenti</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Vremenski okvir</w:t>
            </w:r>
          </w:p>
        </w:tc>
        <w:tc>
          <w:tcPr>
            <w:tcW w:w="3525"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Početak: 2014.</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Kraj: 2020.</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Mjera je nastavljena iz 3. NAPEnU</w:t>
            </w:r>
            <w:r w:rsidRPr="00361664">
              <w:rPr>
                <w:rFonts w:asciiTheme="minorHAnsi" w:hAnsiTheme="minorHAnsi"/>
                <w:sz w:val="20"/>
                <w:lang w:val="hr-HR"/>
              </w:rPr>
              <w:t xml:space="preserve"> uz veće promjene, dopune i poboljšanja.</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 / kratak opis</w:t>
            </w:r>
          </w:p>
        </w:tc>
        <w:tc>
          <w:tcPr>
            <w:tcW w:w="3525" w:type="pct"/>
            <w:tcBorders>
              <w:top w:val="single" w:sz="4" w:space="0" w:color="auto"/>
              <w:left w:val="single" w:sz="4" w:space="0" w:color="auto"/>
              <w:bottom w:val="single" w:sz="4" w:space="0" w:color="auto"/>
              <w:right w:val="single" w:sz="4" w:space="0" w:color="auto"/>
            </w:tcBorders>
            <w:vAlign w:val="center"/>
          </w:tcPr>
          <w:p w:rsidR="00007434" w:rsidRPr="00361664" w:rsidRDefault="00007434" w:rsidP="000074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FZOEU će uspostaviti sheme za sufinanciranje i kupnju vozila u skladu s definiranim ciljem. Program treba unaprijediti razradom sufinanciranja koje će uključivati:</w:t>
            </w:r>
          </w:p>
          <w:p w:rsidR="00842D58" w:rsidRPr="00361664" w:rsidRDefault="00842D58" w:rsidP="00CD00FF">
            <w:pPr>
              <w:pStyle w:val="Tabletext"/>
              <w:numPr>
                <w:ilvl w:val="0"/>
                <w:numId w:val="43"/>
              </w:numPr>
              <w:tabs>
                <w:tab w:val="left" w:pos="703"/>
                <w:tab w:val="left" w:pos="5040"/>
              </w:tabs>
              <w:spacing w:before="0" w:after="0" w:line="240" w:lineRule="auto"/>
              <w:rPr>
                <w:rFonts w:ascii="Calibri" w:hAnsi="Calibri"/>
                <w:sz w:val="20"/>
                <w:lang w:val="hr-HR"/>
              </w:rPr>
            </w:pPr>
            <w:r w:rsidRPr="00361664">
              <w:rPr>
                <w:rFonts w:ascii="Calibri" w:hAnsi="Calibri"/>
                <w:sz w:val="20"/>
                <w:lang w:val="hr-HR"/>
              </w:rPr>
              <w:t xml:space="preserve">Kupnju električnih i ''plug-in'' hibridnih osobnih vozila niže i srednje veličine vozila (gradska i kompaktna vozila) </w:t>
            </w:r>
          </w:p>
          <w:p w:rsidR="00842D58" w:rsidRPr="00361664" w:rsidRDefault="00007434" w:rsidP="00CD00FF">
            <w:pPr>
              <w:pStyle w:val="Tabletext"/>
              <w:numPr>
                <w:ilvl w:val="0"/>
                <w:numId w:val="43"/>
              </w:numPr>
              <w:tabs>
                <w:tab w:val="left" w:pos="703"/>
                <w:tab w:val="left" w:pos="5040"/>
              </w:tabs>
              <w:spacing w:before="0" w:after="0" w:line="240" w:lineRule="auto"/>
              <w:rPr>
                <w:rFonts w:ascii="Calibri" w:hAnsi="Calibri"/>
                <w:sz w:val="20"/>
                <w:lang w:val="hr-HR"/>
              </w:rPr>
            </w:pPr>
            <w:r w:rsidRPr="00361664">
              <w:rPr>
                <w:rFonts w:ascii="Calibri" w:hAnsi="Calibri"/>
                <w:sz w:val="20"/>
                <w:lang w:val="hr-HR"/>
              </w:rPr>
              <w:t xml:space="preserve">Kupnju </w:t>
            </w:r>
            <w:r w:rsidR="00842D58" w:rsidRPr="00361664">
              <w:rPr>
                <w:rFonts w:ascii="Calibri" w:hAnsi="Calibri"/>
                <w:sz w:val="20"/>
                <w:lang w:val="hr-HR"/>
              </w:rPr>
              <w:t xml:space="preserve">energetski učinkovitih </w:t>
            </w:r>
            <w:r w:rsidR="00353CED" w:rsidRPr="00361664">
              <w:rPr>
                <w:rFonts w:ascii="Calibri" w:hAnsi="Calibri"/>
                <w:sz w:val="20"/>
                <w:lang w:val="hr-HR"/>
              </w:rPr>
              <w:t>teretnih vozila i autobusa</w:t>
            </w:r>
            <w:r w:rsidR="00842D58" w:rsidRPr="00361664">
              <w:rPr>
                <w:rFonts w:ascii="Calibri" w:hAnsi="Calibri"/>
                <w:sz w:val="20"/>
                <w:lang w:val="hr-HR"/>
              </w:rPr>
              <w:t>:</w:t>
            </w:r>
          </w:p>
          <w:p w:rsidR="00842D58" w:rsidRPr="00361664" w:rsidRDefault="00842D58" w:rsidP="00CD00FF">
            <w:pPr>
              <w:pStyle w:val="Tabletext"/>
              <w:numPr>
                <w:ilvl w:val="0"/>
                <w:numId w:val="41"/>
              </w:numPr>
              <w:tabs>
                <w:tab w:val="left" w:pos="897"/>
                <w:tab w:val="left" w:pos="5040"/>
              </w:tabs>
              <w:spacing w:before="0" w:after="0" w:line="240" w:lineRule="auto"/>
              <w:rPr>
                <w:rFonts w:ascii="Calibri" w:hAnsi="Calibri"/>
                <w:sz w:val="20"/>
                <w:lang w:val="hr-HR"/>
              </w:rPr>
            </w:pPr>
            <w:bookmarkStart w:id="49" w:name="_Hlk488412729"/>
            <w:r w:rsidRPr="00361664">
              <w:rPr>
                <w:rFonts w:ascii="Calibri" w:hAnsi="Calibri"/>
                <w:sz w:val="20"/>
                <w:lang w:val="hr-HR"/>
              </w:rPr>
              <w:t>EURO6</w:t>
            </w:r>
            <w:r w:rsidR="00007434" w:rsidRPr="00361664">
              <w:rPr>
                <w:rFonts w:ascii="Calibri" w:hAnsi="Calibri"/>
                <w:sz w:val="20"/>
                <w:lang w:val="hr-HR"/>
              </w:rPr>
              <w:t xml:space="preserve"> ili EEV</w:t>
            </w:r>
            <w:r w:rsidRPr="00361664">
              <w:rPr>
                <w:rFonts w:ascii="Calibri" w:hAnsi="Calibri"/>
                <w:sz w:val="20"/>
                <w:lang w:val="hr-HR"/>
              </w:rPr>
              <w:t xml:space="preserve"> standarda uz dostavu dokaza stavljanja postojećih vozila nižih normi van prometa</w:t>
            </w:r>
          </w:p>
          <w:bookmarkEnd w:id="49"/>
          <w:p w:rsidR="00842D58" w:rsidRPr="00361664" w:rsidRDefault="006F62BE" w:rsidP="00CD00FF">
            <w:pPr>
              <w:pStyle w:val="Tabletext"/>
              <w:numPr>
                <w:ilvl w:val="0"/>
                <w:numId w:val="41"/>
              </w:numPr>
              <w:tabs>
                <w:tab w:val="left" w:pos="897"/>
                <w:tab w:val="left" w:pos="5040"/>
              </w:tabs>
              <w:spacing w:before="0" w:after="0" w:line="240" w:lineRule="auto"/>
              <w:rPr>
                <w:rFonts w:ascii="Calibri" w:hAnsi="Calibri"/>
                <w:sz w:val="20"/>
                <w:lang w:val="hr-HR"/>
              </w:rPr>
            </w:pPr>
            <w:r w:rsidRPr="00361664">
              <w:rPr>
                <w:rFonts w:ascii="Calibri" w:hAnsi="Calibri"/>
                <w:sz w:val="20"/>
                <w:lang w:val="hr-HR"/>
              </w:rPr>
              <w:t>Vozila s</w:t>
            </w:r>
            <w:r w:rsidR="00842D58" w:rsidRPr="00361664">
              <w:rPr>
                <w:rFonts w:ascii="Calibri" w:hAnsi="Calibri"/>
                <w:sz w:val="20"/>
                <w:lang w:val="hr-HR"/>
              </w:rPr>
              <w:t xml:space="preserve"> pogonom na SPP i UPP </w:t>
            </w:r>
          </w:p>
          <w:p w:rsidR="00842D58" w:rsidRPr="00361664" w:rsidRDefault="008F2560" w:rsidP="00CD00FF">
            <w:pPr>
              <w:pStyle w:val="Tabletext"/>
              <w:numPr>
                <w:ilvl w:val="0"/>
                <w:numId w:val="41"/>
              </w:numPr>
              <w:tabs>
                <w:tab w:val="left" w:pos="897"/>
                <w:tab w:val="left" w:pos="5040"/>
              </w:tabs>
              <w:spacing w:before="0" w:after="0" w:line="240" w:lineRule="auto"/>
              <w:rPr>
                <w:rFonts w:ascii="Calibri" w:hAnsi="Calibri"/>
                <w:sz w:val="20"/>
                <w:lang w:val="hr-HR"/>
              </w:rPr>
            </w:pPr>
            <w:r w:rsidRPr="00361664">
              <w:rPr>
                <w:rFonts w:ascii="Calibri" w:hAnsi="Calibri"/>
                <w:sz w:val="20"/>
                <w:lang w:val="hr-HR"/>
              </w:rPr>
              <w:t>Vozila na</w:t>
            </w:r>
            <w:r w:rsidR="00842D58" w:rsidRPr="00361664">
              <w:rPr>
                <w:rFonts w:ascii="Calibri" w:hAnsi="Calibri"/>
                <w:sz w:val="20"/>
                <w:lang w:val="hr-HR"/>
              </w:rPr>
              <w:t xml:space="preserve"> električni i plug-in hibridni pogon</w:t>
            </w:r>
          </w:p>
          <w:p w:rsidR="00842D58" w:rsidRPr="00361664" w:rsidRDefault="008F2560" w:rsidP="00CD00FF">
            <w:pPr>
              <w:pStyle w:val="Tabletext"/>
              <w:numPr>
                <w:ilvl w:val="0"/>
                <w:numId w:val="43"/>
              </w:numPr>
              <w:tabs>
                <w:tab w:val="left" w:pos="703"/>
                <w:tab w:val="left" w:pos="5040"/>
              </w:tabs>
              <w:spacing w:before="0" w:after="0" w:line="240" w:lineRule="auto"/>
              <w:rPr>
                <w:rFonts w:ascii="Calibri" w:hAnsi="Calibri"/>
                <w:sz w:val="20"/>
                <w:lang w:val="hr-HR"/>
              </w:rPr>
            </w:pPr>
            <w:r w:rsidRPr="00361664">
              <w:rPr>
                <w:rFonts w:ascii="Calibri" w:hAnsi="Calibri"/>
                <w:sz w:val="20"/>
                <w:lang w:val="hr-HR"/>
              </w:rPr>
              <w:t>Kupnju</w:t>
            </w:r>
            <w:r w:rsidR="00842D58" w:rsidRPr="00361664">
              <w:rPr>
                <w:rFonts w:ascii="Calibri" w:hAnsi="Calibri"/>
                <w:sz w:val="20"/>
                <w:lang w:val="hr-HR"/>
              </w:rPr>
              <w:t xml:space="preserve"> električnih bicikala, mopeda i motocikala.</w:t>
            </w:r>
          </w:p>
          <w:p w:rsidR="00842D58" w:rsidRPr="00361664" w:rsidRDefault="00842D58" w:rsidP="00DC5C62">
            <w:pPr>
              <w:pStyle w:val="Tabletext"/>
              <w:tabs>
                <w:tab w:val="left" w:pos="703"/>
                <w:tab w:val="left" w:pos="5040"/>
              </w:tabs>
              <w:spacing w:before="0" w:after="0" w:line="240" w:lineRule="auto"/>
              <w:rPr>
                <w:rFonts w:ascii="Calibri" w:hAnsi="Calibri"/>
                <w:sz w:val="20"/>
                <w:lang w:val="hr-HR"/>
              </w:rPr>
            </w:pPr>
          </w:p>
          <w:p w:rsidR="00842D58" w:rsidRPr="00361664" w:rsidRDefault="00842D58" w:rsidP="00DC5C62">
            <w:pPr>
              <w:pStyle w:val="Tabletext"/>
              <w:tabs>
                <w:tab w:val="left" w:pos="703"/>
                <w:tab w:val="left" w:pos="5040"/>
              </w:tabs>
              <w:spacing w:before="0" w:after="0" w:line="240" w:lineRule="auto"/>
              <w:rPr>
                <w:rFonts w:ascii="Calibri" w:hAnsi="Calibri"/>
                <w:sz w:val="20"/>
                <w:lang w:val="hr-HR"/>
              </w:rPr>
            </w:pPr>
            <w:r w:rsidRPr="00361664">
              <w:rPr>
                <w:rFonts w:ascii="Calibri" w:hAnsi="Calibri"/>
                <w:sz w:val="20"/>
                <w:lang w:val="hr-HR"/>
              </w:rPr>
              <w:t>U 2015. godini Fond za zaštitu okoliša i energetsku učinkovitost sufinancirao je kupovinu 528, a 2016. godine 198 električna, hibridna i plug-in hibridna vozila.</w:t>
            </w:r>
          </w:p>
          <w:p w:rsidR="00842D58" w:rsidRPr="00361664" w:rsidRDefault="00842D58" w:rsidP="00DC5C62">
            <w:pPr>
              <w:pStyle w:val="Tabletext"/>
              <w:tabs>
                <w:tab w:val="left" w:pos="703"/>
                <w:tab w:val="left" w:pos="5040"/>
              </w:tabs>
              <w:spacing w:before="0" w:after="0" w:line="240" w:lineRule="auto"/>
              <w:rPr>
                <w:rFonts w:ascii="Calibri" w:hAnsi="Calibri"/>
                <w:sz w:val="20"/>
                <w:lang w:val="hr-HR"/>
              </w:rPr>
            </w:pPr>
            <w:r w:rsidRPr="00361664">
              <w:rPr>
                <w:rFonts w:ascii="Calibri" w:hAnsi="Calibri"/>
                <w:sz w:val="20"/>
                <w:lang w:val="hr-HR"/>
              </w:rPr>
              <w:t>Najviše vozila je iz kategorije osobnih automobila, preko 80%, a sufinancirani su i električni motocikli te dva električna kamiona.</w:t>
            </w:r>
          </w:p>
          <w:p w:rsidR="00842D58" w:rsidRPr="00361664" w:rsidRDefault="00842D58" w:rsidP="00DC5C62">
            <w:pPr>
              <w:pStyle w:val="Tabletext"/>
              <w:tabs>
                <w:tab w:val="left" w:pos="703"/>
                <w:tab w:val="left" w:pos="5040"/>
              </w:tabs>
              <w:spacing w:before="0" w:after="0" w:line="240" w:lineRule="auto"/>
              <w:rPr>
                <w:rFonts w:ascii="Calibri" w:hAnsi="Calibri"/>
                <w:sz w:val="20"/>
                <w:lang w:val="hr-HR"/>
              </w:rPr>
            </w:pPr>
            <w:r w:rsidRPr="00361664">
              <w:rPr>
                <w:rFonts w:ascii="Calibri" w:hAnsi="Calibri"/>
                <w:sz w:val="20"/>
                <w:lang w:val="hr-HR"/>
              </w:rPr>
              <w:t>Ovom mjerom u 2015. godini ostvarena je ušteda energije od 2.069.350 kWh odnosno 502 tCO</w:t>
            </w:r>
            <w:r w:rsidRPr="00361664">
              <w:rPr>
                <w:rFonts w:ascii="Calibri" w:hAnsi="Calibri"/>
                <w:sz w:val="20"/>
                <w:vertAlign w:val="subscript"/>
                <w:lang w:val="hr-HR"/>
              </w:rPr>
              <w:t>2</w:t>
            </w:r>
            <w:r w:rsidRPr="00361664">
              <w:rPr>
                <w:rFonts w:ascii="Calibri" w:hAnsi="Calibri"/>
                <w:sz w:val="20"/>
                <w:lang w:val="hr-HR"/>
              </w:rPr>
              <w:t>, a u 2016. godini 962.838 kWh odnosno 230 tCO</w:t>
            </w:r>
            <w:r w:rsidRPr="00361664">
              <w:rPr>
                <w:rFonts w:ascii="Calibri" w:hAnsi="Calibri"/>
                <w:sz w:val="20"/>
                <w:vertAlign w:val="subscript"/>
                <w:lang w:val="hr-HR"/>
              </w:rPr>
              <w:t>2</w:t>
            </w:r>
            <w:r w:rsidRPr="00361664">
              <w:rPr>
                <w:rFonts w:ascii="Calibri" w:hAnsi="Calibri"/>
                <w:sz w:val="20"/>
                <w:lang w:val="hr-HR"/>
              </w:rPr>
              <w:t>.</w:t>
            </w:r>
          </w:p>
          <w:p w:rsidR="00842D58" w:rsidRPr="00361664" w:rsidRDefault="008F2560" w:rsidP="00DC5C62">
            <w:pPr>
              <w:pStyle w:val="Tabletext"/>
              <w:tabs>
                <w:tab w:val="left" w:pos="703"/>
                <w:tab w:val="left" w:pos="5040"/>
              </w:tabs>
              <w:spacing w:before="0" w:after="0" w:line="240" w:lineRule="auto"/>
              <w:rPr>
                <w:rFonts w:ascii="Calibri" w:hAnsi="Calibri"/>
                <w:sz w:val="20"/>
                <w:lang w:val="hr-HR"/>
              </w:rPr>
            </w:pPr>
            <w:r w:rsidRPr="00361664">
              <w:rPr>
                <w:rFonts w:ascii="Calibri" w:hAnsi="Calibri"/>
                <w:sz w:val="20"/>
                <w:lang w:val="hr-HR"/>
              </w:rPr>
              <w:t>U nastavku ove mjere potrebno je osigurati da se sufinanciraju vozila koja će polučiti veću kumulativnu uštedu energije i smanjenje emisija stakleničkih plinova tj. vozila namijenjena javnom prijevoz putnika i tereta.</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Ciljna neposredna potrošnja</w:t>
            </w:r>
          </w:p>
        </w:tc>
        <w:tc>
          <w:tcPr>
            <w:tcW w:w="3525"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Cestovna vozila </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Ciljna skupina</w:t>
            </w:r>
          </w:p>
        </w:tc>
        <w:tc>
          <w:tcPr>
            <w:tcW w:w="3525" w:type="pct"/>
            <w:tcBorders>
              <w:top w:val="single" w:sz="4" w:space="0" w:color="auto"/>
              <w:left w:val="single" w:sz="4" w:space="0" w:color="auto"/>
              <w:bottom w:val="single" w:sz="4" w:space="0" w:color="auto"/>
              <w:right w:val="single" w:sz="4" w:space="0" w:color="auto"/>
            </w:tcBorders>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Fizičke i pravne osobe</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Regionalna primjena</w:t>
            </w:r>
          </w:p>
        </w:tc>
        <w:tc>
          <w:tcPr>
            <w:tcW w:w="3525"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Nacionalna</w:t>
            </w:r>
          </w:p>
        </w:tc>
      </w:tr>
      <w:tr w:rsidR="00842D58" w:rsidRPr="00361664" w:rsidTr="00DC5C62">
        <w:trPr>
          <w:trHeight w:val="20"/>
        </w:trPr>
        <w:tc>
          <w:tcPr>
            <w:tcW w:w="653" w:type="pct"/>
            <w:vMerge w:val="restar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Informacije o  provedbi</w:t>
            </w: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Popis i opis aktivnosti za provođenje mjere </w:t>
            </w:r>
          </w:p>
        </w:tc>
        <w:tc>
          <w:tcPr>
            <w:tcW w:w="3525" w:type="pct"/>
            <w:tcBorders>
              <w:top w:val="single" w:sz="4" w:space="0" w:color="auto"/>
              <w:left w:val="single" w:sz="4" w:space="0" w:color="auto"/>
              <w:bottom w:val="single" w:sz="4" w:space="0" w:color="auto"/>
              <w:right w:val="single" w:sz="4" w:space="0" w:color="auto"/>
            </w:tcBorders>
            <w:vAlign w:val="center"/>
          </w:tcPr>
          <w:p w:rsidR="00842D58" w:rsidRPr="00361664" w:rsidRDefault="008E0136"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Fond će uspostaviti sheme za sufinanciranje i kupnju vozila u skladu s definiranim ciljem.</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Financijska sredstva i izvori financiranja</w:t>
            </w:r>
          </w:p>
        </w:tc>
        <w:tc>
          <w:tcPr>
            <w:tcW w:w="3525" w:type="pct"/>
            <w:tcBorders>
              <w:top w:val="single" w:sz="4" w:space="0" w:color="auto"/>
              <w:left w:val="single" w:sz="4" w:space="0" w:color="auto"/>
              <w:bottom w:val="single" w:sz="4" w:space="0" w:color="auto"/>
              <w:right w:val="single" w:sz="4" w:space="0" w:color="auto"/>
            </w:tcBorders>
            <w:vAlign w:val="center"/>
          </w:tcPr>
          <w:p w:rsidR="00224926" w:rsidRPr="00361664" w:rsidRDefault="00A972EA" w:rsidP="00224926">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FZOEU - financiranje sredstvima stečenim od prodaje emisijskih jedinica putem dražbe na sustavu trgovanja emisijskim jedinicama EU-a temeljem Zakona o zaštiti zraka (</w:t>
            </w:r>
            <w:r w:rsidR="00C44613" w:rsidRPr="00361664">
              <w:rPr>
                <w:rFonts w:asciiTheme="minorHAnsi" w:hAnsiTheme="minorHAnsi"/>
                <w:sz w:val="20"/>
                <w:lang w:val="hr-HR"/>
              </w:rPr>
              <w:t>NN 130/11, 47/14, 61/17</w:t>
            </w:r>
            <w:r w:rsidRPr="00361664">
              <w:rPr>
                <w:rFonts w:asciiTheme="minorHAnsi" w:hAnsiTheme="minorHAnsi"/>
                <w:sz w:val="20"/>
                <w:lang w:val="hr-HR"/>
              </w:rPr>
              <w:t>)</w:t>
            </w:r>
            <w:r w:rsidR="00842D58" w:rsidRPr="00361664">
              <w:rPr>
                <w:rFonts w:asciiTheme="minorHAnsi" w:hAnsiTheme="minorHAnsi"/>
                <w:sz w:val="20"/>
                <w:lang w:val="hr-HR"/>
              </w:rPr>
              <w:t>:</w:t>
            </w:r>
            <w:r w:rsidR="00A03F6F" w:rsidRPr="00361664">
              <w:rPr>
                <w:rFonts w:asciiTheme="minorHAnsi" w:hAnsiTheme="minorHAnsi"/>
                <w:sz w:val="20"/>
                <w:lang w:val="hr-HR"/>
              </w:rPr>
              <w:t xml:space="preserve"> do kraja 2019. godine ukupno </w:t>
            </w:r>
            <w:r w:rsidR="004504BF" w:rsidRPr="00361664">
              <w:rPr>
                <w:rFonts w:asciiTheme="minorHAnsi" w:hAnsiTheme="minorHAnsi"/>
                <w:sz w:val="20"/>
                <w:lang w:val="hr-HR"/>
              </w:rPr>
              <w:t>17.386.200</w:t>
            </w:r>
            <w:r w:rsidR="00F8315E" w:rsidRPr="00361664">
              <w:rPr>
                <w:rFonts w:asciiTheme="minorHAnsi" w:hAnsiTheme="minorHAnsi"/>
                <w:sz w:val="20"/>
                <w:lang w:val="hr-HR"/>
              </w:rPr>
              <w:t>,00</w:t>
            </w:r>
            <w:r w:rsidR="00224926" w:rsidRPr="00361664">
              <w:rPr>
                <w:rFonts w:asciiTheme="minorHAnsi" w:hAnsiTheme="minorHAnsi"/>
                <w:sz w:val="20"/>
                <w:lang w:val="hr-HR"/>
              </w:rPr>
              <w:t xml:space="preserve"> kn</w:t>
            </w:r>
            <w:r w:rsidR="00F8315E" w:rsidRPr="00361664">
              <w:rPr>
                <w:rFonts w:asciiTheme="minorHAnsi" w:hAnsiTheme="minorHAnsi"/>
                <w:sz w:val="20"/>
                <w:lang w:val="hr-HR"/>
              </w:rPr>
              <w:t>.</w:t>
            </w:r>
            <w:r w:rsidR="00224926" w:rsidRPr="00361664">
              <w:rPr>
                <w:rFonts w:asciiTheme="minorHAnsi" w:hAnsiTheme="minorHAnsi"/>
                <w:sz w:val="20"/>
                <w:lang w:val="hr-HR"/>
              </w:rPr>
              <w:t xml:space="preserve"> </w:t>
            </w:r>
          </w:p>
          <w:p w:rsidR="00842D58" w:rsidRPr="00361664" w:rsidRDefault="00224926" w:rsidP="00224926">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Ostatak financiranja</w:t>
            </w:r>
          </w:p>
          <w:p w:rsidR="00B90528" w:rsidRPr="00361664" w:rsidRDefault="00AC683D" w:rsidP="00DC5C6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lastRenderedPageBreak/>
              <w:t xml:space="preserve">FZOEU  - </w:t>
            </w:r>
            <w:r w:rsidR="00C44613" w:rsidRPr="00361664">
              <w:rPr>
                <w:rFonts w:asciiTheme="minorHAnsi" w:hAnsiTheme="minorHAnsi"/>
                <w:sz w:val="20"/>
                <w:lang w:val="hr-HR"/>
              </w:rPr>
              <w:t>ovisno o raspoloživosti financijskih sredstava dobivenih iz naknada za okoliš vozila na motorni pogon</w:t>
            </w:r>
            <w:r w:rsidRPr="00361664">
              <w:rPr>
                <w:rFonts w:asciiTheme="minorHAnsi" w:hAnsiTheme="minorHAnsi"/>
                <w:sz w:val="20"/>
                <w:lang w:val="hr-HR"/>
              </w:rPr>
              <w:t xml:space="preserve"> (za mjere poticanja </w:t>
            </w:r>
            <w:r w:rsidR="00931E47" w:rsidRPr="00361664">
              <w:rPr>
                <w:rFonts w:asciiTheme="minorHAnsi" w:hAnsiTheme="minorHAnsi"/>
                <w:sz w:val="20"/>
                <w:lang w:val="hr-HR"/>
              </w:rPr>
              <w:t xml:space="preserve">učinkovitijih </w:t>
            </w:r>
            <w:r w:rsidR="00000767" w:rsidRPr="00361664">
              <w:rPr>
                <w:rFonts w:asciiTheme="minorHAnsi" w:hAnsiTheme="minorHAnsi"/>
                <w:i/>
                <w:sz w:val="20"/>
                <w:lang w:val="hr-HR"/>
              </w:rPr>
              <w:t>diesel</w:t>
            </w:r>
            <w:r w:rsidR="00931E47" w:rsidRPr="00361664">
              <w:rPr>
                <w:rFonts w:asciiTheme="minorHAnsi" w:hAnsiTheme="minorHAnsi"/>
                <w:sz w:val="20"/>
                <w:lang w:val="hr-HR"/>
              </w:rPr>
              <w:t>vozila)</w:t>
            </w:r>
          </w:p>
          <w:p w:rsidR="001B15E7" w:rsidRPr="00361664" w:rsidRDefault="001B15E7" w:rsidP="00DC5C6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Ostatak financiranja: vlastita sredstva korisnika</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Izvršno  tijelo</w:t>
            </w:r>
          </w:p>
        </w:tc>
        <w:tc>
          <w:tcPr>
            <w:tcW w:w="3525"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FZOEU (sufinanciranje i raspisivanje natječaja)</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640C0B"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Tijelo za praćenje, mjerenje i verifikaciju ušteda</w:t>
            </w:r>
          </w:p>
        </w:tc>
        <w:tc>
          <w:tcPr>
            <w:tcW w:w="3525"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NKT </w:t>
            </w:r>
          </w:p>
        </w:tc>
      </w:tr>
      <w:tr w:rsidR="00842D58" w:rsidRPr="00361664" w:rsidTr="00DC5C62">
        <w:trPr>
          <w:trHeight w:val="20"/>
        </w:trPr>
        <w:tc>
          <w:tcPr>
            <w:tcW w:w="653" w:type="pct"/>
            <w:vMerge w:val="restart"/>
            <w:tcBorders>
              <w:top w:val="single" w:sz="4" w:space="0" w:color="auto"/>
              <w:left w:val="single" w:sz="4" w:space="0" w:color="auto"/>
              <w:bottom w:val="single" w:sz="4" w:space="0" w:color="auto"/>
              <w:right w:val="single" w:sz="4" w:space="0" w:color="auto"/>
            </w:tcBorders>
            <w:vAlign w:val="center"/>
          </w:tcPr>
          <w:p w:rsidR="00842D58" w:rsidRPr="00361664" w:rsidRDefault="00842D58" w:rsidP="00DC5C62">
            <w:pPr>
              <w:pStyle w:val="Tabletext"/>
              <w:tabs>
                <w:tab w:val="left" w:pos="1440"/>
                <w:tab w:val="left" w:pos="5040"/>
              </w:tabs>
              <w:spacing w:before="0" w:after="0" w:line="240" w:lineRule="auto"/>
              <w:rPr>
                <w:rFonts w:ascii="Calibri" w:hAnsi="Calibri"/>
                <w:color w:val="FF0000"/>
                <w:sz w:val="20"/>
                <w:lang w:val="hr-HR"/>
              </w:rPr>
            </w:pPr>
            <w:r w:rsidRPr="00361664">
              <w:rPr>
                <w:rFonts w:ascii="Calibri" w:hAnsi="Calibri"/>
                <w:sz w:val="20"/>
                <w:lang w:val="hr-HR"/>
              </w:rPr>
              <w:t>Uštede energije</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Metoda praćenja / mjerenja ušteda energije</w:t>
            </w:r>
          </w:p>
        </w:tc>
        <w:tc>
          <w:tcPr>
            <w:tcW w:w="3525" w:type="pct"/>
            <w:tcBorders>
              <w:top w:val="single" w:sz="4" w:space="0" w:color="auto"/>
              <w:left w:val="single" w:sz="4" w:space="0" w:color="auto"/>
              <w:bottom w:val="single" w:sz="4" w:space="0" w:color="auto"/>
              <w:right w:val="single" w:sz="4" w:space="0" w:color="auto"/>
            </w:tcBorders>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Ova mjera će se pratiti metodom procijene pomoću Sustava za praćenje, mjerenje i verifikaciju ušteda energije (</w:t>
            </w:r>
            <w:r w:rsidR="00DC3DA4" w:rsidRPr="00361664">
              <w:rPr>
                <w:rFonts w:ascii="Calibri" w:hAnsi="Calibri"/>
                <w:sz w:val="20"/>
                <w:lang w:val="hr-HR"/>
              </w:rPr>
              <w:t>SM</w:t>
            </w:r>
            <w:r w:rsidR="00154EC2" w:rsidRPr="00361664">
              <w:rPr>
                <w:rFonts w:ascii="Calibri" w:hAnsi="Calibri"/>
                <w:sz w:val="20"/>
                <w:lang w:val="hr-HR"/>
              </w:rPr>
              <w:t>I</w:t>
            </w:r>
            <w:r w:rsidR="00EB6791" w:rsidRPr="00361664">
              <w:rPr>
                <w:rFonts w:ascii="Calibri" w:hAnsi="Calibri"/>
                <w:sz w:val="20"/>
                <w:lang w:val="hr-HR"/>
              </w:rPr>
              <w:t>V</w:t>
            </w:r>
            <w:r w:rsidRPr="00361664">
              <w:rPr>
                <w:rFonts w:ascii="Calibri" w:hAnsi="Calibri"/>
                <w:sz w:val="20"/>
                <w:lang w:val="hr-HR"/>
              </w:rPr>
              <w:t>).</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A9135D" w:rsidP="00DC5C62">
            <w:pPr>
              <w:pStyle w:val="Tabletext"/>
              <w:tabs>
                <w:tab w:val="left" w:pos="1440"/>
                <w:tab w:val="left" w:pos="5040"/>
              </w:tabs>
              <w:spacing w:before="0" w:after="0" w:line="240" w:lineRule="auto"/>
              <w:rPr>
                <w:rFonts w:ascii="Calibri" w:hAnsi="Calibri"/>
                <w:color w:val="FF0000"/>
                <w:sz w:val="20"/>
                <w:lang w:val="hr-HR"/>
              </w:rPr>
            </w:pPr>
            <w:r w:rsidRPr="00361664">
              <w:rPr>
                <w:rFonts w:ascii="Calibri" w:hAnsi="Calibri"/>
                <w:sz w:val="20"/>
                <w:lang w:val="hr-HR"/>
              </w:rPr>
              <w:t>Očekivane uštede energije do kraja 2019.</w:t>
            </w:r>
          </w:p>
        </w:tc>
        <w:tc>
          <w:tcPr>
            <w:tcW w:w="3525" w:type="pct"/>
            <w:tcBorders>
              <w:top w:val="single" w:sz="4" w:space="0" w:color="auto"/>
              <w:left w:val="single" w:sz="4" w:space="0" w:color="auto"/>
              <w:bottom w:val="single" w:sz="4" w:space="0" w:color="auto"/>
              <w:right w:val="single" w:sz="4" w:space="0" w:color="auto"/>
            </w:tcBorders>
            <w:vAlign w:val="center"/>
          </w:tcPr>
          <w:p w:rsidR="00842D58" w:rsidRPr="00361664" w:rsidRDefault="00C7623D" w:rsidP="00DC5C62">
            <w:pPr>
              <w:pStyle w:val="Tabletext"/>
              <w:tabs>
                <w:tab w:val="left" w:pos="661"/>
                <w:tab w:val="left" w:pos="5040"/>
              </w:tabs>
              <w:spacing w:before="0" w:after="0" w:line="240" w:lineRule="auto"/>
              <w:rPr>
                <w:rFonts w:ascii="Calibri" w:hAnsi="Calibri"/>
                <w:sz w:val="20"/>
                <w:lang w:val="hr-HR"/>
              </w:rPr>
            </w:pPr>
            <w:r w:rsidRPr="00361664">
              <w:rPr>
                <w:rFonts w:ascii="Calibri" w:hAnsi="Calibri"/>
                <w:sz w:val="20"/>
                <w:lang w:val="hr-HR"/>
              </w:rPr>
              <w:t>7.71</w:t>
            </w:r>
            <w:r w:rsidR="00842D58" w:rsidRPr="00361664">
              <w:rPr>
                <w:rFonts w:ascii="Calibri" w:hAnsi="Calibri"/>
                <w:sz w:val="20"/>
                <w:lang w:val="hr-HR"/>
              </w:rPr>
              <w:t xml:space="preserve"> TJ</w:t>
            </w:r>
          </w:p>
        </w:tc>
      </w:tr>
      <w:tr w:rsidR="00842D58"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D58" w:rsidRPr="00361664" w:rsidRDefault="00842D58" w:rsidP="00DC5C62">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42D58" w:rsidRPr="00361664" w:rsidRDefault="006805E4"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Očekivane uštede energije do kraja 2020.</w:t>
            </w:r>
          </w:p>
        </w:tc>
        <w:tc>
          <w:tcPr>
            <w:tcW w:w="3525" w:type="pct"/>
            <w:tcBorders>
              <w:top w:val="single" w:sz="4" w:space="0" w:color="auto"/>
              <w:left w:val="single" w:sz="4" w:space="0" w:color="auto"/>
              <w:bottom w:val="single" w:sz="4" w:space="0" w:color="auto"/>
              <w:right w:val="single" w:sz="4" w:space="0" w:color="auto"/>
            </w:tcBorders>
            <w:vAlign w:val="center"/>
          </w:tcPr>
          <w:p w:rsidR="00842D58" w:rsidRPr="00361664" w:rsidRDefault="00C7623D" w:rsidP="00DC5C62">
            <w:pPr>
              <w:pStyle w:val="Tabletext"/>
              <w:tabs>
                <w:tab w:val="left" w:pos="661"/>
                <w:tab w:val="left" w:pos="5040"/>
              </w:tabs>
              <w:spacing w:before="0" w:after="0" w:line="240" w:lineRule="auto"/>
              <w:rPr>
                <w:rFonts w:ascii="Calibri" w:hAnsi="Calibri"/>
                <w:sz w:val="20"/>
                <w:lang w:val="hr-HR"/>
              </w:rPr>
            </w:pPr>
            <w:r w:rsidRPr="00361664">
              <w:rPr>
                <w:rFonts w:ascii="Calibri" w:hAnsi="Calibri"/>
                <w:sz w:val="20"/>
                <w:lang w:val="hr-HR"/>
              </w:rPr>
              <w:t>12</w:t>
            </w:r>
            <w:r w:rsidR="00842D58" w:rsidRPr="00361664">
              <w:rPr>
                <w:rFonts w:ascii="Calibri" w:hAnsi="Calibri"/>
                <w:sz w:val="20"/>
                <w:lang w:val="hr-HR"/>
              </w:rPr>
              <w:t xml:space="preserve"> TJ</w:t>
            </w:r>
          </w:p>
        </w:tc>
      </w:tr>
      <w:tr w:rsidR="00007434"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434" w:rsidRPr="00361664" w:rsidRDefault="00007434" w:rsidP="00007434">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007434" w:rsidRPr="00361664" w:rsidRDefault="00007434" w:rsidP="000074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Pretpostavke</w:t>
            </w:r>
          </w:p>
        </w:tc>
        <w:tc>
          <w:tcPr>
            <w:tcW w:w="3525" w:type="pct"/>
            <w:tcBorders>
              <w:top w:val="single" w:sz="4" w:space="0" w:color="auto"/>
              <w:left w:val="single" w:sz="4" w:space="0" w:color="auto"/>
              <w:bottom w:val="single" w:sz="4" w:space="0" w:color="auto"/>
              <w:right w:val="single" w:sz="4" w:space="0" w:color="auto"/>
            </w:tcBorders>
            <w:vAlign w:val="center"/>
          </w:tcPr>
          <w:p w:rsidR="00007434" w:rsidRPr="00361664" w:rsidRDefault="00007434" w:rsidP="000074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Pretpostavka je da će se sufinanciranjem vozila namijenjenih javnom prijevozu tereta i putnika značajno unaprijediti ušteda energije u sektoru prometa u odnosu na trend iz razdoblja 3. NAPEnU uz drastične promijene, odnosno da će se realizirati značajnije uštede u odnosu na prethodno razdoblje. Značajniji napredak se temelji kroz veći postotak sufinanciranja vozila namijenjenih za obavljanje javnog prijevoza putnika i tereta gdje određene </w:t>
            </w:r>
            <w:r w:rsidR="00D0277A" w:rsidRPr="00361664">
              <w:rPr>
                <w:rFonts w:ascii="Calibri" w:hAnsi="Calibri"/>
                <w:sz w:val="20"/>
                <w:lang w:val="hr-HR"/>
              </w:rPr>
              <w:t>pod kategorije</w:t>
            </w:r>
            <w:r w:rsidRPr="00361664">
              <w:rPr>
                <w:rFonts w:ascii="Calibri" w:hAnsi="Calibri"/>
                <w:sz w:val="20"/>
                <w:lang w:val="hr-HR"/>
              </w:rPr>
              <w:t xml:space="preserve"> vozila u prosjeku prelaze više od 100.000 km/god. Konačni učinak ove mjere će se utvrditi nakon provedbe mjere sukladno uspostavljenim shemama za </w:t>
            </w:r>
            <w:r w:rsidR="00D0277A" w:rsidRPr="00361664">
              <w:rPr>
                <w:rFonts w:ascii="Calibri" w:hAnsi="Calibri"/>
                <w:sz w:val="20"/>
                <w:lang w:val="hr-HR"/>
              </w:rPr>
              <w:t>sufinanciranje</w:t>
            </w:r>
          </w:p>
        </w:tc>
      </w:tr>
      <w:tr w:rsidR="00007434" w:rsidRPr="00361664" w:rsidTr="00DC5C6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434" w:rsidRPr="00361664" w:rsidRDefault="00007434" w:rsidP="00007434">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007434" w:rsidRPr="00361664" w:rsidRDefault="00007434" w:rsidP="000074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Preklapanja, efekt množenja, sinergija</w:t>
            </w:r>
          </w:p>
        </w:tc>
        <w:tc>
          <w:tcPr>
            <w:tcW w:w="3525" w:type="pct"/>
            <w:tcBorders>
              <w:top w:val="single" w:sz="4" w:space="0" w:color="auto"/>
              <w:left w:val="single" w:sz="4" w:space="0" w:color="auto"/>
              <w:bottom w:val="single" w:sz="4" w:space="0" w:color="auto"/>
              <w:right w:val="single" w:sz="4" w:space="0" w:color="auto"/>
            </w:tcBorders>
            <w:vAlign w:val="center"/>
            <w:hideMark/>
          </w:tcPr>
          <w:p w:rsidR="00007434" w:rsidRPr="00361664" w:rsidRDefault="00007434" w:rsidP="00007434">
            <w:pPr>
              <w:tabs>
                <w:tab w:val="left" w:pos="1440"/>
                <w:tab w:val="left" w:pos="5040"/>
              </w:tabs>
              <w:spacing w:after="0" w:line="240" w:lineRule="auto"/>
              <w:jc w:val="both"/>
              <w:rPr>
                <w:sz w:val="20"/>
                <w:szCs w:val="20"/>
              </w:rPr>
            </w:pPr>
            <w:r w:rsidRPr="00361664">
              <w:rPr>
                <w:sz w:val="20"/>
                <w:szCs w:val="20"/>
              </w:rPr>
              <w:t>/</w:t>
            </w:r>
          </w:p>
        </w:tc>
      </w:tr>
    </w:tbl>
    <w:p w:rsidR="004B187E" w:rsidRPr="00361664" w:rsidRDefault="004B187E" w:rsidP="001E243B">
      <w:pPr>
        <w:rPr>
          <w:rFonts w:asciiTheme="minorHAnsi" w:hAnsiTheme="minorHAnsi"/>
          <w:b/>
          <w:sz w:val="24"/>
        </w:rPr>
      </w:pPr>
    </w:p>
    <w:p w:rsidR="003E2572" w:rsidRPr="00361664" w:rsidRDefault="003E2572" w:rsidP="001E243B">
      <w:pPr>
        <w:rPr>
          <w:rFonts w:asciiTheme="minorHAnsi" w:hAnsiTheme="minorHAnsi"/>
          <w:b/>
          <w:sz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568"/>
        <w:gridCol w:w="6478"/>
      </w:tblGrid>
      <w:tr w:rsidR="00842D58" w:rsidRPr="00361664" w:rsidTr="00DC5C62">
        <w:trPr>
          <w:trHeight w:val="20"/>
        </w:trPr>
        <w:tc>
          <w:tcPr>
            <w:tcW w:w="1514" w:type="pct"/>
            <w:gridSpan w:val="2"/>
            <w:shd w:val="clear" w:color="auto" w:fill="CCFFCC"/>
          </w:tcPr>
          <w:p w:rsidR="00842D58" w:rsidRPr="00361664" w:rsidRDefault="00842D58" w:rsidP="00DC5C62">
            <w:pPr>
              <w:pStyle w:val="Tabletext"/>
              <w:tabs>
                <w:tab w:val="left" w:pos="1440"/>
                <w:tab w:val="left" w:pos="5040"/>
              </w:tabs>
              <w:spacing w:before="0" w:after="0" w:line="240" w:lineRule="auto"/>
              <w:rPr>
                <w:rFonts w:ascii="Calibri" w:hAnsi="Calibri"/>
                <w:b/>
                <w:sz w:val="20"/>
                <w:lang w:val="hr-HR"/>
              </w:rPr>
            </w:pPr>
            <w:r w:rsidRPr="00361664">
              <w:rPr>
                <w:rFonts w:ascii="Calibri" w:hAnsi="Calibri"/>
                <w:b/>
                <w:sz w:val="20"/>
                <w:lang w:val="hr-HR"/>
              </w:rPr>
              <w:t xml:space="preserve">Naziv mjere </w:t>
            </w:r>
          </w:p>
        </w:tc>
        <w:tc>
          <w:tcPr>
            <w:tcW w:w="3486" w:type="pct"/>
            <w:shd w:val="clear" w:color="auto" w:fill="CCFFCC"/>
          </w:tcPr>
          <w:p w:rsidR="00842D58" w:rsidRPr="00361664" w:rsidRDefault="00842D58" w:rsidP="00DC5C62">
            <w:pPr>
              <w:pStyle w:val="Tabletext"/>
              <w:tabs>
                <w:tab w:val="left" w:pos="1440"/>
                <w:tab w:val="left" w:pos="5040"/>
              </w:tabs>
              <w:spacing w:before="0" w:after="0" w:line="240" w:lineRule="auto"/>
              <w:rPr>
                <w:rFonts w:ascii="Calibri" w:hAnsi="Calibri"/>
                <w:b/>
                <w:sz w:val="20"/>
                <w:lang w:val="hr-HR"/>
              </w:rPr>
            </w:pPr>
            <w:r w:rsidRPr="00361664">
              <w:rPr>
                <w:rFonts w:ascii="Calibri" w:hAnsi="Calibri"/>
                <w:b/>
                <w:color w:val="000000"/>
                <w:sz w:val="20"/>
                <w:lang w:val="hr-HR"/>
              </w:rPr>
              <w:t xml:space="preserve">Razvoj infrastrukture za alternativna goriva </w:t>
            </w:r>
          </w:p>
        </w:tc>
      </w:tr>
      <w:tr w:rsidR="00842D58" w:rsidRPr="00361664" w:rsidTr="00DC5C62">
        <w:trPr>
          <w:trHeight w:val="20"/>
        </w:trPr>
        <w:tc>
          <w:tcPr>
            <w:tcW w:w="1514" w:type="pct"/>
            <w:gridSpan w:val="2"/>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Indeks mjere</w:t>
            </w:r>
          </w:p>
        </w:tc>
        <w:tc>
          <w:tcPr>
            <w:tcW w:w="3486" w:type="pct"/>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T.5</w:t>
            </w:r>
          </w:p>
        </w:tc>
      </w:tr>
      <w:tr w:rsidR="00842D58" w:rsidRPr="00361664" w:rsidTr="00DC5C62">
        <w:trPr>
          <w:trHeight w:val="20"/>
        </w:trPr>
        <w:tc>
          <w:tcPr>
            <w:tcW w:w="670" w:type="pct"/>
            <w:vMerge w:val="restar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Opis</w:t>
            </w: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Kategorija</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Infrastruktura, strateško planiranje</w:t>
            </w: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Vremenski okvir</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Početak: 2014.</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Kraj: 2030. </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Predviđene veće promjene, dopune, poboljšanja: </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Mjera je nastavljena iz 3. NAPEnU.</w:t>
            </w: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 / kratak opis</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Cilj ove mjere je olakšati prihvaćanje alternativnih goriva od strane korisnika/potrošača jačanjem infrastrukture za distribuciju alternativnih goriva i provedbom zajedničkih tehničkih specifikacija za ovu infrastrukturu. </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Mjera prati Direktivu o uspostavi infrastrukture za alternativna goriva, Zakon o uspostavi infrastrukture za alternativna goriva i nacrt Nacionalnog okvira politike (NOP) te potiče izgradnju punionica u skladu s navedenim dokumentima. </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lastRenderedPageBreak/>
              <w:t xml:space="preserve">Ovom infrastrukturnom mjerom se neće direktno utjecati na smanjenje potrošnje goriva u prometu, no svakako je razvoj infrastrukture nužan preduvjet razvoju tržišta vozila koja koriste električnu energiju, SPP I UPP u Hrvatskoj. </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Ciljna neposredna potrošnja</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Cestovna vozila, plovila u unutarnjoj plovidbi, pomorski brodovi</w:t>
            </w: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Ciljna skupina</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Regionalna primjena</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Nacionalna</w:t>
            </w:r>
          </w:p>
        </w:tc>
      </w:tr>
      <w:tr w:rsidR="00842D58" w:rsidRPr="00361664" w:rsidTr="00DC5C62">
        <w:trPr>
          <w:trHeight w:val="20"/>
        </w:trPr>
        <w:tc>
          <w:tcPr>
            <w:tcW w:w="670" w:type="pct"/>
            <w:vMerge w:val="restar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Informacije o  provedbi</w:t>
            </w: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Popis i opis aktivnosti za provođenje mjere </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Prema nacrtu Nacionalnog okvira politike (razvijenom u skladu s Direktivom) postavljeni su ciljevi:</w:t>
            </w:r>
          </w:p>
          <w:p w:rsidR="00842D58" w:rsidRPr="00361664" w:rsidRDefault="00842D58" w:rsidP="00CD00FF">
            <w:pPr>
              <w:pStyle w:val="Tabletext"/>
              <w:numPr>
                <w:ilvl w:val="0"/>
                <w:numId w:val="43"/>
              </w:numPr>
              <w:tabs>
                <w:tab w:val="left" w:pos="1440"/>
                <w:tab w:val="left" w:pos="5040"/>
              </w:tabs>
              <w:spacing w:before="0" w:after="0" w:line="240" w:lineRule="auto"/>
              <w:rPr>
                <w:rFonts w:ascii="Calibri" w:hAnsi="Calibri"/>
                <w:sz w:val="20"/>
                <w:lang w:val="hr-HR"/>
              </w:rPr>
            </w:pPr>
            <w:r w:rsidRPr="00361664">
              <w:rPr>
                <w:rFonts w:ascii="Calibri" w:hAnsi="Calibri"/>
                <w:sz w:val="20"/>
                <w:lang w:val="hr-HR"/>
              </w:rPr>
              <w:t>Električna energija</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U 2016. godini u RH je registrirano 856 vozila koja koriste napajanje električnom energijom, od čeka 299 osobnih vozila, 55 teretnih automobila, 250 mopeda, 183 motocikla, 3 autobusa, 66 traktora i ne cestovnih vozila. Bilježi se 126 javno dostupnih punionica.</w:t>
            </w:r>
          </w:p>
          <w:p w:rsidR="00842D58"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t>U cilju pokrivanja minimalnih potreba za funkcioniranje elektromobilnosti, prijedlog o broju punionica i utičnih mjesta zasnovan je na scenariju niskog udjela prijenosa energije na mreži javnih punionica. Adekvatno prateći rast tržišta EV-a, do 2020 nužno je osigurati minimalno 296 utičnih mjesta (222 AC minimalne snage 22/(11)kW, 74 DC minimalne snage 50kW) na 164 punionice</w:t>
            </w:r>
          </w:p>
          <w:p w:rsidR="00842D58" w:rsidRPr="00361664" w:rsidRDefault="00842D58" w:rsidP="00CD00FF">
            <w:pPr>
              <w:pStyle w:val="Odlomakpopisa"/>
              <w:widowControl w:val="0"/>
              <w:numPr>
                <w:ilvl w:val="0"/>
                <w:numId w:val="43"/>
              </w:numPr>
              <w:autoSpaceDE w:val="0"/>
              <w:autoSpaceDN w:val="0"/>
              <w:adjustRightInd w:val="0"/>
              <w:spacing w:after="0" w:line="243" w:lineRule="exact"/>
              <w:jc w:val="both"/>
              <w:rPr>
                <w:rFonts w:eastAsia="Times New Roman"/>
                <w:sz w:val="20"/>
                <w:szCs w:val="20"/>
                <w:lang w:eastAsia="de-DE"/>
              </w:rPr>
            </w:pPr>
            <w:r w:rsidRPr="00361664">
              <w:rPr>
                <w:rFonts w:eastAsia="Times New Roman"/>
                <w:sz w:val="20"/>
                <w:szCs w:val="20"/>
                <w:lang w:eastAsia="de-DE"/>
              </w:rPr>
              <w:t>Ukapljeni prirodni plin (UPP)</w:t>
            </w:r>
          </w:p>
          <w:p w:rsidR="00842D58"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t>U Republici Hrvatskoj ne postoji infrastruktura za UPP, te nije registrirano niti jedno vozilo ili plovilo koje koristi ovaj energent.</w:t>
            </w:r>
          </w:p>
          <w:p w:rsidR="00842D58" w:rsidRPr="00361664" w:rsidRDefault="00842D58" w:rsidP="00CD00FF">
            <w:pPr>
              <w:pStyle w:val="Odlomakpopisa"/>
              <w:widowControl w:val="0"/>
              <w:numPr>
                <w:ilvl w:val="1"/>
                <w:numId w:val="44"/>
              </w:numPr>
              <w:autoSpaceDE w:val="0"/>
              <w:autoSpaceDN w:val="0"/>
              <w:adjustRightInd w:val="0"/>
              <w:spacing w:after="0" w:line="243" w:lineRule="exact"/>
              <w:jc w:val="both"/>
              <w:rPr>
                <w:rFonts w:eastAsia="Times New Roman"/>
                <w:sz w:val="20"/>
                <w:szCs w:val="20"/>
                <w:lang w:eastAsia="de-DE"/>
              </w:rPr>
            </w:pPr>
            <w:r w:rsidRPr="00361664">
              <w:rPr>
                <w:rFonts w:eastAsia="Times New Roman"/>
                <w:sz w:val="20"/>
                <w:szCs w:val="20"/>
                <w:lang w:eastAsia="de-DE"/>
              </w:rPr>
              <w:t>UPP u pomorskoj plovidbi</w:t>
            </w:r>
          </w:p>
          <w:p w:rsidR="00842D58"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t xml:space="preserve">U skladu s izrađenom </w:t>
            </w:r>
            <w:r w:rsidR="00D0277A" w:rsidRPr="00361664">
              <w:rPr>
                <w:sz w:val="20"/>
                <w:szCs w:val="20"/>
                <w:lang w:eastAsia="de-DE"/>
              </w:rPr>
              <w:t>preliminarnom</w:t>
            </w:r>
            <w:r w:rsidRPr="00361664">
              <w:rPr>
                <w:sz w:val="20"/>
                <w:szCs w:val="20"/>
                <w:lang w:eastAsia="de-DE"/>
              </w:rPr>
              <w:t xml:space="preserve"> analizom mogućih ekonomsko isplativih lokacija za uspostavu UPP infrastrukture te uzimajući u obzir nepouzdanost predviđanja o razvoju tržišta predviđena je potreba izgradnje infrastrukture za prekrcaj i opskrbu UPP-a u Rijeci do 2025. godine te Puli, Zadru, Šibeniku, Splitu, Pločama i Dubrovniku do 2030. </w:t>
            </w:r>
          </w:p>
          <w:p w:rsidR="00842D58"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br/>
              <w:t>U razmatranom razdoblju 4. NAPEnU, nije planirana izgradnja infrastrukture za UPP u pomorskom prometu.</w:t>
            </w:r>
          </w:p>
          <w:p w:rsidR="00842D58" w:rsidRPr="00361664" w:rsidRDefault="00842D58" w:rsidP="00CD00FF">
            <w:pPr>
              <w:pStyle w:val="Odlomakpopisa"/>
              <w:widowControl w:val="0"/>
              <w:numPr>
                <w:ilvl w:val="1"/>
                <w:numId w:val="44"/>
              </w:numPr>
              <w:autoSpaceDE w:val="0"/>
              <w:autoSpaceDN w:val="0"/>
              <w:adjustRightInd w:val="0"/>
              <w:spacing w:after="0" w:line="243" w:lineRule="exact"/>
              <w:jc w:val="both"/>
              <w:rPr>
                <w:rFonts w:eastAsia="Times New Roman"/>
                <w:sz w:val="20"/>
                <w:szCs w:val="20"/>
                <w:lang w:eastAsia="de-DE"/>
              </w:rPr>
            </w:pPr>
            <w:r w:rsidRPr="00361664">
              <w:rPr>
                <w:rFonts w:eastAsia="Times New Roman"/>
                <w:sz w:val="20"/>
                <w:szCs w:val="20"/>
                <w:lang w:eastAsia="de-DE"/>
              </w:rPr>
              <w:t xml:space="preserve">UPP u unutarnjoj plovidbi </w:t>
            </w:r>
          </w:p>
          <w:p w:rsidR="00842D58"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t>Nije moguće pouzdano predvidjeti broj plovila na UPP u unutarnjoj plovidbi u idućem desetljeću.</w:t>
            </w:r>
          </w:p>
          <w:p w:rsidR="00842D58" w:rsidRPr="00361664" w:rsidRDefault="00842D58" w:rsidP="00CD00FF">
            <w:pPr>
              <w:pStyle w:val="Odlomakpopisa"/>
              <w:widowControl w:val="0"/>
              <w:numPr>
                <w:ilvl w:val="1"/>
                <w:numId w:val="44"/>
              </w:numPr>
              <w:autoSpaceDE w:val="0"/>
              <w:autoSpaceDN w:val="0"/>
              <w:adjustRightInd w:val="0"/>
              <w:spacing w:after="0" w:line="243" w:lineRule="exact"/>
              <w:jc w:val="both"/>
              <w:rPr>
                <w:rFonts w:eastAsia="Times New Roman"/>
                <w:sz w:val="20"/>
                <w:szCs w:val="20"/>
                <w:lang w:eastAsia="de-DE"/>
              </w:rPr>
            </w:pPr>
            <w:r w:rsidRPr="00361664">
              <w:rPr>
                <w:rFonts w:eastAsia="Times New Roman"/>
                <w:sz w:val="20"/>
                <w:szCs w:val="20"/>
                <w:lang w:eastAsia="de-DE"/>
              </w:rPr>
              <w:t>UPP u cestovnom prometu</w:t>
            </w:r>
          </w:p>
          <w:p w:rsidR="00842D58"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t xml:space="preserve">Procjenjuje se potreba instalacije punionica na rubnim dijelovima gradova Zagreba i Rijeke do 2025. godine, te na rubnim dijelovima gradova Zadra, Splita, Ploča, Slavonskog broda i Osijeka do 2030. godine. </w:t>
            </w:r>
          </w:p>
          <w:p w:rsidR="00842D58"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t>U razmatranom razdoblju 4. NAPEnU, nije planirana izgradnja infrastrukture za UPP u cestovnom prometu</w:t>
            </w:r>
          </w:p>
          <w:p w:rsidR="00842D58" w:rsidRPr="00361664" w:rsidRDefault="00842D58" w:rsidP="00CD00FF">
            <w:pPr>
              <w:pStyle w:val="Odlomakpopisa"/>
              <w:widowControl w:val="0"/>
              <w:numPr>
                <w:ilvl w:val="0"/>
                <w:numId w:val="43"/>
              </w:numPr>
              <w:autoSpaceDE w:val="0"/>
              <w:autoSpaceDN w:val="0"/>
              <w:adjustRightInd w:val="0"/>
              <w:spacing w:after="0" w:line="243" w:lineRule="exact"/>
              <w:jc w:val="both"/>
              <w:rPr>
                <w:rFonts w:eastAsia="Times New Roman"/>
                <w:sz w:val="20"/>
                <w:szCs w:val="20"/>
                <w:lang w:eastAsia="de-DE"/>
              </w:rPr>
            </w:pPr>
            <w:r w:rsidRPr="00361664">
              <w:rPr>
                <w:rFonts w:eastAsia="Times New Roman"/>
                <w:sz w:val="20"/>
                <w:szCs w:val="20"/>
                <w:lang w:eastAsia="de-DE"/>
              </w:rPr>
              <w:t>Stlačeni prirodni plin (SPP)</w:t>
            </w:r>
          </w:p>
          <w:p w:rsidR="00842D58"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t>U Republici Hrvatskoj u 2016. godine bilo je registrirano 208 osobnih vozila, 84 teretnih automobile, 10 mopeda, 6 motocikala, 108 autobusa te 11 traktora s pogonom na SPP. U Hrvatskoj trenutno postoje 2 javno dostupne punionice za SPP (u Zagrebu i Rijeci).</w:t>
            </w:r>
          </w:p>
          <w:p w:rsidR="00E20BC1" w:rsidRPr="00361664" w:rsidRDefault="00842D58" w:rsidP="00DC5C62">
            <w:pPr>
              <w:widowControl w:val="0"/>
              <w:autoSpaceDE w:val="0"/>
              <w:autoSpaceDN w:val="0"/>
              <w:adjustRightInd w:val="0"/>
              <w:spacing w:after="0" w:line="243" w:lineRule="exact"/>
              <w:jc w:val="both"/>
              <w:rPr>
                <w:sz w:val="20"/>
                <w:szCs w:val="20"/>
                <w:lang w:eastAsia="de-DE"/>
              </w:rPr>
            </w:pPr>
            <w:r w:rsidRPr="00361664">
              <w:rPr>
                <w:sz w:val="20"/>
                <w:szCs w:val="20"/>
                <w:lang w:eastAsia="de-DE"/>
              </w:rPr>
              <w:t xml:space="preserve">Do 2020. godine prema nacrtu NOP-a predviđeno je otvaranje punionica na 11 lokacija i to u Puli, Zadru, Šibeniku, Splitu, Dubrovniku, Karlovcu, Sisku, Osijeku, Varaždinu, Čakovcu i Zagrebu. Pretpostavka je da će se u razdoblju 4. NAPEnU izgraditi 9 punionica. Osim toga, predviđeno je da se u 2017. godini naprave studijske analize za sve gradove u kojima je predviđeno </w:t>
            </w:r>
            <w:r w:rsidRPr="00361664">
              <w:rPr>
                <w:sz w:val="20"/>
                <w:szCs w:val="20"/>
                <w:lang w:eastAsia="de-DE"/>
              </w:rPr>
              <w:lastRenderedPageBreak/>
              <w:t>postavljanje punionica.</w:t>
            </w:r>
          </w:p>
        </w:tc>
      </w:tr>
      <w:tr w:rsidR="00842D58" w:rsidRPr="00361664" w:rsidTr="00DC5C62">
        <w:trPr>
          <w:trHeight w:val="745"/>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Financijska sredstva i izvori financiranja</w:t>
            </w:r>
          </w:p>
        </w:tc>
        <w:tc>
          <w:tcPr>
            <w:tcW w:w="3486" w:type="pct"/>
            <w:vAlign w:val="center"/>
          </w:tcPr>
          <w:p w:rsidR="0067259A" w:rsidRPr="00361664" w:rsidRDefault="00523522" w:rsidP="005235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FZOEU - financiranje sredstvima stečenim od prodaje emisijskih jedinica putem dražbe na sustavu trgovanja emisijskim jedinicama EU-a temeljem Zakona o zaštiti zraka (</w:t>
            </w:r>
            <w:r w:rsidR="00C44613" w:rsidRPr="00361664">
              <w:rPr>
                <w:rFonts w:asciiTheme="minorHAnsi" w:hAnsiTheme="minorHAnsi"/>
                <w:sz w:val="20"/>
                <w:lang w:val="hr-HR"/>
              </w:rPr>
              <w:t>NN 130/11, 47/14, 61/17</w:t>
            </w:r>
            <w:r w:rsidRPr="00361664">
              <w:rPr>
                <w:rFonts w:asciiTheme="minorHAnsi" w:hAnsiTheme="minorHAnsi"/>
                <w:sz w:val="20"/>
                <w:lang w:val="hr-HR"/>
              </w:rPr>
              <w:t>)</w:t>
            </w:r>
            <w:r w:rsidRPr="00361664">
              <w:rPr>
                <w:rFonts w:ascii="Calibri" w:hAnsi="Calibri"/>
                <w:sz w:val="20"/>
                <w:lang w:val="hr-HR"/>
              </w:rPr>
              <w:t>:</w:t>
            </w:r>
            <w:r w:rsidR="0067259A" w:rsidRPr="00361664">
              <w:rPr>
                <w:rFonts w:asciiTheme="minorHAnsi" w:hAnsiTheme="minorHAnsi"/>
                <w:sz w:val="20"/>
                <w:lang w:val="hr-HR"/>
              </w:rPr>
              <w:t xml:space="preserve">do kraja 2019. godine </w:t>
            </w:r>
            <w:r w:rsidR="00D823AD" w:rsidRPr="00361664">
              <w:rPr>
                <w:rFonts w:asciiTheme="minorHAnsi" w:hAnsiTheme="minorHAnsi"/>
                <w:sz w:val="20"/>
                <w:lang w:val="hr-HR"/>
              </w:rPr>
              <w:t>u iznosu 21.</w:t>
            </w:r>
            <w:r w:rsidR="004504BF" w:rsidRPr="00361664">
              <w:rPr>
                <w:rFonts w:asciiTheme="minorHAnsi" w:hAnsiTheme="minorHAnsi"/>
                <w:sz w:val="20"/>
                <w:lang w:val="hr-HR"/>
              </w:rPr>
              <w:t>268</w:t>
            </w:r>
            <w:r w:rsidR="00F8315E" w:rsidRPr="00361664">
              <w:rPr>
                <w:rFonts w:asciiTheme="minorHAnsi" w:hAnsiTheme="minorHAnsi"/>
                <w:sz w:val="20"/>
                <w:lang w:val="hr-HR"/>
              </w:rPr>
              <w:t>.900,00 kn.</w:t>
            </w:r>
          </w:p>
          <w:p w:rsidR="0067259A" w:rsidRPr="00361664" w:rsidRDefault="0067259A" w:rsidP="0052352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Uz sredstva iz FZOEU, razvoj infrastrukture za alternativna goriva može se financirati i putem programa CEF - Instrument za povezivanje Europe  (Connecting Europe Facility)</w:t>
            </w:r>
          </w:p>
          <w:p w:rsidR="00842D58" w:rsidRPr="00361664" w:rsidRDefault="00842D58" w:rsidP="008423CA">
            <w:pPr>
              <w:pStyle w:val="Tabletext"/>
              <w:tabs>
                <w:tab w:val="left" w:pos="1440"/>
                <w:tab w:val="left" w:pos="5040"/>
              </w:tabs>
              <w:spacing w:before="0" w:after="0" w:line="240" w:lineRule="auto"/>
              <w:rPr>
                <w:rFonts w:ascii="Calibri" w:hAnsi="Calibri"/>
                <w:sz w:val="20"/>
                <w:lang w:val="hr-HR"/>
              </w:rPr>
            </w:pP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Izvršno  tijelo</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cs="Calibri"/>
                <w:sz w:val="20"/>
                <w:lang w:val="hr-HR"/>
              </w:rPr>
            </w:pPr>
            <w:r w:rsidRPr="00361664">
              <w:rPr>
                <w:rFonts w:ascii="Calibri" w:hAnsi="Calibri" w:cs="Calibri"/>
                <w:sz w:val="20"/>
                <w:lang w:val="hr-HR"/>
              </w:rPr>
              <w:t>FZOEU (sufinanciranje i raspisivanje natječaja)</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cs="Calibri"/>
                <w:sz w:val="20"/>
                <w:lang w:val="hr-HR"/>
              </w:rPr>
              <w:t>JLP(R)S</w:t>
            </w: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640C0B"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Tijelo za praćenje, mjerenje i verifikaciju ušteda</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cs="Calibri"/>
                <w:sz w:val="20"/>
                <w:lang w:val="hr-HR"/>
              </w:rPr>
              <w:t>NKT</w:t>
            </w:r>
          </w:p>
        </w:tc>
      </w:tr>
      <w:tr w:rsidR="00842D58" w:rsidRPr="00361664" w:rsidTr="00DC5C62">
        <w:trPr>
          <w:trHeight w:val="20"/>
        </w:trPr>
        <w:tc>
          <w:tcPr>
            <w:tcW w:w="670" w:type="pct"/>
            <w:vMerge w:val="restart"/>
            <w:vAlign w:val="center"/>
          </w:tcPr>
          <w:p w:rsidR="00842D58" w:rsidRPr="00361664" w:rsidRDefault="00842D58" w:rsidP="00DC5C62">
            <w:pPr>
              <w:pStyle w:val="Tabletext"/>
              <w:tabs>
                <w:tab w:val="left" w:pos="1440"/>
                <w:tab w:val="left" w:pos="5040"/>
              </w:tabs>
              <w:spacing w:before="0" w:after="0" w:line="240" w:lineRule="auto"/>
              <w:rPr>
                <w:rFonts w:ascii="Calibri" w:hAnsi="Calibri"/>
                <w:color w:val="FF0000"/>
                <w:sz w:val="20"/>
                <w:lang w:val="hr-HR"/>
              </w:rPr>
            </w:pPr>
            <w:r w:rsidRPr="00361664">
              <w:rPr>
                <w:rFonts w:ascii="Calibri" w:hAnsi="Calibri"/>
                <w:sz w:val="20"/>
                <w:lang w:val="hr-HR"/>
              </w:rPr>
              <w:t>Uštede energije</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Metoda praćenja / mjerenja ušteda energije</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Naknadno će se odrediti.</w:t>
            </w: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A9135D" w:rsidP="00DC5C62">
            <w:pPr>
              <w:pStyle w:val="Tabletext"/>
              <w:tabs>
                <w:tab w:val="left" w:pos="1440"/>
                <w:tab w:val="left" w:pos="5040"/>
              </w:tabs>
              <w:spacing w:before="0" w:after="0" w:line="240" w:lineRule="auto"/>
              <w:rPr>
                <w:rFonts w:ascii="Calibri" w:hAnsi="Calibri"/>
                <w:color w:val="FF0000"/>
                <w:sz w:val="20"/>
                <w:lang w:val="hr-HR"/>
              </w:rPr>
            </w:pPr>
            <w:r w:rsidRPr="00361664">
              <w:rPr>
                <w:rFonts w:ascii="Calibri" w:hAnsi="Calibri"/>
                <w:sz w:val="20"/>
                <w:lang w:val="hr-HR"/>
              </w:rPr>
              <w:t>Očekivane uštede energije do kraja 2019.</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Theme="minorHAnsi" w:hAnsiTheme="minorHAnsi"/>
                <w:sz w:val="20"/>
                <w:lang w:val="hr-HR"/>
              </w:rPr>
              <w:t>Nije procijenjeno</w:t>
            </w: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6805E4"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Očekivane uštede energije do kraja 2020.</w:t>
            </w: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Theme="minorHAnsi" w:hAnsiTheme="minorHAnsi"/>
                <w:sz w:val="20"/>
                <w:lang w:val="hr-HR"/>
              </w:rPr>
              <w:t>Nije procijenjeno</w:t>
            </w:r>
          </w:p>
        </w:tc>
      </w:tr>
      <w:tr w:rsidR="00842D58" w:rsidRPr="00361664" w:rsidTr="00DC5C62">
        <w:trPr>
          <w:trHeight w:val="20"/>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color w:val="FF0000"/>
                <w:sz w:val="20"/>
                <w:lang w:val="hr-HR"/>
              </w:rPr>
            </w:pPr>
            <w:r w:rsidRPr="00361664">
              <w:rPr>
                <w:rFonts w:ascii="Calibri" w:hAnsi="Calibri"/>
                <w:sz w:val="20"/>
                <w:lang w:val="hr-HR"/>
              </w:rPr>
              <w:t>Pretpostavke</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cs="Calibri"/>
                <w:sz w:val="20"/>
                <w:lang w:val="hr-HR"/>
              </w:rPr>
              <w:t>Razvojem infrastrukture potiče se kupnja energetski učinkovitijih vozila i vozila s manjim emisijama stakleničkih plinova</w:t>
            </w:r>
          </w:p>
        </w:tc>
      </w:tr>
      <w:tr w:rsidR="00842D58" w:rsidRPr="00361664" w:rsidTr="00DC5C62">
        <w:trPr>
          <w:trHeight w:val="595"/>
        </w:trPr>
        <w:tc>
          <w:tcPr>
            <w:tcW w:w="670" w:type="pct"/>
            <w:vMerge/>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844"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Preklapanja, efekt množenja, sinergija</w:t>
            </w:r>
          </w:p>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p>
        </w:tc>
        <w:tc>
          <w:tcPr>
            <w:tcW w:w="3486" w:type="pct"/>
            <w:vAlign w:val="center"/>
          </w:tcPr>
          <w:p w:rsidR="00842D58" w:rsidRPr="00361664" w:rsidRDefault="00842D58" w:rsidP="00DC5C62">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Ova mjera ima utjecaja na mnoge industrijske grane/sektore, naknadno će se definirati</w:t>
            </w:r>
          </w:p>
        </w:tc>
      </w:tr>
    </w:tbl>
    <w:p w:rsidR="00842D58" w:rsidRPr="00361664" w:rsidRDefault="00842D58" w:rsidP="00651BCA">
      <w:pPr>
        <w:pStyle w:val="Tabletext"/>
        <w:tabs>
          <w:tab w:val="left" w:pos="1440"/>
          <w:tab w:val="left" w:pos="5040"/>
        </w:tabs>
        <w:spacing w:before="0" w:after="0" w:line="240" w:lineRule="auto"/>
        <w:rPr>
          <w:rFonts w:asciiTheme="minorHAnsi" w:hAnsiTheme="minorHAnsi"/>
          <w:b/>
          <w:sz w:val="24"/>
          <w:lang w:val="hr-HR"/>
        </w:rPr>
      </w:pPr>
    </w:p>
    <w:p w:rsidR="003E2572" w:rsidRPr="00361664" w:rsidRDefault="003E2572" w:rsidP="00651BCA">
      <w:pPr>
        <w:pStyle w:val="Tabletext"/>
        <w:tabs>
          <w:tab w:val="left" w:pos="1440"/>
          <w:tab w:val="left" w:pos="5040"/>
        </w:tabs>
        <w:spacing w:before="0" w:after="0" w:line="240" w:lineRule="auto"/>
        <w:rPr>
          <w:rFonts w:asciiTheme="minorHAnsi" w:hAnsiTheme="minorHAnsi"/>
          <w:b/>
          <w:sz w:val="24"/>
          <w:lang w:val="hr-HR"/>
        </w:rPr>
      </w:pPr>
    </w:p>
    <w:p w:rsidR="003E2572" w:rsidRPr="00361664" w:rsidRDefault="003E2572" w:rsidP="00651BCA">
      <w:pPr>
        <w:pStyle w:val="Tabletext"/>
        <w:tabs>
          <w:tab w:val="left" w:pos="1440"/>
          <w:tab w:val="left" w:pos="5040"/>
        </w:tabs>
        <w:spacing w:before="0" w:after="0" w:line="240" w:lineRule="auto"/>
        <w:rPr>
          <w:rFonts w:asciiTheme="minorHAnsi" w:hAnsiTheme="minorHAnsi"/>
          <w:b/>
          <w:sz w:val="24"/>
          <w:lang w:val="hr-HR"/>
        </w:rPr>
      </w:pPr>
    </w:p>
    <w:p w:rsidR="003E2572" w:rsidRPr="00361664" w:rsidRDefault="003E2572" w:rsidP="00651BCA">
      <w:pPr>
        <w:pStyle w:val="Tabletext"/>
        <w:tabs>
          <w:tab w:val="left" w:pos="1440"/>
          <w:tab w:val="left" w:pos="5040"/>
        </w:tabs>
        <w:spacing w:before="0" w:after="0" w:line="240" w:lineRule="auto"/>
        <w:rPr>
          <w:rFonts w:asciiTheme="minorHAnsi" w:hAnsiTheme="minorHAnsi"/>
          <w:b/>
          <w:sz w:val="24"/>
          <w:lang w:val="hr-HR"/>
        </w:rPr>
      </w:pPr>
    </w:p>
    <w:p w:rsidR="006805E4" w:rsidRPr="00361664" w:rsidRDefault="006805E4" w:rsidP="00651BCA">
      <w:pPr>
        <w:pStyle w:val="Tabletext"/>
        <w:tabs>
          <w:tab w:val="left" w:pos="1440"/>
          <w:tab w:val="left" w:pos="5040"/>
        </w:tabs>
        <w:spacing w:before="0" w:after="0" w:line="240" w:lineRule="auto"/>
        <w:rPr>
          <w:rFonts w:asciiTheme="minorHAnsi" w:hAnsiTheme="minorHAnsi"/>
          <w:b/>
          <w:sz w:val="24"/>
          <w:lang w:val="hr-HR"/>
        </w:rPr>
      </w:pPr>
    </w:p>
    <w:tbl>
      <w:tblPr>
        <w:tblStyle w:val="Reetkatablice"/>
        <w:tblW w:w="0" w:type="auto"/>
        <w:tblLook w:val="04A0" w:firstRow="1" w:lastRow="0" w:firstColumn="1" w:lastColumn="0" w:noHBand="0" w:noVBand="1"/>
      </w:tblPr>
      <w:tblGrid>
        <w:gridCol w:w="1142"/>
        <w:gridCol w:w="1748"/>
        <w:gridCol w:w="6185"/>
      </w:tblGrid>
      <w:tr w:rsidR="00842D58" w:rsidRPr="00361664" w:rsidTr="00F60742">
        <w:trPr>
          <w:trHeight w:val="315"/>
        </w:trPr>
        <w:tc>
          <w:tcPr>
            <w:tcW w:w="2877" w:type="dxa"/>
            <w:gridSpan w:val="2"/>
            <w:shd w:val="clear" w:color="auto" w:fill="CCFFCC"/>
            <w:vAlign w:val="center"/>
            <w:hideMark/>
          </w:tcPr>
          <w:p w:rsidR="00842D58" w:rsidRPr="00361664" w:rsidRDefault="00842D58" w:rsidP="00DC5C62">
            <w:pPr>
              <w:jc w:val="both"/>
              <w:rPr>
                <w:rFonts w:asciiTheme="minorHAnsi" w:hAnsiTheme="minorHAnsi"/>
                <w:b/>
                <w:iCs/>
              </w:rPr>
            </w:pPr>
            <w:bookmarkStart w:id="50" w:name="_Hlk480458986"/>
            <w:r w:rsidRPr="00361664">
              <w:rPr>
                <w:rFonts w:asciiTheme="minorHAnsi" w:hAnsiTheme="minorHAnsi"/>
                <w:b/>
                <w:iCs/>
              </w:rPr>
              <w:t xml:space="preserve">Naziv mjere </w:t>
            </w:r>
          </w:p>
        </w:tc>
        <w:tc>
          <w:tcPr>
            <w:tcW w:w="6185" w:type="dxa"/>
            <w:shd w:val="clear" w:color="auto" w:fill="CCFFCC"/>
            <w:vAlign w:val="center"/>
            <w:hideMark/>
          </w:tcPr>
          <w:p w:rsidR="00842D58" w:rsidRPr="00361664" w:rsidRDefault="00842D58" w:rsidP="00DC5C62">
            <w:pPr>
              <w:jc w:val="both"/>
              <w:rPr>
                <w:rFonts w:asciiTheme="minorHAnsi" w:hAnsiTheme="minorHAnsi"/>
                <w:b/>
                <w:bCs/>
                <w:iCs/>
              </w:rPr>
            </w:pPr>
            <w:r w:rsidRPr="00361664">
              <w:rPr>
                <w:rFonts w:asciiTheme="minorHAnsi" w:hAnsiTheme="minorHAnsi"/>
                <w:b/>
                <w:bCs/>
                <w:iCs/>
              </w:rPr>
              <w:t>Uspostava posebnog poreza na motorna vozila na temelju emisija CO</w:t>
            </w:r>
            <w:r w:rsidRPr="00361664">
              <w:rPr>
                <w:rFonts w:asciiTheme="minorHAnsi" w:hAnsiTheme="minorHAnsi"/>
                <w:b/>
                <w:bCs/>
                <w:iCs/>
                <w:vertAlign w:val="subscript"/>
              </w:rPr>
              <w:t>2</w:t>
            </w:r>
          </w:p>
        </w:tc>
      </w:tr>
      <w:tr w:rsidR="00842D58" w:rsidRPr="00361664" w:rsidTr="00F60742">
        <w:trPr>
          <w:trHeight w:val="315"/>
        </w:trPr>
        <w:tc>
          <w:tcPr>
            <w:tcW w:w="2877" w:type="dxa"/>
            <w:gridSpan w:val="2"/>
            <w:hideMark/>
          </w:tcPr>
          <w:p w:rsidR="00842D58" w:rsidRPr="00361664" w:rsidRDefault="00842D58" w:rsidP="00DC5C62">
            <w:pPr>
              <w:jc w:val="both"/>
              <w:rPr>
                <w:rFonts w:asciiTheme="minorHAnsi" w:hAnsiTheme="minorHAnsi"/>
                <w:iCs/>
              </w:rPr>
            </w:pPr>
            <w:r w:rsidRPr="00361664">
              <w:rPr>
                <w:rFonts w:asciiTheme="minorHAnsi" w:hAnsiTheme="minorHAnsi"/>
                <w:iCs/>
              </w:rPr>
              <w:t>Indeks mjere</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T.6</w:t>
            </w:r>
          </w:p>
        </w:tc>
      </w:tr>
      <w:tr w:rsidR="00842D58" w:rsidRPr="00361664" w:rsidTr="00F60742">
        <w:trPr>
          <w:trHeight w:val="315"/>
        </w:trPr>
        <w:tc>
          <w:tcPr>
            <w:tcW w:w="1129" w:type="dxa"/>
            <w:vMerge w:val="restart"/>
            <w:hideMark/>
          </w:tcPr>
          <w:p w:rsidR="00842D58" w:rsidRPr="00361664" w:rsidRDefault="00842D58" w:rsidP="00DC5C62">
            <w:pPr>
              <w:jc w:val="both"/>
              <w:rPr>
                <w:rFonts w:asciiTheme="minorHAnsi" w:hAnsiTheme="minorHAnsi"/>
              </w:rPr>
            </w:pPr>
            <w:r w:rsidRPr="00361664">
              <w:rPr>
                <w:rFonts w:asciiTheme="minorHAnsi" w:hAnsiTheme="minorHAnsi"/>
              </w:rPr>
              <w:t>Opis</w:t>
            </w: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Kategorija</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Financijski instrumenti</w:t>
            </w:r>
          </w:p>
        </w:tc>
      </w:tr>
      <w:tr w:rsidR="00842D58" w:rsidRPr="00361664" w:rsidTr="00F60742">
        <w:trPr>
          <w:trHeight w:val="935"/>
        </w:trPr>
        <w:tc>
          <w:tcPr>
            <w:tcW w:w="1129" w:type="dxa"/>
            <w:vMerge/>
            <w:hideMark/>
          </w:tcPr>
          <w:p w:rsidR="00842D58" w:rsidRPr="00361664" w:rsidRDefault="00842D58" w:rsidP="00DC5C62">
            <w:pPr>
              <w:jc w:val="both"/>
              <w:rPr>
                <w:rFonts w:asciiTheme="minorHAnsi" w:hAnsiTheme="minorHAnsi"/>
              </w:rPr>
            </w:pP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Vremenski okvir</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Početak: 2014.</w:t>
            </w:r>
          </w:p>
          <w:p w:rsidR="00842D58" w:rsidRPr="00361664" w:rsidRDefault="00842D58" w:rsidP="00DC5C62">
            <w:pPr>
              <w:jc w:val="both"/>
              <w:rPr>
                <w:rFonts w:asciiTheme="minorHAnsi" w:hAnsiTheme="minorHAnsi"/>
                <w:iCs/>
              </w:rPr>
            </w:pPr>
            <w:r w:rsidRPr="00361664">
              <w:rPr>
                <w:rFonts w:asciiTheme="minorHAnsi" w:hAnsiTheme="minorHAnsi"/>
                <w:iCs/>
              </w:rPr>
              <w:t>Kraj: 2020.</w:t>
            </w:r>
          </w:p>
          <w:p w:rsidR="00842D58" w:rsidRPr="00361664" w:rsidRDefault="00842D58" w:rsidP="00DC5C62">
            <w:pPr>
              <w:jc w:val="both"/>
              <w:rPr>
                <w:rFonts w:asciiTheme="minorHAnsi" w:hAnsiTheme="minorHAnsi"/>
                <w:iCs/>
              </w:rPr>
            </w:pPr>
            <w:r w:rsidRPr="00361664">
              <w:rPr>
                <w:rFonts w:asciiTheme="minorHAnsi" w:hAnsiTheme="minorHAnsi"/>
                <w:iCs/>
              </w:rPr>
              <w:t>Mjera je nastavljena iz 3. NAPEnU</w:t>
            </w:r>
          </w:p>
        </w:tc>
      </w:tr>
      <w:tr w:rsidR="00E56334" w:rsidRPr="00361664" w:rsidTr="00F60742">
        <w:trPr>
          <w:trHeight w:val="450"/>
        </w:trPr>
        <w:tc>
          <w:tcPr>
            <w:tcW w:w="1129" w:type="dxa"/>
            <w:vMerge/>
            <w:hideMark/>
          </w:tcPr>
          <w:p w:rsidR="00E56334" w:rsidRPr="00361664" w:rsidRDefault="00E56334" w:rsidP="00E56334">
            <w:pPr>
              <w:jc w:val="both"/>
              <w:rPr>
                <w:rFonts w:asciiTheme="minorHAnsi" w:hAnsiTheme="minorHAnsi"/>
              </w:rPr>
            </w:pPr>
          </w:p>
        </w:tc>
        <w:tc>
          <w:tcPr>
            <w:tcW w:w="1748" w:type="dxa"/>
            <w:vMerge w:val="restart"/>
            <w:hideMark/>
          </w:tcPr>
          <w:p w:rsidR="00E56334" w:rsidRPr="00361664" w:rsidRDefault="00E56334" w:rsidP="00E56334">
            <w:pPr>
              <w:jc w:val="both"/>
              <w:rPr>
                <w:rFonts w:asciiTheme="minorHAnsi" w:hAnsiTheme="minorHAnsi"/>
              </w:rPr>
            </w:pPr>
            <w:r w:rsidRPr="00361664">
              <w:rPr>
                <w:rFonts w:asciiTheme="minorHAnsi" w:hAnsiTheme="minorHAnsi"/>
              </w:rPr>
              <w:t>Cilj / kratak opis</w:t>
            </w:r>
          </w:p>
        </w:tc>
        <w:tc>
          <w:tcPr>
            <w:tcW w:w="6185" w:type="dxa"/>
            <w:tcBorders>
              <w:top w:val="single" w:sz="2" w:space="0" w:color="auto"/>
              <w:left w:val="single" w:sz="2" w:space="0" w:color="auto"/>
              <w:bottom w:val="nil"/>
              <w:right w:val="single" w:sz="2" w:space="0" w:color="auto"/>
            </w:tcBorders>
          </w:tcPr>
          <w:p w:rsidR="00E56334" w:rsidRPr="00361664" w:rsidRDefault="00E56334" w:rsidP="00E56334">
            <w:pPr>
              <w:jc w:val="both"/>
              <w:rPr>
                <w:rFonts w:asciiTheme="minorHAnsi" w:hAnsiTheme="minorHAnsi"/>
                <w:iCs/>
              </w:rPr>
            </w:pPr>
            <w:r w:rsidRPr="00361664">
              <w:rPr>
                <w:rFonts w:asciiTheme="minorHAnsi" w:hAnsiTheme="minorHAnsi"/>
                <w:iCs/>
              </w:rPr>
              <w:t>U cilju smanjenja emisija iz prometa kao mjera za ostvarenje ovog cilja je uspostava posebnog poreza na motorna vozila. Bazirajući se na načelu „onečišćivač plaća“, model se obračunava s obzirom na emisije  CO</w:t>
            </w:r>
            <w:r w:rsidRPr="00361664">
              <w:rPr>
                <w:rFonts w:asciiTheme="minorHAnsi" w:hAnsiTheme="minorHAnsi"/>
                <w:iCs/>
                <w:vertAlign w:val="subscript"/>
              </w:rPr>
              <w:t>2</w:t>
            </w:r>
            <w:r w:rsidRPr="00361664">
              <w:rPr>
                <w:rFonts w:asciiTheme="minorHAnsi" w:hAnsiTheme="minorHAnsi"/>
                <w:iCs/>
              </w:rPr>
              <w:t xml:space="preserve"> u zrak iz motornih vozila. </w:t>
            </w:r>
          </w:p>
        </w:tc>
      </w:tr>
      <w:tr w:rsidR="00E56334" w:rsidRPr="00361664" w:rsidTr="00F60742">
        <w:trPr>
          <w:trHeight w:val="450"/>
        </w:trPr>
        <w:tc>
          <w:tcPr>
            <w:tcW w:w="1129" w:type="dxa"/>
            <w:vMerge/>
            <w:hideMark/>
          </w:tcPr>
          <w:p w:rsidR="00E56334" w:rsidRPr="00361664" w:rsidRDefault="00E56334" w:rsidP="00E56334">
            <w:pPr>
              <w:jc w:val="both"/>
              <w:rPr>
                <w:rFonts w:asciiTheme="minorHAnsi" w:hAnsiTheme="minorHAnsi"/>
              </w:rPr>
            </w:pPr>
          </w:p>
        </w:tc>
        <w:tc>
          <w:tcPr>
            <w:tcW w:w="1748" w:type="dxa"/>
            <w:vMerge/>
            <w:hideMark/>
          </w:tcPr>
          <w:p w:rsidR="00E56334" w:rsidRPr="00361664" w:rsidRDefault="00E56334" w:rsidP="00E56334">
            <w:pPr>
              <w:jc w:val="both"/>
              <w:rPr>
                <w:rFonts w:asciiTheme="minorHAnsi" w:hAnsiTheme="minorHAnsi"/>
              </w:rPr>
            </w:pPr>
          </w:p>
        </w:tc>
        <w:tc>
          <w:tcPr>
            <w:tcW w:w="6185" w:type="dxa"/>
            <w:tcBorders>
              <w:top w:val="nil"/>
              <w:left w:val="single" w:sz="2" w:space="0" w:color="auto"/>
              <w:bottom w:val="nil"/>
              <w:right w:val="single" w:sz="2" w:space="0" w:color="auto"/>
            </w:tcBorders>
          </w:tcPr>
          <w:p w:rsidR="00E56334" w:rsidRPr="00361664" w:rsidRDefault="00E56334" w:rsidP="00E56334">
            <w:pPr>
              <w:jc w:val="both"/>
              <w:rPr>
                <w:rFonts w:asciiTheme="minorHAnsi" w:hAnsiTheme="minorHAnsi"/>
                <w:iCs/>
              </w:rPr>
            </w:pPr>
            <w:r w:rsidRPr="00361664">
              <w:rPr>
                <w:rFonts w:asciiTheme="minorHAnsi" w:hAnsiTheme="minorHAnsi"/>
                <w:iCs/>
              </w:rPr>
              <w:t>Posebni porez utvrđuje se na temelju prodajne, odnosno tržišne cijene motornog vozila, emisije CO</w:t>
            </w:r>
            <w:r w:rsidRPr="00361664">
              <w:rPr>
                <w:rFonts w:asciiTheme="minorHAnsi" w:hAnsiTheme="minorHAnsi"/>
                <w:iCs/>
                <w:vertAlign w:val="subscript"/>
              </w:rPr>
              <w:t>2</w:t>
            </w:r>
            <w:r w:rsidRPr="00361664">
              <w:rPr>
                <w:rFonts w:asciiTheme="minorHAnsi" w:hAnsiTheme="minorHAnsi"/>
                <w:iCs/>
              </w:rPr>
              <w:t xml:space="preserve"> izražene u gramima po kilometru, obujmu motora u kubičnim centimetrima i razini emisije stakleničkih plinova.</w:t>
            </w:r>
          </w:p>
        </w:tc>
      </w:tr>
      <w:tr w:rsidR="00E56334" w:rsidRPr="00361664" w:rsidTr="00F60742">
        <w:trPr>
          <w:trHeight w:val="450"/>
        </w:trPr>
        <w:tc>
          <w:tcPr>
            <w:tcW w:w="1129" w:type="dxa"/>
            <w:vMerge/>
            <w:hideMark/>
          </w:tcPr>
          <w:p w:rsidR="00E56334" w:rsidRPr="00361664" w:rsidRDefault="00E56334" w:rsidP="00E56334">
            <w:pPr>
              <w:jc w:val="both"/>
              <w:rPr>
                <w:rFonts w:asciiTheme="minorHAnsi" w:hAnsiTheme="minorHAnsi"/>
              </w:rPr>
            </w:pPr>
          </w:p>
        </w:tc>
        <w:tc>
          <w:tcPr>
            <w:tcW w:w="1748" w:type="dxa"/>
            <w:vMerge/>
            <w:hideMark/>
          </w:tcPr>
          <w:p w:rsidR="00E56334" w:rsidRPr="00361664" w:rsidRDefault="00E56334" w:rsidP="00E56334">
            <w:pPr>
              <w:jc w:val="both"/>
              <w:rPr>
                <w:rFonts w:asciiTheme="minorHAnsi" w:hAnsiTheme="minorHAnsi"/>
              </w:rPr>
            </w:pPr>
          </w:p>
        </w:tc>
        <w:tc>
          <w:tcPr>
            <w:tcW w:w="6185" w:type="dxa"/>
            <w:tcBorders>
              <w:top w:val="nil"/>
              <w:left w:val="single" w:sz="2" w:space="0" w:color="auto"/>
              <w:bottom w:val="nil"/>
              <w:right w:val="single" w:sz="2" w:space="0" w:color="auto"/>
            </w:tcBorders>
          </w:tcPr>
          <w:p w:rsidR="00E56334" w:rsidRPr="00361664" w:rsidRDefault="00E56334" w:rsidP="00E56334">
            <w:pPr>
              <w:jc w:val="both"/>
              <w:rPr>
                <w:rFonts w:asciiTheme="minorHAnsi" w:hAnsiTheme="minorHAnsi"/>
                <w:iCs/>
              </w:rPr>
            </w:pPr>
            <w:r w:rsidRPr="00361664">
              <w:rPr>
                <w:rFonts w:asciiTheme="minorHAnsi" w:hAnsiTheme="minorHAnsi"/>
                <w:iCs/>
              </w:rPr>
              <w:t xml:space="preserve">Motorna vozila koja se isključivo pokreću na električni pogon nisu predmet ovog oporezivanja, a za "plug-in" hibridna električna vozila iznos </w:t>
            </w:r>
            <w:r w:rsidRPr="00361664">
              <w:rPr>
                <w:rFonts w:asciiTheme="minorHAnsi" w:hAnsiTheme="minorHAnsi"/>
                <w:iCs/>
              </w:rPr>
              <w:lastRenderedPageBreak/>
              <w:t>posebnog poreza umanjuje se za postotni iznos koji odgovara dosegu vozila u potpuno električnom načinu rada.</w:t>
            </w:r>
          </w:p>
        </w:tc>
      </w:tr>
      <w:tr w:rsidR="00E56334" w:rsidRPr="00361664" w:rsidTr="00F60742">
        <w:trPr>
          <w:trHeight w:val="315"/>
        </w:trPr>
        <w:tc>
          <w:tcPr>
            <w:tcW w:w="1129" w:type="dxa"/>
            <w:vMerge/>
            <w:hideMark/>
          </w:tcPr>
          <w:p w:rsidR="00E56334" w:rsidRPr="00361664" w:rsidRDefault="00E56334" w:rsidP="00E56334">
            <w:pPr>
              <w:jc w:val="both"/>
              <w:rPr>
                <w:rFonts w:asciiTheme="minorHAnsi" w:hAnsiTheme="minorHAnsi"/>
              </w:rPr>
            </w:pPr>
          </w:p>
        </w:tc>
        <w:tc>
          <w:tcPr>
            <w:tcW w:w="1748" w:type="dxa"/>
            <w:vMerge/>
            <w:hideMark/>
          </w:tcPr>
          <w:p w:rsidR="00E56334" w:rsidRPr="00361664" w:rsidRDefault="00E56334" w:rsidP="00E56334">
            <w:pPr>
              <w:jc w:val="both"/>
              <w:rPr>
                <w:rFonts w:asciiTheme="minorHAnsi" w:hAnsiTheme="minorHAnsi"/>
              </w:rPr>
            </w:pPr>
          </w:p>
        </w:tc>
        <w:tc>
          <w:tcPr>
            <w:tcW w:w="6185" w:type="dxa"/>
            <w:tcBorders>
              <w:top w:val="nil"/>
              <w:left w:val="single" w:sz="2" w:space="0" w:color="auto"/>
              <w:bottom w:val="single" w:sz="2" w:space="0" w:color="auto"/>
              <w:right w:val="single" w:sz="2" w:space="0" w:color="auto"/>
            </w:tcBorders>
          </w:tcPr>
          <w:p w:rsidR="00E56334" w:rsidRPr="00361664" w:rsidRDefault="00E56334" w:rsidP="00E56334">
            <w:pPr>
              <w:jc w:val="both"/>
              <w:rPr>
                <w:rFonts w:asciiTheme="minorHAnsi" w:hAnsiTheme="minorHAnsi"/>
                <w:iCs/>
              </w:rPr>
            </w:pPr>
            <w:r w:rsidRPr="00361664">
              <w:rPr>
                <w:rFonts w:asciiTheme="minorHAnsi" w:hAnsiTheme="minorHAnsi"/>
                <w:iCs/>
              </w:rPr>
              <w:t>Ovim posebnim porezom potiče se kupovina učinkovitih vozila i vozila s manjim emisijama stakleničkih plinova.</w:t>
            </w:r>
          </w:p>
          <w:p w:rsidR="00E56334" w:rsidRPr="00361664" w:rsidRDefault="00E56334" w:rsidP="00E56334">
            <w:pPr>
              <w:jc w:val="both"/>
              <w:rPr>
                <w:rFonts w:asciiTheme="minorHAnsi" w:hAnsiTheme="minorHAnsi"/>
                <w:iCs/>
              </w:rPr>
            </w:pPr>
            <w:r w:rsidRPr="00361664">
              <w:rPr>
                <w:rFonts w:asciiTheme="minorHAnsi" w:hAnsiTheme="minorHAnsi"/>
                <w:iCs/>
              </w:rPr>
              <w:t>Za određivanje ostvarenih i reviziju očekivanih budućih ušteda provest će se istraživanje utjecaja posebnog poreza na ponašanje potrošača prilikom kupovine vozila.</w:t>
            </w:r>
          </w:p>
        </w:tc>
      </w:tr>
      <w:tr w:rsidR="00842D58" w:rsidRPr="00361664" w:rsidTr="00F60742">
        <w:trPr>
          <w:trHeight w:val="315"/>
        </w:trPr>
        <w:tc>
          <w:tcPr>
            <w:tcW w:w="1129" w:type="dxa"/>
            <w:vMerge/>
            <w:hideMark/>
          </w:tcPr>
          <w:p w:rsidR="00842D58" w:rsidRPr="00361664" w:rsidRDefault="00842D58" w:rsidP="00DC5C62">
            <w:pPr>
              <w:jc w:val="both"/>
              <w:rPr>
                <w:rFonts w:asciiTheme="minorHAnsi" w:hAnsiTheme="minorHAnsi"/>
              </w:rPr>
            </w:pP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Ciljna neposredna potrošnja</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Motorna vozila</w:t>
            </w:r>
          </w:p>
        </w:tc>
      </w:tr>
      <w:tr w:rsidR="00842D58" w:rsidRPr="00361664" w:rsidTr="00F60742">
        <w:trPr>
          <w:trHeight w:val="315"/>
        </w:trPr>
        <w:tc>
          <w:tcPr>
            <w:tcW w:w="1129" w:type="dxa"/>
            <w:vMerge/>
            <w:hideMark/>
          </w:tcPr>
          <w:p w:rsidR="00842D58" w:rsidRPr="00361664" w:rsidRDefault="00842D58" w:rsidP="00DC5C62">
            <w:pPr>
              <w:jc w:val="both"/>
              <w:rPr>
                <w:rFonts w:asciiTheme="minorHAnsi" w:hAnsiTheme="minorHAnsi"/>
              </w:rPr>
            </w:pP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Ciljna skupina</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Kupci vozila</w:t>
            </w:r>
          </w:p>
        </w:tc>
      </w:tr>
      <w:tr w:rsidR="00842D58" w:rsidRPr="00361664" w:rsidTr="00F60742">
        <w:trPr>
          <w:trHeight w:val="315"/>
        </w:trPr>
        <w:tc>
          <w:tcPr>
            <w:tcW w:w="1129" w:type="dxa"/>
            <w:vMerge/>
            <w:hideMark/>
          </w:tcPr>
          <w:p w:rsidR="00842D58" w:rsidRPr="00361664" w:rsidRDefault="00842D58" w:rsidP="00DC5C62">
            <w:pPr>
              <w:jc w:val="both"/>
              <w:rPr>
                <w:rFonts w:asciiTheme="minorHAnsi" w:hAnsiTheme="minorHAnsi"/>
              </w:rPr>
            </w:pP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Regionalna primjena</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Nacionalna</w:t>
            </w:r>
          </w:p>
        </w:tc>
      </w:tr>
      <w:tr w:rsidR="00842D58" w:rsidRPr="00361664" w:rsidTr="00F60742">
        <w:trPr>
          <w:trHeight w:val="465"/>
        </w:trPr>
        <w:tc>
          <w:tcPr>
            <w:tcW w:w="1129" w:type="dxa"/>
            <w:vMerge w:val="restart"/>
            <w:hideMark/>
          </w:tcPr>
          <w:p w:rsidR="00842D58" w:rsidRPr="00361664" w:rsidRDefault="00842D58" w:rsidP="00DC5C62">
            <w:pPr>
              <w:jc w:val="both"/>
              <w:rPr>
                <w:rFonts w:asciiTheme="minorHAnsi" w:hAnsiTheme="minorHAnsi"/>
              </w:rPr>
            </w:pPr>
            <w:r w:rsidRPr="00361664">
              <w:rPr>
                <w:rFonts w:asciiTheme="minorHAnsi" w:hAnsiTheme="minorHAnsi"/>
              </w:rPr>
              <w:t>Informacije o  provedbi</w:t>
            </w: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 xml:space="preserve">Popis i opis aktivnosti za provođenje mjere </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Donošenjem Zakona o posebnom porezu na motorna vozila (NN 15/13, 108/13, 115/16) osigurana je primjena i provođenje mjere</w:t>
            </w:r>
          </w:p>
        </w:tc>
      </w:tr>
      <w:tr w:rsidR="00842D58" w:rsidRPr="00361664" w:rsidTr="00F60742">
        <w:trPr>
          <w:trHeight w:val="465"/>
        </w:trPr>
        <w:tc>
          <w:tcPr>
            <w:tcW w:w="1129" w:type="dxa"/>
            <w:vMerge/>
            <w:hideMark/>
          </w:tcPr>
          <w:p w:rsidR="00842D58" w:rsidRPr="00361664" w:rsidRDefault="00842D58" w:rsidP="00DC5C62">
            <w:pPr>
              <w:jc w:val="both"/>
              <w:rPr>
                <w:rFonts w:asciiTheme="minorHAnsi" w:hAnsiTheme="minorHAnsi"/>
              </w:rPr>
            </w:pP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Financijska sredstva i izvori financiranja</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Kupci vozila</w:t>
            </w:r>
          </w:p>
        </w:tc>
      </w:tr>
      <w:tr w:rsidR="00842D58" w:rsidRPr="00361664" w:rsidTr="00F60742">
        <w:trPr>
          <w:trHeight w:val="315"/>
        </w:trPr>
        <w:tc>
          <w:tcPr>
            <w:tcW w:w="1129" w:type="dxa"/>
            <w:vMerge/>
            <w:hideMark/>
          </w:tcPr>
          <w:p w:rsidR="00842D58" w:rsidRPr="00361664" w:rsidRDefault="00842D58" w:rsidP="00DC5C62">
            <w:pPr>
              <w:jc w:val="both"/>
              <w:rPr>
                <w:rFonts w:asciiTheme="minorHAnsi" w:hAnsiTheme="minorHAnsi"/>
              </w:rPr>
            </w:pP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Izvršno  tijelo</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Ministarstvo financija</w:t>
            </w:r>
          </w:p>
        </w:tc>
      </w:tr>
      <w:tr w:rsidR="00842D58" w:rsidRPr="00361664" w:rsidTr="00F60742">
        <w:trPr>
          <w:trHeight w:val="315"/>
        </w:trPr>
        <w:tc>
          <w:tcPr>
            <w:tcW w:w="1129" w:type="dxa"/>
            <w:vMerge/>
            <w:hideMark/>
          </w:tcPr>
          <w:p w:rsidR="00842D58" w:rsidRPr="00361664" w:rsidRDefault="00842D58" w:rsidP="00DC5C62">
            <w:pPr>
              <w:jc w:val="both"/>
              <w:rPr>
                <w:rFonts w:asciiTheme="minorHAnsi" w:hAnsiTheme="minorHAnsi"/>
              </w:rPr>
            </w:pPr>
          </w:p>
        </w:tc>
        <w:tc>
          <w:tcPr>
            <w:tcW w:w="1748" w:type="dxa"/>
            <w:hideMark/>
          </w:tcPr>
          <w:p w:rsidR="00842D58" w:rsidRPr="00361664" w:rsidRDefault="00640C0B" w:rsidP="00DC5C62">
            <w:pPr>
              <w:jc w:val="both"/>
              <w:rPr>
                <w:rFonts w:asciiTheme="minorHAnsi" w:hAnsiTheme="minorHAnsi"/>
              </w:rPr>
            </w:pPr>
            <w:r w:rsidRPr="00361664">
              <w:rPr>
                <w:rFonts w:asciiTheme="minorHAnsi" w:hAnsiTheme="minorHAnsi"/>
              </w:rPr>
              <w:t>Tijelo za praćenje, mjerenje i verifikaciju ušteda</w:t>
            </w:r>
          </w:p>
        </w:tc>
        <w:tc>
          <w:tcPr>
            <w:tcW w:w="6185" w:type="dxa"/>
          </w:tcPr>
          <w:p w:rsidR="00842D58" w:rsidRPr="00361664" w:rsidRDefault="00842D58" w:rsidP="00DC5C62">
            <w:pPr>
              <w:jc w:val="both"/>
              <w:rPr>
                <w:rFonts w:asciiTheme="minorHAnsi" w:hAnsiTheme="minorHAnsi"/>
                <w:iCs/>
              </w:rPr>
            </w:pPr>
            <w:r w:rsidRPr="00361664">
              <w:rPr>
                <w:rFonts w:asciiTheme="minorHAnsi" w:hAnsiTheme="minorHAnsi"/>
                <w:iCs/>
              </w:rPr>
              <w:t xml:space="preserve">NKT </w:t>
            </w:r>
          </w:p>
        </w:tc>
      </w:tr>
      <w:tr w:rsidR="00842D58" w:rsidRPr="00361664" w:rsidTr="00F60742">
        <w:trPr>
          <w:trHeight w:val="465"/>
        </w:trPr>
        <w:tc>
          <w:tcPr>
            <w:tcW w:w="1129" w:type="dxa"/>
            <w:vMerge w:val="restart"/>
            <w:hideMark/>
          </w:tcPr>
          <w:p w:rsidR="00842D58" w:rsidRPr="00361664" w:rsidRDefault="00842D58" w:rsidP="001E243B">
            <w:pPr>
              <w:jc w:val="both"/>
              <w:rPr>
                <w:rFonts w:asciiTheme="minorHAnsi" w:hAnsiTheme="minorHAnsi"/>
              </w:rPr>
            </w:pPr>
            <w:r w:rsidRPr="00361664">
              <w:rPr>
                <w:rFonts w:asciiTheme="minorHAnsi" w:hAnsiTheme="minorHAnsi"/>
              </w:rPr>
              <w:t>Uštede energije</w:t>
            </w: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Metoda praćenja / mjerenja ušteda energije</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rPr>
              <w:t xml:space="preserve">Ova mjera će se pratiti metodom istraživanja; </w:t>
            </w:r>
            <w:r w:rsidRPr="00361664">
              <w:rPr>
                <w:rFonts w:asciiTheme="minorHAnsi" w:hAnsiTheme="minorHAnsi"/>
                <w:iCs/>
              </w:rPr>
              <w:t>Upitnici provedeni među kupcima vozila</w:t>
            </w:r>
          </w:p>
        </w:tc>
      </w:tr>
      <w:tr w:rsidR="00E56334" w:rsidRPr="00361664" w:rsidTr="00F60742">
        <w:trPr>
          <w:trHeight w:val="465"/>
        </w:trPr>
        <w:tc>
          <w:tcPr>
            <w:tcW w:w="1129" w:type="dxa"/>
            <w:vMerge/>
            <w:hideMark/>
          </w:tcPr>
          <w:p w:rsidR="00E56334" w:rsidRPr="00361664" w:rsidRDefault="00E56334" w:rsidP="00E56334">
            <w:pPr>
              <w:jc w:val="both"/>
              <w:rPr>
                <w:rFonts w:asciiTheme="minorHAnsi" w:hAnsiTheme="minorHAnsi"/>
              </w:rPr>
            </w:pPr>
          </w:p>
        </w:tc>
        <w:tc>
          <w:tcPr>
            <w:tcW w:w="1748" w:type="dxa"/>
            <w:hideMark/>
          </w:tcPr>
          <w:p w:rsidR="00E56334" w:rsidRPr="00361664" w:rsidRDefault="00E56334" w:rsidP="00E56334">
            <w:pPr>
              <w:jc w:val="both"/>
              <w:rPr>
                <w:rFonts w:asciiTheme="minorHAnsi" w:hAnsiTheme="minorHAnsi"/>
              </w:rPr>
            </w:pPr>
            <w:r w:rsidRPr="00361664">
              <w:rPr>
                <w:rFonts w:asciiTheme="minorHAnsi" w:hAnsiTheme="minorHAnsi"/>
              </w:rPr>
              <w:t>Očekivane uštede energije do kraja 2019.</w:t>
            </w:r>
          </w:p>
        </w:tc>
        <w:tc>
          <w:tcPr>
            <w:tcW w:w="6185" w:type="dxa"/>
            <w:vAlign w:val="center"/>
            <w:hideMark/>
          </w:tcPr>
          <w:p w:rsidR="00E56334" w:rsidRPr="00361664" w:rsidRDefault="00E56334" w:rsidP="00E56334">
            <w:pPr>
              <w:jc w:val="both"/>
              <w:rPr>
                <w:rFonts w:asciiTheme="minorHAnsi" w:hAnsiTheme="minorHAnsi"/>
                <w:iCs/>
              </w:rPr>
            </w:pPr>
            <w:r w:rsidRPr="00361664">
              <w:rPr>
                <w:rFonts w:asciiTheme="minorHAnsi" w:hAnsiTheme="minorHAnsi"/>
                <w:iCs/>
              </w:rPr>
              <w:t>132 TJ</w:t>
            </w:r>
          </w:p>
        </w:tc>
      </w:tr>
      <w:tr w:rsidR="00E56334" w:rsidRPr="00361664" w:rsidTr="00F60742">
        <w:trPr>
          <w:trHeight w:val="465"/>
        </w:trPr>
        <w:tc>
          <w:tcPr>
            <w:tcW w:w="1129" w:type="dxa"/>
            <w:vMerge/>
            <w:hideMark/>
          </w:tcPr>
          <w:p w:rsidR="00E56334" w:rsidRPr="00361664" w:rsidRDefault="00E56334" w:rsidP="00E56334">
            <w:pPr>
              <w:jc w:val="both"/>
              <w:rPr>
                <w:rFonts w:asciiTheme="minorHAnsi" w:hAnsiTheme="minorHAnsi"/>
              </w:rPr>
            </w:pPr>
          </w:p>
        </w:tc>
        <w:tc>
          <w:tcPr>
            <w:tcW w:w="1748" w:type="dxa"/>
            <w:hideMark/>
          </w:tcPr>
          <w:p w:rsidR="00E56334" w:rsidRPr="00361664" w:rsidRDefault="00E56334" w:rsidP="00E56334">
            <w:pPr>
              <w:jc w:val="both"/>
              <w:rPr>
                <w:rFonts w:asciiTheme="minorHAnsi" w:hAnsiTheme="minorHAnsi"/>
              </w:rPr>
            </w:pPr>
            <w:r w:rsidRPr="00361664">
              <w:rPr>
                <w:rFonts w:asciiTheme="minorHAnsi" w:hAnsiTheme="minorHAnsi"/>
              </w:rPr>
              <w:t>Očekivane uštede energije do kraja 2020.</w:t>
            </w:r>
          </w:p>
        </w:tc>
        <w:tc>
          <w:tcPr>
            <w:tcW w:w="6185" w:type="dxa"/>
            <w:vAlign w:val="center"/>
            <w:hideMark/>
          </w:tcPr>
          <w:p w:rsidR="00E56334" w:rsidRPr="00361664" w:rsidRDefault="00E56334" w:rsidP="00E56334">
            <w:pPr>
              <w:jc w:val="both"/>
              <w:rPr>
                <w:rFonts w:asciiTheme="minorHAnsi" w:hAnsiTheme="minorHAnsi"/>
                <w:iCs/>
              </w:rPr>
            </w:pPr>
            <w:r w:rsidRPr="00361664">
              <w:rPr>
                <w:rFonts w:asciiTheme="minorHAnsi" w:hAnsiTheme="minorHAnsi"/>
                <w:iCs/>
              </w:rPr>
              <w:t>176 TJ</w:t>
            </w:r>
          </w:p>
        </w:tc>
      </w:tr>
      <w:tr w:rsidR="00E56334" w:rsidRPr="00361664" w:rsidTr="00F60742">
        <w:trPr>
          <w:trHeight w:val="1140"/>
        </w:trPr>
        <w:tc>
          <w:tcPr>
            <w:tcW w:w="1129" w:type="dxa"/>
            <w:vMerge/>
            <w:hideMark/>
          </w:tcPr>
          <w:p w:rsidR="00E56334" w:rsidRPr="00361664" w:rsidRDefault="00E56334" w:rsidP="00E56334">
            <w:pPr>
              <w:jc w:val="both"/>
              <w:rPr>
                <w:rFonts w:asciiTheme="minorHAnsi" w:hAnsiTheme="minorHAnsi"/>
              </w:rPr>
            </w:pPr>
          </w:p>
        </w:tc>
        <w:tc>
          <w:tcPr>
            <w:tcW w:w="1748" w:type="dxa"/>
            <w:hideMark/>
          </w:tcPr>
          <w:p w:rsidR="00E56334" w:rsidRPr="00361664" w:rsidRDefault="00E56334" w:rsidP="00E56334">
            <w:pPr>
              <w:jc w:val="both"/>
              <w:rPr>
                <w:rFonts w:asciiTheme="minorHAnsi" w:hAnsiTheme="minorHAnsi"/>
              </w:rPr>
            </w:pPr>
            <w:r w:rsidRPr="00361664">
              <w:rPr>
                <w:rFonts w:asciiTheme="minorHAnsi" w:hAnsiTheme="minorHAnsi"/>
              </w:rPr>
              <w:t>Pretpostavke</w:t>
            </w:r>
          </w:p>
        </w:tc>
        <w:tc>
          <w:tcPr>
            <w:tcW w:w="6185" w:type="dxa"/>
            <w:hideMark/>
          </w:tcPr>
          <w:p w:rsidR="00E56334" w:rsidRPr="00361664" w:rsidRDefault="00E56334" w:rsidP="00E56334">
            <w:pPr>
              <w:jc w:val="both"/>
              <w:rPr>
                <w:rFonts w:asciiTheme="minorHAnsi" w:hAnsiTheme="minorHAnsi"/>
                <w:iCs/>
              </w:rPr>
            </w:pPr>
            <w:r w:rsidRPr="00361664">
              <w:rPr>
                <w:rFonts w:asciiTheme="minorHAnsi" w:hAnsiTheme="minorHAnsi"/>
                <w:iCs/>
              </w:rPr>
              <w:t>Uvođenjem poreza potiče se kupnja energetski učinkovitijih vozila i vozila s manjim emisijama stakleničkih plinova. Korištene pretpostavke su: kupnja 40.000 osobnih vozila te 2.500 motocikala godišnje s stopom porasta od 5% godišnje, prosječni prevaljen put po osobnom vozilu od 12.000 km/god, po motociklu 5.000 km/god, pretpostavlja se kako će 50% kupljenih osobnih vozila obuhvaćenih ovim zakonom biti na dizelsko gorivo, a 50% na benzin. Pretpostavka je kako će 20% kupaca odabrati vozila s emisijama od 10 gCO</w:t>
            </w:r>
            <w:r w:rsidRPr="00361664">
              <w:rPr>
                <w:rFonts w:asciiTheme="minorHAnsi" w:hAnsiTheme="minorHAnsi"/>
                <w:vertAlign w:val="subscript"/>
              </w:rPr>
              <w:t>2</w:t>
            </w:r>
            <w:r w:rsidRPr="00361664">
              <w:rPr>
                <w:rFonts w:asciiTheme="minorHAnsi" w:hAnsiTheme="minorHAnsi"/>
                <w:iCs/>
              </w:rPr>
              <w:t>/km manjim, a 20% kupaca vozila s 20 gCO</w:t>
            </w:r>
            <w:r w:rsidRPr="00361664">
              <w:rPr>
                <w:rFonts w:asciiTheme="minorHAnsi" w:hAnsiTheme="minorHAnsi"/>
                <w:vertAlign w:val="subscript"/>
              </w:rPr>
              <w:t>2</w:t>
            </w:r>
            <w:r w:rsidRPr="00361664">
              <w:rPr>
                <w:rFonts w:asciiTheme="minorHAnsi" w:hAnsiTheme="minorHAnsi"/>
                <w:iCs/>
              </w:rPr>
              <w:t>/km manjim od onih koje bi odabrali da nije uspostavljen poseban porez. Vrijeme trajanja mjere je na 8 godina.</w:t>
            </w:r>
          </w:p>
        </w:tc>
      </w:tr>
      <w:tr w:rsidR="00842D58" w:rsidRPr="00361664" w:rsidTr="00F60742">
        <w:trPr>
          <w:trHeight w:val="465"/>
        </w:trPr>
        <w:tc>
          <w:tcPr>
            <w:tcW w:w="1129" w:type="dxa"/>
            <w:vMerge/>
            <w:hideMark/>
          </w:tcPr>
          <w:p w:rsidR="00842D58" w:rsidRPr="00361664" w:rsidRDefault="00842D58" w:rsidP="00DC5C62">
            <w:pPr>
              <w:jc w:val="both"/>
              <w:rPr>
                <w:rFonts w:asciiTheme="minorHAnsi" w:hAnsiTheme="minorHAnsi"/>
              </w:rPr>
            </w:pPr>
          </w:p>
        </w:tc>
        <w:tc>
          <w:tcPr>
            <w:tcW w:w="1748" w:type="dxa"/>
            <w:hideMark/>
          </w:tcPr>
          <w:p w:rsidR="00842D58" w:rsidRPr="00361664" w:rsidRDefault="00842D58" w:rsidP="00DC5C62">
            <w:pPr>
              <w:jc w:val="both"/>
              <w:rPr>
                <w:rFonts w:asciiTheme="minorHAnsi" w:hAnsiTheme="minorHAnsi"/>
              </w:rPr>
            </w:pPr>
            <w:r w:rsidRPr="00361664">
              <w:rPr>
                <w:rFonts w:asciiTheme="minorHAnsi" w:hAnsiTheme="minorHAnsi"/>
              </w:rPr>
              <w:t>Preklapanja, efekt množenja, sinergija</w:t>
            </w:r>
          </w:p>
        </w:tc>
        <w:tc>
          <w:tcPr>
            <w:tcW w:w="6185" w:type="dxa"/>
            <w:hideMark/>
          </w:tcPr>
          <w:p w:rsidR="00842D58" w:rsidRPr="00361664" w:rsidRDefault="00842D58" w:rsidP="00DC5C62">
            <w:pPr>
              <w:jc w:val="both"/>
              <w:rPr>
                <w:rFonts w:asciiTheme="minorHAnsi" w:hAnsiTheme="minorHAnsi"/>
                <w:iCs/>
              </w:rPr>
            </w:pPr>
            <w:r w:rsidRPr="00361664">
              <w:rPr>
                <w:rFonts w:asciiTheme="minorHAnsi" w:hAnsiTheme="minorHAnsi"/>
                <w:iCs/>
              </w:rPr>
              <w:t>Poticanje kupnje ekoloških vozila ima za posljedicu smanjenje emisija iz osobnih vozila a samim time i ukupnih emisija iz sektora promet. Ova mjera povezana je s mjerom poticanja nabave energetski učinkovitih vozila kojom se dodatno potiče nabava električnih i hibridnih vozila.</w:t>
            </w:r>
          </w:p>
        </w:tc>
      </w:tr>
      <w:bookmarkEnd w:id="50"/>
    </w:tbl>
    <w:p w:rsidR="00842D58" w:rsidRPr="00361664" w:rsidRDefault="00842D58" w:rsidP="00651BCA">
      <w:pPr>
        <w:pStyle w:val="Tabletext"/>
        <w:tabs>
          <w:tab w:val="left" w:pos="1440"/>
          <w:tab w:val="left" w:pos="5040"/>
        </w:tabs>
        <w:spacing w:before="0" w:after="0" w:line="240" w:lineRule="auto"/>
        <w:rPr>
          <w:rFonts w:asciiTheme="minorHAnsi" w:hAnsiTheme="minorHAnsi"/>
          <w:b/>
          <w:sz w:val="24"/>
          <w:lang w:val="hr-HR"/>
        </w:rPr>
      </w:pPr>
    </w:p>
    <w:p w:rsidR="007A3D6C" w:rsidRPr="00361664" w:rsidRDefault="007A3D6C" w:rsidP="00651BCA">
      <w:pPr>
        <w:pStyle w:val="Tabletext"/>
        <w:tabs>
          <w:tab w:val="left" w:pos="1440"/>
          <w:tab w:val="left" w:pos="5040"/>
        </w:tabs>
        <w:spacing w:before="0" w:after="0" w:line="240" w:lineRule="auto"/>
        <w:rPr>
          <w:rFonts w:asciiTheme="minorHAnsi" w:hAnsiTheme="minorHAnsi"/>
          <w:b/>
          <w:sz w:val="24"/>
          <w:lang w:val="hr-HR"/>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564"/>
        <w:gridCol w:w="6510"/>
      </w:tblGrid>
      <w:tr w:rsidR="007A3D6C" w:rsidRPr="00361664" w:rsidTr="00961A34">
        <w:trPr>
          <w:trHeight w:val="20"/>
        </w:trPr>
        <w:tc>
          <w:tcPr>
            <w:tcW w:w="1508" w:type="pct"/>
            <w:gridSpan w:val="2"/>
            <w:shd w:val="clear" w:color="auto" w:fill="CCFFCC"/>
          </w:tcPr>
          <w:p w:rsidR="007A3D6C" w:rsidRPr="00361664" w:rsidRDefault="007A3D6C" w:rsidP="00961A34">
            <w:pPr>
              <w:spacing w:after="0" w:line="240" w:lineRule="auto"/>
              <w:jc w:val="both"/>
              <w:rPr>
                <w:b/>
                <w:sz w:val="24"/>
              </w:rPr>
            </w:pPr>
            <w:r w:rsidRPr="00361664">
              <w:rPr>
                <w:b/>
                <w:iCs/>
                <w:sz w:val="20"/>
              </w:rPr>
              <w:t>Naziv mjere</w:t>
            </w:r>
          </w:p>
        </w:tc>
        <w:tc>
          <w:tcPr>
            <w:tcW w:w="3492" w:type="pct"/>
            <w:shd w:val="clear" w:color="auto" w:fill="CCFFCC"/>
          </w:tcPr>
          <w:p w:rsidR="007A3D6C" w:rsidRPr="00361664" w:rsidRDefault="007A3D6C" w:rsidP="00961A34">
            <w:pPr>
              <w:spacing w:after="0" w:line="240" w:lineRule="auto"/>
              <w:jc w:val="both"/>
              <w:rPr>
                <w:b/>
                <w:bCs/>
                <w:iCs/>
                <w:sz w:val="20"/>
              </w:rPr>
            </w:pPr>
            <w:r w:rsidRPr="00361664">
              <w:rPr>
                <w:b/>
                <w:bCs/>
                <w:iCs/>
                <w:sz w:val="20"/>
              </w:rPr>
              <w:t>ELEN Strateški projekt HEP grupe</w:t>
            </w:r>
          </w:p>
        </w:tc>
      </w:tr>
      <w:tr w:rsidR="007A3D6C" w:rsidRPr="00361664" w:rsidTr="00961A34">
        <w:trPr>
          <w:trHeight w:val="20"/>
        </w:trPr>
        <w:tc>
          <w:tcPr>
            <w:tcW w:w="1508" w:type="pct"/>
            <w:gridSpan w:val="2"/>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Indeks mjere</w:t>
            </w:r>
          </w:p>
        </w:tc>
        <w:tc>
          <w:tcPr>
            <w:tcW w:w="3492" w:type="pct"/>
          </w:tcPr>
          <w:p w:rsidR="007A3D6C" w:rsidRPr="00361664" w:rsidRDefault="007A3D6C" w:rsidP="00961A34">
            <w:pPr>
              <w:spacing w:after="0" w:line="240" w:lineRule="auto"/>
              <w:jc w:val="both"/>
              <w:rPr>
                <w:sz w:val="24"/>
              </w:rPr>
            </w:pPr>
            <w:r w:rsidRPr="00361664">
              <w:rPr>
                <w:iCs/>
                <w:sz w:val="20"/>
              </w:rPr>
              <w:t>T.7</w:t>
            </w:r>
          </w:p>
        </w:tc>
      </w:tr>
      <w:tr w:rsidR="007A3D6C" w:rsidRPr="00361664" w:rsidTr="00961A34">
        <w:trPr>
          <w:trHeight w:val="20"/>
        </w:trPr>
        <w:tc>
          <w:tcPr>
            <w:tcW w:w="669" w:type="pct"/>
            <w:vMerge w:val="restar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p>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Opis</w:t>
            </w: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Kategorija</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Infrastruktura, strateško planiranje</w:t>
            </w:r>
          </w:p>
        </w:tc>
      </w:tr>
      <w:tr w:rsidR="007A3D6C" w:rsidRPr="00361664" w:rsidTr="00961A34">
        <w:trPr>
          <w:trHeight w:val="20"/>
        </w:trPr>
        <w:tc>
          <w:tcPr>
            <w:tcW w:w="669" w:type="pct"/>
            <w:vMerge/>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Vremenski okvir</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Početak: 2013.</w:t>
            </w:r>
          </w:p>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Kraj: do razvoja potpune mreže javno dostupne infrastrukture</w:t>
            </w:r>
          </w:p>
        </w:tc>
      </w:tr>
      <w:tr w:rsidR="007A3D6C" w:rsidRPr="00361664" w:rsidTr="00961A34">
        <w:trPr>
          <w:trHeight w:val="20"/>
        </w:trPr>
        <w:tc>
          <w:tcPr>
            <w:tcW w:w="669" w:type="pct"/>
            <w:vMerge/>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Cilj / kratak opis</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Gotovo četvrtina emisija stakleničkih plinova na području EU nastaje u sektoru prometa. Također, dodatan problem predstavlja ovisnost europskog </w:t>
            </w:r>
            <w:r w:rsidRPr="00361664">
              <w:rPr>
                <w:rFonts w:ascii="Calibri" w:hAnsi="Calibri"/>
                <w:sz w:val="20"/>
                <w:lang w:val="hr-HR"/>
              </w:rPr>
              <w:lastRenderedPageBreak/>
              <w:t>prometa o nafti (oko 94%) od koje veći dio dolazi iz uvoza (oko 84,3%). Budući da uvezena nafta uglavnom dolazi iz sve nestabilnijih područja u svijetu, to dodatno povećava nesigurnost opskrbe a time i ugrožava redovno funkcioniranje prometa.</w:t>
            </w:r>
          </w:p>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Jasna nužnost za diversifikacijom izvora energije u prometu stavlja električnu energiju visoko na listu prioriteta budući da postojeća elektroenergetska mreža predstavlja pogodnu platformu za daljnji razvoj.</w:t>
            </w:r>
          </w:p>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Projekt podrazumijeva razvoj javno dostup</w:t>
            </w:r>
            <w:r w:rsidR="004E1071">
              <w:rPr>
                <w:rFonts w:ascii="Calibri" w:hAnsi="Calibri"/>
                <w:sz w:val="20"/>
                <w:lang w:val="hr-HR"/>
              </w:rPr>
              <w:t>ne infrastrukture u suradnji s g</w:t>
            </w:r>
            <w:r w:rsidRPr="00361664">
              <w:rPr>
                <w:rFonts w:ascii="Calibri" w:hAnsi="Calibri"/>
                <w:sz w:val="20"/>
                <w:lang w:val="hr-HR"/>
              </w:rPr>
              <w:t>radovima</w:t>
            </w:r>
            <w:r w:rsidR="004E1071">
              <w:rPr>
                <w:rFonts w:ascii="Calibri" w:hAnsi="Calibri"/>
                <w:sz w:val="20"/>
                <w:lang w:val="hr-HR"/>
              </w:rPr>
              <w:t>, vlasnicima loka</w:t>
            </w:r>
            <w:r w:rsidR="00D1190D">
              <w:rPr>
                <w:rFonts w:ascii="Calibri" w:hAnsi="Calibri"/>
                <w:sz w:val="20"/>
                <w:lang w:val="hr-HR"/>
              </w:rPr>
              <w:t>cija</w:t>
            </w:r>
            <w:r w:rsidR="004E1071">
              <w:rPr>
                <w:rFonts w:ascii="Calibri" w:hAnsi="Calibri"/>
                <w:sz w:val="20"/>
                <w:lang w:val="hr-HR"/>
              </w:rPr>
              <w:t xml:space="preserve"> i koncesionarima na EU koridorima, te svim </w:t>
            </w:r>
            <w:r w:rsidRPr="00361664">
              <w:rPr>
                <w:rFonts w:ascii="Calibri" w:hAnsi="Calibri"/>
                <w:sz w:val="20"/>
                <w:lang w:val="hr-HR"/>
              </w:rPr>
              <w:t xml:space="preserve"> zainteresiranim pravnim osobama s četiri osnovna cilja:</w:t>
            </w:r>
          </w:p>
          <w:p w:rsidR="007A3D6C" w:rsidRPr="00361664" w:rsidRDefault="007A3D6C" w:rsidP="00CD00FF">
            <w:pPr>
              <w:pStyle w:val="Tabletext"/>
              <w:numPr>
                <w:ilvl w:val="0"/>
                <w:numId w:val="45"/>
              </w:numPr>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Promocija e-mobilnosti</w:t>
            </w:r>
          </w:p>
          <w:p w:rsidR="007A3D6C" w:rsidRPr="00361664" w:rsidRDefault="007A3D6C" w:rsidP="00CD00FF">
            <w:pPr>
              <w:pStyle w:val="Tabletext"/>
              <w:numPr>
                <w:ilvl w:val="0"/>
                <w:numId w:val="45"/>
              </w:numPr>
              <w:tabs>
                <w:tab w:val="left" w:pos="1440"/>
                <w:tab w:val="left" w:pos="5040"/>
              </w:tabs>
              <w:spacing w:before="0" w:after="0" w:line="240" w:lineRule="auto"/>
              <w:rPr>
                <w:rFonts w:ascii="Calibri" w:hAnsi="Calibri"/>
                <w:sz w:val="20"/>
                <w:lang w:val="hr-HR"/>
              </w:rPr>
            </w:pPr>
            <w:r w:rsidRPr="00361664">
              <w:rPr>
                <w:rFonts w:ascii="Calibri" w:hAnsi="Calibri"/>
                <w:sz w:val="20"/>
                <w:lang w:val="hr-HR"/>
              </w:rPr>
              <w:t>Razvoj inovativnih rješenja</w:t>
            </w:r>
          </w:p>
          <w:p w:rsidR="007A3D6C" w:rsidRPr="00361664" w:rsidRDefault="007A3D6C" w:rsidP="00CD00FF">
            <w:pPr>
              <w:pStyle w:val="Tabletext"/>
              <w:numPr>
                <w:ilvl w:val="0"/>
                <w:numId w:val="45"/>
              </w:numPr>
              <w:tabs>
                <w:tab w:val="left" w:pos="1440"/>
                <w:tab w:val="left" w:pos="5040"/>
              </w:tabs>
              <w:spacing w:before="0" w:after="0" w:line="240" w:lineRule="auto"/>
              <w:rPr>
                <w:rFonts w:ascii="Calibri" w:hAnsi="Calibri"/>
                <w:sz w:val="20"/>
                <w:lang w:val="hr-HR"/>
              </w:rPr>
            </w:pPr>
            <w:r w:rsidRPr="00361664">
              <w:rPr>
                <w:rFonts w:ascii="Calibri" w:hAnsi="Calibri"/>
                <w:sz w:val="20"/>
                <w:lang w:val="hr-HR"/>
              </w:rPr>
              <w:t>Razvoj ograničene mreže punionica</w:t>
            </w:r>
          </w:p>
          <w:p w:rsidR="007A3D6C" w:rsidRPr="00361664" w:rsidRDefault="007A3D6C" w:rsidP="00CD00FF">
            <w:pPr>
              <w:pStyle w:val="Tabletext"/>
              <w:numPr>
                <w:ilvl w:val="0"/>
                <w:numId w:val="45"/>
              </w:numPr>
              <w:tabs>
                <w:tab w:val="left" w:pos="1440"/>
                <w:tab w:val="left" w:pos="5040"/>
              </w:tabs>
              <w:spacing w:before="0" w:after="0" w:line="240" w:lineRule="auto"/>
              <w:rPr>
                <w:rFonts w:ascii="Calibri" w:hAnsi="Calibri"/>
                <w:sz w:val="20"/>
                <w:lang w:val="hr-HR"/>
              </w:rPr>
            </w:pPr>
            <w:r w:rsidRPr="00361664">
              <w:rPr>
                <w:rFonts w:ascii="Calibri" w:hAnsi="Calibri"/>
                <w:sz w:val="20"/>
                <w:lang w:val="hr-HR"/>
              </w:rPr>
              <w:t>Razvoj kompletne infrastrukture punionica</w:t>
            </w:r>
          </w:p>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Osnovni cilj je omogućiti gradski i međugradski promet za električna vozila te time smanjivanje emisija štetnih plinova (na razini cijele Hrvatske), te buke u gradskim središtima.</w:t>
            </w:r>
          </w:p>
        </w:tc>
      </w:tr>
      <w:tr w:rsidR="007A3D6C" w:rsidRPr="00361664" w:rsidTr="00961A34">
        <w:trPr>
          <w:trHeight w:val="20"/>
        </w:trPr>
        <w:tc>
          <w:tcPr>
            <w:tcW w:w="669" w:type="pct"/>
            <w:vMerge/>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Ciljna neposredna potrošnja</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Cestovna osobna i teretna vozila te autobusi</w:t>
            </w:r>
          </w:p>
        </w:tc>
      </w:tr>
      <w:tr w:rsidR="007A3D6C" w:rsidRPr="00361664" w:rsidTr="00961A34">
        <w:trPr>
          <w:trHeight w:val="20"/>
        </w:trPr>
        <w:tc>
          <w:tcPr>
            <w:tcW w:w="669" w:type="pct"/>
            <w:vMerge/>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Ciljna skupina</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Svi vozači osobnih vozila, teretnih vozila, javnog gradskog prijevoza </w:t>
            </w:r>
          </w:p>
        </w:tc>
      </w:tr>
      <w:tr w:rsidR="007A3D6C" w:rsidRPr="00361664" w:rsidTr="00961A34">
        <w:trPr>
          <w:trHeight w:val="20"/>
        </w:trPr>
        <w:tc>
          <w:tcPr>
            <w:tcW w:w="669" w:type="pct"/>
            <w:vMerge/>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Regionalna primjena</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Nacionalno i regionalno</w:t>
            </w:r>
          </w:p>
        </w:tc>
      </w:tr>
      <w:tr w:rsidR="007A3D6C" w:rsidRPr="00361664" w:rsidTr="00961A34">
        <w:trPr>
          <w:trHeight w:val="20"/>
        </w:trPr>
        <w:tc>
          <w:tcPr>
            <w:tcW w:w="66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Informacije o  provedbi</w:t>
            </w: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Popis i opis aktivnosti za provođenje mjere</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Svaka javna punionica električnih vozila mora se ugraditi i pustiti u pogon na način da zadovoljava stavke Direktive 94/2014/EU što uključuje nediskriminirajuć pristup, mogućnost odabira </w:t>
            </w:r>
            <w:r w:rsidR="00D0277A" w:rsidRPr="00361664">
              <w:rPr>
                <w:rFonts w:ascii="Calibri" w:hAnsi="Calibri"/>
                <w:sz w:val="20"/>
                <w:lang w:val="hr-HR"/>
              </w:rPr>
              <w:t>vlastitog</w:t>
            </w:r>
            <w:r w:rsidRPr="00361664">
              <w:rPr>
                <w:rFonts w:ascii="Calibri" w:hAnsi="Calibri"/>
                <w:sz w:val="20"/>
                <w:lang w:val="hr-HR"/>
              </w:rPr>
              <w:t xml:space="preserve"> opskrbljivača ili pružatelja usluge (potrebno proglasiti zasebnu i novu djelatnost), ad hod mogućnost punjenja i slično.</w:t>
            </w:r>
          </w:p>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S tim ciljem aktivnosti za razvoj dostupne mreže uključuje zakupljivanje potrebne snage na lokaciji (brze punionice se smatraju one koje imaju priključnu snagu 22kW i više), izvođenje samog priključka, ugradnju punionica poštivajući sve standarde i informacijske protokole, te konačno pružanje usluge na međusobno interoperabilan način.</w:t>
            </w:r>
          </w:p>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Za nesmetan razvoj i međusobnu povezanost svih pružatelja usluge potrebno je zadovoljiti tehničke i protokolarne standarde kako bi se omogućio tzv. roaming između svih dostupnih punionica postavljenih na propisani način. </w:t>
            </w:r>
          </w:p>
          <w:p w:rsidR="007A3D6C"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S korisničke strane potrebno je omogućiti daljnju penetraciju električnih vozila na ceste pomoću daljnjih poticaja od strane Fonda za zaštitu okoliša i energetsku učinkovitost, te kreirati daljnje nefinancijske poticaje kao što su besplatno parkiranje, nesmetan ulazak u gradska središta (nakon zabrane za konvencionalna vozila) i oslobađanje nameta prilikom kupnje i registracije vozila.</w:t>
            </w:r>
          </w:p>
          <w:p w:rsidR="004E1071" w:rsidRPr="00361664" w:rsidRDefault="004E1071" w:rsidP="00961A34">
            <w:pPr>
              <w:pStyle w:val="Tabletext"/>
              <w:tabs>
                <w:tab w:val="left" w:pos="1440"/>
                <w:tab w:val="left" w:pos="5040"/>
              </w:tabs>
              <w:spacing w:before="0" w:after="0" w:line="240" w:lineRule="auto"/>
              <w:rPr>
                <w:rFonts w:ascii="Calibri" w:hAnsi="Calibri"/>
                <w:sz w:val="20"/>
                <w:lang w:val="hr-HR"/>
              </w:rPr>
            </w:pPr>
            <w:r>
              <w:rPr>
                <w:rFonts w:ascii="Calibri" w:hAnsi="Calibri"/>
                <w:sz w:val="20"/>
                <w:lang w:val="hr-HR"/>
              </w:rPr>
              <w:t>S ciljem daljnjeg razvoja e-mobilnosti tijekom razvojne nekomercijalne faze s malim brojem punjenja i niskom razinom prenesene energije, poželjno je omogućiti drugačiji tretman priključenja brzih punionica u tarifnim modelima Općih uvjeta za korištenje mreže i opskrbu električne energije, kroz koji se naplaćuje angažirana snaga za sve priključke iznad 20 kW (sve brze punionice).</w:t>
            </w:r>
          </w:p>
        </w:tc>
      </w:tr>
      <w:tr w:rsidR="007A3D6C" w:rsidRPr="00361664" w:rsidTr="00961A34">
        <w:trPr>
          <w:trHeight w:val="809"/>
        </w:trPr>
        <w:tc>
          <w:tcPr>
            <w:tcW w:w="669" w:type="pct"/>
            <w:vMerge w:val="restar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Financijska sredstva i izvori financiranja</w:t>
            </w:r>
          </w:p>
        </w:tc>
        <w:tc>
          <w:tcPr>
            <w:tcW w:w="3492" w:type="pct"/>
            <w:vAlign w:val="center"/>
          </w:tcPr>
          <w:p w:rsidR="004B445F" w:rsidRPr="00361664" w:rsidRDefault="008D7871"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za e-mobilnost iz projekata</w:t>
            </w:r>
            <w:r w:rsidR="004B445F" w:rsidRPr="00361664">
              <w:rPr>
                <w:rFonts w:ascii="Calibri" w:hAnsi="Calibri"/>
                <w:sz w:val="20"/>
                <w:lang w:val="hr-HR"/>
              </w:rPr>
              <w:t xml:space="preserve"> HEP grupe sufinancirani EU sredstvima:</w:t>
            </w:r>
          </w:p>
          <w:p w:rsidR="0096210A" w:rsidRPr="00361664" w:rsidRDefault="0096210A" w:rsidP="00F85879">
            <w:pPr>
              <w:pStyle w:val="Tabletext"/>
              <w:tabs>
                <w:tab w:val="left" w:pos="1440"/>
                <w:tab w:val="left" w:pos="5040"/>
              </w:tabs>
              <w:spacing w:before="0" w:after="0" w:line="240" w:lineRule="auto"/>
              <w:rPr>
                <w:rFonts w:ascii="Calibri" w:hAnsi="Calibri"/>
                <w:sz w:val="20"/>
                <w:lang w:val="hr-HR"/>
              </w:rPr>
            </w:pPr>
          </w:p>
          <w:p w:rsidR="007A3D6C" w:rsidRPr="00361664" w:rsidRDefault="003F0EB9"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MINGO</w:t>
            </w:r>
            <w:r w:rsidR="00F85879" w:rsidRPr="00361664">
              <w:rPr>
                <w:rFonts w:ascii="Calibri" w:hAnsi="Calibri"/>
                <w:sz w:val="20"/>
                <w:lang w:val="hr-HR"/>
              </w:rPr>
              <w:t xml:space="preserve"> (bigEVdata)</w:t>
            </w:r>
            <w:r w:rsidRPr="00361664">
              <w:rPr>
                <w:rFonts w:ascii="Calibri" w:hAnsi="Calibri"/>
                <w:sz w:val="20"/>
                <w:lang w:val="hr-HR"/>
              </w:rPr>
              <w:t xml:space="preserve"> (HEP i HAMAG BICRO)</w:t>
            </w:r>
            <w:r w:rsidR="00D1190D">
              <w:rPr>
                <w:rFonts w:ascii="Calibri" w:hAnsi="Calibri"/>
                <w:sz w:val="20"/>
                <w:lang w:val="hr-HR"/>
              </w:rPr>
              <w:t xml:space="preserve"> </w:t>
            </w:r>
            <w:r w:rsidRPr="00361664">
              <w:rPr>
                <w:rFonts w:ascii="Calibri" w:hAnsi="Calibri"/>
                <w:sz w:val="20"/>
                <w:lang w:val="hr-HR"/>
              </w:rPr>
              <w:t>-</w:t>
            </w:r>
            <w:r w:rsidR="00B323AE" w:rsidRPr="00361664">
              <w:rPr>
                <w:rFonts w:ascii="Calibri" w:hAnsi="Calibri"/>
                <w:sz w:val="20"/>
                <w:lang w:val="hr-HR"/>
              </w:rPr>
              <w:t xml:space="preserve"> INEA</w:t>
            </w:r>
            <w:r w:rsidR="00D1190D">
              <w:rPr>
                <w:rFonts w:ascii="Calibri" w:hAnsi="Calibri"/>
                <w:sz w:val="20"/>
                <w:lang w:val="hr-HR"/>
              </w:rPr>
              <w:t xml:space="preserve"> </w:t>
            </w:r>
            <w:r w:rsidR="00B323AE" w:rsidRPr="00361664">
              <w:rPr>
                <w:rFonts w:ascii="Calibri" w:hAnsi="Calibri"/>
                <w:sz w:val="20"/>
                <w:lang w:val="hr-HR"/>
              </w:rPr>
              <w:t>(</w:t>
            </w:r>
            <w:r w:rsidR="00F85879" w:rsidRPr="00361664">
              <w:rPr>
                <w:rFonts w:ascii="Calibri" w:hAnsi="Calibri"/>
                <w:sz w:val="20"/>
                <w:lang w:val="hr-HR"/>
              </w:rPr>
              <w:t>EAST-e i NEXT-e</w:t>
            </w:r>
            <w:r w:rsidR="00B323AE" w:rsidRPr="00361664">
              <w:rPr>
                <w:rFonts w:ascii="Calibri" w:hAnsi="Calibri"/>
                <w:sz w:val="20"/>
                <w:lang w:val="hr-HR"/>
              </w:rPr>
              <w:t>)</w:t>
            </w:r>
            <w:r w:rsidR="00AE04AD" w:rsidRPr="00361664">
              <w:rPr>
                <w:rFonts w:ascii="Calibri" w:hAnsi="Calibri"/>
                <w:sz w:val="20"/>
                <w:lang w:val="hr-HR"/>
              </w:rPr>
              <w:t xml:space="preserve"> u iznosu 31.157.724,40 kn. </w:t>
            </w:r>
          </w:p>
          <w:p w:rsidR="00AE04AD" w:rsidRPr="00361664" w:rsidRDefault="004E1071" w:rsidP="00961A34">
            <w:pPr>
              <w:pStyle w:val="Tabletext"/>
              <w:tabs>
                <w:tab w:val="left" w:pos="1440"/>
                <w:tab w:val="left" w:pos="5040"/>
              </w:tabs>
              <w:spacing w:before="0" w:after="0" w:line="240" w:lineRule="auto"/>
              <w:rPr>
                <w:rFonts w:ascii="Calibri" w:hAnsi="Calibri"/>
                <w:sz w:val="20"/>
                <w:lang w:val="hr-HR"/>
              </w:rPr>
            </w:pPr>
            <w:r>
              <w:rPr>
                <w:rFonts w:ascii="Calibri" w:hAnsi="Calibri"/>
                <w:sz w:val="20"/>
                <w:lang w:val="hr-HR"/>
              </w:rPr>
              <w:t>HEP grupa u iznosu 20.000.000</w:t>
            </w:r>
            <w:r w:rsidR="00AE04AD" w:rsidRPr="00361664">
              <w:rPr>
                <w:rFonts w:ascii="Calibri" w:hAnsi="Calibri"/>
                <w:sz w:val="20"/>
                <w:lang w:val="hr-HR"/>
              </w:rPr>
              <w:t>,00 kn</w:t>
            </w:r>
          </w:p>
          <w:p w:rsidR="00B323AE" w:rsidRPr="00361664" w:rsidRDefault="00B323AE"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Do kraja 2019. godine ukupno </w:t>
            </w:r>
            <w:r w:rsidR="004E1071">
              <w:rPr>
                <w:rFonts w:ascii="Calibri" w:hAnsi="Calibri"/>
                <w:sz w:val="20"/>
                <w:lang w:val="hr-HR"/>
              </w:rPr>
              <w:t>51</w:t>
            </w:r>
            <w:r w:rsidR="00F85879" w:rsidRPr="00361664">
              <w:rPr>
                <w:rFonts w:ascii="Calibri" w:hAnsi="Calibri"/>
                <w:sz w:val="20"/>
                <w:lang w:val="hr-HR"/>
              </w:rPr>
              <w:t>.</w:t>
            </w:r>
            <w:r w:rsidR="004E1071">
              <w:rPr>
                <w:rFonts w:ascii="Calibri" w:hAnsi="Calibri"/>
                <w:sz w:val="20"/>
                <w:lang w:val="hr-HR"/>
              </w:rPr>
              <w:t>157.724</w:t>
            </w:r>
            <w:r w:rsidR="00F85879" w:rsidRPr="00361664">
              <w:rPr>
                <w:rFonts w:ascii="Calibri" w:hAnsi="Calibri"/>
                <w:sz w:val="20"/>
                <w:lang w:val="hr-HR"/>
              </w:rPr>
              <w:t>,40</w:t>
            </w:r>
            <w:r w:rsidRPr="00361664">
              <w:rPr>
                <w:rFonts w:ascii="Calibri" w:hAnsi="Calibri"/>
                <w:sz w:val="20"/>
                <w:lang w:val="hr-HR"/>
              </w:rPr>
              <w:t xml:space="preserve"> kn:</w:t>
            </w:r>
          </w:p>
          <w:p w:rsidR="00B323AE" w:rsidRPr="00361664" w:rsidRDefault="00B323AE" w:rsidP="00961A34">
            <w:pPr>
              <w:pStyle w:val="Tabletext"/>
              <w:tabs>
                <w:tab w:val="left" w:pos="1440"/>
                <w:tab w:val="left" w:pos="5040"/>
              </w:tabs>
              <w:spacing w:before="0" w:after="0" w:line="240" w:lineRule="auto"/>
              <w:rPr>
                <w:rFonts w:ascii="Calibri" w:hAnsi="Calibri"/>
                <w:sz w:val="20"/>
                <w:lang w:val="hr-HR"/>
              </w:rPr>
            </w:pPr>
          </w:p>
        </w:tc>
      </w:tr>
      <w:tr w:rsidR="007A3D6C" w:rsidRPr="00361664" w:rsidTr="00961A34">
        <w:trPr>
          <w:trHeight w:val="20"/>
        </w:trPr>
        <w:tc>
          <w:tcPr>
            <w:tcW w:w="669" w:type="pct"/>
            <w:vMerge/>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Izvršno  tijelo</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HEP grupa</w:t>
            </w:r>
          </w:p>
        </w:tc>
      </w:tr>
      <w:tr w:rsidR="007A3D6C" w:rsidRPr="00361664" w:rsidTr="00961A34">
        <w:trPr>
          <w:trHeight w:val="20"/>
        </w:trPr>
        <w:tc>
          <w:tcPr>
            <w:tcW w:w="669" w:type="pct"/>
            <w:vMerge/>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640C0B"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Tijelo za praćenje, mjerenje i verifikaciju ušteda</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NKT</w:t>
            </w:r>
          </w:p>
        </w:tc>
      </w:tr>
      <w:tr w:rsidR="007A3D6C" w:rsidRPr="00361664" w:rsidTr="00961A34">
        <w:trPr>
          <w:trHeight w:val="20"/>
        </w:trPr>
        <w:tc>
          <w:tcPr>
            <w:tcW w:w="669" w:type="pct"/>
            <w:vMerge w:val="restart"/>
            <w:vAlign w:val="center"/>
          </w:tcPr>
          <w:p w:rsidR="007A3D6C" w:rsidRPr="00361664" w:rsidRDefault="007A3D6C" w:rsidP="00961A34">
            <w:pPr>
              <w:pStyle w:val="Tabletext"/>
              <w:tabs>
                <w:tab w:val="left" w:pos="1440"/>
                <w:tab w:val="left" w:pos="5040"/>
              </w:tabs>
              <w:spacing w:before="0" w:after="0" w:line="240" w:lineRule="auto"/>
              <w:rPr>
                <w:rFonts w:ascii="Calibri" w:hAnsi="Calibri"/>
                <w:color w:val="FF0000"/>
                <w:sz w:val="20"/>
                <w:lang w:val="hr-HR"/>
              </w:rPr>
            </w:pPr>
            <w:r w:rsidRPr="00361664">
              <w:rPr>
                <w:rFonts w:ascii="Calibri" w:hAnsi="Calibri"/>
                <w:sz w:val="20"/>
                <w:lang w:val="hr-HR"/>
              </w:rPr>
              <w:t>Uštede energije</w:t>
            </w:r>
          </w:p>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Metoda praćenja / mjerenja ušteda energije</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Ova mjera će se pratiti metodom istraživanja i prikupljanja iskustva s obje strane tržišta – s aspekta javne infrastrukture i s aspekta samih korisnika/potrošača. U svrhu sustavnog praćenja ušteda potrebno će biti sukladno Direktivi 94/2014/EU kreirati jasna pravila implementacije i razvoja javno dostupne infrastrukture (s tehničkog, vlasničkog i pravnog aspekta)</w:t>
            </w:r>
          </w:p>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Broj korisnika električnih vozila pratiti iz državnih tijela kao što je Centar za vozila Hrvatske. </w:t>
            </w:r>
          </w:p>
        </w:tc>
      </w:tr>
      <w:tr w:rsidR="007A3D6C" w:rsidRPr="00361664" w:rsidTr="00961A34">
        <w:trPr>
          <w:trHeight w:val="20"/>
        </w:trPr>
        <w:tc>
          <w:tcPr>
            <w:tcW w:w="669" w:type="pct"/>
            <w:vMerge/>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color w:val="FF0000"/>
                <w:sz w:val="24"/>
                <w:lang w:val="hr-HR"/>
              </w:rPr>
            </w:pPr>
            <w:r w:rsidRPr="00361664">
              <w:rPr>
                <w:rFonts w:ascii="Calibri" w:hAnsi="Calibri"/>
                <w:sz w:val="20"/>
                <w:lang w:val="hr-HR"/>
              </w:rPr>
              <w:t>Očekivane uštede energije do kraja 2019.</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Theme="minorHAnsi" w:hAnsiTheme="minorHAnsi"/>
                <w:sz w:val="20"/>
                <w:lang w:val="hr-HR"/>
              </w:rPr>
              <w:t>Nije procijenjeno</w:t>
            </w:r>
          </w:p>
        </w:tc>
      </w:tr>
      <w:tr w:rsidR="007A3D6C" w:rsidRPr="00361664" w:rsidTr="00961A34">
        <w:trPr>
          <w:trHeight w:val="20"/>
        </w:trPr>
        <w:tc>
          <w:tcPr>
            <w:tcW w:w="669" w:type="pct"/>
            <w:vMerge/>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Očekivane uštede energije do kraja 2020.</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Theme="minorHAnsi" w:hAnsiTheme="minorHAnsi"/>
                <w:sz w:val="20"/>
                <w:lang w:val="hr-HR"/>
              </w:rPr>
              <w:t>Nije procijenjeno</w:t>
            </w:r>
          </w:p>
        </w:tc>
      </w:tr>
      <w:tr w:rsidR="007A3D6C" w:rsidRPr="00361664" w:rsidTr="00961A34">
        <w:trPr>
          <w:trHeight w:val="20"/>
        </w:trPr>
        <w:tc>
          <w:tcPr>
            <w:tcW w:w="669" w:type="pct"/>
            <w:vMerge/>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color w:val="FF0000"/>
                <w:sz w:val="24"/>
                <w:lang w:val="hr-HR"/>
              </w:rPr>
            </w:pPr>
            <w:r w:rsidRPr="00361664">
              <w:rPr>
                <w:rFonts w:ascii="Calibri" w:hAnsi="Calibri"/>
                <w:sz w:val="20"/>
                <w:lang w:val="hr-HR"/>
              </w:rPr>
              <w:t>Pretpostavke</w:t>
            </w:r>
          </w:p>
        </w:tc>
        <w:tc>
          <w:tcPr>
            <w:tcW w:w="3492" w:type="pct"/>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Prema dostupnim dokumentima za transponiranje Direktive u hrvatsko zakonodavstvo postoji nekoliko scenarija o potrebnoj javno dostupnoj infrastrukturi (niži scenarij predviđa 479 punionica na 269 lokacija), dok se udio električnih vozila u ukupnoj brojci registriranih vozila očekuje 1%.</w:t>
            </w:r>
          </w:p>
        </w:tc>
      </w:tr>
      <w:tr w:rsidR="007A3D6C" w:rsidRPr="00361664" w:rsidTr="00961A34">
        <w:trPr>
          <w:trHeight w:val="20"/>
        </w:trPr>
        <w:tc>
          <w:tcPr>
            <w:tcW w:w="669" w:type="pct"/>
            <w:vMerge/>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p>
        </w:tc>
        <w:tc>
          <w:tcPr>
            <w:tcW w:w="839"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4"/>
                <w:lang w:val="hr-HR"/>
              </w:rPr>
            </w:pPr>
            <w:r w:rsidRPr="00361664">
              <w:rPr>
                <w:rFonts w:ascii="Calibri" w:hAnsi="Calibri"/>
                <w:sz w:val="20"/>
                <w:lang w:val="hr-HR"/>
              </w:rPr>
              <w:t>Preklapanja, efekt množenja, sinergija</w:t>
            </w:r>
          </w:p>
        </w:tc>
        <w:tc>
          <w:tcPr>
            <w:tcW w:w="3492" w:type="pct"/>
            <w:vAlign w:val="center"/>
          </w:tcPr>
          <w:p w:rsidR="007A3D6C" w:rsidRPr="00361664" w:rsidRDefault="007A3D6C" w:rsidP="00961A34">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U budućnosti se javna infrastruktura kroz smart-grid može smatrati kao podrška elektroenergetskoj mreži gdje električna vozila sa svojim baterijama služe kao distribuirani izvori energije.</w:t>
            </w:r>
          </w:p>
        </w:tc>
      </w:tr>
    </w:tbl>
    <w:p w:rsidR="007A3D6C" w:rsidRPr="00361664" w:rsidRDefault="007A3D6C" w:rsidP="00651BCA">
      <w:pPr>
        <w:pStyle w:val="Tabletext"/>
        <w:tabs>
          <w:tab w:val="left" w:pos="1440"/>
          <w:tab w:val="left" w:pos="5040"/>
        </w:tabs>
        <w:spacing w:before="0" w:after="0" w:line="240" w:lineRule="auto"/>
        <w:rPr>
          <w:rFonts w:asciiTheme="minorHAnsi" w:hAnsiTheme="minorHAnsi"/>
          <w:b/>
          <w:sz w:val="24"/>
          <w:lang w:val="hr-HR"/>
        </w:rPr>
      </w:pPr>
    </w:p>
    <w:p w:rsidR="007871C0" w:rsidRPr="00361664" w:rsidRDefault="00FF5967" w:rsidP="00651BCA">
      <w:pPr>
        <w:pStyle w:val="Naslov3"/>
        <w:rPr>
          <w:rStyle w:val="Jakoisticanje"/>
          <w:b/>
          <w:bCs w:val="0"/>
          <w:i/>
          <w:iCs w:val="0"/>
          <w:color w:val="375F91"/>
          <w:lang w:val="hr-HR"/>
        </w:rPr>
      </w:pPr>
      <w:bookmarkStart w:id="51" w:name="_Toc535245868"/>
      <w:r w:rsidRPr="00361664">
        <w:rPr>
          <w:rStyle w:val="Jakoisticanje"/>
          <w:b/>
          <w:bCs w:val="0"/>
          <w:i/>
          <w:iCs w:val="0"/>
          <w:color w:val="375F91"/>
          <w:lang w:val="hr-HR"/>
        </w:rPr>
        <w:t xml:space="preserve">Uštede koje </w:t>
      </w:r>
      <w:r w:rsidR="00716D5A" w:rsidRPr="00361664">
        <w:rPr>
          <w:rStyle w:val="Jakoisticanje"/>
          <w:b/>
          <w:bCs w:val="0"/>
          <w:i/>
          <w:iCs w:val="0"/>
          <w:color w:val="375F91"/>
          <w:lang w:val="hr-HR"/>
        </w:rPr>
        <w:t>proizlaze</w:t>
      </w:r>
      <w:r w:rsidRPr="00361664">
        <w:rPr>
          <w:rStyle w:val="Jakoisticanje"/>
          <w:b/>
          <w:bCs w:val="0"/>
          <w:i/>
          <w:iCs w:val="0"/>
          <w:color w:val="375F91"/>
          <w:lang w:val="hr-HR"/>
        </w:rPr>
        <w:t xml:space="preserve"> iz mjera energetske učinkovitosti u prometu</w:t>
      </w:r>
      <w:bookmarkEnd w:id="51"/>
    </w:p>
    <w:p w:rsidR="004D1A52" w:rsidRPr="00361664" w:rsidRDefault="004D1A52" w:rsidP="00651BCA">
      <w:pPr>
        <w:jc w:val="both"/>
        <w:rPr>
          <w:sz w:val="20"/>
          <w:szCs w:val="20"/>
        </w:rPr>
      </w:pPr>
      <w:r w:rsidRPr="00361664">
        <w:rPr>
          <w:sz w:val="20"/>
          <w:szCs w:val="20"/>
        </w:rPr>
        <w:t>Prethodno opisano u svakoj mjeri pojedinačno.</w:t>
      </w:r>
    </w:p>
    <w:p w:rsidR="00FF5967" w:rsidRPr="00361664" w:rsidRDefault="00FF5967" w:rsidP="00651BCA">
      <w:pPr>
        <w:pStyle w:val="Naslov3"/>
        <w:rPr>
          <w:rStyle w:val="Jakoisticanje"/>
          <w:b/>
          <w:bCs w:val="0"/>
          <w:i/>
          <w:iCs w:val="0"/>
          <w:color w:val="375F91"/>
          <w:lang w:val="hr-HR"/>
        </w:rPr>
      </w:pPr>
      <w:bookmarkStart w:id="52" w:name="_Toc535245869"/>
      <w:r w:rsidRPr="00361664">
        <w:rPr>
          <w:rStyle w:val="Jakoisticanje"/>
          <w:b/>
          <w:bCs w:val="0"/>
          <w:i/>
          <w:iCs w:val="0"/>
          <w:color w:val="375F91"/>
          <w:lang w:val="hr-HR"/>
        </w:rPr>
        <w:t>Financiranje mjera energetske učinkovitosti u prometu</w:t>
      </w:r>
      <w:bookmarkEnd w:id="52"/>
    </w:p>
    <w:p w:rsidR="000B4FF7" w:rsidRPr="00361664" w:rsidRDefault="004D1A52" w:rsidP="00651BCA">
      <w:pPr>
        <w:jc w:val="both"/>
        <w:rPr>
          <w:sz w:val="20"/>
          <w:szCs w:val="20"/>
        </w:rPr>
      </w:pPr>
      <w:r w:rsidRPr="00361664">
        <w:rPr>
          <w:sz w:val="20"/>
          <w:szCs w:val="20"/>
        </w:rPr>
        <w:t>Prethodno opisano u svakoj mjeri pojedinačno.</w:t>
      </w:r>
    </w:p>
    <w:p w:rsidR="000B4FF7" w:rsidRPr="00361664" w:rsidRDefault="000B4FF7" w:rsidP="00651BCA">
      <w:pPr>
        <w:jc w:val="both"/>
        <w:rPr>
          <w:rStyle w:val="Jakoisticanje"/>
          <w:rFonts w:ascii="Cambria" w:hAnsi="Cambria" w:cs="Arial"/>
          <w:i w:val="0"/>
          <w:iCs w:val="0"/>
          <w:color w:val="365F91"/>
          <w:sz w:val="20"/>
          <w:szCs w:val="28"/>
        </w:rPr>
      </w:pPr>
      <w:r w:rsidRPr="00361664">
        <w:rPr>
          <w:rStyle w:val="Jakoisticanje"/>
          <w:b w:val="0"/>
          <w:bCs w:val="0"/>
          <w:color w:val="365F91"/>
        </w:rPr>
        <w:br w:type="page"/>
      </w:r>
    </w:p>
    <w:p w:rsidR="00650504" w:rsidRPr="00361036" w:rsidRDefault="0082314F" w:rsidP="00651BCA">
      <w:pPr>
        <w:pStyle w:val="Naslov2"/>
        <w:jc w:val="both"/>
      </w:pPr>
      <w:bookmarkStart w:id="53" w:name="_Toc535245870"/>
      <w:r w:rsidRPr="00361036">
        <w:rPr>
          <w:rStyle w:val="Jakoisticanje"/>
          <w:b/>
          <w:bCs/>
          <w:iCs/>
          <w:color w:val="375F91"/>
        </w:rPr>
        <w:lastRenderedPageBreak/>
        <w:t>Promicanje</w:t>
      </w:r>
      <w:r w:rsidR="00FF5967" w:rsidRPr="00361036">
        <w:rPr>
          <w:rStyle w:val="Jakoisticanje"/>
          <w:b/>
          <w:bCs/>
          <w:iCs/>
          <w:color w:val="375F91"/>
        </w:rPr>
        <w:t xml:space="preserve"> učinkovitog grijanja i hlađenja</w:t>
      </w:r>
      <w:r w:rsidR="007871C0" w:rsidRPr="00361036">
        <w:rPr>
          <w:rStyle w:val="Jakoisticanje"/>
          <w:b/>
          <w:bCs/>
          <w:iCs/>
          <w:color w:val="375F91"/>
        </w:rPr>
        <w:t xml:space="preserve"> (</w:t>
      </w:r>
      <w:r w:rsidRPr="00361036">
        <w:rPr>
          <w:rStyle w:val="Jakoisticanje"/>
          <w:b/>
          <w:bCs/>
          <w:iCs/>
          <w:color w:val="375F91"/>
        </w:rPr>
        <w:t>č</w:t>
      </w:r>
      <w:r w:rsidR="003412CD" w:rsidRPr="00361036">
        <w:rPr>
          <w:rStyle w:val="Jakoisticanje"/>
          <w:b/>
          <w:bCs/>
          <w:iCs/>
          <w:color w:val="375F91"/>
        </w:rPr>
        <w:t>lanak</w:t>
      </w:r>
      <w:r w:rsidR="007871C0" w:rsidRPr="00361036">
        <w:rPr>
          <w:rStyle w:val="Jakoisticanje"/>
          <w:b/>
          <w:bCs/>
          <w:iCs/>
          <w:color w:val="375F91"/>
        </w:rPr>
        <w:t xml:space="preserve"> 14</w:t>
      </w:r>
      <w:r w:rsidRPr="00361036">
        <w:rPr>
          <w:rStyle w:val="Jakoisticanje"/>
          <w:b/>
          <w:bCs/>
          <w:iCs/>
          <w:color w:val="375F91"/>
        </w:rPr>
        <w:t>. DEU-a</w:t>
      </w:r>
      <w:r w:rsidR="007871C0" w:rsidRPr="00361036">
        <w:rPr>
          <w:rStyle w:val="Jakoisticanje"/>
          <w:b/>
          <w:bCs/>
          <w:iCs/>
          <w:color w:val="375F91"/>
        </w:rPr>
        <w:t>)</w:t>
      </w:r>
      <w:bookmarkEnd w:id="53"/>
    </w:p>
    <w:p w:rsidR="00650504" w:rsidRPr="00361664" w:rsidRDefault="00650504" w:rsidP="00B808A5">
      <w:pPr>
        <w:pStyle w:val="Naslov3"/>
        <w:rPr>
          <w:rStyle w:val="Jakoisticanje"/>
          <w:b/>
          <w:bCs w:val="0"/>
          <w:i/>
          <w:iCs w:val="0"/>
          <w:color w:val="375F91"/>
          <w:lang w:val="hr-HR"/>
        </w:rPr>
      </w:pPr>
      <w:bookmarkStart w:id="54" w:name="_Toc535245871"/>
      <w:r w:rsidRPr="00361664">
        <w:rPr>
          <w:rStyle w:val="Jakoisticanje"/>
          <w:b/>
          <w:bCs w:val="0"/>
          <w:i/>
          <w:iCs w:val="0"/>
          <w:color w:val="375F91"/>
          <w:lang w:val="hr-HR"/>
        </w:rPr>
        <w:t>Detaljno mapiranje energetskog sustava</w:t>
      </w:r>
      <w:bookmarkEnd w:id="54"/>
    </w:p>
    <w:p w:rsidR="00C901FA" w:rsidRPr="00361664" w:rsidRDefault="00C901FA" w:rsidP="00C901FA">
      <w:pPr>
        <w:spacing w:after="0"/>
        <w:jc w:val="both"/>
        <w:rPr>
          <w:rFonts w:asciiTheme="minorHAnsi" w:hAnsiTheme="minorHAnsi"/>
          <w:sz w:val="20"/>
          <w:szCs w:val="20"/>
        </w:rPr>
      </w:pP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Vlada Republike Hrvatske je u studenom 2015. godine donijela Program korištenja potencijala za učinkovitost u grijanju i hlađenju za razdoblje 2016. – 2030. U tom su dokumentu dane određene procijene potreba za grijanjem i hlađenjem na razini općina. Iako to predstavlja važan izvor informacija, za potrebe lokalnog planiranja te kvalitetne procijene mogućnosti iskorištavanja potencijalnih izvora otpadne i obnovljive energije, potrebno je provesti detaljno mapiranje potreba i potencijalnih izvora.</w:t>
      </w:r>
    </w:p>
    <w:p w:rsidR="00C901FA" w:rsidRPr="00361664" w:rsidRDefault="00C901FA" w:rsidP="00C901FA">
      <w:pPr>
        <w:spacing w:after="0"/>
        <w:jc w:val="both"/>
        <w:rPr>
          <w:rFonts w:asciiTheme="minorHAnsi" w:hAnsiTheme="minorHAnsi"/>
          <w:sz w:val="20"/>
          <w:szCs w:val="20"/>
        </w:rPr>
      </w:pP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U tu je svrhu potrebno provesti slijedeće korake:</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1. Izrada detaljnog popisa građevina u GIS formatu koji mora sadržavati lokacije, bruto i neto površine, informacije o postojećim priključcima (voda, električna energija, plina), godinu izgradnje, osnovne energetske karakteristike te kategoriju zgrade (stambena, nestambena, industrijska, miješana);</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2. Analiza potreba za toplinskom energijom i hlađenjem s rezolucijom jednog kvadratnog kilometra ili bolje;</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3. Analiza potencijalnih izvora obnovljive i otpadne energije za grijanje i hlađenje poput geotermalnih izvora, otpadne biomase i poljoprivrednog otpada, sustava za obradu otpadnih voda i kanalizacija, industrijskih postrojenja i tako dalje. Rezultati trebaju biti prikazani sa što preciznijom rezolucijom, barem jedan kilometar kvadratni za geotermalne izvore i biomasu, linijske i točkaste izvore za postrojenja za obradu otpadnih voda i kanalizacije te gdje je to god moguće kao točkasti izvor za industriju;</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4. GIS (</w:t>
      </w:r>
      <w:r w:rsidR="00D0277A" w:rsidRPr="00361664">
        <w:rPr>
          <w:rFonts w:asciiTheme="minorHAnsi" w:hAnsiTheme="minorHAnsi"/>
          <w:sz w:val="20"/>
          <w:szCs w:val="20"/>
        </w:rPr>
        <w:t>engl.</w:t>
      </w:r>
      <w:r w:rsidRPr="00361664">
        <w:rPr>
          <w:rFonts w:asciiTheme="minorHAnsi" w:hAnsiTheme="minorHAnsi"/>
          <w:sz w:val="20"/>
          <w:szCs w:val="20"/>
        </w:rPr>
        <w:t>geographicinformationsystem) mapiranje rezultata dobivenih u prethodna dva koraka. GIS karte kao i svi podatci se moraju javno objaviti. Objavljuje ih Nacionalno koordinacijsko tijelo (NKT).</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Primjeri ovakve prakse se na razini Europske Unije već mogu zabilježiti kroz aktivnosti provedene u sklopu četiri projekta pod okriljem „HeatRoadmap Europe 2050“ u čija je posljednja dva koraka, projekte STRATEGO i HRE financirane od strane Europske komisije kroz programe „Intellignet Energy Europe“ i Obzor 2020, uključena i Republika Hrvatska.</w:t>
      </w:r>
    </w:p>
    <w:p w:rsidR="00C901FA" w:rsidRPr="00361664" w:rsidRDefault="00C901FA" w:rsidP="00C901FA">
      <w:pPr>
        <w:spacing w:after="0"/>
        <w:jc w:val="both"/>
        <w:rPr>
          <w:rFonts w:asciiTheme="minorHAnsi" w:hAnsiTheme="minorHAnsi"/>
          <w:sz w:val="20"/>
          <w:szCs w:val="20"/>
        </w:rPr>
      </w:pP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Podatke vezane za elektroenergetski sustav bilo bi potrebno prikupljati i prikazivati minimalno na NUTS 3 razini. Ta razina preciznosti omogućila bi kvalitetnije usporedbe potražnje za energijom i njezine proizvodnje, lokalnog i regionalnog energetskog planiranja te samim time i preciznijeg i kvalitetnijeg planiranja na nacionalnoj razini. Ključni podatci koje je na ovaj način nužno prikupljati i javno objaviti su:</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 Potrošnja energije po tipovima i sektorima;</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 Potrošnja goriva po tipovima i sektorima;</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 Potencijalni izvori energije;</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 Postojeća energetska infrastruktura (proizvodnja, prijenos i distribucija);</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 Potencijalni izvori biomase po tipovima;</w:t>
      </w:r>
    </w:p>
    <w:p w:rsidR="00C901FA" w:rsidRPr="00361664" w:rsidRDefault="00C901FA" w:rsidP="00C901FA">
      <w:pPr>
        <w:spacing w:after="0"/>
        <w:jc w:val="both"/>
        <w:rPr>
          <w:rFonts w:asciiTheme="minorHAnsi" w:hAnsiTheme="minorHAnsi"/>
          <w:sz w:val="20"/>
          <w:szCs w:val="20"/>
        </w:rPr>
      </w:pPr>
      <w:r w:rsidRPr="00361664">
        <w:rPr>
          <w:rFonts w:asciiTheme="minorHAnsi" w:hAnsiTheme="minorHAnsi"/>
          <w:sz w:val="20"/>
          <w:szCs w:val="20"/>
        </w:rPr>
        <w:t>• Proizvodnja energije i goriva po tipovima.</w:t>
      </w:r>
    </w:p>
    <w:p w:rsidR="00C901FA" w:rsidRPr="00361664" w:rsidRDefault="00C901FA" w:rsidP="00C901FA">
      <w:pPr>
        <w:spacing w:after="0"/>
        <w:jc w:val="both"/>
        <w:rPr>
          <w:rFonts w:asciiTheme="minorHAnsi" w:hAnsiTheme="minorHAnsi"/>
          <w:sz w:val="20"/>
          <w:szCs w:val="20"/>
        </w:rPr>
      </w:pPr>
    </w:p>
    <w:p w:rsidR="00650504" w:rsidRPr="00361664" w:rsidRDefault="00C901FA" w:rsidP="00651BCA">
      <w:pPr>
        <w:spacing w:after="0"/>
        <w:jc w:val="both"/>
        <w:rPr>
          <w:rFonts w:asciiTheme="minorHAnsi" w:hAnsiTheme="minorHAnsi"/>
          <w:sz w:val="20"/>
          <w:szCs w:val="20"/>
        </w:rPr>
      </w:pPr>
      <w:r w:rsidRPr="00361664">
        <w:rPr>
          <w:rFonts w:asciiTheme="minorHAnsi" w:hAnsiTheme="minorHAnsi"/>
          <w:sz w:val="20"/>
          <w:szCs w:val="20"/>
        </w:rPr>
        <w:t>Provedba ovakve mjere omogućit će kvalitetno i precizno planiranje razvoja elektroenergetskih i toplinskih sustava s fokusom na optimalno iskorištavanje obnovljivih i otpadnih izvora energije što će za rezultat imati efikasniji, jeftiniji i ekološki prihvatljiviji energetski sustav. Također, ova će mjera olakšati praćenje urbanog razvoja te implementaciju mjera energetske obnove sektora zgradarstva.  Ova će se mjera implementirati u dva koraka. U prvom će se koraku aktivnosti provesti na pilot projektu grada Velike Gorice kroz koji će stvoriti nacionalna baza i aplikacija te kroz to postaviti baza za drugi korak, kroz koji će se razvijena metoda provesti na razini cijele države. Moguće je ostvariti sinergiju, među ostalima, između ove mjere te mjera provedbe energetskih pregleda, ISGE-a i energetskih obnova zgrada te postojećih digitalnih katastara.</w:t>
      </w:r>
    </w:p>
    <w:p w:rsidR="00C901FA" w:rsidRPr="00361664" w:rsidRDefault="00C901FA" w:rsidP="00651BCA">
      <w:pPr>
        <w:spacing w:after="0"/>
        <w:jc w:val="both"/>
        <w:rPr>
          <w:rFonts w:asciiTheme="minorHAnsi" w:hAnsiTheme="minorHAnsi"/>
          <w:sz w:val="20"/>
          <w:szCs w:val="20"/>
        </w:rPr>
      </w:pPr>
    </w:p>
    <w:p w:rsidR="003E2572" w:rsidRPr="00361664" w:rsidRDefault="003E2572" w:rsidP="00651BCA">
      <w:pPr>
        <w:spacing w:after="0"/>
        <w:jc w:val="both"/>
        <w:rPr>
          <w:rFonts w:asciiTheme="minorHAnsi" w:hAnsiTheme="minorHAnsi"/>
          <w:sz w:val="20"/>
          <w:szCs w:val="20"/>
        </w:rPr>
      </w:pPr>
    </w:p>
    <w:tbl>
      <w:tblPr>
        <w:tblStyle w:val="Reetkatablice"/>
        <w:tblW w:w="0" w:type="auto"/>
        <w:tblLook w:val="04A0" w:firstRow="1" w:lastRow="0" w:firstColumn="1" w:lastColumn="0" w:noHBand="0" w:noVBand="1"/>
      </w:tblPr>
      <w:tblGrid>
        <w:gridCol w:w="1234"/>
        <w:gridCol w:w="1396"/>
        <w:gridCol w:w="6432"/>
      </w:tblGrid>
      <w:tr w:rsidR="00905CEA" w:rsidRPr="00361664" w:rsidTr="00B51D74">
        <w:tc>
          <w:tcPr>
            <w:tcW w:w="2630" w:type="dxa"/>
            <w:gridSpan w:val="2"/>
            <w:shd w:val="clear" w:color="auto" w:fill="CCFFCC"/>
          </w:tcPr>
          <w:p w:rsidR="00905CEA" w:rsidRPr="00361664" w:rsidRDefault="00905CEA" w:rsidP="00B51D74">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lastRenderedPageBreak/>
              <w:t>Naziv mjere</w:t>
            </w:r>
          </w:p>
        </w:tc>
        <w:tc>
          <w:tcPr>
            <w:tcW w:w="6432" w:type="dxa"/>
            <w:shd w:val="clear" w:color="auto" w:fill="CCFFCC"/>
          </w:tcPr>
          <w:p w:rsidR="00905CEA" w:rsidRPr="00361664" w:rsidRDefault="00905CEA" w:rsidP="00B51D74">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Detaljno mapiranje energetskog sustava</w:t>
            </w:r>
          </w:p>
        </w:tc>
      </w:tr>
      <w:tr w:rsidR="00905CEA" w:rsidRPr="00361664" w:rsidTr="00B51D74">
        <w:tc>
          <w:tcPr>
            <w:tcW w:w="2630" w:type="dxa"/>
            <w:gridSpan w:val="2"/>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Indeks mjere</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HC.1</w:t>
            </w:r>
          </w:p>
        </w:tc>
      </w:tr>
      <w:tr w:rsidR="00905CEA" w:rsidRPr="00361664" w:rsidTr="00B51D74">
        <w:tc>
          <w:tcPr>
            <w:tcW w:w="1234" w:type="dxa"/>
            <w:vMerge w:val="restart"/>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Opis</w:t>
            </w: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Kategorija</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Vremenski okvir</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Početak: 2017.</w:t>
            </w:r>
          </w:p>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Kraj: 2019.</w:t>
            </w:r>
          </w:p>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Predviđene veće promijene, dopune, poboljšanja:</w:t>
            </w:r>
          </w:p>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Ažuriranje rezultata prema stvarnom stanju i promjenama u sustavu</w:t>
            </w: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Cilj/kratki opis</w:t>
            </w:r>
          </w:p>
        </w:tc>
        <w:tc>
          <w:tcPr>
            <w:tcW w:w="6432" w:type="dxa"/>
          </w:tcPr>
          <w:p w:rsidR="00905CEA" w:rsidRPr="00361664" w:rsidRDefault="00905CEA" w:rsidP="00675C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Pristup informacijama o potrebama, potrošnji i proizvodnji energije (električne, toplinske i hlađenja) je ključan za kvalitetno energetsko planiranje budućeg energetskog sustava Republike Hrvatske. U tu je svrhu potrebno razviti cjelovitu bazu georeferenciranih podataka koji će sadržavati informacije o potrošnji energije i energenata, zgradama, infrastrukturi, potencijalnim izvorima i proizvodnim postrojenjima na razini NUTS 3 ili, kada je to moguće, prostorno raspodijeljeno s rezolucijom 1X1 km ili preciznije. U prvoj fazi, ove će se aktivnosti provesti na pilot projektu Velike Gorice</w:t>
            </w:r>
            <w:r w:rsidR="00E076B8" w:rsidRPr="00361664">
              <w:rPr>
                <w:rFonts w:asciiTheme="minorHAnsi" w:hAnsiTheme="minorHAnsi"/>
                <w:sz w:val="20"/>
                <w:lang w:val="hr-HR"/>
              </w:rPr>
              <w:t>,</w:t>
            </w:r>
            <w:r w:rsidRPr="00361664">
              <w:rPr>
                <w:rFonts w:asciiTheme="minorHAnsi" w:hAnsiTheme="minorHAnsi"/>
                <w:sz w:val="20"/>
                <w:lang w:val="hr-HR"/>
              </w:rPr>
              <w:t xml:space="preserve"> a u drugoj na razini cijele države.</w:t>
            </w:r>
          </w:p>
          <w:p w:rsidR="00905CEA" w:rsidRPr="00361664" w:rsidRDefault="00905CEA" w:rsidP="00675C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Aktivnosti:</w:t>
            </w:r>
          </w:p>
          <w:p w:rsidR="00905CEA" w:rsidRPr="00361664" w:rsidRDefault="00905CEA" w:rsidP="00675C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Prikupljanje podataka o javnim i privatnim zgradama te izrada baze koja će minimalno sadržavati informacije o lokaciji, bruto ili neto površini, postojećim energetskim priključcima, tipu zgrade (stambena, nestambena, mješovita, industrija) te godini izgradnje;</w:t>
            </w:r>
          </w:p>
          <w:p w:rsidR="00905CEA" w:rsidRPr="00361664" w:rsidRDefault="00905CEA" w:rsidP="00675C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Prikupljanje podataka o potrošnji energije i energenata na razini pojedinih objekata;</w:t>
            </w:r>
          </w:p>
          <w:p w:rsidR="00905CEA" w:rsidRPr="00361664" w:rsidRDefault="00905CEA" w:rsidP="00675C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Izračun potreba za toplinskom i električnom energijom te hlađenjem na rezoluciji 1X1 km ili preciznije;</w:t>
            </w:r>
          </w:p>
          <w:p w:rsidR="00905CEA" w:rsidRPr="00361664" w:rsidRDefault="00905CEA" w:rsidP="00675C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Analiza potencijalnih izvora obnovljive i otpadne energije te prostorni prikaz tih potencijala s rezolucijom 1X1 km ili bolje, odnosno točkastih izvora za slučaj potencijalnih izvora otpadne energije;</w:t>
            </w:r>
          </w:p>
          <w:p w:rsidR="00905CEA" w:rsidRPr="00361664" w:rsidRDefault="00905CEA" w:rsidP="00675C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Analiza i prostorni prikaz energetske infrastrukture;</w:t>
            </w:r>
          </w:p>
          <w:p w:rsidR="00905CEA" w:rsidRPr="00361664" w:rsidRDefault="00905CEA" w:rsidP="00675C22">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Izrada cjelovite baze i GIS prikaza svih prikupljenih i izračunatih podataka;</w:t>
            </w:r>
          </w:p>
          <w:p w:rsidR="00391B48" w:rsidRPr="00361664" w:rsidRDefault="00905CEA" w:rsidP="00675C22">
            <w:pPr>
              <w:jc w:val="both"/>
              <w:rPr>
                <w:rFonts w:asciiTheme="minorHAnsi" w:hAnsiTheme="minorHAnsi"/>
              </w:rPr>
            </w:pPr>
            <w:r w:rsidRPr="00361664">
              <w:rPr>
                <w:rFonts w:asciiTheme="minorHAnsi" w:hAnsiTheme="minorHAnsi"/>
              </w:rPr>
              <w:t>Povezivanje baze i GIS prikaza s postojećim bazama kako bi se omogućilo ažuriranje informacija u stvarnom vremenu kada je to god moguće.</w:t>
            </w:r>
            <w:r w:rsidR="00391B48" w:rsidRPr="00361664">
              <w:rPr>
                <w:rFonts w:asciiTheme="minorHAnsi" w:hAnsiTheme="minorHAnsi"/>
              </w:rPr>
              <w:t xml:space="preserve"> GIS karte kao i svi podatci se moraju javno objaviti i u vlasništvu su Republike Hrvatske. Objavljuje ih Nacionalno koordinacijsko tijelo (NKT).</w:t>
            </w:r>
          </w:p>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Ciljana neposredna potrošnja</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Svi sektori potrošnje energije</w:t>
            </w: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Ciljana skupina</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Nacionalne institucije, regionalna i lokalna samouprava, instituti i fakulteti koji se bave urbanim i energetskim planiranjem</w:t>
            </w: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Regionalna primjena</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Nacionalno, regionalno i lokalno</w:t>
            </w:r>
          </w:p>
        </w:tc>
      </w:tr>
      <w:tr w:rsidR="00905CEA" w:rsidRPr="00361664" w:rsidTr="00B51D74">
        <w:tc>
          <w:tcPr>
            <w:tcW w:w="1234" w:type="dxa"/>
            <w:vMerge w:val="restart"/>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Informacije o provedbi</w:t>
            </w: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Popis i opis aktivnosti za provođenje mjere</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Provedene aktivnosti:</w:t>
            </w:r>
          </w:p>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Vlada Republike Hrvatske je u studenom 2015. godine donijela Program korištenja potencijala za učinkovitost u grijanju i hlađenju za razdoblje 2016. – 2030. U tom su dokumentu dane određene procijene potreba za grijanjem i hlađenjem na razini općina. Taj dokument predstavlja ključan prvi korak u postupku stvaranja cjelovite, georeferenirane, baze zgrada, potražnje i potrošnje energije i energenata, potencijalnih izvora, postojeće energetske infrastrukture te proizvodnih pogona.</w:t>
            </w:r>
          </w:p>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p w:rsidR="00905CEA" w:rsidRPr="00361664" w:rsidRDefault="000538A5" w:rsidP="00B51D74">
            <w:pPr>
              <w:pStyle w:val="Tabletext"/>
              <w:tabs>
                <w:tab w:val="left" w:pos="1440"/>
                <w:tab w:val="left" w:pos="5040"/>
              </w:tabs>
              <w:spacing w:before="0" w:after="0" w:line="240" w:lineRule="auto"/>
              <w:rPr>
                <w:rFonts w:asciiTheme="minorHAnsi" w:hAnsiTheme="minorHAnsi"/>
                <w:sz w:val="20"/>
                <w:lang w:val="hr-HR"/>
              </w:rPr>
            </w:pPr>
            <w:r>
              <w:rPr>
                <w:rFonts w:asciiTheme="minorHAnsi" w:hAnsiTheme="minorHAnsi"/>
                <w:sz w:val="20"/>
                <w:lang w:val="hr-HR"/>
              </w:rPr>
              <w:t>A</w:t>
            </w:r>
            <w:r w:rsidR="00905CEA" w:rsidRPr="00361664">
              <w:rPr>
                <w:rFonts w:asciiTheme="minorHAnsi" w:hAnsiTheme="minorHAnsi"/>
                <w:sz w:val="20"/>
                <w:lang w:val="hr-HR"/>
              </w:rPr>
              <w:t>ktivnosti:</w:t>
            </w:r>
          </w:p>
          <w:p w:rsidR="00905CEA" w:rsidRPr="00361664" w:rsidRDefault="00905CEA" w:rsidP="00905CE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Na temelju iskustva dobivenih kroz projekte STRATEGO, HRE i PlanHeat razvit će se metoda izračuna potreba za toplinskom i električnom energijom te hlađenjem prema dostupnim podatcima; prikupit će se svi podatci </w:t>
            </w:r>
            <w:r w:rsidRPr="00361664">
              <w:rPr>
                <w:rFonts w:asciiTheme="minorHAnsi" w:hAnsiTheme="minorHAnsi"/>
                <w:sz w:val="20"/>
                <w:lang w:val="hr-HR"/>
              </w:rPr>
              <w:lastRenderedPageBreak/>
              <w:t xml:space="preserve">potrebni za izradu cjelovite i georeferencirane baze, u tom će koraku biti ključni podaci i suradnja Državne geodetske uprave, </w:t>
            </w:r>
            <w:r w:rsidR="00D76F3C" w:rsidRPr="00361664">
              <w:rPr>
                <w:rFonts w:asciiTheme="minorHAnsi" w:hAnsiTheme="minorHAnsi"/>
                <w:sz w:val="20"/>
                <w:lang w:val="hr-HR"/>
              </w:rPr>
              <w:t>MZOE</w:t>
            </w:r>
            <w:r w:rsidRPr="00361664">
              <w:rPr>
                <w:rFonts w:asciiTheme="minorHAnsi" w:hAnsiTheme="minorHAnsi"/>
                <w:sz w:val="20"/>
                <w:lang w:val="hr-HR"/>
              </w:rPr>
              <w:t>, MINGO i Hrvatskog geološkog instituta; izračunat će se potrebe za energijom na razini 1X1 km ili bolje; Izraditi će se baza podataka i GIS karta dobivenih rezultata, podataka o zgradama, stvarnoj potrošnji, postojećoj infrastrukturi, proizvodnim pogonima i potencijalnim izvorima; gdje je god moguće, baza će se spojiti s drugim relevantnim izvorima informacija kako bi se omogućilo automatsko ažuriranje baze i karte.</w:t>
            </w: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Financijska sredstva i izvor financiranja</w:t>
            </w:r>
          </w:p>
        </w:tc>
        <w:tc>
          <w:tcPr>
            <w:tcW w:w="6432" w:type="dxa"/>
          </w:tcPr>
          <w:p w:rsidR="00905CEA" w:rsidRPr="00361664" w:rsidRDefault="00F00BD1"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Planirane aktivnosti:</w:t>
            </w:r>
          </w:p>
          <w:p w:rsidR="00523522" w:rsidRPr="00361664" w:rsidRDefault="00523522"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FZOEU - financiranje sredstvima stečenim od prodaje emisijskih jedinica putem dražbe na sustavu trgovanja emisijskim jedinicama EU-a temeljem Zakona o zaštiti zraka (</w:t>
            </w:r>
            <w:r w:rsidR="00C44613" w:rsidRPr="00361664">
              <w:rPr>
                <w:rFonts w:asciiTheme="minorHAnsi" w:hAnsiTheme="minorHAnsi"/>
                <w:sz w:val="20"/>
                <w:lang w:val="hr-HR"/>
              </w:rPr>
              <w:t>NN 130/11, 47/14, 61/17</w:t>
            </w:r>
            <w:r w:rsidR="001B3F7E" w:rsidRPr="00361664">
              <w:rPr>
                <w:rFonts w:asciiTheme="minorHAnsi" w:hAnsiTheme="minorHAnsi"/>
                <w:sz w:val="20"/>
                <w:lang w:val="hr-HR"/>
              </w:rPr>
              <w:t>)</w:t>
            </w:r>
            <w:r w:rsidRPr="00361664">
              <w:rPr>
                <w:rFonts w:asciiTheme="minorHAnsi" w:hAnsiTheme="minorHAnsi"/>
                <w:sz w:val="20"/>
                <w:lang w:val="hr-HR"/>
              </w:rPr>
              <w:t>:</w:t>
            </w:r>
          </w:p>
          <w:p w:rsidR="00905CEA" w:rsidRPr="00361664" w:rsidRDefault="00905CEA" w:rsidP="00523522">
            <w:pPr>
              <w:pStyle w:val="Tabletext"/>
              <w:numPr>
                <w:ilvl w:val="0"/>
                <w:numId w:val="62"/>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do kraja 2018. godine </w:t>
            </w:r>
            <w:r w:rsidR="00523522" w:rsidRPr="00361664">
              <w:rPr>
                <w:rFonts w:asciiTheme="minorHAnsi" w:hAnsiTheme="minorHAnsi"/>
                <w:sz w:val="20"/>
                <w:lang w:val="hr-HR"/>
              </w:rPr>
              <w:t>:</w:t>
            </w:r>
            <w:r w:rsidRPr="00361664">
              <w:rPr>
                <w:rFonts w:asciiTheme="minorHAnsi" w:hAnsiTheme="minorHAnsi"/>
                <w:sz w:val="20"/>
                <w:lang w:val="hr-HR"/>
              </w:rPr>
              <w:t>Izrada nacionalnog mrežnog sučelja za prikaz GIS podataka 100.000 kn</w:t>
            </w:r>
          </w:p>
          <w:p w:rsidR="00A97508" w:rsidRPr="00361664" w:rsidRDefault="00905CEA" w:rsidP="008423CA">
            <w:pPr>
              <w:pStyle w:val="Tabletext"/>
              <w:numPr>
                <w:ilvl w:val="0"/>
                <w:numId w:val="62"/>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do kraja 2019. godine FZOEU – Prikupljanje podataka za izradu cjelovite baze i GIS prikaza svih prikupljenih i izračunatih podataka na razini RH 1.000.000 kn</w:t>
            </w:r>
          </w:p>
          <w:p w:rsidR="00A97508" w:rsidRPr="00361664" w:rsidRDefault="00A97508" w:rsidP="00A97508">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Ukupno predviđena sredstva do kraja 2019. godine: 1.100.000,00 kn.</w:t>
            </w:r>
          </w:p>
          <w:p w:rsidR="00A97508" w:rsidRPr="00361664" w:rsidRDefault="00A97508" w:rsidP="008423CA">
            <w:pPr>
              <w:pStyle w:val="Tabletext"/>
              <w:tabs>
                <w:tab w:val="left" w:pos="1440"/>
                <w:tab w:val="left" w:pos="5040"/>
              </w:tabs>
              <w:spacing w:before="0" w:after="0" w:line="240" w:lineRule="auto"/>
              <w:rPr>
                <w:rFonts w:asciiTheme="minorHAnsi" w:hAnsiTheme="minorHAnsi"/>
                <w:sz w:val="20"/>
                <w:lang w:val="hr-HR"/>
              </w:rPr>
            </w:pP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Izvršno tijelo</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Fakultet strojarstva i brodogradnje u Zagrebu Državna geodetska uprava – dostava digitalnog katastra koji će služiti kao baza prikaza građevina, dostava dostupnih podataka o karakteristikama zgrada u digitalnom obliku</w:t>
            </w:r>
          </w:p>
          <w:p w:rsidR="00905CEA" w:rsidRPr="00361664" w:rsidRDefault="00D76F3C"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MZOE</w:t>
            </w:r>
            <w:r w:rsidR="00905CEA" w:rsidRPr="00361664">
              <w:rPr>
                <w:rFonts w:asciiTheme="minorHAnsi" w:hAnsiTheme="minorHAnsi"/>
                <w:sz w:val="20"/>
                <w:lang w:val="hr-HR"/>
              </w:rPr>
              <w:t xml:space="preserve"> – dostava podataka o potrošnji energije i energenata po objektima te postojeće infrastrukture u digitalnom obliku</w:t>
            </w:r>
          </w:p>
          <w:p w:rsidR="00905CEA" w:rsidRPr="00361664" w:rsidRDefault="00D0277A" w:rsidP="00905CE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MGI</w:t>
            </w:r>
            <w:r w:rsidR="00905CEA" w:rsidRPr="00361664">
              <w:rPr>
                <w:rFonts w:asciiTheme="minorHAnsi" w:hAnsiTheme="minorHAnsi"/>
                <w:sz w:val="20"/>
                <w:lang w:val="hr-HR"/>
              </w:rPr>
              <w:t>PU – dostava baze energetskih pregleda u digitalnom obliku Hrvatski geološki institut –dostava podataka o potencijalima geotermalne energije u digitalnom obliku</w:t>
            </w: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Tijelo za praćenje</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NKT</w:t>
            </w:r>
          </w:p>
        </w:tc>
      </w:tr>
      <w:tr w:rsidR="00905CEA" w:rsidRPr="00361664" w:rsidTr="00B51D74">
        <w:tc>
          <w:tcPr>
            <w:tcW w:w="1234" w:type="dxa"/>
            <w:vMerge w:val="restart"/>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Uštede energije</w:t>
            </w:r>
          </w:p>
        </w:tc>
        <w:tc>
          <w:tcPr>
            <w:tcW w:w="1396" w:type="dxa"/>
          </w:tcPr>
          <w:p w:rsidR="00905CEA" w:rsidRPr="00361664" w:rsidRDefault="00905CEA" w:rsidP="001E243B">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Metoda praćenja / mjerenja ušteda energije</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Ova mjera može se pratiti metodom na temelju istraživanja, ali na temelju</w:t>
            </w:r>
          </w:p>
          <w:p w:rsidR="00905CEA" w:rsidRPr="00361664" w:rsidRDefault="00905CEA" w:rsidP="00905CE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prakse odlučeno je da se ne kvantificiraju uštede energije. Ova mjera preduvjet je za informiranje svih dionika i ostvarivanje drugih mjera energetske učinkovitosti.</w:t>
            </w:r>
          </w:p>
        </w:tc>
      </w:tr>
      <w:tr w:rsidR="00905CEA" w:rsidRPr="00361664" w:rsidTr="001E243B">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6805E4" w:rsidP="001E243B">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Očekivane uštede energije do kraja 2019.</w:t>
            </w:r>
          </w:p>
        </w:tc>
        <w:tc>
          <w:tcPr>
            <w:tcW w:w="6432" w:type="dxa"/>
            <w:vAlign w:val="center"/>
          </w:tcPr>
          <w:p w:rsidR="00905CEA" w:rsidRPr="00361664" w:rsidRDefault="00932E24"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tc>
      </w:tr>
      <w:tr w:rsidR="00905CEA" w:rsidRPr="00361664" w:rsidTr="001E243B">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6805E4" w:rsidP="001E243B">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Očekivane uštede energije do kraja 2020.</w:t>
            </w:r>
          </w:p>
        </w:tc>
        <w:tc>
          <w:tcPr>
            <w:tcW w:w="6432" w:type="dxa"/>
            <w:vAlign w:val="center"/>
          </w:tcPr>
          <w:p w:rsidR="00905CEA" w:rsidRPr="00361664" w:rsidRDefault="00932E24"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Nije procijenjeno</w:t>
            </w: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1E243B">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Pretpostavke</w:t>
            </w:r>
          </w:p>
        </w:tc>
        <w:tc>
          <w:tcPr>
            <w:tcW w:w="6432" w:type="dxa"/>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Pristup digitalnom katastru, podatcima o potrošnji energije i energenata po objektima</w:t>
            </w:r>
          </w:p>
        </w:tc>
      </w:tr>
      <w:tr w:rsidR="00905CEA" w:rsidRPr="00361664" w:rsidTr="00B51D74">
        <w:tc>
          <w:tcPr>
            <w:tcW w:w="1234" w:type="dxa"/>
            <w:vMerge/>
          </w:tcPr>
          <w:p w:rsidR="00905CEA" w:rsidRPr="00361664" w:rsidRDefault="00905CEA" w:rsidP="00B51D74">
            <w:pPr>
              <w:pStyle w:val="Tabletext"/>
              <w:tabs>
                <w:tab w:val="left" w:pos="1440"/>
                <w:tab w:val="left" w:pos="5040"/>
              </w:tabs>
              <w:spacing w:before="0" w:after="0" w:line="240" w:lineRule="auto"/>
              <w:rPr>
                <w:rFonts w:asciiTheme="minorHAnsi" w:hAnsiTheme="minorHAnsi"/>
                <w:sz w:val="20"/>
                <w:lang w:val="hr-HR"/>
              </w:rPr>
            </w:pPr>
          </w:p>
        </w:tc>
        <w:tc>
          <w:tcPr>
            <w:tcW w:w="1396" w:type="dxa"/>
          </w:tcPr>
          <w:p w:rsidR="00905CEA" w:rsidRPr="00361664" w:rsidRDefault="00905CEA" w:rsidP="001E243B">
            <w:pPr>
              <w:pStyle w:val="Tabletext"/>
              <w:tabs>
                <w:tab w:val="left" w:pos="1440"/>
                <w:tab w:val="left" w:pos="5040"/>
              </w:tabs>
              <w:spacing w:before="0" w:after="0" w:line="240" w:lineRule="auto"/>
              <w:jc w:val="left"/>
              <w:rPr>
                <w:rFonts w:asciiTheme="minorHAnsi" w:hAnsiTheme="minorHAnsi"/>
                <w:sz w:val="20"/>
                <w:lang w:val="hr-HR"/>
              </w:rPr>
            </w:pPr>
            <w:r w:rsidRPr="00361664">
              <w:rPr>
                <w:rFonts w:asciiTheme="minorHAnsi" w:hAnsiTheme="minorHAnsi"/>
                <w:sz w:val="20"/>
                <w:lang w:val="hr-HR"/>
              </w:rPr>
              <w:t>Preklapanja, efekt množenja, sinergija</w:t>
            </w:r>
          </w:p>
        </w:tc>
        <w:tc>
          <w:tcPr>
            <w:tcW w:w="6432" w:type="dxa"/>
          </w:tcPr>
          <w:p w:rsidR="00905CEA" w:rsidRPr="00361664" w:rsidRDefault="00905CEA" w:rsidP="00905CEA">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Inicijalno mapiranje potreba za toplinskom energijom i hlađenjem na razinama općina odrađeno je u sklopu mjere I.2 Visokoučinkovita kogeneracija iz 3. NAPEnU. </w:t>
            </w:r>
          </w:p>
        </w:tc>
      </w:tr>
    </w:tbl>
    <w:p w:rsidR="00905CEA" w:rsidRPr="00361664" w:rsidRDefault="00905CEA" w:rsidP="00651BCA">
      <w:pPr>
        <w:spacing w:after="0"/>
        <w:jc w:val="both"/>
        <w:rPr>
          <w:rFonts w:asciiTheme="minorHAnsi" w:hAnsiTheme="minorHAnsi"/>
          <w:sz w:val="20"/>
          <w:szCs w:val="20"/>
        </w:rPr>
      </w:pPr>
    </w:p>
    <w:p w:rsidR="00006F93" w:rsidRPr="00361664" w:rsidRDefault="00006F93" w:rsidP="00651BCA">
      <w:pPr>
        <w:jc w:val="both"/>
        <w:rPr>
          <w:sz w:val="20"/>
          <w:szCs w:val="20"/>
        </w:rPr>
        <w:sectPr w:rsidR="00006F93" w:rsidRPr="00361664" w:rsidSect="008B4D15">
          <w:pgSz w:w="11906" w:h="16838"/>
          <w:pgMar w:top="1417" w:right="1417" w:bottom="1417" w:left="1417" w:header="708" w:footer="708" w:gutter="0"/>
          <w:cols w:space="708"/>
          <w:docGrid w:linePitch="360"/>
        </w:sectPr>
      </w:pPr>
    </w:p>
    <w:p w:rsidR="007871C0" w:rsidRPr="00361664" w:rsidRDefault="00FF5967" w:rsidP="00651BCA">
      <w:pPr>
        <w:pStyle w:val="Naslov3"/>
        <w:rPr>
          <w:rStyle w:val="Jakoisticanje"/>
          <w:b/>
          <w:bCs w:val="0"/>
          <w:i/>
          <w:iCs w:val="0"/>
          <w:color w:val="375F91"/>
          <w:lang w:val="hr-HR"/>
        </w:rPr>
      </w:pPr>
      <w:bookmarkStart w:id="55" w:name="_Toc535245872"/>
      <w:r w:rsidRPr="00361664">
        <w:rPr>
          <w:rStyle w:val="Jakoisticanje"/>
          <w:b/>
          <w:bCs w:val="0"/>
          <w:i/>
          <w:iCs w:val="0"/>
          <w:color w:val="375F91"/>
          <w:lang w:val="hr-HR"/>
        </w:rPr>
        <w:lastRenderedPageBreak/>
        <w:t>Sveobuhvatna procjena</w:t>
      </w:r>
      <w:r w:rsidR="0082314F" w:rsidRPr="00361664">
        <w:rPr>
          <w:rStyle w:val="Jakoisticanje"/>
          <w:b/>
          <w:bCs w:val="0"/>
          <w:i/>
          <w:iCs w:val="0"/>
          <w:color w:val="375F91"/>
          <w:lang w:val="hr-HR"/>
        </w:rPr>
        <w:t xml:space="preserve"> (članak 14. DEU-a)</w:t>
      </w:r>
      <w:bookmarkEnd w:id="55"/>
    </w:p>
    <w:p w:rsidR="00B506A0" w:rsidRPr="00361664" w:rsidRDefault="00B506A0" w:rsidP="00B506A0">
      <w:pPr>
        <w:jc w:val="both"/>
        <w:rPr>
          <w:sz w:val="20"/>
          <w:szCs w:val="20"/>
          <w:lang w:eastAsia="de-DE"/>
        </w:rPr>
      </w:pPr>
      <w:r w:rsidRPr="00361664">
        <w:rPr>
          <w:sz w:val="20"/>
          <w:szCs w:val="20"/>
          <w:lang w:eastAsia="de-DE"/>
        </w:rPr>
        <w:t xml:space="preserve">Analiza ukupne potrošnje energije u 2013. godini je pokazala sljedeće: </w:t>
      </w:r>
    </w:p>
    <w:p w:rsidR="00B506A0" w:rsidRPr="00361664" w:rsidRDefault="00B506A0" w:rsidP="00B506A0">
      <w:pPr>
        <w:jc w:val="both"/>
        <w:rPr>
          <w:sz w:val="20"/>
          <w:szCs w:val="20"/>
          <w:lang w:eastAsia="de-DE"/>
        </w:rPr>
      </w:pPr>
      <w:r w:rsidRPr="00361664">
        <w:rPr>
          <w:sz w:val="20"/>
          <w:szCs w:val="20"/>
          <w:lang w:eastAsia="de-DE"/>
        </w:rPr>
        <w:t xml:space="preserve">• Ukupna potrošnja energije u sektoru kućanstava u 2013 godini iznosila je 103,7 PJ. U strukturi finalnih energenata najveći udio u potrošnji ima ogrjevno drvo sa 48 posto, zatim slijedi električna energija za 21 posto, prirodni plin sa 19 posto, toplina sa 5 posto, te lož ulje i ukapljeni naftni plin sa 4 i 3 posto. </w:t>
      </w:r>
    </w:p>
    <w:p w:rsidR="00B506A0" w:rsidRPr="00361664" w:rsidRDefault="00B506A0" w:rsidP="00B506A0">
      <w:pPr>
        <w:jc w:val="both"/>
        <w:rPr>
          <w:sz w:val="20"/>
          <w:szCs w:val="20"/>
          <w:lang w:eastAsia="de-DE"/>
        </w:rPr>
      </w:pPr>
      <w:r w:rsidRPr="00361664">
        <w:rPr>
          <w:sz w:val="20"/>
          <w:szCs w:val="20"/>
          <w:lang w:eastAsia="de-DE"/>
        </w:rPr>
        <w:t xml:space="preserve">• Ukupna potrošnja energije u sektoru usluga iznosila je 29118 TJ. Udio toplinske energije iznosio je 48 posto u ukupnoj potrošnji dok je energija za hlađenje sudjelovala sa udjelom od 15 posto. U strukturi potrošnje toplinske energije najviše je zastupljen prirodni plin sa 42 posto, zatim slijedi električna energija sa 24 posto, ekstra lako lož ulje sa 18 posto, toplina sa 12 posto te ukapljeni naftni plin sa 4 posto. </w:t>
      </w:r>
    </w:p>
    <w:p w:rsidR="00B506A0" w:rsidRPr="00361664" w:rsidRDefault="00B506A0" w:rsidP="00B506A0">
      <w:pPr>
        <w:jc w:val="both"/>
        <w:rPr>
          <w:sz w:val="20"/>
          <w:szCs w:val="20"/>
          <w:lang w:eastAsia="de-DE"/>
        </w:rPr>
      </w:pPr>
      <w:r w:rsidRPr="00361664">
        <w:rPr>
          <w:sz w:val="20"/>
          <w:szCs w:val="20"/>
          <w:lang w:eastAsia="de-DE"/>
        </w:rPr>
        <w:t xml:space="preserve">• Ukupna potrošnja energije u industrijskim postrojenjima iznosila je 22,73 PJ, pri čemu 12,28 PJ izravne toplinske energije i 10,45 PJ neizravne toplinske energije. </w:t>
      </w:r>
    </w:p>
    <w:p w:rsidR="00B506A0" w:rsidRPr="00361664" w:rsidRDefault="00B506A0" w:rsidP="00B506A0">
      <w:pPr>
        <w:jc w:val="both"/>
        <w:rPr>
          <w:sz w:val="20"/>
          <w:szCs w:val="20"/>
          <w:lang w:eastAsia="de-DE"/>
        </w:rPr>
      </w:pPr>
      <w:r w:rsidRPr="00361664">
        <w:rPr>
          <w:sz w:val="20"/>
          <w:szCs w:val="20"/>
          <w:lang w:eastAsia="de-DE"/>
        </w:rPr>
        <w:t xml:space="preserve">Rezultati modeliranja projekcija budućih potreba za toplinskom energijom pokazuju sljedeće: </w:t>
      </w:r>
    </w:p>
    <w:p w:rsidR="00B506A0" w:rsidRPr="00361664" w:rsidRDefault="00B506A0" w:rsidP="00B506A0">
      <w:pPr>
        <w:jc w:val="both"/>
        <w:rPr>
          <w:sz w:val="20"/>
          <w:szCs w:val="20"/>
          <w:lang w:eastAsia="de-DE"/>
        </w:rPr>
      </w:pPr>
      <w:r w:rsidRPr="00361664">
        <w:rPr>
          <w:sz w:val="20"/>
          <w:szCs w:val="20"/>
          <w:lang w:eastAsia="de-DE"/>
        </w:rPr>
        <w:t xml:space="preserve">• U sektoru kućanstva na području cijele Hrvatske, osim u priobalju očekuje se smanjenje potrošnje toplinske energije koje je rezultat ponajviše očekivanog smanjenja broja stanovništva u tim dijelovima Hrvatske, a potom i očekivanog poboljšanja energetskih svojstava zgrade. U priobalnom dijelu Hrvatske, odnosno zoni jug, uz očekivani porast broja stanovnika, očekuje se i lagani porast potreba za toplinskom energijom koju potiču porast standarda života i povećana potreba za energijom za hlađenje. </w:t>
      </w:r>
    </w:p>
    <w:p w:rsidR="00B506A0" w:rsidRPr="00361664" w:rsidRDefault="00B506A0" w:rsidP="00B506A0">
      <w:pPr>
        <w:jc w:val="both"/>
        <w:rPr>
          <w:sz w:val="20"/>
          <w:szCs w:val="20"/>
          <w:lang w:eastAsia="de-DE"/>
        </w:rPr>
      </w:pPr>
      <w:r w:rsidRPr="00361664">
        <w:rPr>
          <w:sz w:val="20"/>
          <w:szCs w:val="20"/>
          <w:lang w:eastAsia="de-DE"/>
        </w:rPr>
        <w:t xml:space="preserve">• U sektoru usluga kao posljedica razvoja gospodarstva očekuje se lagani porast korisne toplinske energije i znatno veći porast energije potrebne za hlađenje. • U sektoru industrije očekuje se porast potrebne toplinske energije do gotovo 30 PJ pri čemu je važno razlikovati izravnu (toplina nastala izravnim spaljivanjem energenta i korištena u proizvodnom procesu) i neizravnu (toplina proizvedena u kotlovnicama i toplanama) toplinsku energiju iz razloga što je jedino neizravna toplinska energija može biti supstituirana toplinom iz visoko-učinkovite kogeneracije. </w:t>
      </w:r>
    </w:p>
    <w:p w:rsidR="00B506A0" w:rsidRPr="00361664" w:rsidRDefault="00B506A0" w:rsidP="00B506A0">
      <w:pPr>
        <w:jc w:val="both"/>
        <w:rPr>
          <w:sz w:val="20"/>
          <w:szCs w:val="20"/>
          <w:lang w:eastAsia="de-DE"/>
        </w:rPr>
      </w:pPr>
      <w:r w:rsidRPr="00361664">
        <w:rPr>
          <w:sz w:val="20"/>
          <w:szCs w:val="20"/>
          <w:lang w:eastAsia="de-DE"/>
        </w:rPr>
        <w:t xml:space="preserve">Analiza postojećeg stanja termoenergetskih postrojenja, koja je obuhvatila postojeća četiri kogeneracijska postrojenja Hrvatske elektroprivrede i tri industrijska kogeneracijska postrojenja, toplinske snage veće od 20 MWt, pokazala je da pojedini blokovi kogeneracijskih postrojenja HEP a u određenim uvjetima njihove eksploatacije mogu zadovoljiti zahtjeve za visokoučinkovitu kogeneraciju, ali niti jedno analizirano industrijsko kogeneracijsko postrojenje nije izgledni kandidat za zadovoljavanje zahtjeva za visokoučinkovitu kogeneraciju. </w:t>
      </w:r>
    </w:p>
    <w:p w:rsidR="00B506A0" w:rsidRPr="00361664" w:rsidRDefault="00B506A0" w:rsidP="00B506A0">
      <w:pPr>
        <w:jc w:val="both"/>
        <w:rPr>
          <w:sz w:val="20"/>
          <w:szCs w:val="20"/>
          <w:lang w:eastAsia="de-DE"/>
        </w:rPr>
      </w:pPr>
      <w:r w:rsidRPr="00361664">
        <w:rPr>
          <w:sz w:val="20"/>
          <w:szCs w:val="20"/>
          <w:lang w:eastAsia="de-DE"/>
        </w:rPr>
        <w:t xml:space="preserve">Analiza potencijalnih novih lokacija potrošnje toplinske energije je identificirala 18 lokacija koje svojim teorijskim potencijalom potreba za toplinskom energijom i izglednošću izgradnje potrebite infrastrukture za distribuciju toplinske energije, predstavljaju izgledni potencijal za izgradnju novih visokoučinkovitih kogeneracijskih postrojenja. Pripadni teorijski toplinski potencijal ovih 18 lokacija iznosi 29.982.128 GJ, odnosno, 8.328.369 MWh godišnje do 2030. godine. </w:t>
      </w:r>
    </w:p>
    <w:p w:rsidR="00B506A0" w:rsidRPr="00361664" w:rsidRDefault="00B506A0" w:rsidP="00B506A0">
      <w:pPr>
        <w:jc w:val="both"/>
        <w:rPr>
          <w:sz w:val="20"/>
          <w:szCs w:val="20"/>
          <w:lang w:eastAsia="de-DE"/>
        </w:rPr>
      </w:pPr>
      <w:r w:rsidRPr="00361664">
        <w:rPr>
          <w:sz w:val="20"/>
          <w:szCs w:val="20"/>
          <w:lang w:eastAsia="de-DE"/>
        </w:rPr>
        <w:t xml:space="preserve">Konzervativni scenarij udjela potrošača na centraliziranom toplinskom sustavu, pretpostavljen na temelju utvrđenih postojećih trendova za svaku od potencijalnih novih lokacija, izdvojio je šest (6) potencijalnih novih lokacija za visokoučinkovitu kogeneraciju. Njihov ukupni ekvivalentni toplinski potencijal iznosi 5.506.528 GJ, odnosno 1.529.591 MWh godišnje, do 2030. godine. Pripadni ukupni ekvivalentni potencijal električne komponente visokoučinkovite kogeneracije, temeljenom na suvremenoj CCCGT tehnologiji, za konzervativni scenarij iznosi 8.653.115 GJ, odnosno 2.403.643 MWh. </w:t>
      </w:r>
    </w:p>
    <w:p w:rsidR="00B506A0" w:rsidRPr="00361664" w:rsidRDefault="00B506A0" w:rsidP="00B506A0">
      <w:pPr>
        <w:jc w:val="both"/>
        <w:rPr>
          <w:sz w:val="20"/>
          <w:szCs w:val="20"/>
          <w:lang w:eastAsia="de-DE"/>
        </w:rPr>
      </w:pPr>
      <w:r w:rsidRPr="00361664">
        <w:rPr>
          <w:sz w:val="20"/>
          <w:szCs w:val="20"/>
          <w:lang w:eastAsia="de-DE"/>
        </w:rPr>
        <w:t xml:space="preserve">Optimističan scenarij udjela potrošača na centraliziranom toplinskom sustavu, pretpostavljeni na temelju optimističnije pretpostavke trendova u energetskom sektoru, izdvojio je osamnaest (18) potencijalnih novih </w:t>
      </w:r>
      <w:r w:rsidRPr="00361664">
        <w:rPr>
          <w:sz w:val="20"/>
          <w:szCs w:val="20"/>
          <w:lang w:eastAsia="de-DE"/>
        </w:rPr>
        <w:lastRenderedPageBreak/>
        <w:t xml:space="preserve">lokacija za visokoučinkovitu kogeneraciju. Njihov ukupni ekvivalentni toplinski potencijal iznosi 16.625.599 GJ, odnosno 4.618.222 MWh godišnje, do 2030. godine. Pripadni ukupni ekvivalentni potencijal električne komponente visokoučinkovite kogeneracije za optimistični scenarij iznosi 26.125.941 GJ, odnosno 7.257.206 MWh. </w:t>
      </w:r>
    </w:p>
    <w:p w:rsidR="00B506A0" w:rsidRPr="00361664" w:rsidRDefault="00B506A0" w:rsidP="00B506A0">
      <w:pPr>
        <w:jc w:val="both"/>
        <w:rPr>
          <w:sz w:val="20"/>
          <w:szCs w:val="20"/>
          <w:lang w:eastAsia="de-DE"/>
        </w:rPr>
      </w:pPr>
      <w:r w:rsidRPr="00361664">
        <w:rPr>
          <w:sz w:val="20"/>
          <w:szCs w:val="20"/>
          <w:lang w:eastAsia="de-DE"/>
        </w:rPr>
        <w:t xml:space="preserve">Potencijal uštede primarne energije do 2030. godine, uz pretpostavku visokoučinkovite kogeneracije, iznosi 4.849.053 GJ za konzervativni scenarij, odnosno 14.634.591 GJ za optimistični scenarij udjela budućih potrošača na centraliziranom toplinskom sustavu. </w:t>
      </w:r>
    </w:p>
    <w:p w:rsidR="00B506A0" w:rsidRPr="00361664" w:rsidRDefault="00B506A0" w:rsidP="00B506A0">
      <w:pPr>
        <w:jc w:val="both"/>
        <w:rPr>
          <w:sz w:val="20"/>
          <w:szCs w:val="20"/>
          <w:lang w:eastAsia="de-DE"/>
        </w:rPr>
      </w:pPr>
      <w:r w:rsidRPr="00361664">
        <w:rPr>
          <w:sz w:val="20"/>
          <w:szCs w:val="20"/>
          <w:lang w:eastAsia="de-DE"/>
        </w:rPr>
        <w:t xml:space="preserve">Usprkos dugogodišnjoj tradiciji opskrbe iz CTS sistema u republici Hrvatskoj, stanje u postojećim centraliziranim sustavima nije zadovoljavajuće, a za što su brojni razlozi, kao npr.: starost postrojenja i njihova niska učinkovitost, starost mreža, visoke cijene goriva, loše izolacije zgrada u kojima se koriste centralizirani sustavi, slaba upravljivost s potrošnjom topline, te neadekvatna politika cijena topline, koja nije pokrivala troškove proizvodnje. </w:t>
      </w:r>
    </w:p>
    <w:p w:rsidR="00B506A0" w:rsidRPr="00361664" w:rsidRDefault="00B506A0" w:rsidP="00B506A0">
      <w:pPr>
        <w:jc w:val="both"/>
        <w:rPr>
          <w:sz w:val="20"/>
          <w:szCs w:val="20"/>
          <w:lang w:eastAsia="de-DE"/>
        </w:rPr>
      </w:pPr>
      <w:r w:rsidRPr="00361664">
        <w:rPr>
          <w:sz w:val="20"/>
          <w:szCs w:val="20"/>
          <w:lang w:eastAsia="de-DE"/>
        </w:rPr>
        <w:t xml:space="preserve">Razvoj novih centraliziranih sustava ovisit će i o uspješnosti postojećih, pa se kao prvi prioritet nameće unapređenje postojećih centraliziranih sustava. Ako se veleprodajne cijene energenata izuzmu kao neupravljive, jer ovise o tržištu, ostaju četiri bitne komponente koje bi trebale biti u prioritetu aktivnosti povećanja učinkovitosti CTS sustava: </w:t>
      </w:r>
    </w:p>
    <w:p w:rsidR="00B506A0" w:rsidRPr="00361664" w:rsidRDefault="00B506A0" w:rsidP="00B506A0">
      <w:pPr>
        <w:jc w:val="both"/>
        <w:rPr>
          <w:sz w:val="20"/>
          <w:szCs w:val="20"/>
          <w:lang w:eastAsia="de-DE"/>
        </w:rPr>
      </w:pPr>
      <w:r w:rsidRPr="00361664">
        <w:rPr>
          <w:sz w:val="20"/>
          <w:szCs w:val="20"/>
          <w:lang w:eastAsia="de-DE"/>
        </w:rPr>
        <w:t xml:space="preserve">• Izgradnja učinkovitih kogeneracija tamo gdje one ne postoje, te supstitucija područnih kotlovnica s CTS-om i izgradnjom adekvatnih visokoučinkovitih kogeneracija; </w:t>
      </w:r>
    </w:p>
    <w:p w:rsidR="00B506A0" w:rsidRPr="00361664" w:rsidRDefault="00B506A0" w:rsidP="00B506A0">
      <w:pPr>
        <w:jc w:val="both"/>
        <w:rPr>
          <w:sz w:val="20"/>
          <w:szCs w:val="20"/>
          <w:lang w:eastAsia="de-DE"/>
        </w:rPr>
      </w:pPr>
      <w:r w:rsidRPr="00361664">
        <w:rPr>
          <w:sz w:val="20"/>
          <w:szCs w:val="20"/>
          <w:lang w:eastAsia="de-DE"/>
        </w:rPr>
        <w:t xml:space="preserve">• Izbor goriva, posebno vodeći računa o smanjenju emisija CO2; </w:t>
      </w:r>
    </w:p>
    <w:p w:rsidR="00B506A0" w:rsidRPr="00361664" w:rsidRDefault="00B506A0" w:rsidP="00B506A0">
      <w:pPr>
        <w:jc w:val="both"/>
        <w:rPr>
          <w:sz w:val="20"/>
          <w:szCs w:val="20"/>
          <w:lang w:eastAsia="de-DE"/>
        </w:rPr>
      </w:pPr>
      <w:r w:rsidRPr="00361664">
        <w:rPr>
          <w:sz w:val="20"/>
          <w:szCs w:val="20"/>
          <w:lang w:eastAsia="de-DE"/>
        </w:rPr>
        <w:t xml:space="preserve">• Zamjena dotrajale toplinske mreže i povezivanje područnih kotlovnica u mrežu CTS-a; </w:t>
      </w:r>
    </w:p>
    <w:p w:rsidR="00B506A0" w:rsidRPr="00361664" w:rsidRDefault="00B506A0" w:rsidP="00B506A0">
      <w:pPr>
        <w:jc w:val="both"/>
        <w:rPr>
          <w:sz w:val="20"/>
          <w:szCs w:val="20"/>
          <w:lang w:eastAsia="de-DE"/>
        </w:rPr>
      </w:pPr>
      <w:r w:rsidRPr="00361664">
        <w:rPr>
          <w:sz w:val="20"/>
          <w:szCs w:val="20"/>
          <w:lang w:eastAsia="de-DE"/>
        </w:rPr>
        <w:t xml:space="preserve">• Prioritetni program energetske obnove zgrada u područjima koje pokriva CTS. </w:t>
      </w:r>
    </w:p>
    <w:p w:rsidR="00B506A0" w:rsidRPr="00361664" w:rsidRDefault="00B506A0" w:rsidP="00B506A0">
      <w:pPr>
        <w:jc w:val="both"/>
        <w:rPr>
          <w:sz w:val="20"/>
          <w:szCs w:val="20"/>
          <w:lang w:eastAsia="de-DE"/>
        </w:rPr>
      </w:pPr>
      <w:r w:rsidRPr="00361664">
        <w:rPr>
          <w:sz w:val="20"/>
          <w:szCs w:val="20"/>
          <w:lang w:eastAsia="de-DE"/>
        </w:rPr>
        <w:t xml:space="preserve">Pri planiranju razvoja CTS-a treba voditi računa da postupak pripreme i realizacije izgradnje postrojenja zahtjeva, uz izradu planskih i stručnih podloga od strane nadležnih institucija, i ishođenje većeg broja upravnih akata te zaključivanje ugovora koji su predviđeni složenim pravnim okvirom iz područja energetike, prostornog uređenja i graditeljstva, zaštite okoliša i dr. No, ukoliko mjerodavna državna tijela, tijela jedinice lokalne i područne (regionalne) samouprave i pravne osobe s javnim ovlastima (agencije, operatori i dr.) postupaju u skladu s propisanim rokovima i vodeći računa o načelima upravnog postupka, a energetski subjekti ispunjavanju svoje obveze iz izdanih suglasnosti i odobrenja, administrativna procedura koja se mora provesti ne bi smjela usporavati realizaciju takvih projekata. </w:t>
      </w:r>
    </w:p>
    <w:p w:rsidR="00B506A0" w:rsidRPr="00361664" w:rsidRDefault="00B506A0" w:rsidP="00B506A0">
      <w:pPr>
        <w:jc w:val="both"/>
        <w:rPr>
          <w:sz w:val="20"/>
          <w:szCs w:val="20"/>
          <w:lang w:eastAsia="de-DE"/>
        </w:rPr>
      </w:pPr>
      <w:r w:rsidRPr="00361664">
        <w:rPr>
          <w:sz w:val="20"/>
          <w:szCs w:val="20"/>
          <w:lang w:eastAsia="de-DE"/>
        </w:rPr>
        <w:t xml:space="preserve">Novi Zakon o obnovljivim izvorima energije i visokoučinkovite kogeneracije koji </w:t>
      </w:r>
      <w:r w:rsidR="0037328D" w:rsidRPr="00361664">
        <w:rPr>
          <w:sz w:val="20"/>
          <w:szCs w:val="20"/>
          <w:lang w:eastAsia="de-DE"/>
        </w:rPr>
        <w:t>je stupio</w:t>
      </w:r>
      <w:r w:rsidRPr="00361664">
        <w:rPr>
          <w:sz w:val="20"/>
          <w:szCs w:val="20"/>
          <w:lang w:eastAsia="de-DE"/>
        </w:rPr>
        <w:t xml:space="preserve"> na snagu 1.1. 2016. godine nije obuhvatio i problematiku poticanja proizvodnje energije za grijanje i hlađenje iz OIE. Budući da toplinsko tržište predstavlja veliki potencijal za realizaciju energetskih ciljeva korištenja obnovljivih izvora energije, izostanak sustavnog razmatranja ovog područja se prepoznaje kao značajan nedostatak postojećeg pravnog okvira. </w:t>
      </w:r>
    </w:p>
    <w:p w:rsidR="00B506A0" w:rsidRPr="00361664" w:rsidRDefault="00B506A0" w:rsidP="00B506A0">
      <w:pPr>
        <w:jc w:val="both"/>
        <w:rPr>
          <w:sz w:val="20"/>
          <w:szCs w:val="20"/>
          <w:lang w:eastAsia="de-DE"/>
        </w:rPr>
      </w:pPr>
      <w:r w:rsidRPr="00361664">
        <w:rPr>
          <w:sz w:val="20"/>
          <w:szCs w:val="20"/>
          <w:lang w:eastAsia="de-DE"/>
        </w:rPr>
        <w:t xml:space="preserve">Državne potpore za centralizirano grijanje i hlađenje mogu se dati sukladno pravilima Uredbe (651/2014) o skupnom izuzeću. Uvjet je da se ispuni sve uvjete iz Uredbe 651/2014. Utvrđena su tri načina kako omogućiti davanje državnih potpora. 1. Prvi način je davanje državne potpore sukladno de minimis pravilu, to su potpore za jedno poduzeće, u iznosu manje od 200.000 eura u bilo kojem razdoblju od 3 godine. Mjere potpora za centralizirano grijanje i hlađenje mogu biti u skladu sa de minimis pravilima ukoliko se poštuje granica od 200.000 eura u razdoblju od tri godine. 2. Drugi način davanja državne potpore je potpora sukladno Uredbi 651/2014 prema kojoj su određene kategorije potpora spojive s unutarnjim tržištem EU. To skupno izuzeće </w:t>
      </w:r>
      <w:r w:rsidRPr="00361664">
        <w:rPr>
          <w:sz w:val="20"/>
          <w:szCs w:val="20"/>
          <w:lang w:eastAsia="de-DE"/>
        </w:rPr>
        <w:lastRenderedPageBreak/>
        <w:t xml:space="preserve">omogućuje državama članicama da donesu određene programe državnih potpora bez prethodne obavijesti Europske komisije, mjere potpora za centralizirano grijanje i hlađenje mogu biti uključene u skupnom izuzeću ukoliko zadovoljavaju uvjete iz Uredbe 651/2014. 3. Treći način davanja državnih potpora je putem prijave plana za davanje državnih potpora Komisiji. Ovo može biti dugotrajan i neizvjestan postupak a državna potpora se ne smije dati prije konačnog odobrenja Komisije. </w:t>
      </w:r>
    </w:p>
    <w:p w:rsidR="002E6655" w:rsidRPr="00361664" w:rsidRDefault="00B506A0" w:rsidP="00F37458">
      <w:pPr>
        <w:jc w:val="both"/>
        <w:rPr>
          <w:sz w:val="20"/>
        </w:rPr>
      </w:pPr>
      <w:r w:rsidRPr="00361664">
        <w:rPr>
          <w:sz w:val="20"/>
          <w:szCs w:val="20"/>
          <w:lang w:eastAsia="de-DE"/>
        </w:rPr>
        <w:t>Za potrebe praćenja provedbe programa i evaluacije postignutih rezultata te izvještavanja Vlade Republike Hrvatske o ostvarenim rezultatima i preporukama, Ministarstvo gospodarstva (od 10.mj 2016 MZOE) bi trebalo uspostaviti sustav evaluacije i praćenja provedbe Programa kroz redovitu suradnju i izvještavanje od strane HERA-e koje nadzire obavljanje energetskih djelatnosti i funkcioniranje energetskih tržišta te jedinica lokalne samouprave koje su, između ostalog, dužne poticati, planirati i odobriti izgradnju toplinskih sustava.</w:t>
      </w:r>
      <w:r w:rsidRPr="00361664">
        <w:rPr>
          <w:highlight w:val="yellow"/>
          <w:lang w:eastAsia="de-DE"/>
        </w:rPr>
        <w:br w:type="page"/>
      </w:r>
    </w:p>
    <w:p w:rsidR="007871C0" w:rsidRPr="00361036" w:rsidRDefault="0082314F" w:rsidP="0082314F">
      <w:pPr>
        <w:pStyle w:val="Naslov2"/>
        <w:rPr>
          <w:rStyle w:val="Jakoisticanje"/>
          <w:b/>
          <w:bCs/>
          <w:iCs/>
          <w:color w:val="375F91"/>
        </w:rPr>
      </w:pPr>
      <w:bookmarkStart w:id="56" w:name="_Toc535245873"/>
      <w:r w:rsidRPr="00361036">
        <w:rPr>
          <w:rStyle w:val="Jakoisticanje"/>
          <w:b/>
          <w:bCs/>
          <w:iCs/>
          <w:color w:val="375F91"/>
        </w:rPr>
        <w:lastRenderedPageBreak/>
        <w:t>Pretvorba</w:t>
      </w:r>
      <w:r w:rsidR="00FF5967" w:rsidRPr="00361036">
        <w:rPr>
          <w:rStyle w:val="Jakoisticanje"/>
          <w:b/>
          <w:bCs/>
          <w:iCs/>
          <w:color w:val="375F91"/>
        </w:rPr>
        <w:t>, prij</w:t>
      </w:r>
      <w:r w:rsidRPr="00361036">
        <w:rPr>
          <w:rStyle w:val="Jakoisticanje"/>
          <w:b/>
          <w:bCs/>
          <w:iCs/>
          <w:color w:val="375F91"/>
        </w:rPr>
        <w:t>enos i</w:t>
      </w:r>
      <w:r w:rsidR="003A1F2D" w:rsidRPr="00361036">
        <w:rPr>
          <w:rStyle w:val="Jakoisticanje"/>
          <w:b/>
          <w:bCs/>
          <w:iCs/>
          <w:color w:val="375F91"/>
        </w:rPr>
        <w:t xml:space="preserve"> distribucija</w:t>
      </w:r>
      <w:r w:rsidRPr="00361036">
        <w:rPr>
          <w:rStyle w:val="Jakoisticanje"/>
          <w:b/>
          <w:bCs/>
          <w:iCs/>
          <w:color w:val="375F91"/>
        </w:rPr>
        <w:t>energije te odgovor</w:t>
      </w:r>
      <w:r w:rsidR="00D510A3" w:rsidRPr="00361036">
        <w:rPr>
          <w:rStyle w:val="Jakoisticanje"/>
          <w:b/>
          <w:bCs/>
          <w:iCs/>
          <w:color w:val="375F91"/>
        </w:rPr>
        <w:t xml:space="preserve"> na potražnju</w:t>
      </w:r>
      <w:bookmarkEnd w:id="56"/>
      <w:r w:rsidR="004B187E" w:rsidRPr="00361036">
        <w:rPr>
          <w:rStyle w:val="Jakoisticanje"/>
          <w:b/>
          <w:bCs/>
          <w:iCs/>
          <w:color w:val="375F91"/>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503"/>
        <w:gridCol w:w="6459"/>
      </w:tblGrid>
      <w:tr w:rsidR="007A3D6C" w:rsidRPr="00361664" w:rsidTr="00961A34">
        <w:trPr>
          <w:trHeight w:val="20"/>
        </w:trPr>
        <w:tc>
          <w:tcPr>
            <w:tcW w:w="1523" w:type="pct"/>
            <w:gridSpan w:val="2"/>
            <w:shd w:val="clear" w:color="auto" w:fill="CCFFCC"/>
          </w:tcPr>
          <w:p w:rsidR="007A3D6C" w:rsidRPr="00361664" w:rsidRDefault="007A3D6C" w:rsidP="00961A34">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Naziv mjere </w:t>
            </w:r>
          </w:p>
        </w:tc>
        <w:tc>
          <w:tcPr>
            <w:tcW w:w="3477" w:type="pct"/>
            <w:shd w:val="clear" w:color="auto" w:fill="CCFFCC"/>
          </w:tcPr>
          <w:p w:rsidR="007A3D6C" w:rsidRPr="00361664" w:rsidRDefault="007A3D6C" w:rsidP="00961A34">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Poboljšanje učinkovitosti smanjenjem vlastite potrošnje u hidroelektranama (HE), termoelektranama (TE) i termoelektranama-toplanama  (TE-TO)  unutar HEP grupe </w:t>
            </w:r>
          </w:p>
        </w:tc>
      </w:tr>
      <w:tr w:rsidR="007A3D6C" w:rsidRPr="00361664" w:rsidTr="00961A34">
        <w:trPr>
          <w:trHeight w:val="20"/>
        </w:trPr>
        <w:tc>
          <w:tcPr>
            <w:tcW w:w="1523" w:type="pct"/>
            <w:gridSpan w:val="2"/>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Indeks mjere</w:t>
            </w:r>
          </w:p>
        </w:tc>
        <w:tc>
          <w:tcPr>
            <w:tcW w:w="3477" w:type="pct"/>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E.1</w:t>
            </w:r>
          </w:p>
        </w:tc>
      </w:tr>
      <w:tr w:rsidR="007A3D6C" w:rsidRPr="00361664" w:rsidTr="00961A34">
        <w:trPr>
          <w:trHeight w:val="20"/>
        </w:trPr>
        <w:tc>
          <w:tcPr>
            <w:tcW w:w="714" w:type="pct"/>
            <w:vMerge w:val="restar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Opis</w:t>
            </w: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Kategorija</w:t>
            </w:r>
          </w:p>
        </w:tc>
        <w:tc>
          <w:tcPr>
            <w:tcW w:w="3477"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Proizvodnja električne i/ili toplinske energije – u HE, TE i TE-TO HEP grupe</w:t>
            </w:r>
          </w:p>
        </w:tc>
      </w:tr>
      <w:tr w:rsidR="007A3D6C" w:rsidRPr="00361664" w:rsidTr="00961A34">
        <w:trPr>
          <w:trHeight w:val="20"/>
        </w:trPr>
        <w:tc>
          <w:tcPr>
            <w:tcW w:w="714" w:type="pct"/>
            <w:vMerge/>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Vremenski okvir</w:t>
            </w:r>
          </w:p>
        </w:tc>
        <w:tc>
          <w:tcPr>
            <w:tcW w:w="3477"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Početak: 2017.</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Kraj: 2019.</w:t>
            </w:r>
          </w:p>
          <w:p w:rsidR="007A3D6C" w:rsidRPr="00361664" w:rsidRDefault="007A3D6C"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 xml:space="preserve">Smanjenje vlastite potrošnje zamjenama i rekonstrukcijama u elektranama HEP grupe  </w:t>
            </w:r>
          </w:p>
        </w:tc>
      </w:tr>
      <w:tr w:rsidR="007A3D6C" w:rsidRPr="00361664" w:rsidTr="00961A34">
        <w:trPr>
          <w:trHeight w:val="20"/>
        </w:trPr>
        <w:tc>
          <w:tcPr>
            <w:tcW w:w="714" w:type="pct"/>
            <w:vMerge/>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 / kratak opis</w:t>
            </w:r>
          </w:p>
        </w:tc>
        <w:tc>
          <w:tcPr>
            <w:tcW w:w="3477" w:type="pct"/>
            <w:vAlign w:val="center"/>
          </w:tcPr>
          <w:p w:rsidR="007A3D6C" w:rsidRPr="00361664" w:rsidRDefault="007A3D6C" w:rsidP="00961A34">
            <w:pPr>
              <w:pStyle w:val="Tabletext"/>
              <w:tabs>
                <w:tab w:val="left" w:pos="1440"/>
                <w:tab w:val="left" w:pos="5040"/>
              </w:tabs>
              <w:spacing w:before="60" w:after="0" w:line="240" w:lineRule="auto"/>
              <w:rPr>
                <w:rFonts w:asciiTheme="minorHAnsi" w:hAnsiTheme="minorHAnsi"/>
                <w:sz w:val="20"/>
                <w:lang w:val="hr-HR"/>
              </w:rPr>
            </w:pPr>
            <w:r w:rsidRPr="00361664">
              <w:rPr>
                <w:rFonts w:asciiTheme="minorHAnsi" w:hAnsiTheme="minorHAnsi"/>
                <w:sz w:val="20"/>
                <w:lang w:val="hr-HR"/>
              </w:rPr>
              <w:t xml:space="preserve">Smanjenje vlastite i opće potrošnje izravno doprinosi poboljšanju učinkovitosti, a temelji se na poduzimanju mjera i aktivnosti u procesu planiranja i vođenja proizvodnje električne i toplinske energije, provedbi plana zamjena i rekonstrukcija proizvodnih postrojenja te primarne i sekundarne  opreme u elektranama i pripadajućim podsustavima. </w:t>
            </w:r>
          </w:p>
          <w:p w:rsidR="007A3D6C" w:rsidRPr="00361664" w:rsidRDefault="007A3D6C" w:rsidP="00961A34">
            <w:pPr>
              <w:pStyle w:val="Tabletext"/>
              <w:tabs>
                <w:tab w:val="left" w:pos="1440"/>
                <w:tab w:val="left" w:pos="5040"/>
              </w:tabs>
              <w:spacing w:before="60" w:after="0" w:line="240" w:lineRule="auto"/>
              <w:rPr>
                <w:rFonts w:asciiTheme="minorHAnsi" w:hAnsiTheme="minorHAnsi"/>
                <w:sz w:val="20"/>
                <w:lang w:val="hr-HR"/>
              </w:rPr>
            </w:pPr>
            <w:r w:rsidRPr="00361664">
              <w:rPr>
                <w:rFonts w:asciiTheme="minorHAnsi" w:hAnsiTheme="minorHAnsi"/>
                <w:sz w:val="20"/>
                <w:lang w:val="hr-HR"/>
              </w:rPr>
              <w:t>Smanjenje vlastite potrošnje podrazumijeva doprinos smanjenju potrošnje primarne energije i energetskog goriva na određenim proizvodnim jedinicama i pripadajućim podsustavima, odnosi se na mjerljivost i usporedbi novih s prijašnjim pokazateljima  potrošnje energije i goriva nakon poduzetih mjera i aktivnosti u izravnoj proizvodnji električne i/ili toplinske energije.  Smanjenje opće potrošnje u elektranama također podrazumijeva uštede energije i energetskog goriva</w:t>
            </w:r>
            <w:r w:rsidRPr="00361664">
              <w:rPr>
                <w:rFonts w:asciiTheme="minorHAnsi" w:hAnsiTheme="minorHAnsi"/>
                <w:sz w:val="20"/>
                <w:szCs w:val="22"/>
                <w:lang w:val="hr-HR"/>
              </w:rPr>
              <w:t>,</w:t>
            </w:r>
            <w:r w:rsidRPr="00361664">
              <w:rPr>
                <w:rFonts w:asciiTheme="minorHAnsi" w:hAnsiTheme="minorHAnsi"/>
                <w:sz w:val="20"/>
                <w:lang w:val="hr-HR"/>
              </w:rPr>
              <w:t xml:space="preserve"> a iste ne odnose se na pojedinu proizvodnu jedinicu (agregat u HE, blok ili kotao u TE i TE-TO), već na elektranu u cjelini. </w:t>
            </w:r>
          </w:p>
          <w:p w:rsidR="007A3D6C" w:rsidRPr="00361664" w:rsidRDefault="007A3D6C"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Najveći doprinos smanjenju vlastite i opće potrošnje, odnosno poboljšanju učinkovitosti s aspekta potrošnje energije i energetskog goriva ostvaruje se  zamjenama i rekonstrukcijama primarne i sekundarne opreme u postrojenjima HE, TE i TE-TO, premda je primarna svrha zamjene i rekonstrukcije proizvodnih  postrojenja povećanje sigurnosti opskrbe električnom i toplinskom energijom uz optimiranje, smanjenje pogonskih troškova i troškova održavanja. Smanjenje pogonskih troškova sadrži i smanjenje troškova energije i energetskog goriva, tj. vlastite potrošnje,  dok smanjenje opće potrošnje doprinosi smanjenju troškova raspoloživosti proizvodnih jedinica.</w:t>
            </w:r>
          </w:p>
          <w:p w:rsidR="007A3D6C" w:rsidRPr="00361664" w:rsidRDefault="007A3D6C"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Ugradnjom nove opreme povećava se stupanj korisnog  djelovanja blokova i kotlova s mogućim poboljšanjem tehničkih karakteristika proizvodnih jedinica (regulacija, brzina pokretanja). Povećanje stupnja djelovanja blokova i kotlova  temelji se na doprinosu korištenja suvremene tehnologije u projektiranju, proizvodnji i montaži zamjenske opreme u TE i TE-TO te daljnjem unapređenju procesa optimiranja i vođenja  pogona blokova i kotlova u TE i TE-TO.</w:t>
            </w:r>
          </w:p>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lang w:val="hr-HR"/>
              </w:rPr>
            </w:pPr>
            <w:r w:rsidRPr="00361664">
              <w:rPr>
                <w:rFonts w:asciiTheme="minorHAnsi" w:hAnsiTheme="minorHAnsi"/>
                <w:sz w:val="20"/>
                <w:szCs w:val="22"/>
                <w:lang w:val="hr-HR"/>
              </w:rPr>
              <w:t>Uslijed neizbježnog procesa ubrzanog starenja primarne opreme i pripadajućih postrojenja u HE te bloka ili kotla s pripadajućim postrojenjima i podsustavima unutar TE i TE-TO pri isteku životne dobi ili smanjene učinkovitosti, nužno je pravodobno i kvalitetno provoditi zamjene i rekonstrukcije postrojenja i  opreme radi produljenja preostalog  životnog vijeka i povećanja učinkovitosti proizvodnih jedinica i pripadajućih tehnoloških sustava. Pored poboljšanja raspoloživosti i energetske učinkovitosti, zamjenom i rekonstrukcijom opreme u TE i TE-TO izvršavaju se i obveze iz područja zaštite okoliša.</w:t>
            </w:r>
          </w:p>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lang w:val="hr-HR"/>
              </w:rPr>
            </w:pPr>
            <w:r w:rsidRPr="00361664">
              <w:rPr>
                <w:rFonts w:asciiTheme="minorHAnsi" w:hAnsiTheme="minorHAnsi"/>
                <w:sz w:val="20"/>
                <w:szCs w:val="22"/>
                <w:lang w:val="hr-HR"/>
              </w:rPr>
              <w:t xml:space="preserve">Obzirom da su učinci smanjenja vlastite potrošnje zamjenama i rekonstrukcijama postrojenja u procesnim sustavima višestruko veći od doprinosa poboljšanja učinkovitosti u poslovnim sustavima (rekonstrukcija </w:t>
            </w:r>
            <w:r w:rsidR="000538A5">
              <w:rPr>
                <w:rFonts w:asciiTheme="minorHAnsi" w:hAnsiTheme="minorHAnsi"/>
                <w:sz w:val="20"/>
                <w:szCs w:val="22"/>
                <w:lang w:val="hr-HR"/>
              </w:rPr>
              <w:lastRenderedPageBreak/>
              <w:t>rasvjete</w:t>
            </w:r>
            <w:r w:rsidRPr="00361664">
              <w:rPr>
                <w:rFonts w:asciiTheme="minorHAnsi" w:hAnsiTheme="minorHAnsi"/>
                <w:sz w:val="20"/>
                <w:szCs w:val="22"/>
                <w:lang w:val="hr-HR"/>
              </w:rPr>
              <w:t xml:space="preserve">, optimiranje sustava grijanja i hlađenja, izolacije poslovnih građevina) u ovom dokumentu prioritetno se analiziraju uštede vlastite potrošnje u proizvodnim postrojenjima. </w:t>
            </w:r>
          </w:p>
        </w:tc>
      </w:tr>
      <w:tr w:rsidR="007A3D6C" w:rsidRPr="00361664" w:rsidTr="00961A34">
        <w:trPr>
          <w:trHeight w:val="20"/>
        </w:trPr>
        <w:tc>
          <w:tcPr>
            <w:tcW w:w="714" w:type="pct"/>
            <w:vMerge/>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Ciljni doprinos poboljšanju učinkovitosti smanjenjem vlastite potrošnje u proizvodnoj djelatnosti </w:t>
            </w:r>
          </w:p>
        </w:tc>
        <w:tc>
          <w:tcPr>
            <w:tcW w:w="3477" w:type="pct"/>
            <w:vAlign w:val="center"/>
          </w:tcPr>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lang w:val="hr-HR"/>
              </w:rPr>
            </w:pPr>
            <w:r w:rsidRPr="00361664">
              <w:rPr>
                <w:rFonts w:asciiTheme="minorHAnsi" w:hAnsiTheme="minorHAnsi"/>
                <w:sz w:val="20"/>
                <w:szCs w:val="22"/>
                <w:lang w:val="hr-HR"/>
              </w:rPr>
              <w:t>Sigurnost opskrbe električnom energijom i osiguranje primjerenih rezervi snage i energije za potrebe vođenja hrvatskog EES-a te sigurnost opskrbe centralnih toplinskih sustava Zagreba, Osijeka i Siska toplinskom energijom uz minimizaciju fiksnih i varijabilnih troškova proizvodnje u HE, TE i TE-TO unutar HEP grupe, su temeljni ciljevi proizvodne djelatnosti. Poboljšanje učinkovitosti proizvodnje u HE, TE i TE-TO ostvaruje se i smanjenjem vlastite potrošnje u pripadajućim elektranama, izravno se smanjuju pogonski troškovi potrošnje proizvedene ili preuzete električne i toplinske energije te troškovi nabave energetskog goriva, kao i troškovi kupnje emisijskih jedinica te ostali varijabilni troškovi HE, TE i TE-TO.</w:t>
            </w:r>
          </w:p>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highlight w:val="yellow"/>
                <w:lang w:val="hr-HR"/>
              </w:rPr>
            </w:pPr>
            <w:r w:rsidRPr="00361664">
              <w:rPr>
                <w:rFonts w:asciiTheme="minorHAnsi" w:hAnsiTheme="minorHAnsi"/>
                <w:sz w:val="20"/>
                <w:szCs w:val="22"/>
                <w:lang w:val="hr-HR"/>
              </w:rPr>
              <w:t xml:space="preserve"> U nastavku ovog dokumentna detaljno je opisana svrha, plan provedbe i pripadajući troškovi predmetnih zamjena i rekonstrukcija te očekivani učinci poboljšanju energetske učinkovitosti smanjenjem vlastite potrošnje po pojedinim elektranama primjenjujući određene mjere i aktivnosti temeljem usvojenog Plana investicija HEP-Proizvodnje d.o.o. za 2014. godinu, a isti se temelji na 5G planovima HEP-Proizvodnje tj. Programu rada HEP-Proizvodnje d.o.o. za razdoblje 2015.-2019. godine.</w:t>
            </w:r>
          </w:p>
        </w:tc>
      </w:tr>
      <w:tr w:rsidR="007A3D6C" w:rsidRPr="00361664" w:rsidTr="00961A34">
        <w:trPr>
          <w:trHeight w:val="20"/>
        </w:trPr>
        <w:tc>
          <w:tcPr>
            <w:tcW w:w="714" w:type="pct"/>
            <w:vMerge/>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skupina</w:t>
            </w:r>
          </w:p>
        </w:tc>
        <w:tc>
          <w:tcPr>
            <w:tcW w:w="3477" w:type="pct"/>
            <w:vAlign w:val="center"/>
          </w:tcPr>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highlight w:val="yellow"/>
                <w:lang w:val="hr-HR"/>
              </w:rPr>
            </w:pPr>
            <w:r w:rsidRPr="00361664">
              <w:rPr>
                <w:rFonts w:asciiTheme="minorHAnsi" w:hAnsiTheme="minorHAnsi"/>
                <w:sz w:val="20"/>
                <w:szCs w:val="22"/>
                <w:lang w:val="hr-HR"/>
              </w:rPr>
              <w:t xml:space="preserve">HE, TE i TE-TO unutar HEP grupe  (agregati HE, termo-blokovi i kotlovska postrojenja)  </w:t>
            </w:r>
          </w:p>
        </w:tc>
      </w:tr>
      <w:tr w:rsidR="007A3D6C" w:rsidRPr="00361664" w:rsidTr="00961A34">
        <w:trPr>
          <w:trHeight w:val="20"/>
        </w:trPr>
        <w:tc>
          <w:tcPr>
            <w:tcW w:w="714" w:type="pct"/>
            <w:vMerge/>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477"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Nacionalno</w:t>
            </w:r>
          </w:p>
        </w:tc>
      </w:tr>
      <w:tr w:rsidR="007A3D6C" w:rsidRPr="00361664" w:rsidTr="00961A34">
        <w:trPr>
          <w:trHeight w:val="20"/>
        </w:trPr>
        <w:tc>
          <w:tcPr>
            <w:tcW w:w="714" w:type="pct"/>
            <w:vMerge w:val="restar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Informacije o  provedbi</w:t>
            </w: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Popis i opis aktivnosti za provođenje planiranih mjera i aktivnosti</w:t>
            </w:r>
          </w:p>
        </w:tc>
        <w:tc>
          <w:tcPr>
            <w:tcW w:w="3477" w:type="pct"/>
            <w:vAlign w:val="center"/>
          </w:tcPr>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Planirane aktivnosti:</w:t>
            </w:r>
          </w:p>
          <w:p w:rsidR="007A3D6C" w:rsidRPr="000538A5" w:rsidRDefault="007A3D6C" w:rsidP="00CD00FF">
            <w:pPr>
              <w:pStyle w:val="Tabletext"/>
              <w:numPr>
                <w:ilvl w:val="0"/>
                <w:numId w:val="22"/>
              </w:numPr>
              <w:tabs>
                <w:tab w:val="left" w:pos="244"/>
                <w:tab w:val="left" w:pos="5040"/>
              </w:tabs>
              <w:spacing w:after="0" w:line="240" w:lineRule="auto"/>
              <w:rPr>
                <w:rFonts w:asciiTheme="minorHAnsi" w:hAnsiTheme="minorHAnsi"/>
                <w:b/>
                <w:sz w:val="20"/>
                <w:szCs w:val="22"/>
                <w:lang w:val="hr-HR"/>
              </w:rPr>
            </w:pPr>
            <w:r w:rsidRPr="000538A5">
              <w:rPr>
                <w:rFonts w:asciiTheme="minorHAnsi" w:hAnsiTheme="minorHAnsi"/>
                <w:b/>
                <w:sz w:val="20"/>
                <w:szCs w:val="22"/>
                <w:lang w:val="hr-HR"/>
              </w:rPr>
              <w:t>Izgradnja parne kotlovnice 12,5 t/h u TE-TO Sisak</w:t>
            </w:r>
          </w:p>
          <w:p w:rsidR="000F77C1" w:rsidRPr="00361664" w:rsidRDefault="007A3D6C" w:rsidP="000F77C1">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Nakon provedenog otvorenog postupka javne nabave </w:t>
            </w:r>
            <w:r w:rsidR="00DC62CA" w:rsidRPr="00361664">
              <w:rPr>
                <w:rFonts w:asciiTheme="minorHAnsi" w:hAnsiTheme="minorHAnsi"/>
                <w:sz w:val="20"/>
                <w:szCs w:val="22"/>
                <w:lang w:val="hr-HR"/>
              </w:rPr>
              <w:t xml:space="preserve">(2016.g.) </w:t>
            </w:r>
            <w:r w:rsidRPr="00361664">
              <w:rPr>
                <w:rFonts w:asciiTheme="minorHAnsi" w:hAnsiTheme="minorHAnsi"/>
                <w:sz w:val="20"/>
                <w:szCs w:val="22"/>
                <w:lang w:val="hr-HR"/>
              </w:rPr>
              <w:t xml:space="preserve">za izgradnju parne kotlovnice u ožujku 2017. godine sklopljen je ugovor koji obuhvaća sve poslove od izrade glavnog projekta do primopredaje postrojenja, organizacije tehničkog pregleda i ishođenja uporabne dozvole objekta. </w:t>
            </w:r>
          </w:p>
          <w:p w:rsidR="000F77C1" w:rsidRPr="00361664" w:rsidRDefault="000F77C1" w:rsidP="000F77C1">
            <w:pPr>
              <w:pStyle w:val="Tabletext"/>
              <w:tabs>
                <w:tab w:val="left" w:pos="244"/>
                <w:tab w:val="left" w:pos="5040"/>
              </w:tabs>
              <w:spacing w:after="0" w:line="240" w:lineRule="auto"/>
              <w:rPr>
                <w:rFonts w:asciiTheme="minorHAnsi" w:hAnsiTheme="minorHAnsi"/>
                <w:sz w:val="20"/>
                <w:szCs w:val="22"/>
                <w:lang w:val="hr-HR"/>
              </w:rPr>
            </w:pPr>
          </w:p>
          <w:p w:rsidR="007A3D6C" w:rsidRPr="00361664" w:rsidRDefault="00202C32" w:rsidP="000F77C1">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b/>
                <w:sz w:val="20"/>
                <w:szCs w:val="22"/>
                <w:lang w:val="hr-HR"/>
              </w:rPr>
              <w:t xml:space="preserve">       2. </w:t>
            </w:r>
            <w:r w:rsidR="007A3D6C" w:rsidRPr="00361664">
              <w:rPr>
                <w:rFonts w:asciiTheme="minorHAnsi" w:hAnsiTheme="minorHAnsi"/>
                <w:b/>
                <w:sz w:val="20"/>
                <w:szCs w:val="22"/>
                <w:lang w:val="hr-HR"/>
              </w:rPr>
              <w:t xml:space="preserve">Rekonstrukcija pogona i upravljanja pumpama bunarske, pitke i tehnološke vode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Kemijska priprema vode Pogona TE-TO Zagreb opskrbljuje se sa sirovom (tehnološkom) vodom iz vlastitih bunara. Trenutna regulacija potrebnog tlaka / količine vode regulira se uključivanjem većeg ili manjeg broja pumpi. Ovakav rad uzrokuje nagle promjene tlaka na ulazu u novu demineralizaciju i remećenje automatskog rada postrojenja. Rekonstrukcija pogona i upravljanje radom bunarskih pumpi dovest će do uravnoteženja rada hidrantske vode i pitke vode te neće biti potrebe zbog porasta tlaka rasterećivati oba sustava pranjem sita za mehaničko pročišćavanje rashladne vode na crpnoj stanici Savi. Na tom dijelu postrojenja za čišćenje sita troši se u prosjeku 50 m3/ h bunarske vode.</w:t>
            </w:r>
          </w:p>
          <w:p w:rsidR="007A3D6C" w:rsidRPr="00361664" w:rsidRDefault="000F77C1"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A</w:t>
            </w:r>
            <w:r w:rsidR="007A3D6C" w:rsidRPr="00361664">
              <w:rPr>
                <w:rFonts w:asciiTheme="minorHAnsi" w:hAnsiTheme="minorHAnsi"/>
                <w:sz w:val="20"/>
                <w:szCs w:val="22"/>
                <w:lang w:val="hr-HR"/>
              </w:rPr>
              <w:t>ktivnosti:</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 DZN za nabavu, isporuku opreme (frekventni regulatori, motori potopne pumpe) i demontažno/ montažne radove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isporuka opreme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izvođenje potrebnih radova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funkcionalno ispitivanje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probni pogon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Realizacija bi se odvijala tijekom 2019.  godine.</w:t>
            </w:r>
          </w:p>
          <w:p w:rsidR="007A3D6C" w:rsidRPr="00361664" w:rsidRDefault="007A3D6C" w:rsidP="00961A34">
            <w:pPr>
              <w:pStyle w:val="Tabletext"/>
              <w:tabs>
                <w:tab w:val="left" w:pos="244"/>
                <w:tab w:val="left" w:pos="5040"/>
              </w:tabs>
              <w:spacing w:after="0" w:line="240" w:lineRule="auto"/>
              <w:ind w:left="720"/>
              <w:rPr>
                <w:rFonts w:asciiTheme="minorHAnsi" w:hAnsiTheme="minorHAnsi"/>
                <w:sz w:val="20"/>
                <w:szCs w:val="22"/>
                <w:lang w:val="hr-HR"/>
              </w:rPr>
            </w:pPr>
          </w:p>
          <w:p w:rsidR="007A3D6C" w:rsidRPr="00361664" w:rsidRDefault="00202C32" w:rsidP="00202C32">
            <w:pPr>
              <w:pStyle w:val="Tabletext"/>
              <w:tabs>
                <w:tab w:val="left" w:pos="244"/>
                <w:tab w:val="left" w:pos="5040"/>
              </w:tabs>
              <w:spacing w:after="0" w:line="240" w:lineRule="auto"/>
              <w:ind w:left="360"/>
              <w:rPr>
                <w:rFonts w:asciiTheme="minorHAnsi" w:hAnsiTheme="minorHAnsi"/>
                <w:sz w:val="20"/>
                <w:szCs w:val="22"/>
                <w:lang w:val="hr-HR"/>
              </w:rPr>
            </w:pPr>
            <w:r w:rsidRPr="00361664">
              <w:rPr>
                <w:rFonts w:asciiTheme="minorHAnsi" w:hAnsiTheme="minorHAnsi"/>
                <w:b/>
                <w:sz w:val="20"/>
                <w:szCs w:val="22"/>
                <w:lang w:val="hr-HR"/>
              </w:rPr>
              <w:t xml:space="preserve">3. </w:t>
            </w:r>
            <w:r w:rsidR="007A3D6C" w:rsidRPr="00361664">
              <w:rPr>
                <w:rFonts w:asciiTheme="minorHAnsi" w:hAnsiTheme="minorHAnsi"/>
                <w:b/>
                <w:sz w:val="20"/>
                <w:szCs w:val="22"/>
                <w:lang w:val="hr-HR"/>
              </w:rPr>
              <w:t xml:space="preserve">Rekonstrukcija crpne stanice rashladne vode Sava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Zbog niskog vodostaja Save koji je prisutan veći dio godine, sve su češći kvarovi crpnih agregata zbog pojave kavitacije i neadekvatnih ležajeva, tzv. samopodmazujućih ležajeva od Thordon materijala. Kvarovi su najčešće na granici havarije (lomovi lopatica, oštećenja usisnih zvona, oštećenja kliznih ležajeva). Ulaganjem u crpne agregate koji mogu raditi u uvjetima niskog vodostaja i s ležajevima koji su otporni na abrazivno djelovanje radnog medija produžio bi se rad crpnih agregata između dva remonta i do 50.000 radnih sati, što je u sadašnjim uvjetima rada crpne stanice 10 godina po crpnom agregatu. Izrađena je analiza rada crpne stanice s postojećim crpkama i prijedlog rekonstrukcije usisnog bazena / zamjene crpnih agregata sa agregatima s drugačijim hidrauličkim karakteristikama prilagođenih hidrološkim uvjetima rijeke Save uz povećanje efikasnosti. Preferiraju se crpke s dugim periodom između dva planska remontna zahvata.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Analiza rada crpne stanice rezultirala je tipom, veličinom i brojem potrebnih novih, modernijih crpnih agregata.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U srpnju 2016. pogon TE-TO Zagreb je dobio Rješenje o objedinjenim uvjetima zaštite okoliša. U knjizi objedinjenih uvjeta zaštite okoliša s tehničko-tehnološkim rješenjima za postojeće postrojenje TE-TO Zagreb u točki 4.4 je navedeno da će do 01.01.2018. godine pogon TE-TO Zagreb automatizirati proces crpne stanice rashladne vode radi osiguranja pouzdane opskrbe rashladnom vodom cijelog pogona. Uz nove pumpne agregate kojima će se riješiti trenutni problem hidraulike i kvarova zbog vrtloga i kavitacije, nabaviti će se i el. motori s frekventnom regulacijom broja okretaja čime će se postići automatizacija rada, optimiranje rada pumpnih agregata i uštede el. energije, što je i posljedica programa poboljšanja navedenog u Rješenju o objedinjenim uvjetima zaštite okoliša.</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Nastavak projekta bi sadržavao: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Odabir izvođača za izradu, nabavu i isporuku crpnih agregata. Zbog dobivenog Rješenja o objedinjenim uvjetima zaštite okoliša i uvjetima koje pogon TE-TO Zagreb mora provesti kroz program poboljšanja, novom DZN raspisat će se dodatna oprema i povećati vrijednost investicije.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Izrada i isporuka crpnih agregata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Demontaža postojećih agregata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Montaža novih agregata, upuštanje u pogon, funkcionalna ispitivanja i puštanje u rad.</w:t>
            </w:r>
          </w:p>
          <w:p w:rsidR="007A3D6C" w:rsidRPr="00361664" w:rsidRDefault="00B747E0"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Realizacija tijekom 2019. - 2021.</w:t>
            </w:r>
            <w:r w:rsidR="007A3D6C" w:rsidRPr="00361664">
              <w:rPr>
                <w:rFonts w:asciiTheme="minorHAnsi" w:hAnsiTheme="minorHAnsi"/>
                <w:sz w:val="20"/>
                <w:szCs w:val="22"/>
                <w:lang w:val="hr-HR"/>
              </w:rPr>
              <w:t xml:space="preserve"> godine.</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p>
          <w:p w:rsidR="007A3D6C" w:rsidRPr="00361664" w:rsidRDefault="000538A5" w:rsidP="000538A5">
            <w:pPr>
              <w:pStyle w:val="Tabletext"/>
              <w:numPr>
                <w:ilvl w:val="0"/>
                <w:numId w:val="54"/>
              </w:numPr>
              <w:tabs>
                <w:tab w:val="left" w:pos="244"/>
                <w:tab w:val="left" w:pos="5040"/>
              </w:tabs>
              <w:spacing w:after="0" w:line="240" w:lineRule="auto"/>
              <w:rPr>
                <w:rFonts w:asciiTheme="minorHAnsi" w:hAnsiTheme="minorHAnsi"/>
                <w:b/>
                <w:sz w:val="20"/>
                <w:szCs w:val="22"/>
                <w:lang w:val="hr-HR"/>
              </w:rPr>
            </w:pPr>
            <w:r>
              <w:rPr>
                <w:rFonts w:asciiTheme="minorHAnsi" w:hAnsiTheme="minorHAnsi"/>
                <w:b/>
                <w:sz w:val="20"/>
                <w:szCs w:val="22"/>
                <w:lang w:val="hr-HR"/>
              </w:rPr>
              <w:t>Izgradnja „</w:t>
            </w:r>
            <w:r w:rsidR="007A3D6C" w:rsidRPr="00361664">
              <w:rPr>
                <w:rFonts w:asciiTheme="minorHAnsi" w:hAnsiTheme="minorHAnsi"/>
                <w:b/>
                <w:sz w:val="20"/>
                <w:szCs w:val="22"/>
                <w:lang w:val="hr-HR"/>
              </w:rPr>
              <w:t>STEAM BLOCK</w:t>
            </w:r>
            <w:r>
              <w:rPr>
                <w:rFonts w:asciiTheme="minorHAnsi" w:hAnsiTheme="minorHAnsi"/>
                <w:b/>
                <w:sz w:val="20"/>
                <w:szCs w:val="22"/>
                <w:lang w:val="hr-HR"/>
              </w:rPr>
              <w:t>“ kotlovnice</w:t>
            </w:r>
            <w:r w:rsidR="007A3D6C" w:rsidRPr="00361664">
              <w:rPr>
                <w:rFonts w:asciiTheme="minorHAnsi" w:hAnsiTheme="minorHAnsi"/>
                <w:b/>
                <w:sz w:val="20"/>
                <w:szCs w:val="22"/>
                <w:lang w:val="hr-HR"/>
              </w:rPr>
              <w:t xml:space="preserve"> 2 X 35 t/h</w:t>
            </w:r>
          </w:p>
          <w:p w:rsidR="007A3D6C" w:rsidRPr="00361664" w:rsidRDefault="007A3D6C" w:rsidP="00961A34">
            <w:pPr>
              <w:spacing w:after="120"/>
              <w:jc w:val="both"/>
              <w:rPr>
                <w:rFonts w:ascii="Arial" w:hAnsi="Arial" w:cs="Arial"/>
                <w:sz w:val="16"/>
                <w:szCs w:val="16"/>
              </w:rPr>
            </w:pPr>
            <w:r w:rsidRPr="00361664">
              <w:rPr>
                <w:rFonts w:asciiTheme="minorHAnsi" w:hAnsiTheme="minorHAnsi"/>
                <w:sz w:val="20"/>
              </w:rPr>
              <w:t>Pogon TE-TO Zagreb ima ugovorne i ali zakonom uvjetovane obaveze prema krajnjim potrošačima toplinske energije i tehnološke pare. Stoga, izgradnja dodatnih parnih kotlova PK35 ima smisla jer uz povećanu sigurnost opskrbe omogućava spuštanje snage odnosno izlazak iz pogona neke od kogeneracijskih jedinica na zahtjev HEP Trgovine d.o.o. Pri tome se iz novih kotlova PK35 nadoknađuje tako stvoren manjak tehnološke pare ili ogrjevne topline. Ovakav scenarij u uvjetima niske cijene električne energije i visoke cijene goriva ekonomski je povoljan.</w:t>
            </w:r>
          </w:p>
          <w:p w:rsidR="007A3D6C" w:rsidRPr="00361664" w:rsidRDefault="007A3D6C" w:rsidP="00961A34">
            <w:pPr>
              <w:spacing w:after="120"/>
              <w:jc w:val="both"/>
              <w:rPr>
                <w:rFonts w:asciiTheme="minorHAnsi" w:hAnsiTheme="minorHAnsi"/>
                <w:sz w:val="20"/>
              </w:rPr>
            </w:pPr>
            <w:r w:rsidRPr="00361664">
              <w:rPr>
                <w:rFonts w:asciiTheme="minorHAnsi" w:hAnsiTheme="minorHAnsi"/>
                <w:sz w:val="20"/>
              </w:rPr>
              <w:t xml:space="preserve">Izgradnjom dva steamblocka (svaki 30 t/h pare neto) stvorila bi se mogućnost pouzdane proizvodnje industrijske pare u širokom opsegu (od 7 t/h do 60 t/h). Razlog je konstrukcija steamblock kotlovnice koja ima </w:t>
            </w:r>
            <w:r w:rsidRPr="00361664">
              <w:rPr>
                <w:rFonts w:asciiTheme="minorHAnsi" w:hAnsiTheme="minorHAnsi"/>
                <w:sz w:val="20"/>
              </w:rPr>
              <w:lastRenderedPageBreak/>
              <w:t>fleksibilan opseg rada bez štetnih posljedica na cijevni sustav kotla. Time bi se zadovoljile sve potrebe istočnog dijela grada za ogrjevnom toplinom / industrijskom parom tijekom ljetnih mjeseci.</w:t>
            </w:r>
          </w:p>
          <w:p w:rsidR="007A3D6C" w:rsidRPr="00361664" w:rsidRDefault="007A3D6C" w:rsidP="00961A34">
            <w:pPr>
              <w:spacing w:after="120"/>
              <w:jc w:val="both"/>
              <w:rPr>
                <w:rFonts w:asciiTheme="minorHAnsi" w:hAnsiTheme="minorHAnsi"/>
                <w:sz w:val="20"/>
              </w:rPr>
            </w:pPr>
            <w:r w:rsidRPr="00361664">
              <w:rPr>
                <w:rFonts w:asciiTheme="minorHAnsi" w:hAnsiTheme="minorHAnsi"/>
                <w:sz w:val="20"/>
              </w:rPr>
              <w:t>TE-TO posjeduje informativnu ponudu za revitalizaciju postojećeg pomoćnog parnog kotla PK3 (cca 40.000.00 kn) dok je procjena izgradnje dva nova parna kotla (steamblock) cca 30.000.000 kn, što je razlog ovom kapitalnom ulaganju.</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p>
          <w:p w:rsidR="007A3D6C" w:rsidRPr="00361664" w:rsidRDefault="00202C32" w:rsidP="00202C32">
            <w:pPr>
              <w:pStyle w:val="Tabletext"/>
              <w:tabs>
                <w:tab w:val="left" w:pos="244"/>
                <w:tab w:val="left" w:pos="5040"/>
              </w:tabs>
              <w:spacing w:after="0" w:line="240" w:lineRule="auto"/>
              <w:ind w:left="360"/>
              <w:rPr>
                <w:rFonts w:asciiTheme="minorHAnsi" w:hAnsiTheme="minorHAnsi"/>
                <w:sz w:val="20"/>
                <w:szCs w:val="22"/>
                <w:lang w:val="hr-HR"/>
              </w:rPr>
            </w:pPr>
            <w:r w:rsidRPr="00361664">
              <w:rPr>
                <w:rFonts w:asciiTheme="minorHAnsi" w:hAnsiTheme="minorHAnsi"/>
                <w:b/>
                <w:sz w:val="20"/>
                <w:szCs w:val="22"/>
                <w:lang w:val="hr-HR"/>
              </w:rPr>
              <w:t xml:space="preserve">5. </w:t>
            </w:r>
            <w:r w:rsidR="007A3D6C" w:rsidRPr="00361664">
              <w:rPr>
                <w:rFonts w:asciiTheme="minorHAnsi" w:hAnsiTheme="minorHAnsi"/>
                <w:b/>
                <w:sz w:val="20"/>
                <w:szCs w:val="22"/>
                <w:lang w:val="hr-HR"/>
              </w:rPr>
              <w:t>Rekon</w:t>
            </w:r>
            <w:r w:rsidR="00B747E0" w:rsidRPr="00361664">
              <w:rPr>
                <w:rFonts w:asciiTheme="minorHAnsi" w:hAnsiTheme="minorHAnsi"/>
                <w:b/>
                <w:sz w:val="20"/>
                <w:szCs w:val="22"/>
                <w:lang w:val="hr-HR"/>
              </w:rPr>
              <w:t>strukcija CHE Fužine (2013.–2019</w:t>
            </w:r>
            <w:r w:rsidR="007A3D6C" w:rsidRPr="00361664">
              <w:rPr>
                <w:rFonts w:asciiTheme="minorHAnsi" w:hAnsiTheme="minorHAnsi"/>
                <w:b/>
                <w:sz w:val="20"/>
                <w:szCs w:val="22"/>
                <w:lang w:val="hr-HR"/>
              </w:rPr>
              <w:t>.)</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Daljnje aktivnosti u okviru rekonstrukcije CHE Fužine uključuju završetak izrade glavnog projekta revitalizacije. Tijekom 2017. godine ugra</w:t>
            </w:r>
            <w:r w:rsidR="00202C32" w:rsidRPr="00361664">
              <w:rPr>
                <w:rFonts w:asciiTheme="minorHAnsi" w:hAnsiTheme="minorHAnsi"/>
                <w:sz w:val="20"/>
                <w:szCs w:val="22"/>
                <w:lang w:val="hr-HR"/>
              </w:rPr>
              <w:t>đen</w:t>
            </w:r>
            <w:r w:rsidRPr="00361664">
              <w:rPr>
                <w:rFonts w:asciiTheme="minorHAnsi" w:hAnsiTheme="minorHAnsi"/>
                <w:sz w:val="20"/>
                <w:szCs w:val="22"/>
                <w:lang w:val="hr-HR"/>
              </w:rPr>
              <w:t xml:space="preserve"> motor</w:t>
            </w:r>
            <w:r w:rsidR="00202C32" w:rsidRPr="00361664">
              <w:rPr>
                <w:rFonts w:asciiTheme="minorHAnsi" w:hAnsiTheme="minorHAnsi"/>
                <w:sz w:val="20"/>
                <w:szCs w:val="22"/>
                <w:lang w:val="hr-HR"/>
              </w:rPr>
              <w:t xml:space="preserve"> </w:t>
            </w:r>
            <w:r w:rsidRPr="00361664">
              <w:rPr>
                <w:rFonts w:asciiTheme="minorHAnsi" w:hAnsiTheme="minorHAnsi"/>
                <w:sz w:val="20"/>
                <w:szCs w:val="22"/>
                <w:lang w:val="hr-HR"/>
              </w:rPr>
              <w:t xml:space="preserve">generatora, privodnog hidrauličkog dijela i međuvratila crpno-turbinskog agregata u CHE Fužine. </w:t>
            </w:r>
            <w:r w:rsidR="00202C32" w:rsidRPr="00361664">
              <w:rPr>
                <w:rFonts w:asciiTheme="minorHAnsi" w:hAnsiTheme="minorHAnsi"/>
                <w:sz w:val="20"/>
                <w:szCs w:val="22"/>
                <w:lang w:val="hr-HR"/>
              </w:rPr>
              <w:t>Pokusni rad</w:t>
            </w:r>
            <w:r w:rsidRPr="00361664">
              <w:rPr>
                <w:rFonts w:asciiTheme="minorHAnsi" w:hAnsiTheme="minorHAnsi"/>
                <w:sz w:val="20"/>
                <w:szCs w:val="22"/>
                <w:lang w:val="hr-HR"/>
              </w:rPr>
              <w:t xml:space="preserve"> rekonstruirane CHE Fužine početkom 2018. godine.</w:t>
            </w:r>
            <w:r w:rsidR="00202C32" w:rsidRPr="00361664">
              <w:rPr>
                <w:rFonts w:asciiTheme="minorHAnsi" w:hAnsiTheme="minorHAnsi"/>
                <w:sz w:val="20"/>
                <w:szCs w:val="22"/>
                <w:lang w:val="hr-HR"/>
              </w:rPr>
              <w:t xml:space="preserve"> U 2019. završetak potpune rekonstrukcije.</w:t>
            </w:r>
          </w:p>
          <w:p w:rsidR="000F77C1" w:rsidRPr="00361664" w:rsidRDefault="000F77C1" w:rsidP="00961A34">
            <w:pPr>
              <w:pStyle w:val="Tabletext"/>
              <w:tabs>
                <w:tab w:val="left" w:pos="244"/>
                <w:tab w:val="left" w:pos="5040"/>
              </w:tabs>
              <w:spacing w:after="0" w:line="240" w:lineRule="auto"/>
              <w:rPr>
                <w:rFonts w:asciiTheme="minorHAnsi" w:hAnsiTheme="minorHAnsi"/>
                <w:sz w:val="20"/>
                <w:szCs w:val="22"/>
                <w:lang w:val="hr-HR"/>
              </w:rPr>
            </w:pPr>
          </w:p>
          <w:p w:rsidR="007A3D6C" w:rsidRPr="00361664" w:rsidRDefault="00202C32" w:rsidP="00202C32">
            <w:pPr>
              <w:pStyle w:val="Tabletext"/>
              <w:tabs>
                <w:tab w:val="left" w:pos="244"/>
                <w:tab w:val="left" w:pos="5040"/>
              </w:tabs>
              <w:spacing w:before="0" w:after="0" w:line="240" w:lineRule="auto"/>
              <w:ind w:left="360"/>
              <w:rPr>
                <w:rFonts w:asciiTheme="minorHAnsi" w:hAnsiTheme="minorHAnsi"/>
                <w:sz w:val="20"/>
                <w:szCs w:val="22"/>
                <w:lang w:val="hr-HR"/>
              </w:rPr>
            </w:pPr>
            <w:r w:rsidRPr="00361664">
              <w:rPr>
                <w:rFonts w:asciiTheme="minorHAnsi" w:hAnsiTheme="minorHAnsi"/>
                <w:b/>
                <w:sz w:val="20"/>
                <w:szCs w:val="22"/>
                <w:lang w:val="hr-HR"/>
              </w:rPr>
              <w:t xml:space="preserve">6. </w:t>
            </w:r>
            <w:r w:rsidR="007A3D6C" w:rsidRPr="00361664">
              <w:rPr>
                <w:rFonts w:asciiTheme="minorHAnsi" w:hAnsiTheme="minorHAnsi"/>
                <w:b/>
                <w:sz w:val="20"/>
                <w:szCs w:val="22"/>
                <w:lang w:val="hr-HR"/>
              </w:rPr>
              <w:t>Ugradnja dodatnih izmjenjivača u kotlove utilizatore u PTE EL-TO Zagreb</w:t>
            </w:r>
          </w:p>
          <w:p w:rsidR="007A3D6C" w:rsidRPr="00361664" w:rsidRDefault="007A3D6C" w:rsidP="00961A34">
            <w:pPr>
              <w:pStyle w:val="Tabletext"/>
              <w:tabs>
                <w:tab w:val="left" w:pos="244"/>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U cilju većeg iskorištenja otpadne topline dimnih plinova predviđena je ugradnja dodatnih zagrijača mrežne vode ZMV1B i ZMV2B na izlazu dimnih plinova iz kotlova utilizatora UT1 i UT2. Ugradnjom dodatnih zagrijača postiže se veća ogrjevna snaga blokova  H i J uz istu potrošnju prirodnog plina kao goriva. Aktivnosti </w:t>
            </w:r>
            <w:r w:rsidR="006F6BD1" w:rsidRPr="00361664">
              <w:rPr>
                <w:rFonts w:asciiTheme="minorHAnsi" w:hAnsiTheme="minorHAnsi"/>
                <w:sz w:val="20"/>
                <w:szCs w:val="22"/>
                <w:lang w:val="hr-HR"/>
              </w:rPr>
              <w:t>su provedene tijekom 2017. i 2018.</w:t>
            </w:r>
          </w:p>
          <w:p w:rsidR="007A3D6C" w:rsidRPr="00361664" w:rsidRDefault="006F6BD1"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A</w:t>
            </w:r>
            <w:r w:rsidR="007A3D6C" w:rsidRPr="00361664">
              <w:rPr>
                <w:rFonts w:asciiTheme="minorHAnsi" w:hAnsiTheme="minorHAnsi"/>
                <w:sz w:val="20"/>
                <w:szCs w:val="22"/>
                <w:lang w:val="hr-HR"/>
              </w:rPr>
              <w:t>ktivnosti:</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 DON za isporuku opreme, izvođenje </w:t>
            </w:r>
            <w:r w:rsidR="00D0277A" w:rsidRPr="00361664">
              <w:rPr>
                <w:rFonts w:asciiTheme="minorHAnsi" w:hAnsiTheme="minorHAnsi"/>
                <w:sz w:val="20"/>
                <w:szCs w:val="22"/>
                <w:lang w:val="hr-HR"/>
              </w:rPr>
              <w:t>radova, ispitivanje</w:t>
            </w:r>
            <w:r w:rsidRPr="00361664">
              <w:rPr>
                <w:rFonts w:asciiTheme="minorHAnsi" w:hAnsiTheme="minorHAnsi"/>
                <w:sz w:val="20"/>
                <w:szCs w:val="22"/>
                <w:lang w:val="hr-HR"/>
              </w:rPr>
              <w:t xml:space="preserve"> i probni pogon</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ugovaranje</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isporuka opreme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izvođenje potrebnih radova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funkcionalno ispitivanje  i probni pogon </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p>
          <w:p w:rsidR="007A3D6C" w:rsidRPr="00361664" w:rsidRDefault="00202C32" w:rsidP="00202C32">
            <w:pPr>
              <w:spacing w:after="0" w:line="240" w:lineRule="auto"/>
              <w:ind w:left="360"/>
              <w:rPr>
                <w:rFonts w:asciiTheme="minorHAnsi" w:hAnsiTheme="minorHAnsi"/>
                <w:b/>
                <w:sz w:val="20"/>
                <w:lang w:eastAsia="de-DE"/>
              </w:rPr>
            </w:pPr>
            <w:r w:rsidRPr="00361664">
              <w:rPr>
                <w:rFonts w:asciiTheme="minorHAnsi" w:hAnsiTheme="minorHAnsi"/>
                <w:b/>
                <w:sz w:val="20"/>
                <w:lang w:eastAsia="de-DE"/>
              </w:rPr>
              <w:t xml:space="preserve">7. </w:t>
            </w:r>
            <w:r w:rsidR="007A3D6C" w:rsidRPr="00361664">
              <w:rPr>
                <w:rFonts w:asciiTheme="minorHAnsi" w:hAnsiTheme="minorHAnsi"/>
                <w:b/>
                <w:sz w:val="20"/>
                <w:lang w:eastAsia="de-DE"/>
              </w:rPr>
              <w:t>Izmještanjemuljne jame za iskorištenje čistog kondenzata u toplinskoj stanici EL-TO Zagreb</w:t>
            </w:r>
          </w:p>
          <w:p w:rsidR="007A3D6C" w:rsidRPr="00361664" w:rsidRDefault="007A3D6C" w:rsidP="00961A34">
            <w:pPr>
              <w:pStyle w:val="Tabletext"/>
              <w:tabs>
                <w:tab w:val="left" w:pos="244"/>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U Postojećoj  muljnoj jami u toplinskoj stanici miješa se dobar i loš kondenzat te odvodnja. Mogućnost prikupljanja čistog kondenzata u sabirnoj jami predstavlja potencijal za ostvarenje uštede vraćanjem istoga u vrelovodni sustav. Postojeće rješenje pored nemogućnosti iskorištenja dobrog kondenzata i odvodnje predstavlja problem za  obližnju mjerno regulacijsku i elektroopremu zbog uparivanja. Aktivnosti </w:t>
            </w:r>
            <w:r w:rsidR="002A0422" w:rsidRPr="00361664">
              <w:rPr>
                <w:rFonts w:asciiTheme="minorHAnsi" w:hAnsiTheme="minorHAnsi"/>
                <w:sz w:val="20"/>
                <w:szCs w:val="22"/>
                <w:lang w:val="hr-HR"/>
              </w:rPr>
              <w:t xml:space="preserve">završene u </w:t>
            </w:r>
            <w:r w:rsidRPr="00361664">
              <w:rPr>
                <w:rFonts w:asciiTheme="minorHAnsi" w:hAnsiTheme="minorHAnsi"/>
                <w:sz w:val="20"/>
                <w:szCs w:val="22"/>
                <w:lang w:val="hr-HR"/>
              </w:rPr>
              <w:t>2017.</w:t>
            </w:r>
          </w:p>
          <w:p w:rsidR="007A3D6C" w:rsidRPr="00361664" w:rsidRDefault="002A0422"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A</w:t>
            </w:r>
            <w:r w:rsidR="007A3D6C" w:rsidRPr="00361664">
              <w:rPr>
                <w:rFonts w:asciiTheme="minorHAnsi" w:hAnsiTheme="minorHAnsi"/>
                <w:sz w:val="20"/>
                <w:szCs w:val="22"/>
                <w:lang w:val="hr-HR"/>
              </w:rPr>
              <w:t>ktivnosti:</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xml:space="preserve"> - DON za isporuku opreme, izvođenje radova, ispitivanje i probni pogon</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ugovaranje</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isporuka opreme  i mjerno regulacijskih uređaja</w:t>
            </w:r>
          </w:p>
          <w:p w:rsidR="007A3D6C" w:rsidRPr="00361664" w:rsidRDefault="007A3D6C" w:rsidP="00961A34">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izvođenje potrebnih radova na izgradnji nove i sanaciji postojeće jame</w:t>
            </w:r>
          </w:p>
          <w:p w:rsidR="007A3D6C" w:rsidRPr="00361664" w:rsidRDefault="007A3D6C" w:rsidP="001E243B">
            <w:pPr>
              <w:pStyle w:val="Tabletext"/>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t>- ispitivanje  i probni pogon</w:t>
            </w:r>
          </w:p>
        </w:tc>
      </w:tr>
      <w:tr w:rsidR="007A3D6C" w:rsidRPr="00361664" w:rsidTr="001E243B">
        <w:trPr>
          <w:trHeight w:val="20"/>
        </w:trPr>
        <w:tc>
          <w:tcPr>
            <w:tcW w:w="714" w:type="pct"/>
            <w:vMerge/>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Financijska sredstva i izvori financiranja</w:t>
            </w:r>
          </w:p>
        </w:tc>
        <w:tc>
          <w:tcPr>
            <w:tcW w:w="3477" w:type="pct"/>
            <w:tcBorders>
              <w:bottom w:val="single" w:sz="4" w:space="0" w:color="auto"/>
            </w:tcBorders>
            <w:vAlign w:val="center"/>
          </w:tcPr>
          <w:p w:rsidR="007A3D6C" w:rsidRPr="00361664" w:rsidRDefault="007A3D6C" w:rsidP="00961A34">
            <w:pPr>
              <w:pStyle w:val="Tabletext"/>
              <w:tabs>
                <w:tab w:val="left" w:pos="1440"/>
                <w:tab w:val="left" w:pos="5040"/>
              </w:tabs>
              <w:spacing w:before="0" w:after="60" w:line="240" w:lineRule="auto"/>
              <w:rPr>
                <w:rFonts w:asciiTheme="minorHAnsi" w:hAnsiTheme="minorHAnsi"/>
                <w:sz w:val="20"/>
                <w:lang w:val="hr-HR"/>
              </w:rPr>
            </w:pPr>
          </w:p>
          <w:p w:rsidR="006A0310" w:rsidRPr="00361664" w:rsidRDefault="006A0310" w:rsidP="00B747E0">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 xml:space="preserve">Ukupno </w:t>
            </w:r>
            <w:r w:rsidR="00195AC4" w:rsidRPr="00361664">
              <w:rPr>
                <w:rFonts w:asciiTheme="minorHAnsi" w:hAnsiTheme="minorHAnsi"/>
                <w:sz w:val="20"/>
                <w:szCs w:val="22"/>
                <w:lang w:val="hr-HR"/>
              </w:rPr>
              <w:t>planirana</w:t>
            </w:r>
            <w:r w:rsidRPr="00361664">
              <w:rPr>
                <w:rFonts w:asciiTheme="minorHAnsi" w:hAnsiTheme="minorHAnsi"/>
                <w:sz w:val="20"/>
                <w:szCs w:val="22"/>
                <w:lang w:val="hr-HR"/>
              </w:rPr>
              <w:t xml:space="preserve"> vlastita sredstva do kraja 2019. godine iznose: </w:t>
            </w:r>
            <w:r w:rsidR="00B747E0" w:rsidRPr="00361664">
              <w:rPr>
                <w:rFonts w:asciiTheme="minorHAnsi" w:hAnsiTheme="minorHAnsi"/>
                <w:sz w:val="20"/>
                <w:szCs w:val="22"/>
                <w:lang w:val="hr-HR"/>
              </w:rPr>
              <w:t>82.095.721</w:t>
            </w:r>
            <w:r w:rsidRPr="00361664">
              <w:rPr>
                <w:rFonts w:asciiTheme="minorHAnsi" w:hAnsiTheme="minorHAnsi"/>
                <w:sz w:val="20"/>
                <w:szCs w:val="22"/>
                <w:lang w:val="hr-HR"/>
              </w:rPr>
              <w:t>,00 kn.</w:t>
            </w:r>
          </w:p>
        </w:tc>
      </w:tr>
      <w:tr w:rsidR="007A3D6C" w:rsidRPr="00361664" w:rsidTr="001E243B">
        <w:trPr>
          <w:trHeight w:val="20"/>
        </w:trPr>
        <w:tc>
          <w:tcPr>
            <w:tcW w:w="714" w:type="pct"/>
            <w:vMerge/>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Izvršno  tijelo</w:t>
            </w:r>
          </w:p>
        </w:tc>
        <w:tc>
          <w:tcPr>
            <w:tcW w:w="3477" w:type="pct"/>
            <w:tcBorders>
              <w:bottom w:val="single" w:sz="4" w:space="0" w:color="auto"/>
            </w:tcBorders>
            <w:vAlign w:val="center"/>
          </w:tcPr>
          <w:p w:rsidR="007A3D6C" w:rsidRPr="00361664" w:rsidRDefault="007A3D6C" w:rsidP="00CD00FF">
            <w:pPr>
              <w:pStyle w:val="Tabletext"/>
              <w:numPr>
                <w:ilvl w:val="0"/>
                <w:numId w:val="56"/>
              </w:numPr>
              <w:tabs>
                <w:tab w:val="left" w:pos="244"/>
                <w:tab w:val="left" w:pos="5040"/>
              </w:tabs>
              <w:spacing w:before="6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Izgradnja parne kotlovnice 12,5 t/h u TE-TO Sisak  </w:t>
            </w:r>
          </w:p>
          <w:p w:rsidR="007A3D6C" w:rsidRPr="00361664" w:rsidRDefault="007A3D6C" w:rsidP="00CD00FF">
            <w:pPr>
              <w:pStyle w:val="Tabletext"/>
              <w:numPr>
                <w:ilvl w:val="0"/>
                <w:numId w:val="56"/>
              </w:numPr>
              <w:tabs>
                <w:tab w:val="left" w:pos="244"/>
                <w:tab w:val="left" w:pos="627"/>
              </w:tabs>
              <w:spacing w:before="60" w:after="0" w:line="240" w:lineRule="auto"/>
              <w:ind w:left="232" w:hanging="30"/>
              <w:rPr>
                <w:rFonts w:asciiTheme="minorHAnsi" w:hAnsiTheme="minorHAnsi"/>
                <w:b/>
                <w:sz w:val="20"/>
                <w:szCs w:val="22"/>
                <w:lang w:val="hr-HR"/>
              </w:rPr>
            </w:pPr>
            <w:r w:rsidRPr="00361664">
              <w:rPr>
                <w:rFonts w:asciiTheme="minorHAnsi" w:hAnsiTheme="minorHAnsi"/>
                <w:b/>
                <w:sz w:val="20"/>
                <w:szCs w:val="22"/>
                <w:lang w:val="hr-HR"/>
              </w:rPr>
              <w:t xml:space="preserve">Rekonstrukcija pogona i upravljanja pumpama bunarske, pitke i tehnološke vode </w:t>
            </w:r>
          </w:p>
          <w:p w:rsidR="007A3D6C" w:rsidRPr="00361664" w:rsidRDefault="007A3D6C" w:rsidP="00CD00FF">
            <w:pPr>
              <w:pStyle w:val="Tabletext"/>
              <w:numPr>
                <w:ilvl w:val="0"/>
                <w:numId w:val="56"/>
              </w:numPr>
              <w:tabs>
                <w:tab w:val="left" w:pos="244"/>
                <w:tab w:val="left" w:pos="627"/>
              </w:tabs>
              <w:spacing w:before="60" w:after="0" w:line="240" w:lineRule="auto"/>
              <w:ind w:left="232" w:hanging="30"/>
              <w:rPr>
                <w:rFonts w:asciiTheme="minorHAnsi" w:hAnsiTheme="minorHAnsi"/>
                <w:b/>
                <w:sz w:val="20"/>
                <w:szCs w:val="22"/>
                <w:lang w:val="hr-HR"/>
              </w:rPr>
            </w:pPr>
            <w:r w:rsidRPr="00361664">
              <w:rPr>
                <w:rFonts w:asciiTheme="minorHAnsi" w:hAnsiTheme="minorHAnsi"/>
                <w:b/>
                <w:sz w:val="20"/>
                <w:szCs w:val="22"/>
                <w:lang w:val="hr-HR"/>
              </w:rPr>
              <w:lastRenderedPageBreak/>
              <w:t>Rekonstrukcija crpne stanice rashladne vode Sava</w:t>
            </w:r>
          </w:p>
          <w:p w:rsidR="007A3D6C" w:rsidRPr="00361664" w:rsidRDefault="007A3D6C" w:rsidP="00961A34">
            <w:pPr>
              <w:pStyle w:val="Tabletext"/>
              <w:tabs>
                <w:tab w:val="left" w:pos="244"/>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 xml:space="preserve">      HEP-Proizvodnja d.o.o., Sektor za termoelektrane </w:t>
            </w:r>
          </w:p>
          <w:p w:rsidR="007A3D6C" w:rsidRPr="00361664" w:rsidRDefault="007A3D6C" w:rsidP="00CD00FF">
            <w:pPr>
              <w:pStyle w:val="Tabletext"/>
              <w:numPr>
                <w:ilvl w:val="0"/>
                <w:numId w:val="56"/>
              </w:numPr>
              <w:tabs>
                <w:tab w:val="left" w:pos="244"/>
                <w:tab w:val="left" w:pos="5040"/>
              </w:tabs>
              <w:spacing w:before="60" w:after="0" w:line="240" w:lineRule="auto"/>
              <w:rPr>
                <w:rFonts w:asciiTheme="minorHAnsi" w:hAnsiTheme="minorHAnsi"/>
                <w:b/>
                <w:sz w:val="20"/>
                <w:szCs w:val="22"/>
                <w:lang w:val="hr-HR"/>
              </w:rPr>
            </w:pPr>
            <w:r w:rsidRPr="00361664">
              <w:rPr>
                <w:rFonts w:asciiTheme="minorHAnsi" w:hAnsiTheme="minorHAnsi"/>
                <w:b/>
                <w:sz w:val="20"/>
                <w:szCs w:val="22"/>
                <w:lang w:val="hr-HR"/>
              </w:rPr>
              <w:t>IZGRADNJA STEAM BLOCK KOTLOVNICE 2 X 35 t/h</w:t>
            </w:r>
          </w:p>
          <w:p w:rsidR="007A3D6C" w:rsidRPr="00361664" w:rsidRDefault="007A3D6C" w:rsidP="00961A34">
            <w:pPr>
              <w:pStyle w:val="Tabletext"/>
              <w:tabs>
                <w:tab w:val="left" w:pos="244"/>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 xml:space="preserve">      HEP-Proizvodnja d.o.o., Sektor za termoelektrane</w:t>
            </w:r>
          </w:p>
          <w:p w:rsidR="007A3D6C" w:rsidRPr="00361664" w:rsidRDefault="007A3D6C" w:rsidP="00CD00FF">
            <w:pPr>
              <w:pStyle w:val="Tabletext"/>
              <w:numPr>
                <w:ilvl w:val="0"/>
                <w:numId w:val="56"/>
              </w:numPr>
              <w:tabs>
                <w:tab w:val="left" w:pos="202"/>
                <w:tab w:val="left" w:pos="244"/>
              </w:tabs>
              <w:spacing w:before="60" w:after="0" w:line="240" w:lineRule="auto"/>
              <w:rPr>
                <w:rFonts w:asciiTheme="minorHAnsi" w:hAnsiTheme="minorHAnsi"/>
                <w:b/>
                <w:sz w:val="20"/>
                <w:szCs w:val="22"/>
                <w:lang w:val="hr-HR"/>
              </w:rPr>
            </w:pPr>
            <w:r w:rsidRPr="00361664">
              <w:rPr>
                <w:rFonts w:asciiTheme="minorHAnsi" w:hAnsiTheme="minorHAnsi"/>
                <w:b/>
                <w:sz w:val="20"/>
                <w:szCs w:val="22"/>
                <w:lang w:val="hr-HR"/>
              </w:rPr>
              <w:t>Rekonst</w:t>
            </w:r>
            <w:r w:rsidR="00B747E0" w:rsidRPr="00361664">
              <w:rPr>
                <w:rFonts w:asciiTheme="minorHAnsi" w:hAnsiTheme="minorHAnsi"/>
                <w:b/>
                <w:sz w:val="20"/>
                <w:szCs w:val="22"/>
                <w:lang w:val="hr-HR"/>
              </w:rPr>
              <w:t>rukcija CHE Fužine (2013. - 2019</w:t>
            </w:r>
            <w:r w:rsidRPr="00361664">
              <w:rPr>
                <w:rFonts w:asciiTheme="minorHAnsi" w:hAnsiTheme="minorHAnsi"/>
                <w:b/>
                <w:sz w:val="20"/>
                <w:szCs w:val="22"/>
                <w:lang w:val="hr-HR"/>
              </w:rPr>
              <w:t xml:space="preserve">.) </w:t>
            </w:r>
          </w:p>
          <w:p w:rsidR="007A3D6C" w:rsidRPr="00361664" w:rsidRDefault="007A3D6C" w:rsidP="00961A34">
            <w:pPr>
              <w:pStyle w:val="Tabletext"/>
              <w:tabs>
                <w:tab w:val="left" w:pos="1440"/>
                <w:tab w:val="left" w:pos="5040"/>
              </w:tabs>
              <w:spacing w:before="60" w:after="60" w:line="240" w:lineRule="auto"/>
              <w:rPr>
                <w:rFonts w:asciiTheme="minorHAnsi" w:hAnsiTheme="minorHAnsi"/>
                <w:sz w:val="20"/>
                <w:szCs w:val="22"/>
                <w:lang w:val="hr-HR"/>
              </w:rPr>
            </w:pPr>
            <w:r w:rsidRPr="00361664">
              <w:rPr>
                <w:rFonts w:asciiTheme="minorHAnsi" w:hAnsiTheme="minorHAnsi"/>
                <w:sz w:val="20"/>
                <w:szCs w:val="22"/>
                <w:lang w:val="hr-HR"/>
              </w:rPr>
              <w:t xml:space="preserve">      HEP-Proizvodnja d.o.o., Sektor za hidroelektrane </w:t>
            </w:r>
          </w:p>
          <w:p w:rsidR="007A3D6C" w:rsidRPr="00361664" w:rsidRDefault="007A3D6C" w:rsidP="001E243B">
            <w:pPr>
              <w:ind w:left="232"/>
              <w:rPr>
                <w:rFonts w:asciiTheme="minorHAnsi" w:hAnsiTheme="minorHAnsi"/>
                <w:sz w:val="20"/>
              </w:rPr>
            </w:pPr>
            <w:r w:rsidRPr="00361664">
              <w:rPr>
                <w:rFonts w:asciiTheme="minorHAnsi" w:hAnsiTheme="minorHAnsi"/>
                <w:b/>
                <w:sz w:val="20"/>
                <w:lang w:eastAsia="de-DE"/>
              </w:rPr>
              <w:t>6. Ugradnja dodatnih izmjenjivača u kotlove utilizatore u PTE</w:t>
            </w:r>
            <w:r w:rsidRPr="00361664">
              <w:rPr>
                <w:rFonts w:asciiTheme="minorHAnsi" w:hAnsiTheme="minorHAnsi"/>
                <w:sz w:val="20"/>
                <w:lang w:eastAsia="de-DE"/>
              </w:rPr>
              <w:br/>
              <w:t xml:space="preserve"> HEP-Proizvodnja d.o.o., Sektor za termoelektrane</w:t>
            </w:r>
            <w:r w:rsidRPr="00361664">
              <w:rPr>
                <w:rFonts w:asciiTheme="minorHAnsi" w:hAnsiTheme="minorHAnsi"/>
                <w:sz w:val="20"/>
                <w:lang w:eastAsia="de-DE"/>
              </w:rPr>
              <w:br/>
            </w:r>
            <w:r w:rsidRPr="00361664">
              <w:rPr>
                <w:rFonts w:asciiTheme="minorHAnsi" w:hAnsiTheme="minorHAnsi"/>
                <w:b/>
                <w:sz w:val="20"/>
                <w:lang w:eastAsia="de-DE"/>
              </w:rPr>
              <w:t xml:space="preserve">7.Izmiještanjemuljne jame za iskorištenje čistog kondenzata u toplinskoj stanici EL-TO </w:t>
            </w:r>
            <w:r w:rsidRPr="00361664">
              <w:rPr>
                <w:rFonts w:asciiTheme="minorHAnsi" w:hAnsiTheme="minorHAnsi"/>
                <w:b/>
                <w:sz w:val="20"/>
                <w:lang w:eastAsia="de-DE"/>
              </w:rPr>
              <w:br/>
            </w:r>
            <w:r w:rsidRPr="00361664">
              <w:rPr>
                <w:rFonts w:asciiTheme="minorHAnsi" w:hAnsiTheme="minorHAnsi"/>
                <w:sz w:val="20"/>
              </w:rPr>
              <w:t>HEP-Proizvodnja d.o.o., Sektor za termoelektrane</w:t>
            </w:r>
          </w:p>
        </w:tc>
      </w:tr>
      <w:tr w:rsidR="007A3D6C" w:rsidRPr="00361664" w:rsidTr="001E243B">
        <w:trPr>
          <w:trHeight w:val="20"/>
        </w:trPr>
        <w:tc>
          <w:tcPr>
            <w:tcW w:w="714" w:type="pct"/>
            <w:vMerge/>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640C0B"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Tijelo za praćenje, mjerenje i verifikaciju ušteda</w:t>
            </w:r>
          </w:p>
        </w:tc>
        <w:tc>
          <w:tcPr>
            <w:tcW w:w="3477" w:type="pct"/>
            <w:tcBorders>
              <w:top w:val="single" w:sz="4" w:space="0" w:color="auto"/>
            </w:tcBorders>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NKT </w:t>
            </w:r>
          </w:p>
        </w:tc>
      </w:tr>
      <w:tr w:rsidR="007A3D6C" w:rsidRPr="00361664" w:rsidTr="00961A34">
        <w:trPr>
          <w:trHeight w:val="20"/>
        </w:trPr>
        <w:tc>
          <w:tcPr>
            <w:tcW w:w="714" w:type="pct"/>
            <w:vMerge w:val="restar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szCs w:val="22"/>
                <w:lang w:val="hr-HR"/>
              </w:rPr>
              <w:t>Uštede energije</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Metoda praćenja / mjerenja ušteda energije</w:t>
            </w:r>
          </w:p>
        </w:tc>
        <w:tc>
          <w:tcPr>
            <w:tcW w:w="3477" w:type="pct"/>
            <w:vAlign w:val="center"/>
          </w:tcPr>
          <w:p w:rsidR="007A3D6C" w:rsidRPr="00361664" w:rsidRDefault="007A3D6C" w:rsidP="00CD00FF">
            <w:pPr>
              <w:pStyle w:val="Tabletext"/>
              <w:numPr>
                <w:ilvl w:val="0"/>
                <w:numId w:val="10"/>
              </w:numPr>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Izgradnja parne kotlovnice 12,5 t/h u TE-TO Sisak  </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Analizom potroška goriva i proizvedene toplinske energije doći će se do podataka o uštedi.</w:t>
            </w:r>
          </w:p>
          <w:p w:rsidR="007A3D6C" w:rsidRPr="00361664" w:rsidRDefault="007A3D6C" w:rsidP="00CD00FF">
            <w:pPr>
              <w:pStyle w:val="Tabletext"/>
              <w:numPr>
                <w:ilvl w:val="0"/>
                <w:numId w:val="10"/>
              </w:numPr>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Rekonstrukcija pogona i upravljanja pumpama </w:t>
            </w:r>
          </w:p>
          <w:p w:rsidR="007A3D6C" w:rsidRPr="00361664" w:rsidRDefault="007A3D6C" w:rsidP="00961A34">
            <w:pPr>
              <w:pStyle w:val="Tabletext"/>
              <w:tabs>
                <w:tab w:val="left" w:pos="1440"/>
                <w:tab w:val="left" w:pos="5040"/>
              </w:tabs>
              <w:spacing w:before="0" w:after="0" w:line="240" w:lineRule="auto"/>
              <w:ind w:left="720"/>
              <w:rPr>
                <w:rFonts w:asciiTheme="minorHAnsi" w:hAnsiTheme="minorHAnsi"/>
                <w:b/>
                <w:sz w:val="20"/>
                <w:szCs w:val="22"/>
                <w:lang w:val="hr-HR"/>
              </w:rPr>
            </w:pPr>
            <w:r w:rsidRPr="00361664">
              <w:rPr>
                <w:rFonts w:asciiTheme="minorHAnsi" w:hAnsiTheme="minorHAnsi"/>
                <w:b/>
                <w:sz w:val="20"/>
                <w:szCs w:val="22"/>
                <w:lang w:val="hr-HR"/>
              </w:rPr>
              <w:t>bunarske, pitke i tehnološke vode</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Mjerenjem količine zahvaćene vode.</w:t>
            </w:r>
          </w:p>
          <w:p w:rsidR="007A3D6C" w:rsidRPr="00361664" w:rsidRDefault="007A3D6C" w:rsidP="00CD00FF">
            <w:pPr>
              <w:pStyle w:val="Tabletext"/>
              <w:numPr>
                <w:ilvl w:val="0"/>
                <w:numId w:val="10"/>
              </w:numPr>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Rekonstrukcija crpne stanice rashladne vode Sava</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szCs w:val="22"/>
                <w:lang w:val="hr-HR"/>
              </w:rPr>
              <w:t xml:space="preserve">Mjerenjem potrošnje električne energije i zahvaćene količine rashladne riječne vode. </w:t>
            </w:r>
          </w:p>
          <w:p w:rsidR="007A3D6C" w:rsidRPr="00361664" w:rsidRDefault="007A3D6C" w:rsidP="00CD00FF">
            <w:pPr>
              <w:pStyle w:val="Tabletext"/>
              <w:numPr>
                <w:ilvl w:val="0"/>
                <w:numId w:val="10"/>
              </w:numPr>
              <w:tabs>
                <w:tab w:val="left" w:pos="244"/>
                <w:tab w:val="left" w:pos="5040"/>
              </w:tabs>
              <w:spacing w:before="60" w:after="0" w:line="240" w:lineRule="auto"/>
              <w:rPr>
                <w:rFonts w:asciiTheme="minorHAnsi" w:hAnsiTheme="minorHAnsi"/>
                <w:b/>
                <w:sz w:val="20"/>
                <w:szCs w:val="22"/>
                <w:lang w:val="hr-HR"/>
              </w:rPr>
            </w:pPr>
            <w:r w:rsidRPr="00361664">
              <w:rPr>
                <w:rFonts w:asciiTheme="minorHAnsi" w:hAnsiTheme="minorHAnsi"/>
                <w:b/>
                <w:sz w:val="20"/>
                <w:szCs w:val="22"/>
                <w:lang w:val="hr-HR"/>
              </w:rPr>
              <w:t>IZGRADNJA STEAM BLOCK KOTLOVNICE 2 X 35 t/h</w:t>
            </w:r>
          </w:p>
          <w:p w:rsidR="007A3D6C" w:rsidRPr="00361664" w:rsidRDefault="007A3D6C" w:rsidP="00961A34">
            <w:pPr>
              <w:pStyle w:val="Tabletext"/>
              <w:tabs>
                <w:tab w:val="left" w:pos="244"/>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Mjerenjem potrošnje prirodnog plina na cijeloj lokaciji izračunom količina emisija CO2 koja proizlazi iz manje potrošnje prirodnog plina</w:t>
            </w:r>
          </w:p>
          <w:p w:rsidR="007A3D6C" w:rsidRPr="00361664" w:rsidRDefault="007A3D6C" w:rsidP="00961A34">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sz w:val="20"/>
                <w:szCs w:val="22"/>
                <w:lang w:val="hr-HR"/>
              </w:rPr>
              <w:t>Mjerenjem  lož ulja s udjelom sumpora manje od 1% ili smanjena potrošnja alternativnog plinskog ulja.</w:t>
            </w:r>
          </w:p>
          <w:p w:rsidR="007A3D6C" w:rsidRPr="00361664" w:rsidRDefault="007A3D6C" w:rsidP="00CD00FF">
            <w:pPr>
              <w:pStyle w:val="Tabletext"/>
              <w:numPr>
                <w:ilvl w:val="0"/>
                <w:numId w:val="10"/>
              </w:numPr>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Rekonstrukcija CHE Fužine</w:t>
            </w:r>
            <w:r w:rsidR="00B747E0" w:rsidRPr="00361664">
              <w:rPr>
                <w:rFonts w:asciiTheme="minorHAnsi" w:hAnsiTheme="minorHAnsi"/>
                <w:b/>
                <w:sz w:val="20"/>
                <w:szCs w:val="22"/>
                <w:lang w:val="hr-HR"/>
              </w:rPr>
              <w:t xml:space="preserve"> (2013. - 2019</w:t>
            </w:r>
            <w:r w:rsidRPr="00361664">
              <w:rPr>
                <w:rFonts w:asciiTheme="minorHAnsi" w:hAnsiTheme="minorHAnsi"/>
                <w:b/>
                <w:sz w:val="20"/>
                <w:szCs w:val="22"/>
                <w:lang w:val="hr-HR"/>
              </w:rPr>
              <w:t xml:space="preserve">.)  </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Usporedba ostvarenja turbinskog i crpnog rada CHE Fužine u hidrološki sličnim uvjetima, tj. doprinos vršnom i regulacijskom radu HE Vinodol prije i nakon rekonstrukcije CHE Fužine. U današnjim uvjetima CHE Fužine godišnje prosječno crpi 8, 3 mil. m³ u akumulaciju Lokve, odnosno za predmetnu količinu vode smanji preljev, tj. izravni doprinos crpnog i turbinskog rada CHE Fužine svodeći na moguću proizvodnju hidroenergetskog sustava HE Vinodol iznosi približno 15,8 GWh. Pretpostavlja se da će rekonstruirana CHE Fužine doprinijeti povećanju proizvodnje hidroenergetskog sustava HE Vinodol za cca 11 GWh. </w:t>
            </w:r>
          </w:p>
          <w:p w:rsidR="007A3D6C" w:rsidRPr="00361664" w:rsidRDefault="007A3D6C" w:rsidP="00CD00FF">
            <w:pPr>
              <w:pStyle w:val="Odlomakpopisa"/>
              <w:numPr>
                <w:ilvl w:val="0"/>
                <w:numId w:val="57"/>
              </w:numPr>
              <w:spacing w:after="0" w:line="240" w:lineRule="auto"/>
              <w:rPr>
                <w:rFonts w:asciiTheme="minorHAnsi" w:eastAsia="Times New Roman" w:hAnsiTheme="minorHAnsi"/>
                <w:b/>
                <w:sz w:val="20"/>
                <w:lang w:eastAsia="de-DE"/>
              </w:rPr>
            </w:pPr>
            <w:r w:rsidRPr="00361664">
              <w:rPr>
                <w:rFonts w:asciiTheme="minorHAnsi" w:eastAsia="Times New Roman" w:hAnsiTheme="minorHAnsi"/>
                <w:b/>
                <w:sz w:val="20"/>
                <w:lang w:eastAsia="de-DE"/>
              </w:rPr>
              <w:t xml:space="preserve">Ugradnja dodatnih izmjenjivača u kotlove utilizatore u PTE </w:t>
            </w:r>
          </w:p>
          <w:p w:rsidR="007A3D6C" w:rsidRPr="00361664" w:rsidRDefault="007A3D6C" w:rsidP="00961A34">
            <w:pPr>
              <w:spacing w:after="0" w:line="240" w:lineRule="auto"/>
              <w:rPr>
                <w:rFonts w:asciiTheme="minorHAnsi" w:hAnsiTheme="minorHAnsi"/>
                <w:sz w:val="20"/>
              </w:rPr>
            </w:pPr>
            <w:r w:rsidRPr="00361664">
              <w:rPr>
                <w:rFonts w:asciiTheme="minorHAnsi" w:hAnsiTheme="minorHAnsi"/>
                <w:sz w:val="20"/>
              </w:rPr>
              <w:t>Garantna mjerenja slijede nakon ugradnje opreme. Po implementaciji opreme trajno mjerenje se provodi putem sustava za praćenje i nadzor procesnih parametara</w:t>
            </w:r>
          </w:p>
          <w:p w:rsidR="007A3D6C" w:rsidRPr="00361664" w:rsidRDefault="007A3D6C" w:rsidP="00CD00FF">
            <w:pPr>
              <w:pStyle w:val="Odlomakpopisa"/>
              <w:numPr>
                <w:ilvl w:val="0"/>
                <w:numId w:val="57"/>
              </w:numPr>
              <w:spacing w:after="0" w:line="240" w:lineRule="auto"/>
              <w:rPr>
                <w:rFonts w:asciiTheme="minorHAnsi" w:hAnsiTheme="minorHAnsi"/>
                <w:b/>
                <w:sz w:val="20"/>
                <w:lang w:eastAsia="de-DE"/>
              </w:rPr>
            </w:pPr>
            <w:r w:rsidRPr="00361664">
              <w:rPr>
                <w:rFonts w:asciiTheme="minorHAnsi" w:hAnsiTheme="minorHAnsi"/>
                <w:b/>
                <w:sz w:val="20"/>
                <w:lang w:eastAsia="de-DE"/>
              </w:rPr>
              <w:t>Izmiještanjemuljne jame za iskorištenje čistog kondenzata u toplinskoj stanici EL-TO</w:t>
            </w:r>
            <w:r w:rsidRPr="00361664">
              <w:rPr>
                <w:rFonts w:asciiTheme="minorHAnsi" w:hAnsiTheme="minorHAnsi"/>
                <w:sz w:val="20"/>
                <w:lang w:eastAsia="de-DE"/>
              </w:rPr>
              <w:t>.</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lang w:val="hr-HR"/>
              </w:rPr>
              <w:t>Putem sustava za praćenje i nadzor procesnih parametara</w:t>
            </w:r>
          </w:p>
        </w:tc>
      </w:tr>
      <w:tr w:rsidR="007A3D6C" w:rsidRPr="00361664" w:rsidTr="00961A34">
        <w:trPr>
          <w:trHeight w:val="20"/>
        </w:trPr>
        <w:tc>
          <w:tcPr>
            <w:tcW w:w="714" w:type="pct"/>
            <w:vMerge/>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Očekivane uštede energije do kraja 2019.</w:t>
            </w:r>
          </w:p>
        </w:tc>
        <w:tc>
          <w:tcPr>
            <w:tcW w:w="3477" w:type="pct"/>
            <w:shd w:val="clear" w:color="auto" w:fill="auto"/>
            <w:vAlign w:val="center"/>
          </w:tcPr>
          <w:p w:rsidR="007A3D6C" w:rsidRPr="00361664" w:rsidRDefault="007A3D6C" w:rsidP="00CD00FF">
            <w:pPr>
              <w:pStyle w:val="Tabletext"/>
              <w:numPr>
                <w:ilvl w:val="0"/>
                <w:numId w:val="23"/>
              </w:numPr>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Izgradnja parne kotlovnice 12,5 t/h u TE-TO Sisak  </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Vrlo grubi prikaz izračuna potrošnje cca 70 m3 plina za 1 tonu pare (16 bar i 300°C) daje dnevnu uštedu od cca 10.000 m3 plina što računajući na minimalni ljetni period od 120 dana daje ljetnu uštedu od cca 1.200.000 m3, </w:t>
            </w:r>
            <w:r w:rsidRPr="00361664">
              <w:rPr>
                <w:rFonts w:asciiTheme="minorHAnsi" w:hAnsiTheme="minorHAnsi"/>
                <w:sz w:val="20"/>
                <w:szCs w:val="22"/>
                <w:lang w:val="hr-HR"/>
              </w:rPr>
              <w:lastRenderedPageBreak/>
              <w:t xml:space="preserve">tj. 11.520 MWh.  </w:t>
            </w:r>
          </w:p>
          <w:p w:rsidR="007A3D6C" w:rsidRPr="00361664" w:rsidRDefault="007A3D6C" w:rsidP="00CD00FF">
            <w:pPr>
              <w:pStyle w:val="Tabletext"/>
              <w:numPr>
                <w:ilvl w:val="0"/>
                <w:numId w:val="23"/>
              </w:numPr>
              <w:tabs>
                <w:tab w:val="left" w:pos="1440"/>
                <w:tab w:val="left" w:pos="5040"/>
              </w:tabs>
              <w:spacing w:after="60" w:line="240" w:lineRule="auto"/>
              <w:rPr>
                <w:rFonts w:asciiTheme="minorHAnsi" w:hAnsiTheme="minorHAnsi"/>
                <w:b/>
                <w:sz w:val="20"/>
                <w:szCs w:val="22"/>
                <w:lang w:val="hr-HR"/>
              </w:rPr>
            </w:pPr>
            <w:r w:rsidRPr="00361664">
              <w:rPr>
                <w:rFonts w:asciiTheme="minorHAnsi" w:hAnsiTheme="minorHAnsi"/>
                <w:b/>
                <w:sz w:val="20"/>
                <w:szCs w:val="22"/>
                <w:lang w:val="hr-HR"/>
              </w:rPr>
              <w:t>Rekonstrukcija pogona i upravljanja pumpama bunarske, pitke i tehnološke vode</w:t>
            </w:r>
          </w:p>
          <w:p w:rsidR="007A3D6C" w:rsidRPr="00361664" w:rsidRDefault="007A3D6C" w:rsidP="00961A34">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Uporabom frekventnih pretvarača za pogon i regulaciju, ušteda električne energije temeljena na radu pumpi bunarske, pitke i tehnološke vode u 2016. godini iznosi ≈ 97 MWh godišnje.</w:t>
            </w:r>
          </w:p>
          <w:p w:rsidR="007A3D6C" w:rsidRPr="00361664" w:rsidRDefault="007A3D6C" w:rsidP="00CD00FF">
            <w:pPr>
              <w:pStyle w:val="Tabletext"/>
              <w:numPr>
                <w:ilvl w:val="0"/>
                <w:numId w:val="23"/>
              </w:numPr>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b/>
                <w:sz w:val="20"/>
                <w:szCs w:val="22"/>
                <w:lang w:val="hr-HR"/>
              </w:rPr>
              <w:t>Rekonstrukcija crpne stanice rashladne vode Sava</w:t>
            </w:r>
          </w:p>
          <w:p w:rsidR="007A3D6C" w:rsidRPr="00361664" w:rsidRDefault="007A3D6C" w:rsidP="00961A34">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Uporabom frekventnih pretvarača za pogon i regulaciju ušteda električne energije temeljena na radu pumpi rashladne vode u 2016. g</w:t>
            </w:r>
            <w:r w:rsidR="00B747E0" w:rsidRPr="00361664">
              <w:rPr>
                <w:rFonts w:asciiTheme="minorHAnsi" w:hAnsiTheme="minorHAnsi"/>
                <w:sz w:val="20"/>
                <w:szCs w:val="22"/>
                <w:lang w:val="hr-HR"/>
              </w:rPr>
              <w:t>odini iznosi ≈ 402 MWh godišnje</w:t>
            </w:r>
            <w:r w:rsidRPr="00361664">
              <w:rPr>
                <w:rFonts w:asciiTheme="minorHAnsi" w:hAnsiTheme="minorHAnsi"/>
                <w:sz w:val="20"/>
                <w:szCs w:val="22"/>
                <w:lang w:val="hr-HR"/>
              </w:rPr>
              <w:t>.</w:t>
            </w:r>
          </w:p>
          <w:p w:rsidR="007A3D6C" w:rsidRPr="00361664" w:rsidRDefault="007A3D6C" w:rsidP="00CD00FF">
            <w:pPr>
              <w:pStyle w:val="Tabletext"/>
              <w:numPr>
                <w:ilvl w:val="0"/>
                <w:numId w:val="23"/>
              </w:numPr>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b/>
                <w:sz w:val="20"/>
                <w:szCs w:val="22"/>
                <w:lang w:val="hr-HR"/>
              </w:rPr>
              <w:t>IZGRADNJA STEAM BLOCK KOTLOVNICE 2 X 35 t/h započeti će krajem 2017 godine</w:t>
            </w:r>
          </w:p>
          <w:p w:rsidR="007A3D6C" w:rsidRPr="00361664" w:rsidRDefault="007A3D6C" w:rsidP="00961A34">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Eksploatacija pomoćne parne kotlovnice tijekom zimskih mjeseci omogućiti će proizvodnju dodatnih 40 MWt u tzv. C6 zagrijaču, kroz 120 dana godišnje, što iznosi 864.000 kn godišnje, odnosno do kraja 2019 iznosi 1.728.000 kn.</w:t>
            </w:r>
          </w:p>
          <w:p w:rsidR="007A3D6C" w:rsidRPr="00361664" w:rsidRDefault="007A3D6C" w:rsidP="00CD00FF">
            <w:pPr>
              <w:pStyle w:val="Tabletext"/>
              <w:numPr>
                <w:ilvl w:val="0"/>
                <w:numId w:val="23"/>
              </w:numPr>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Rekonst</w:t>
            </w:r>
            <w:r w:rsidR="00B747E0" w:rsidRPr="00361664">
              <w:rPr>
                <w:rFonts w:asciiTheme="minorHAnsi" w:hAnsiTheme="minorHAnsi"/>
                <w:b/>
                <w:sz w:val="20"/>
                <w:szCs w:val="22"/>
                <w:lang w:val="hr-HR"/>
              </w:rPr>
              <w:t>rukcija CHE Fužine (2013. - 2019</w:t>
            </w:r>
            <w:r w:rsidRPr="00361664">
              <w:rPr>
                <w:rFonts w:asciiTheme="minorHAnsi" w:hAnsiTheme="minorHAnsi"/>
                <w:b/>
                <w:sz w:val="20"/>
                <w:szCs w:val="22"/>
                <w:lang w:val="hr-HR"/>
              </w:rPr>
              <w:t xml:space="preserve">.)  </w:t>
            </w:r>
          </w:p>
          <w:p w:rsidR="007A3D6C" w:rsidRPr="00361664" w:rsidRDefault="007A3D6C" w:rsidP="00961A34">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 xml:space="preserve">Početak pokusnog rada CHE Fužine </w:t>
            </w:r>
            <w:r w:rsidR="002A0422" w:rsidRPr="00361664">
              <w:rPr>
                <w:rFonts w:asciiTheme="minorHAnsi" w:hAnsiTheme="minorHAnsi"/>
                <w:sz w:val="20"/>
                <w:szCs w:val="22"/>
                <w:lang w:val="hr-HR"/>
              </w:rPr>
              <w:t>u</w:t>
            </w:r>
            <w:r w:rsidRPr="00361664">
              <w:rPr>
                <w:rFonts w:asciiTheme="minorHAnsi" w:hAnsiTheme="minorHAnsi"/>
                <w:sz w:val="20"/>
                <w:szCs w:val="22"/>
                <w:lang w:val="hr-HR"/>
              </w:rPr>
              <w:t xml:space="preserve"> 2018. godinu tako da procijenjena dodatna proizvodnja hidroenergetskog sustava HE Vinodol za 2019. godinu iznosi ≈ 11.000 MWh. </w:t>
            </w:r>
          </w:p>
          <w:p w:rsidR="007A3D6C" w:rsidRPr="00361664" w:rsidRDefault="007A3D6C" w:rsidP="00CD00FF">
            <w:pPr>
              <w:pStyle w:val="Odlomakpopisa"/>
              <w:numPr>
                <w:ilvl w:val="0"/>
                <w:numId w:val="23"/>
              </w:numPr>
              <w:spacing w:after="0" w:line="240" w:lineRule="auto"/>
              <w:rPr>
                <w:rFonts w:asciiTheme="minorHAnsi" w:eastAsia="Times New Roman" w:hAnsiTheme="minorHAnsi"/>
                <w:b/>
                <w:sz w:val="20"/>
                <w:lang w:eastAsia="de-DE"/>
              </w:rPr>
            </w:pPr>
            <w:r w:rsidRPr="00361664">
              <w:rPr>
                <w:rFonts w:asciiTheme="minorHAnsi" w:eastAsia="Times New Roman" w:hAnsiTheme="minorHAnsi"/>
                <w:b/>
                <w:sz w:val="20"/>
                <w:lang w:eastAsia="de-DE"/>
              </w:rPr>
              <w:t xml:space="preserve">Ugradnja dodatnih izmjenjivača u kotlove utilizatore u PTE </w:t>
            </w:r>
          </w:p>
          <w:p w:rsidR="007A3D6C" w:rsidRPr="00361664" w:rsidRDefault="007A3D6C" w:rsidP="00961A34">
            <w:pPr>
              <w:spacing w:after="0" w:line="240" w:lineRule="auto"/>
              <w:rPr>
                <w:rFonts w:asciiTheme="minorHAnsi" w:hAnsiTheme="minorHAnsi"/>
                <w:sz w:val="20"/>
                <w:lang w:eastAsia="de-DE"/>
              </w:rPr>
            </w:pPr>
            <w:r w:rsidRPr="00361664">
              <w:rPr>
                <w:rFonts w:asciiTheme="minorHAnsi" w:hAnsiTheme="minorHAnsi"/>
                <w:sz w:val="20"/>
                <w:lang w:eastAsia="de-DE"/>
              </w:rPr>
              <w:t>18.779.698,00 KN (sukladno izrađenoj studiji Analiza mogućnosti dodatnog hlađenja dimnih plinova na PTE od strane tvrtke Elektroprojekt Zagreb)</w:t>
            </w:r>
          </w:p>
          <w:p w:rsidR="007A3D6C" w:rsidRPr="00361664" w:rsidRDefault="007A3D6C" w:rsidP="00CD00FF">
            <w:pPr>
              <w:pStyle w:val="Odlomakpopisa"/>
              <w:numPr>
                <w:ilvl w:val="0"/>
                <w:numId w:val="23"/>
              </w:numPr>
              <w:spacing w:after="0" w:line="240" w:lineRule="auto"/>
              <w:rPr>
                <w:rFonts w:asciiTheme="minorHAnsi" w:hAnsiTheme="minorHAnsi"/>
                <w:b/>
                <w:sz w:val="20"/>
                <w:lang w:eastAsia="de-DE"/>
              </w:rPr>
            </w:pPr>
            <w:r w:rsidRPr="00361664">
              <w:rPr>
                <w:rFonts w:asciiTheme="minorHAnsi" w:hAnsiTheme="minorHAnsi"/>
                <w:b/>
                <w:sz w:val="20"/>
                <w:lang w:eastAsia="de-DE"/>
              </w:rPr>
              <w:t>Izmiještanjemuljne jame za iskorištenje čistog kondenzata u toplinskoj stanici EL-TO</w:t>
            </w:r>
          </w:p>
          <w:p w:rsidR="007A3D6C" w:rsidRPr="00361664" w:rsidRDefault="007A3D6C" w:rsidP="00961A34">
            <w:pPr>
              <w:spacing w:after="0" w:line="240" w:lineRule="auto"/>
              <w:rPr>
                <w:rFonts w:asciiTheme="minorHAnsi" w:hAnsiTheme="minorHAnsi"/>
                <w:b/>
                <w:sz w:val="20"/>
                <w:lang w:eastAsia="de-DE"/>
              </w:rPr>
            </w:pPr>
            <w:r w:rsidRPr="00361664">
              <w:rPr>
                <w:rFonts w:asciiTheme="minorHAnsi" w:hAnsiTheme="minorHAnsi"/>
                <w:sz w:val="20"/>
                <w:lang w:eastAsia="de-DE"/>
              </w:rPr>
              <w:t>Nije poznato</w:t>
            </w:r>
          </w:p>
          <w:p w:rsidR="007A3D6C" w:rsidRPr="00361664" w:rsidRDefault="007A3D6C" w:rsidP="00961A34">
            <w:pPr>
              <w:pStyle w:val="Tabletext"/>
              <w:tabs>
                <w:tab w:val="left" w:pos="1440"/>
                <w:tab w:val="left" w:pos="5040"/>
              </w:tabs>
              <w:spacing w:before="0" w:after="60" w:line="240" w:lineRule="auto"/>
              <w:rPr>
                <w:rFonts w:asciiTheme="minorHAnsi" w:hAnsiTheme="minorHAnsi"/>
                <w:sz w:val="20"/>
                <w:szCs w:val="22"/>
                <w:lang w:val="hr-HR"/>
              </w:rPr>
            </w:pPr>
          </w:p>
          <w:p w:rsidR="007A3D6C" w:rsidRPr="00361664" w:rsidRDefault="007A3D6C" w:rsidP="00B747E0">
            <w:pPr>
              <w:pStyle w:val="Tabletext"/>
              <w:tabs>
                <w:tab w:val="left" w:pos="1440"/>
                <w:tab w:val="left" w:pos="5040"/>
              </w:tabs>
              <w:spacing w:before="0" w:after="60" w:line="240" w:lineRule="auto"/>
              <w:rPr>
                <w:rFonts w:asciiTheme="minorHAnsi" w:hAnsiTheme="minorHAnsi"/>
                <w:sz w:val="20"/>
                <w:szCs w:val="22"/>
                <w:u w:val="single"/>
                <w:lang w:val="hr-HR"/>
              </w:rPr>
            </w:pPr>
            <w:r w:rsidRPr="00361664">
              <w:rPr>
                <w:rFonts w:asciiTheme="minorHAnsi" w:hAnsiTheme="minorHAnsi"/>
                <w:sz w:val="20"/>
                <w:szCs w:val="22"/>
                <w:lang w:val="hr-HR"/>
              </w:rPr>
              <w:t xml:space="preserve">Ukupno: </w:t>
            </w:r>
            <w:r w:rsidR="00B747E0" w:rsidRPr="00361664">
              <w:rPr>
                <w:rFonts w:asciiTheme="minorHAnsi" w:hAnsiTheme="minorHAnsi"/>
                <w:sz w:val="20"/>
                <w:szCs w:val="22"/>
                <w:lang w:val="hr-HR"/>
              </w:rPr>
              <w:t>22.500</w:t>
            </w:r>
            <w:r w:rsidRPr="00361664">
              <w:rPr>
                <w:rFonts w:asciiTheme="minorHAnsi" w:hAnsiTheme="minorHAnsi"/>
                <w:sz w:val="20"/>
                <w:szCs w:val="22"/>
                <w:lang w:val="hr-HR"/>
              </w:rPr>
              <w:t xml:space="preserve"> MWh ≈ </w:t>
            </w:r>
            <w:r w:rsidR="00B747E0" w:rsidRPr="00361664">
              <w:rPr>
                <w:rFonts w:asciiTheme="minorHAnsi" w:hAnsiTheme="minorHAnsi"/>
                <w:sz w:val="20"/>
                <w:szCs w:val="22"/>
                <w:lang w:val="hr-HR"/>
              </w:rPr>
              <w:t>81</w:t>
            </w:r>
            <w:r w:rsidR="003F7345" w:rsidRPr="00361664">
              <w:rPr>
                <w:rFonts w:asciiTheme="minorHAnsi" w:hAnsiTheme="minorHAnsi"/>
                <w:sz w:val="20"/>
                <w:szCs w:val="22"/>
                <w:lang w:val="hr-HR"/>
              </w:rPr>
              <w:t xml:space="preserve"> TJ</w:t>
            </w:r>
          </w:p>
        </w:tc>
      </w:tr>
      <w:tr w:rsidR="007A3D6C" w:rsidRPr="00361664" w:rsidTr="00961A34">
        <w:trPr>
          <w:trHeight w:val="20"/>
        </w:trPr>
        <w:tc>
          <w:tcPr>
            <w:tcW w:w="714" w:type="pct"/>
            <w:vMerge/>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Očekivane uštede energije do kraja 2020.</w:t>
            </w:r>
          </w:p>
        </w:tc>
        <w:tc>
          <w:tcPr>
            <w:tcW w:w="3477" w:type="pct"/>
            <w:vAlign w:val="center"/>
          </w:tcPr>
          <w:p w:rsidR="007A3D6C" w:rsidRPr="00361664" w:rsidRDefault="007A3D6C" w:rsidP="00CD00FF">
            <w:pPr>
              <w:pStyle w:val="Tabletext"/>
              <w:numPr>
                <w:ilvl w:val="0"/>
                <w:numId w:val="24"/>
              </w:numPr>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Izgradnja parne kotlovnice 12,5 t/h u TE-TO Sisak </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Vrlo grubi prikaz izračuna potrošnje cca 70 m3 plina za 1 tonu pare (16 bar i 300°C) daje dnevnu uštedu od cca 10.000 m3 plina što računajući na minimalni ljetni period od 120 dana daje ljetnu uštedu od cca 1.200.000 m3, tj. 11.520 MWh. Očekivana ušteda za promatrani period iznosi cca 23.040 MWh.</w:t>
            </w:r>
          </w:p>
          <w:p w:rsidR="007A3D6C" w:rsidRPr="00361664" w:rsidRDefault="007A3D6C" w:rsidP="00CD00FF">
            <w:pPr>
              <w:pStyle w:val="Tabletext"/>
              <w:numPr>
                <w:ilvl w:val="0"/>
                <w:numId w:val="24"/>
              </w:numPr>
              <w:tabs>
                <w:tab w:val="left" w:pos="1440"/>
                <w:tab w:val="left" w:pos="5040"/>
              </w:tabs>
              <w:spacing w:after="60" w:line="240" w:lineRule="auto"/>
              <w:rPr>
                <w:rFonts w:asciiTheme="minorHAnsi" w:hAnsiTheme="minorHAnsi"/>
                <w:b/>
                <w:sz w:val="20"/>
                <w:szCs w:val="22"/>
                <w:lang w:val="hr-HR"/>
              </w:rPr>
            </w:pPr>
            <w:r w:rsidRPr="00361664">
              <w:rPr>
                <w:rFonts w:asciiTheme="minorHAnsi" w:hAnsiTheme="minorHAnsi"/>
                <w:b/>
                <w:sz w:val="20"/>
                <w:szCs w:val="22"/>
                <w:lang w:val="hr-HR"/>
              </w:rPr>
              <w:t>Rekonstrukcija pogona i upravljanja pumpama bunarske, pitke i tehnološke vode</w:t>
            </w:r>
          </w:p>
          <w:p w:rsidR="007A3D6C" w:rsidRPr="00361664" w:rsidRDefault="007A3D6C" w:rsidP="00961A34">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Uporabom frekventnih pretvarača za pogon i regulaciju, ušteda električne energije temeljena na radu pumpi bunarske, pitke i tehnološke vode u 2016. godini iznosi ≈ 97 MWh godišnje.</w:t>
            </w:r>
          </w:p>
          <w:p w:rsidR="007A3D6C" w:rsidRPr="00361664" w:rsidRDefault="007A3D6C" w:rsidP="00CD00FF">
            <w:pPr>
              <w:pStyle w:val="Tabletext"/>
              <w:numPr>
                <w:ilvl w:val="0"/>
                <w:numId w:val="24"/>
              </w:numPr>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b/>
                <w:sz w:val="20"/>
                <w:szCs w:val="22"/>
                <w:lang w:val="hr-HR"/>
              </w:rPr>
              <w:t>Rekonstrukcija crpne stanice rashladne vode Sava</w:t>
            </w:r>
          </w:p>
          <w:p w:rsidR="007A3D6C" w:rsidRPr="00361664" w:rsidRDefault="007A3D6C" w:rsidP="00961A34">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Uporabom frekventnih pretvarača za pogon i regulaciju ušteda električne energije temeljena na radu pumpi rashladne vode u 2016. g</w:t>
            </w:r>
            <w:r w:rsidR="00B747E0" w:rsidRPr="00361664">
              <w:rPr>
                <w:rFonts w:asciiTheme="minorHAnsi" w:hAnsiTheme="minorHAnsi"/>
                <w:sz w:val="20"/>
                <w:szCs w:val="22"/>
                <w:lang w:val="hr-HR"/>
              </w:rPr>
              <w:t>odini iznosi ≈ 402 MWh godišnje</w:t>
            </w:r>
            <w:r w:rsidRPr="00361664">
              <w:rPr>
                <w:rFonts w:asciiTheme="minorHAnsi" w:hAnsiTheme="minorHAnsi"/>
                <w:sz w:val="20"/>
                <w:szCs w:val="22"/>
                <w:lang w:val="hr-HR"/>
              </w:rPr>
              <w:t>.</w:t>
            </w:r>
          </w:p>
          <w:p w:rsidR="007A3D6C" w:rsidRPr="00361664" w:rsidRDefault="007A3D6C" w:rsidP="00CD00FF">
            <w:pPr>
              <w:pStyle w:val="Tabletext"/>
              <w:numPr>
                <w:ilvl w:val="0"/>
                <w:numId w:val="24"/>
              </w:numPr>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b/>
                <w:sz w:val="20"/>
                <w:szCs w:val="22"/>
                <w:lang w:val="hr-HR"/>
              </w:rPr>
              <w:t xml:space="preserve">IZGRADNJA STEAM BLOCK KOTLOVNICE 2 X 35 t/h započeti će krajem 2017 godine, </w:t>
            </w:r>
          </w:p>
          <w:p w:rsidR="007A3D6C" w:rsidRPr="00361664" w:rsidRDefault="007A3D6C" w:rsidP="00961A34">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Eksploatacija pomoćne parne kotlovnice tijekom zimskih mjeseci omogućiti će proizvodnju dodatnih 40 MWt u tzv. C6 zagrijaču, kroz 120 dana godišnje, što iznosi 864.000 kn godišnje, odnosno do kraja 2020 iznosi 2.592.000 kn.</w:t>
            </w:r>
          </w:p>
          <w:p w:rsidR="007A3D6C" w:rsidRPr="00361664" w:rsidRDefault="007A3D6C" w:rsidP="00CD00FF">
            <w:pPr>
              <w:pStyle w:val="Tabletext"/>
              <w:numPr>
                <w:ilvl w:val="0"/>
                <w:numId w:val="24"/>
              </w:numPr>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b/>
                <w:sz w:val="20"/>
                <w:szCs w:val="22"/>
                <w:lang w:val="hr-HR"/>
              </w:rPr>
              <w:t>Rekonstrukcija CHE Fužine</w:t>
            </w:r>
          </w:p>
          <w:p w:rsidR="007A3D6C" w:rsidRPr="00361664" w:rsidRDefault="007A3D6C" w:rsidP="001E243B">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Očekivana ušteda iznosi 11.000 MWh/godišnje, tj. cca 22.000 MWh za promatrani period.</w:t>
            </w:r>
          </w:p>
          <w:p w:rsidR="007A3D6C" w:rsidRPr="00361664" w:rsidRDefault="007A3D6C" w:rsidP="00CD00FF">
            <w:pPr>
              <w:pStyle w:val="Tabletext"/>
              <w:numPr>
                <w:ilvl w:val="0"/>
                <w:numId w:val="24"/>
              </w:numPr>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Ugradnja dodatnih izmjenjivača u kotlove utilizatore u PTE</w:t>
            </w:r>
          </w:p>
          <w:p w:rsidR="007A3D6C" w:rsidRPr="00361664" w:rsidRDefault="007A3D6C" w:rsidP="00961A34">
            <w:pPr>
              <w:pStyle w:val="Tabletext"/>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sz w:val="20"/>
                <w:szCs w:val="22"/>
                <w:lang w:val="hr-HR"/>
              </w:rPr>
              <w:lastRenderedPageBreak/>
              <w:t xml:space="preserve">25.039.598,00 KN (sukladno izrađenoj studiji Analiza mogućnosti dodatnog hlađenja dimnih plinova na PTE od strane tvrtke Elektroprojekt Zagreb) </w:t>
            </w:r>
          </w:p>
          <w:p w:rsidR="007A3D6C" w:rsidRPr="00361664" w:rsidRDefault="007A3D6C" w:rsidP="00CD00FF">
            <w:pPr>
              <w:pStyle w:val="Tabletext"/>
              <w:numPr>
                <w:ilvl w:val="0"/>
                <w:numId w:val="24"/>
              </w:numPr>
              <w:tabs>
                <w:tab w:val="left" w:pos="1440"/>
                <w:tab w:val="left" w:pos="5040"/>
              </w:tabs>
              <w:spacing w:after="0" w:line="240" w:lineRule="auto"/>
              <w:rPr>
                <w:rFonts w:asciiTheme="minorHAnsi" w:hAnsiTheme="minorHAnsi"/>
                <w:b/>
                <w:sz w:val="20"/>
                <w:szCs w:val="22"/>
                <w:lang w:val="hr-HR"/>
              </w:rPr>
            </w:pPr>
            <w:r w:rsidRPr="00361664">
              <w:rPr>
                <w:rFonts w:asciiTheme="minorHAnsi" w:hAnsiTheme="minorHAnsi"/>
                <w:b/>
                <w:sz w:val="20"/>
                <w:szCs w:val="22"/>
                <w:lang w:val="hr-HR"/>
              </w:rPr>
              <w:t>Izmiještanjemuljne jame za iskorištenje čistog kondenzata u toplinskoj stanici EL-TO</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Nije poznato</w:t>
            </w:r>
          </w:p>
          <w:p w:rsidR="007A3D6C" w:rsidRPr="00361664" w:rsidRDefault="007A3D6C" w:rsidP="00961A34">
            <w:pPr>
              <w:pStyle w:val="Tabletext"/>
              <w:tabs>
                <w:tab w:val="left" w:pos="1440"/>
                <w:tab w:val="left" w:pos="5040"/>
              </w:tabs>
              <w:spacing w:before="0" w:after="0" w:line="240" w:lineRule="auto"/>
              <w:ind w:left="232"/>
              <w:rPr>
                <w:rFonts w:asciiTheme="minorHAnsi" w:hAnsiTheme="minorHAnsi"/>
                <w:sz w:val="20"/>
                <w:szCs w:val="22"/>
                <w:lang w:val="hr-HR"/>
              </w:rPr>
            </w:pPr>
            <w:r w:rsidRPr="00361664">
              <w:rPr>
                <w:rFonts w:asciiTheme="minorHAnsi" w:hAnsiTheme="minorHAnsi"/>
                <w:sz w:val="20"/>
                <w:szCs w:val="22"/>
                <w:lang w:val="hr-HR"/>
              </w:rPr>
              <w:t xml:space="preserve">Ukupno: </w:t>
            </w:r>
            <w:r w:rsidR="00B747E0" w:rsidRPr="00361664">
              <w:rPr>
                <w:rFonts w:asciiTheme="minorHAnsi" w:hAnsiTheme="minorHAnsi"/>
                <w:sz w:val="20"/>
                <w:szCs w:val="22"/>
                <w:lang w:val="hr-HR"/>
              </w:rPr>
              <w:t>45.137</w:t>
            </w:r>
            <w:r w:rsidRPr="00361664">
              <w:rPr>
                <w:rFonts w:asciiTheme="minorHAnsi" w:hAnsiTheme="minorHAnsi"/>
                <w:sz w:val="20"/>
                <w:szCs w:val="22"/>
                <w:lang w:val="hr-HR"/>
              </w:rPr>
              <w:t xml:space="preserve"> MWh ≈ </w:t>
            </w:r>
            <w:r w:rsidR="00B747E0" w:rsidRPr="00361664">
              <w:rPr>
                <w:rFonts w:asciiTheme="minorHAnsi" w:hAnsiTheme="minorHAnsi"/>
                <w:sz w:val="20"/>
                <w:szCs w:val="22"/>
                <w:lang w:val="hr-HR"/>
              </w:rPr>
              <w:t>45,1</w:t>
            </w:r>
            <w:r w:rsidRPr="00361664">
              <w:rPr>
                <w:rFonts w:asciiTheme="minorHAnsi" w:hAnsiTheme="minorHAnsi"/>
                <w:sz w:val="20"/>
                <w:szCs w:val="22"/>
                <w:lang w:val="hr-HR"/>
              </w:rPr>
              <w:t xml:space="preserve"> GWh  </w:t>
            </w:r>
          </w:p>
          <w:p w:rsidR="007A3D6C" w:rsidRPr="00361664" w:rsidRDefault="00B747E0" w:rsidP="00961A34">
            <w:pPr>
              <w:pStyle w:val="Tabletext"/>
              <w:tabs>
                <w:tab w:val="left" w:pos="1440"/>
                <w:tab w:val="left" w:pos="5040"/>
              </w:tabs>
              <w:spacing w:before="0" w:after="0" w:line="240" w:lineRule="auto"/>
              <w:ind w:left="232"/>
              <w:rPr>
                <w:rFonts w:asciiTheme="minorHAnsi" w:hAnsiTheme="minorHAnsi"/>
                <w:sz w:val="20"/>
                <w:szCs w:val="22"/>
                <w:lang w:val="hr-HR"/>
              </w:rPr>
            </w:pPr>
            <w:r w:rsidRPr="00361664">
              <w:rPr>
                <w:rFonts w:asciiTheme="minorHAnsi" w:hAnsiTheme="minorHAnsi"/>
                <w:sz w:val="20"/>
                <w:szCs w:val="22"/>
                <w:lang w:val="hr-HR"/>
              </w:rPr>
              <w:t>Ukupno: 162,5</w:t>
            </w:r>
            <w:r w:rsidR="007A3D6C" w:rsidRPr="00361664">
              <w:rPr>
                <w:rFonts w:asciiTheme="minorHAnsi" w:hAnsiTheme="minorHAnsi"/>
                <w:sz w:val="20"/>
                <w:szCs w:val="22"/>
                <w:lang w:val="hr-HR"/>
              </w:rPr>
              <w:t xml:space="preserve"> TJ</w:t>
            </w:r>
          </w:p>
        </w:tc>
      </w:tr>
      <w:tr w:rsidR="007A3D6C" w:rsidRPr="00361664" w:rsidTr="00961A34">
        <w:trPr>
          <w:trHeight w:val="20"/>
        </w:trPr>
        <w:tc>
          <w:tcPr>
            <w:tcW w:w="714" w:type="pct"/>
            <w:vMerge/>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szCs w:val="22"/>
                <w:lang w:val="hr-HR"/>
              </w:rPr>
              <w:t>Pretpostavke</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3477"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Osiguranje dostatnih financijskih sredstava kroz Godišnji plan investicija HEP-Proizvodnje te  Izvršenje aktivnosti izvođača prema planiranom/ugovorenom opsegu nabave i ugradnje opreme te ostalih nužnih radova unutar obvezujućih rokova.</w:t>
            </w:r>
          </w:p>
        </w:tc>
      </w:tr>
      <w:tr w:rsidR="007A3D6C" w:rsidRPr="00361664" w:rsidTr="00961A34">
        <w:trPr>
          <w:trHeight w:val="20"/>
        </w:trPr>
        <w:tc>
          <w:tcPr>
            <w:tcW w:w="714" w:type="pct"/>
            <w:vMerge/>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vAlign w:val="center"/>
          </w:tcPr>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Preklapanja, efekt množenja, sinergija</w:t>
            </w:r>
          </w:p>
          <w:p w:rsidR="007A3D6C" w:rsidRPr="00361664" w:rsidRDefault="007A3D6C"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3477" w:type="pct"/>
            <w:vAlign w:val="center"/>
          </w:tcPr>
          <w:p w:rsidR="007A3D6C" w:rsidRPr="00361664" w:rsidRDefault="007A3D6C" w:rsidP="00961A34">
            <w:pPr>
              <w:tabs>
                <w:tab w:val="left" w:pos="1440"/>
                <w:tab w:val="left" w:pos="5040"/>
              </w:tabs>
              <w:spacing w:after="0" w:line="240" w:lineRule="auto"/>
              <w:jc w:val="both"/>
              <w:rPr>
                <w:sz w:val="20"/>
              </w:rPr>
            </w:pPr>
            <w:r w:rsidRPr="00361664">
              <w:rPr>
                <w:sz w:val="20"/>
              </w:rPr>
              <w:t xml:space="preserve">Ne očekuju se utjecajni čimbenici koji mogu bitno utjecati na planiranu realizaciju navedenih aktivnosti u svrhu poboljšanja energetske učinkovitosti tijekom rekonstrukcije postrojenja u HE, TE i TE-TO HEP grupe. Nema preklapanja s drugim mjerama. </w:t>
            </w:r>
          </w:p>
        </w:tc>
      </w:tr>
    </w:tbl>
    <w:p w:rsidR="007A3D6C" w:rsidRPr="00361664" w:rsidRDefault="007A3D6C" w:rsidP="007A3D6C"/>
    <w:p w:rsidR="003E2572" w:rsidRPr="00361664" w:rsidRDefault="003E2572" w:rsidP="00651BCA">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503"/>
        <w:gridCol w:w="6459"/>
      </w:tblGrid>
      <w:tr w:rsidR="00961A34" w:rsidRPr="00361664" w:rsidTr="00961A34">
        <w:trPr>
          <w:trHeight w:val="20"/>
        </w:trPr>
        <w:tc>
          <w:tcPr>
            <w:tcW w:w="1523" w:type="pct"/>
            <w:gridSpan w:val="2"/>
            <w:tcBorders>
              <w:top w:val="single" w:sz="4" w:space="0" w:color="auto"/>
              <w:left w:val="single" w:sz="4" w:space="0" w:color="auto"/>
              <w:bottom w:val="single" w:sz="4" w:space="0" w:color="auto"/>
              <w:right w:val="single" w:sz="4" w:space="0" w:color="auto"/>
            </w:tcBorders>
            <w:shd w:val="clear" w:color="auto" w:fill="CCFFCC"/>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Naziv mjere </w:t>
            </w:r>
          </w:p>
        </w:tc>
        <w:tc>
          <w:tcPr>
            <w:tcW w:w="3477" w:type="pct"/>
            <w:tcBorders>
              <w:top w:val="single" w:sz="4" w:space="0" w:color="auto"/>
              <w:left w:val="single" w:sz="4" w:space="0" w:color="auto"/>
              <w:bottom w:val="single" w:sz="4" w:space="0" w:color="auto"/>
              <w:right w:val="single" w:sz="4" w:space="0" w:color="auto"/>
            </w:tcBorders>
            <w:shd w:val="clear" w:color="auto" w:fill="CCFFCC"/>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Poboljšanje učinkovitosti revitalizacijom postojećih HE u sklopu  HEP grupe  </w:t>
            </w:r>
          </w:p>
        </w:tc>
      </w:tr>
      <w:tr w:rsidR="00961A34" w:rsidRPr="00361664" w:rsidTr="00961A34">
        <w:trPr>
          <w:trHeight w:val="20"/>
        </w:trPr>
        <w:tc>
          <w:tcPr>
            <w:tcW w:w="1523" w:type="pct"/>
            <w:gridSpan w:val="2"/>
            <w:tcBorders>
              <w:top w:val="single" w:sz="4" w:space="0" w:color="auto"/>
              <w:left w:val="single" w:sz="4" w:space="0" w:color="auto"/>
              <w:bottom w:val="single" w:sz="4" w:space="0" w:color="auto"/>
              <w:right w:val="single" w:sz="4" w:space="0" w:color="auto"/>
            </w:tcBorders>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Indeks mjere</w:t>
            </w:r>
          </w:p>
        </w:tc>
        <w:tc>
          <w:tcPr>
            <w:tcW w:w="3477" w:type="pct"/>
            <w:tcBorders>
              <w:top w:val="single" w:sz="4" w:space="0" w:color="auto"/>
              <w:left w:val="single" w:sz="4" w:space="0" w:color="auto"/>
              <w:bottom w:val="single" w:sz="4" w:space="0" w:color="auto"/>
              <w:right w:val="single" w:sz="4" w:space="0" w:color="auto"/>
            </w:tcBorders>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E.2</w:t>
            </w:r>
          </w:p>
        </w:tc>
      </w:tr>
      <w:tr w:rsidR="00961A34" w:rsidRPr="00361664" w:rsidTr="00961A34">
        <w:trPr>
          <w:trHeight w:val="20"/>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p>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Opis</w:t>
            </w: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Kategorija</w:t>
            </w: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Proizvodnja električne energije - hidroelektrane </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Vremenski okvir</w:t>
            </w: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Početak: 2017.</w:t>
            </w:r>
          </w:p>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Kraj: 20</w:t>
            </w:r>
            <w:r w:rsidR="00953B65">
              <w:rPr>
                <w:rFonts w:asciiTheme="minorHAnsi" w:hAnsiTheme="minorHAnsi"/>
                <w:sz w:val="20"/>
                <w:szCs w:val="22"/>
                <w:lang w:val="hr-HR"/>
              </w:rPr>
              <w:t>20</w:t>
            </w:r>
            <w:r w:rsidRPr="00361664">
              <w:rPr>
                <w:rFonts w:asciiTheme="minorHAnsi" w:hAnsiTheme="minorHAnsi"/>
                <w:sz w:val="20"/>
                <w:szCs w:val="22"/>
                <w:lang w:val="hr-HR"/>
              </w:rPr>
              <w:t>.</w:t>
            </w:r>
          </w:p>
          <w:p w:rsidR="00961A34" w:rsidRPr="00361664" w:rsidRDefault="00961A34"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 xml:space="preserve">Višegodišnja etapnost revitalizacije postojećih HE </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 / kratak opis</w:t>
            </w: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Revitalizacija starijih HE podrazumijeva zamjenu primarne i sekundarne opreme radi povećanja pogonske spremnosti elektrana i raspoloživosti agregata uz povećanje instalirane snage i buduće proizvodnje, odnosno revitalizacija izravno doprinosi povećanju energetske učinkovitosti. Revitalizacijom se povećava stupanj korisnog  djelovanja agregata i elektrane u cjelini s mogućim povećanjem energetski značajnije dnevne i vršne proizvodnje. Povećanjem snage dio noćne proizvodnje prebacuje se u dnevnu proizvodnju.</w:t>
            </w:r>
          </w:p>
          <w:p w:rsidR="00961A34" w:rsidRPr="00361664" w:rsidRDefault="00961A34"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Povećanje ukupnog stupnja djelovanja elektrana temelji se na doprinosu novih tehnologija u projektiranju, proizvodnji i montaži primarne opreme, optimiranju vođenja pogona elektrana.</w:t>
            </w:r>
          </w:p>
          <w:p w:rsidR="00961A34" w:rsidRPr="00361664" w:rsidRDefault="00961A34" w:rsidP="00961A34">
            <w:pPr>
              <w:pStyle w:val="Tabletext"/>
              <w:tabs>
                <w:tab w:val="left" w:pos="1440"/>
                <w:tab w:val="left" w:pos="5040"/>
              </w:tabs>
              <w:spacing w:before="60" w:after="0" w:line="240" w:lineRule="auto"/>
              <w:rPr>
                <w:rFonts w:asciiTheme="minorHAnsi" w:hAnsiTheme="minorHAnsi"/>
                <w:sz w:val="20"/>
                <w:szCs w:val="22"/>
                <w:lang w:val="hr-HR"/>
              </w:rPr>
            </w:pPr>
            <w:r w:rsidRPr="00361664">
              <w:rPr>
                <w:rFonts w:asciiTheme="minorHAnsi" w:hAnsiTheme="minorHAnsi"/>
                <w:sz w:val="20"/>
                <w:szCs w:val="22"/>
                <w:lang w:val="hr-HR"/>
              </w:rPr>
              <w:t xml:space="preserve">Premda se revitalizacijom povećava  snaga i buduća proizvodnja HE i MHE, ne očekuje se pojačanje utjecaja na okoliš, tj. uvažavaju se postojeći  zahtjevi zaštite okoliša.        </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Ciljni doprinos učinkovitijoj proizvodnji el. en.</w:t>
            </w: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60" w:after="60" w:line="240" w:lineRule="auto"/>
              <w:rPr>
                <w:rFonts w:asciiTheme="minorHAnsi" w:hAnsiTheme="minorHAnsi"/>
                <w:sz w:val="20"/>
                <w:szCs w:val="22"/>
                <w:highlight w:val="yellow"/>
                <w:lang w:val="hr-HR"/>
              </w:rPr>
            </w:pPr>
            <w:r w:rsidRPr="00361664">
              <w:rPr>
                <w:rFonts w:asciiTheme="minorHAnsi" w:hAnsiTheme="minorHAnsi"/>
                <w:sz w:val="20"/>
                <w:szCs w:val="22"/>
                <w:lang w:val="hr-HR"/>
              </w:rPr>
              <w:t xml:space="preserve">Povećanje proizvodnje električne energije iz raspoloživog hidro-potencijala radi  povećanja sigurnosti pogona HE, povećanja  udjela OIE  u  proizvodnji el. energije  te  daljnjeg poboljšanja energetske učinkovitosti na postojećim hidro-energetskim građevinama. </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skupina</w:t>
            </w: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60" w:after="60" w:line="240" w:lineRule="auto"/>
              <w:rPr>
                <w:rFonts w:asciiTheme="minorHAnsi" w:hAnsiTheme="minorHAnsi"/>
                <w:sz w:val="20"/>
                <w:szCs w:val="22"/>
                <w:highlight w:val="yellow"/>
                <w:lang w:val="hr-HR"/>
              </w:rPr>
            </w:pPr>
            <w:r w:rsidRPr="00361664">
              <w:rPr>
                <w:rFonts w:asciiTheme="minorHAnsi" w:hAnsiTheme="minorHAnsi"/>
                <w:sz w:val="20"/>
                <w:szCs w:val="22"/>
                <w:lang w:val="hr-HR"/>
              </w:rPr>
              <w:t xml:space="preserve">Izgrađene  HE   </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Nacionalno</w:t>
            </w:r>
          </w:p>
        </w:tc>
      </w:tr>
      <w:tr w:rsidR="00961A34" w:rsidRPr="00361664" w:rsidTr="00961A34">
        <w:trPr>
          <w:trHeight w:val="20"/>
        </w:trPr>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Informacije o  provedbi</w:t>
            </w: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Popis i opis aktivnosti za provođenje mjere</w:t>
            </w:r>
          </w:p>
        </w:tc>
        <w:tc>
          <w:tcPr>
            <w:tcW w:w="3477" w:type="pct"/>
            <w:tcBorders>
              <w:top w:val="single" w:sz="4" w:space="0" w:color="auto"/>
              <w:left w:val="single" w:sz="4" w:space="0" w:color="auto"/>
              <w:bottom w:val="single" w:sz="4" w:space="0" w:color="auto"/>
              <w:right w:val="single" w:sz="4" w:space="0" w:color="auto"/>
            </w:tcBorders>
            <w:vAlign w:val="center"/>
          </w:tcPr>
          <w:p w:rsidR="00961A34" w:rsidRPr="00361664" w:rsidRDefault="00CF5C33" w:rsidP="00961A34">
            <w:pPr>
              <w:pStyle w:val="Tabletext"/>
              <w:tabs>
                <w:tab w:val="left" w:pos="1440"/>
                <w:tab w:val="left" w:pos="5040"/>
              </w:tabs>
              <w:spacing w:after="0" w:line="240" w:lineRule="auto"/>
              <w:rPr>
                <w:rFonts w:asciiTheme="minorHAnsi" w:hAnsiTheme="minorHAnsi"/>
                <w:sz w:val="20"/>
                <w:szCs w:val="22"/>
                <w:lang w:val="hr-HR"/>
              </w:rPr>
            </w:pPr>
            <w:r>
              <w:rPr>
                <w:rFonts w:asciiTheme="minorHAnsi" w:hAnsiTheme="minorHAnsi"/>
                <w:sz w:val="20"/>
                <w:szCs w:val="22"/>
                <w:lang w:val="hr-HR"/>
              </w:rPr>
              <w:t>A</w:t>
            </w:r>
            <w:r w:rsidR="00961A34" w:rsidRPr="00361664">
              <w:rPr>
                <w:rFonts w:asciiTheme="minorHAnsi" w:hAnsiTheme="minorHAnsi"/>
                <w:sz w:val="20"/>
                <w:szCs w:val="22"/>
                <w:lang w:val="hr-HR"/>
              </w:rPr>
              <w:t>ktivnosti:</w:t>
            </w:r>
          </w:p>
          <w:p w:rsidR="00961A34" w:rsidRPr="00361664" w:rsidRDefault="00961A34" w:rsidP="00CD00FF">
            <w:pPr>
              <w:pStyle w:val="Tabletext"/>
              <w:numPr>
                <w:ilvl w:val="0"/>
                <w:numId w:val="25"/>
              </w:numPr>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b/>
                <w:sz w:val="20"/>
                <w:szCs w:val="22"/>
                <w:lang w:val="hr-HR"/>
              </w:rPr>
              <w:t>Centar proizvodnje PP HE Zapad</w:t>
            </w:r>
            <w:r w:rsidRPr="00361664">
              <w:rPr>
                <w:rFonts w:asciiTheme="minorHAnsi" w:hAnsiTheme="minorHAnsi"/>
                <w:sz w:val="20"/>
                <w:szCs w:val="22"/>
                <w:lang w:val="hr-HR"/>
              </w:rPr>
              <w:t xml:space="preserve"> (2015.-201</w:t>
            </w:r>
            <w:r w:rsidR="00D1190D">
              <w:rPr>
                <w:rFonts w:asciiTheme="minorHAnsi" w:hAnsiTheme="minorHAnsi"/>
                <w:sz w:val="20"/>
                <w:szCs w:val="22"/>
                <w:lang w:val="hr-HR"/>
              </w:rPr>
              <w:t>9</w:t>
            </w:r>
            <w:r w:rsidRPr="00361664">
              <w:rPr>
                <w:rFonts w:asciiTheme="minorHAnsi" w:hAnsiTheme="minorHAnsi"/>
                <w:sz w:val="20"/>
                <w:szCs w:val="22"/>
                <w:lang w:val="hr-HR"/>
              </w:rPr>
              <w:t>.)</w:t>
            </w:r>
          </w:p>
          <w:p w:rsidR="00961A34" w:rsidRPr="00361664" w:rsidRDefault="00961A34" w:rsidP="001E243B">
            <w:pPr>
              <w:pStyle w:val="Tabletext"/>
              <w:tabs>
                <w:tab w:val="left" w:pos="1440"/>
                <w:tab w:val="left" w:pos="5040"/>
              </w:tabs>
              <w:spacing w:after="0" w:line="240" w:lineRule="auto"/>
              <w:ind w:left="592"/>
              <w:rPr>
                <w:rFonts w:asciiTheme="minorHAnsi" w:hAnsiTheme="minorHAnsi"/>
                <w:sz w:val="20"/>
                <w:szCs w:val="22"/>
                <w:lang w:val="hr-HR"/>
              </w:rPr>
            </w:pPr>
            <w:r w:rsidRPr="00361664">
              <w:rPr>
                <w:rFonts w:asciiTheme="minorHAnsi" w:hAnsiTheme="minorHAnsi"/>
                <w:sz w:val="20"/>
                <w:szCs w:val="22"/>
                <w:lang w:val="hr-HR"/>
              </w:rPr>
              <w:t xml:space="preserve">Opremanje/automatizacija hidroloških i piezometarskih postaja i uvođenje hidroloških mjerenja za sve HE u CPZ , automatizacija i PKČ za sve HE PP HE Zapad, S/H opremanje CPZ, opremanje Upravne </w:t>
            </w:r>
            <w:r w:rsidRPr="00361664">
              <w:rPr>
                <w:rFonts w:asciiTheme="minorHAnsi" w:hAnsiTheme="minorHAnsi"/>
                <w:sz w:val="20"/>
                <w:szCs w:val="22"/>
                <w:lang w:val="hr-HR"/>
              </w:rPr>
              <w:lastRenderedPageBreak/>
              <w:t xml:space="preserve">zgrade u HE Senj za CPZ. </w:t>
            </w:r>
          </w:p>
          <w:p w:rsidR="00961A34" w:rsidRPr="00361664" w:rsidRDefault="00961A34" w:rsidP="00CD00FF">
            <w:pPr>
              <w:pStyle w:val="Tabletext"/>
              <w:numPr>
                <w:ilvl w:val="0"/>
                <w:numId w:val="25"/>
              </w:numPr>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b/>
                <w:sz w:val="20"/>
                <w:szCs w:val="22"/>
                <w:lang w:val="hr-HR"/>
              </w:rPr>
              <w:t>Etapna revitalizacija HE Ozalj 1</w:t>
            </w:r>
            <w:r w:rsidRPr="00361664">
              <w:rPr>
                <w:rFonts w:asciiTheme="minorHAnsi" w:hAnsiTheme="minorHAnsi"/>
                <w:sz w:val="20"/>
                <w:szCs w:val="22"/>
                <w:lang w:val="hr-HR"/>
              </w:rPr>
              <w:t xml:space="preserve"> (2013.-2020.)  </w:t>
            </w:r>
          </w:p>
          <w:p w:rsidR="00961A34" w:rsidRPr="00361664" w:rsidRDefault="00961A34" w:rsidP="001E243B">
            <w:pPr>
              <w:pStyle w:val="Tabletext"/>
              <w:tabs>
                <w:tab w:val="left" w:pos="1440"/>
                <w:tab w:val="left" w:pos="5040"/>
              </w:tabs>
              <w:spacing w:after="0" w:line="240" w:lineRule="auto"/>
              <w:ind w:left="592"/>
              <w:rPr>
                <w:rFonts w:asciiTheme="minorHAnsi" w:hAnsiTheme="minorHAnsi"/>
                <w:sz w:val="20"/>
                <w:szCs w:val="22"/>
                <w:lang w:val="hr-HR"/>
              </w:rPr>
            </w:pPr>
            <w:r w:rsidRPr="00361664">
              <w:rPr>
                <w:rFonts w:asciiTheme="minorHAnsi" w:hAnsiTheme="minorHAnsi"/>
                <w:sz w:val="20"/>
                <w:szCs w:val="22"/>
                <w:lang w:val="hr-HR"/>
              </w:rPr>
              <w:t xml:space="preserve">Revitalizacija HE Ozalj 1: revitalizacija generatora A, B i C. Tijekom perioda 2017. – 2020. g. planirana je izrada, isporuka i montaža A, B i C generatora, s pripadnom uzbudom i turbinskom regulacijom, SN oprema, mrežni transformator te USZMR oprema. </w:t>
            </w:r>
          </w:p>
          <w:p w:rsidR="00961A34" w:rsidRPr="00361664" w:rsidRDefault="00961A34" w:rsidP="00CD00FF">
            <w:pPr>
              <w:pStyle w:val="Tabletext"/>
              <w:numPr>
                <w:ilvl w:val="0"/>
                <w:numId w:val="25"/>
              </w:numPr>
              <w:tabs>
                <w:tab w:val="left" w:pos="244"/>
                <w:tab w:val="left" w:pos="5040"/>
              </w:tabs>
              <w:spacing w:after="0" w:line="240" w:lineRule="auto"/>
              <w:rPr>
                <w:rFonts w:asciiTheme="minorHAnsi" w:hAnsiTheme="minorHAnsi"/>
                <w:sz w:val="20"/>
                <w:szCs w:val="22"/>
                <w:lang w:val="hr-HR"/>
              </w:rPr>
            </w:pPr>
            <w:r w:rsidRPr="00361664">
              <w:rPr>
                <w:rFonts w:asciiTheme="minorHAnsi" w:hAnsiTheme="minorHAnsi"/>
                <w:b/>
                <w:sz w:val="20"/>
                <w:szCs w:val="22"/>
                <w:lang w:val="hr-HR"/>
              </w:rPr>
              <w:t>Etapna revitalizacija generatora GHE Gojak</w:t>
            </w:r>
            <w:r w:rsidRPr="00361664">
              <w:rPr>
                <w:rFonts w:asciiTheme="minorHAnsi" w:hAnsiTheme="minorHAnsi"/>
                <w:sz w:val="20"/>
                <w:szCs w:val="22"/>
                <w:lang w:val="hr-HR"/>
              </w:rPr>
              <w:t xml:space="preserve"> (2015.-2020.)</w:t>
            </w:r>
          </w:p>
          <w:p w:rsidR="00961A34" w:rsidRPr="00361664" w:rsidRDefault="00961A34" w:rsidP="002A0422">
            <w:pPr>
              <w:pStyle w:val="Tabletext"/>
              <w:tabs>
                <w:tab w:val="left" w:pos="244"/>
                <w:tab w:val="left" w:pos="5040"/>
              </w:tabs>
              <w:spacing w:after="0" w:line="240" w:lineRule="auto"/>
              <w:ind w:left="592"/>
              <w:rPr>
                <w:rFonts w:asciiTheme="minorHAnsi" w:hAnsiTheme="minorHAnsi"/>
                <w:sz w:val="20"/>
                <w:szCs w:val="22"/>
                <w:lang w:val="hr-HR"/>
              </w:rPr>
            </w:pPr>
            <w:r w:rsidRPr="00361664">
              <w:rPr>
                <w:rFonts w:asciiTheme="minorHAnsi" w:hAnsiTheme="minorHAnsi"/>
                <w:sz w:val="20"/>
                <w:szCs w:val="22"/>
                <w:lang w:val="hr-HR"/>
              </w:rPr>
              <w:t xml:space="preserve">Projektiranje, izrada, isporuka i ugradnja, puštanje u pogon 3 sinkrona generatora, pojedinačne snage 25 MVA, projektiranje, izrada, isporuka i ugradnja, puštanje u pogon monitoringa agregata te prilagodba ostalih sustava elektrane (USZMR i PROCIS, sustav uzbude, sustav  turbinske regulacije, dovod zraka pod radno kolo turbine kroz novo vratilo generatora). </w:t>
            </w:r>
            <w:r w:rsidR="002A0422" w:rsidRPr="00361664">
              <w:rPr>
                <w:rFonts w:asciiTheme="minorHAnsi" w:hAnsiTheme="minorHAnsi"/>
                <w:sz w:val="20"/>
                <w:szCs w:val="22"/>
                <w:lang w:val="hr-HR"/>
              </w:rPr>
              <w:t>A</w:t>
            </w:r>
            <w:r w:rsidRPr="00361664">
              <w:rPr>
                <w:rFonts w:asciiTheme="minorHAnsi" w:hAnsiTheme="minorHAnsi"/>
                <w:sz w:val="20"/>
                <w:szCs w:val="22"/>
                <w:lang w:val="hr-HR"/>
              </w:rPr>
              <w:t>ktivnosti: 2016. g. ugovaranje, projektiranje i nabava materijala; tijekom perioda 2017. – 2019. g. planirana je izrada, isporuka i montaža A, B i C generatora; u 2020. g. planirana je isporuka ugovorene dokumentacije te konačni obračun.</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Financijska sredstva i izvori financiranja</w:t>
            </w:r>
          </w:p>
        </w:tc>
        <w:tc>
          <w:tcPr>
            <w:tcW w:w="3477" w:type="pct"/>
            <w:tcBorders>
              <w:top w:val="single" w:sz="4" w:space="0" w:color="auto"/>
              <w:left w:val="single" w:sz="4" w:space="0" w:color="auto"/>
              <w:bottom w:val="single" w:sz="4" w:space="0" w:color="auto"/>
              <w:right w:val="single" w:sz="4" w:space="0" w:color="auto"/>
            </w:tcBorders>
            <w:vAlign w:val="center"/>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p>
          <w:p w:rsidR="006A0310" w:rsidRPr="00361664" w:rsidRDefault="00195AC4" w:rsidP="0008636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Ukupno planirana vlastita sredstva do kraja 2019. godine iznose: </w:t>
            </w:r>
            <w:r w:rsidR="00086369" w:rsidRPr="00361664">
              <w:rPr>
                <w:rFonts w:asciiTheme="minorHAnsi" w:hAnsiTheme="minorHAnsi"/>
                <w:sz w:val="20"/>
                <w:szCs w:val="22"/>
                <w:lang w:val="hr-HR"/>
              </w:rPr>
              <w:t>135.703.065</w:t>
            </w:r>
            <w:r w:rsidRPr="00361664">
              <w:rPr>
                <w:rFonts w:asciiTheme="minorHAnsi" w:hAnsiTheme="minorHAnsi"/>
                <w:sz w:val="20"/>
                <w:szCs w:val="22"/>
                <w:lang w:val="hr-HR"/>
              </w:rPr>
              <w:t>,00 kn.</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Izvršno  tijelo</w:t>
            </w: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60" w:after="60" w:line="240" w:lineRule="auto"/>
              <w:rPr>
                <w:rFonts w:asciiTheme="minorHAnsi" w:hAnsiTheme="minorHAnsi"/>
                <w:sz w:val="20"/>
                <w:szCs w:val="22"/>
                <w:lang w:val="hr-HR"/>
              </w:rPr>
            </w:pPr>
            <w:r w:rsidRPr="00361664">
              <w:rPr>
                <w:rFonts w:asciiTheme="minorHAnsi" w:hAnsiTheme="minorHAnsi"/>
                <w:sz w:val="20"/>
                <w:szCs w:val="22"/>
                <w:lang w:val="hr-HR"/>
              </w:rPr>
              <w:t xml:space="preserve">HEP-Proizvodnja d.o.o., Sektor za hidroelektrane </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640C0B"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Tijelo za praćenje, mjerenje i verifikaciju ušteda</w:t>
            </w: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NKT </w:t>
            </w:r>
          </w:p>
        </w:tc>
      </w:tr>
      <w:tr w:rsidR="00961A34" w:rsidRPr="00361664" w:rsidTr="00961A34">
        <w:trPr>
          <w:trHeight w:val="20"/>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961A34" w:rsidRPr="00361664" w:rsidRDefault="00961A34" w:rsidP="00961A34">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Uštede energije</w:t>
            </w:r>
          </w:p>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Metoda praćenja / mjerenja ušteda energije</w:t>
            </w:r>
          </w:p>
        </w:tc>
        <w:tc>
          <w:tcPr>
            <w:tcW w:w="3477" w:type="pct"/>
            <w:tcBorders>
              <w:top w:val="single" w:sz="4" w:space="0" w:color="auto"/>
              <w:left w:val="single" w:sz="4" w:space="0" w:color="auto"/>
              <w:bottom w:val="single" w:sz="4" w:space="0" w:color="auto"/>
              <w:right w:val="single" w:sz="4" w:space="0" w:color="auto"/>
            </w:tcBorders>
            <w:vAlign w:val="center"/>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1. Usporedba godišnje proizvodnje za slične hidrološke okolnosti na razini godine za razdoblja prije i nakon uspostave Centra proizvodnje PP HE Zapad.  </w:t>
            </w:r>
          </w:p>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2. Usporedba povećanja angažiranosti snage i proizvedene električne energije prije i nakon revitalizacije HE Ozalj 1, usporedba doprinosa u sekundarnoj regulaciji prije i nakon revitalizacije, usporedba sati pogonske spremnosti i raspoloživosti proizvodnih jedinica te smanjenja troškova korektivnog održavanja.  </w:t>
            </w:r>
          </w:p>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3. Usporedba povećanja angažiranosti snage i proizvedene električne energije prije i nakon revitalizacije GHE Gojak, usporedba doprinosa u sekundarnoj regulaciji prije i nakon revitalizacije, usporedba sati pogonske spremnosti i raspoloživosti proizvodnih jedinica te smanjenja troškova korektivnog održavanja.  </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Očekivane uštede energije do kraja 2019.</w:t>
            </w:r>
          </w:p>
        </w:tc>
        <w:tc>
          <w:tcPr>
            <w:tcW w:w="3477" w:type="pct"/>
            <w:tcBorders>
              <w:top w:val="single" w:sz="4" w:space="0" w:color="auto"/>
              <w:left w:val="single" w:sz="4" w:space="0" w:color="auto"/>
              <w:bottom w:val="single" w:sz="4" w:space="0" w:color="auto"/>
              <w:right w:val="single" w:sz="4" w:space="0" w:color="auto"/>
            </w:tcBorders>
            <w:vAlign w:val="center"/>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p>
          <w:p w:rsidR="00961A34" w:rsidRPr="00361664" w:rsidRDefault="00961A34" w:rsidP="00CD00FF">
            <w:pPr>
              <w:pStyle w:val="Tabletext"/>
              <w:numPr>
                <w:ilvl w:val="0"/>
                <w:numId w:val="20"/>
              </w:numPr>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b/>
                <w:sz w:val="20"/>
                <w:szCs w:val="22"/>
                <w:lang w:val="hr-HR"/>
              </w:rPr>
              <w:t>Centar proizvodnje PP HE Zapad</w:t>
            </w:r>
            <w:r w:rsidRPr="00361664">
              <w:rPr>
                <w:rFonts w:asciiTheme="minorHAnsi" w:hAnsiTheme="minorHAnsi"/>
                <w:sz w:val="20"/>
                <w:szCs w:val="22"/>
                <w:lang w:val="hr-HR"/>
              </w:rPr>
              <w:t xml:space="preserve">, neizravni učinak optimizacije pogona na povećanja proizvodnje HE za 60 GWh/god.   </w:t>
            </w:r>
          </w:p>
          <w:p w:rsidR="00961A34" w:rsidRPr="00361664" w:rsidRDefault="00961A34" w:rsidP="00CD00FF">
            <w:pPr>
              <w:pStyle w:val="Tabletext"/>
              <w:numPr>
                <w:ilvl w:val="0"/>
                <w:numId w:val="20"/>
              </w:numPr>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b/>
                <w:sz w:val="20"/>
                <w:szCs w:val="22"/>
                <w:lang w:val="hr-HR"/>
              </w:rPr>
              <w:t>Revitalizacijom HE Ozalj 1</w:t>
            </w:r>
            <w:r w:rsidRPr="00361664">
              <w:rPr>
                <w:rFonts w:asciiTheme="minorHAnsi" w:hAnsiTheme="minorHAnsi"/>
                <w:sz w:val="20"/>
                <w:szCs w:val="22"/>
                <w:lang w:val="hr-HR"/>
              </w:rPr>
              <w:t xml:space="preserve"> očekuje se povećanje proizvodnje za 1 GWh/god. u prosječnim hidrološkim godinama, povećanje snage elektrane za 0,72 MW krajem 2020.   </w:t>
            </w:r>
          </w:p>
          <w:p w:rsidR="00961A34" w:rsidRPr="00361664" w:rsidRDefault="00961A34" w:rsidP="00CD00FF">
            <w:pPr>
              <w:pStyle w:val="Tabletext"/>
              <w:numPr>
                <w:ilvl w:val="0"/>
                <w:numId w:val="20"/>
              </w:numPr>
              <w:tabs>
                <w:tab w:val="left" w:pos="1440"/>
                <w:tab w:val="left" w:pos="5040"/>
              </w:tabs>
              <w:spacing w:after="0" w:line="240" w:lineRule="auto"/>
              <w:rPr>
                <w:rFonts w:asciiTheme="minorHAnsi" w:hAnsiTheme="minorHAnsi"/>
                <w:sz w:val="20"/>
                <w:szCs w:val="22"/>
                <w:lang w:val="hr-HR"/>
              </w:rPr>
            </w:pPr>
            <w:r w:rsidRPr="00361664">
              <w:rPr>
                <w:rFonts w:asciiTheme="minorHAnsi" w:hAnsiTheme="minorHAnsi"/>
                <w:b/>
                <w:sz w:val="20"/>
                <w:szCs w:val="22"/>
                <w:lang w:val="hr-HR"/>
              </w:rPr>
              <w:t>Revitalizacijom GHE Gojak</w:t>
            </w:r>
            <w:r w:rsidRPr="00361664">
              <w:rPr>
                <w:rFonts w:asciiTheme="minorHAnsi" w:hAnsiTheme="minorHAnsi"/>
                <w:sz w:val="20"/>
                <w:szCs w:val="22"/>
                <w:lang w:val="hr-HR"/>
              </w:rPr>
              <w:t xml:space="preserve"> očekuje se povećanje proizvodnje za 9 GWh/god. u prosječnim hidrološkim godinama, povećanje snage elektrane za 16,5 MW krajem 2020. </w:t>
            </w:r>
          </w:p>
          <w:p w:rsidR="00961A34" w:rsidRPr="00361664" w:rsidRDefault="00961A34" w:rsidP="00961A34">
            <w:pPr>
              <w:pStyle w:val="Tabletext"/>
              <w:tabs>
                <w:tab w:val="left" w:pos="1440"/>
                <w:tab w:val="left" w:pos="5040"/>
              </w:tabs>
              <w:spacing w:after="0" w:line="240" w:lineRule="auto"/>
              <w:ind w:left="592"/>
              <w:rPr>
                <w:rFonts w:asciiTheme="minorHAnsi" w:hAnsiTheme="minorHAnsi"/>
                <w:sz w:val="20"/>
                <w:szCs w:val="22"/>
                <w:lang w:val="hr-HR"/>
              </w:rPr>
            </w:pPr>
          </w:p>
          <w:p w:rsidR="00961A34" w:rsidRPr="00361664" w:rsidRDefault="00961A34" w:rsidP="00961A34">
            <w:pPr>
              <w:pStyle w:val="Tabletext"/>
              <w:tabs>
                <w:tab w:val="left" w:pos="1440"/>
                <w:tab w:val="left" w:pos="5040"/>
              </w:tabs>
              <w:spacing w:before="0" w:after="60" w:line="240" w:lineRule="auto"/>
              <w:rPr>
                <w:rFonts w:asciiTheme="minorHAnsi" w:hAnsiTheme="minorHAnsi"/>
                <w:sz w:val="20"/>
                <w:szCs w:val="22"/>
                <w:lang w:val="hr-HR"/>
              </w:rPr>
            </w:pPr>
            <w:r w:rsidRPr="00361664">
              <w:rPr>
                <w:rFonts w:asciiTheme="minorHAnsi" w:hAnsiTheme="minorHAnsi"/>
                <w:sz w:val="20"/>
                <w:szCs w:val="22"/>
                <w:lang w:val="hr-HR"/>
              </w:rPr>
              <w:t>Ukupno: 70 GWh</w:t>
            </w:r>
          </w:p>
          <w:p w:rsidR="003F7345" w:rsidRPr="00361664" w:rsidRDefault="003F7345" w:rsidP="00086369">
            <w:pPr>
              <w:pStyle w:val="Tabletext"/>
              <w:tabs>
                <w:tab w:val="left" w:pos="1440"/>
                <w:tab w:val="left" w:pos="5040"/>
              </w:tabs>
              <w:spacing w:before="0" w:after="60" w:line="240" w:lineRule="auto"/>
              <w:rPr>
                <w:rFonts w:asciiTheme="minorHAnsi" w:hAnsiTheme="minorHAnsi"/>
                <w:sz w:val="20"/>
                <w:szCs w:val="22"/>
                <w:u w:val="single"/>
                <w:lang w:val="hr-HR"/>
              </w:rPr>
            </w:pPr>
            <w:r w:rsidRPr="00361664">
              <w:rPr>
                <w:rFonts w:asciiTheme="minorHAnsi" w:hAnsiTheme="minorHAnsi"/>
                <w:sz w:val="20"/>
                <w:szCs w:val="22"/>
                <w:lang w:val="hr-HR"/>
              </w:rPr>
              <w:t>Ukupno: 2</w:t>
            </w:r>
            <w:r w:rsidR="00086369" w:rsidRPr="00361664">
              <w:rPr>
                <w:rFonts w:asciiTheme="minorHAnsi" w:hAnsiTheme="minorHAnsi"/>
                <w:sz w:val="20"/>
                <w:szCs w:val="22"/>
                <w:lang w:val="hr-HR"/>
              </w:rPr>
              <w:t>16</w:t>
            </w:r>
            <w:r w:rsidRPr="00361664">
              <w:rPr>
                <w:rFonts w:asciiTheme="minorHAnsi" w:hAnsiTheme="minorHAnsi"/>
                <w:sz w:val="20"/>
                <w:szCs w:val="22"/>
                <w:lang w:val="hr-HR"/>
              </w:rPr>
              <w:t xml:space="preserve"> TJ</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highlight w:val="yellow"/>
                <w:lang w:val="hr-HR"/>
              </w:rPr>
            </w:pPr>
            <w:r w:rsidRPr="00361664">
              <w:rPr>
                <w:rFonts w:asciiTheme="minorHAnsi" w:hAnsiTheme="minorHAnsi"/>
                <w:sz w:val="20"/>
                <w:szCs w:val="22"/>
                <w:lang w:val="hr-HR"/>
              </w:rPr>
              <w:t>Očekivane uštede energije do kraja 2020.</w:t>
            </w:r>
          </w:p>
        </w:tc>
        <w:tc>
          <w:tcPr>
            <w:tcW w:w="3477" w:type="pct"/>
            <w:tcBorders>
              <w:top w:val="single" w:sz="4" w:space="0" w:color="auto"/>
              <w:left w:val="single" w:sz="4" w:space="0" w:color="auto"/>
              <w:bottom w:val="single" w:sz="4" w:space="0" w:color="auto"/>
              <w:right w:val="single" w:sz="4" w:space="0" w:color="auto"/>
            </w:tcBorders>
            <w:vAlign w:val="center"/>
          </w:tcPr>
          <w:p w:rsidR="00961A34" w:rsidRPr="00361664" w:rsidRDefault="00961A34" w:rsidP="00961A34">
            <w:pPr>
              <w:pStyle w:val="Tabletext"/>
              <w:tabs>
                <w:tab w:val="left" w:pos="1440"/>
                <w:tab w:val="left" w:pos="5040"/>
              </w:tabs>
              <w:spacing w:before="0" w:after="0" w:line="240" w:lineRule="auto"/>
              <w:ind w:left="360"/>
              <w:rPr>
                <w:rFonts w:asciiTheme="minorHAnsi" w:hAnsiTheme="minorHAnsi"/>
                <w:sz w:val="20"/>
                <w:szCs w:val="22"/>
                <w:lang w:val="hr-HR"/>
              </w:rPr>
            </w:pPr>
            <w:r w:rsidRPr="00361664">
              <w:rPr>
                <w:rFonts w:asciiTheme="minorHAnsi" w:hAnsiTheme="minorHAnsi"/>
                <w:b/>
                <w:sz w:val="20"/>
                <w:szCs w:val="22"/>
                <w:lang w:val="hr-HR"/>
              </w:rPr>
              <w:t>1. Centar proizvodnje PP HE Zapad</w:t>
            </w:r>
            <w:r w:rsidRPr="00361664">
              <w:rPr>
                <w:rFonts w:asciiTheme="minorHAnsi" w:hAnsiTheme="minorHAnsi"/>
                <w:sz w:val="20"/>
                <w:szCs w:val="22"/>
                <w:lang w:val="hr-HR"/>
              </w:rPr>
              <w:t xml:space="preserve"> - 120 GWh  </w:t>
            </w:r>
          </w:p>
          <w:p w:rsidR="00961A34" w:rsidRPr="00361664" w:rsidRDefault="00961A34" w:rsidP="00961A34">
            <w:pPr>
              <w:pStyle w:val="Tabletext"/>
              <w:tabs>
                <w:tab w:val="left" w:pos="1440"/>
                <w:tab w:val="left" w:pos="5040"/>
              </w:tabs>
              <w:spacing w:before="0" w:after="0" w:line="240" w:lineRule="auto"/>
              <w:ind w:left="360"/>
              <w:rPr>
                <w:rFonts w:asciiTheme="minorHAnsi" w:hAnsiTheme="minorHAnsi"/>
                <w:sz w:val="20"/>
                <w:szCs w:val="22"/>
                <w:lang w:val="hr-HR"/>
              </w:rPr>
            </w:pPr>
            <w:r w:rsidRPr="00361664">
              <w:rPr>
                <w:rFonts w:asciiTheme="minorHAnsi" w:hAnsiTheme="minorHAnsi"/>
                <w:b/>
                <w:sz w:val="20"/>
                <w:szCs w:val="22"/>
                <w:lang w:val="hr-HR"/>
              </w:rPr>
              <w:t>2. Revitalizacija HE Ozalj 1</w:t>
            </w:r>
            <w:r w:rsidRPr="00361664">
              <w:rPr>
                <w:rFonts w:asciiTheme="minorHAnsi" w:hAnsiTheme="minorHAnsi"/>
                <w:sz w:val="20"/>
                <w:szCs w:val="22"/>
                <w:lang w:val="hr-HR"/>
              </w:rPr>
              <w:t xml:space="preserve">  - 1 GWh  </w:t>
            </w:r>
          </w:p>
          <w:p w:rsidR="00961A34" w:rsidRPr="00361664" w:rsidRDefault="00961A34" w:rsidP="00961A34">
            <w:pPr>
              <w:pStyle w:val="Tabletext"/>
              <w:tabs>
                <w:tab w:val="left" w:pos="1440"/>
                <w:tab w:val="left" w:pos="5040"/>
              </w:tabs>
              <w:spacing w:before="0" w:after="0" w:line="240" w:lineRule="auto"/>
              <w:ind w:left="360"/>
              <w:rPr>
                <w:rFonts w:asciiTheme="minorHAnsi" w:hAnsiTheme="minorHAnsi"/>
                <w:sz w:val="20"/>
                <w:szCs w:val="22"/>
                <w:lang w:val="hr-HR"/>
              </w:rPr>
            </w:pPr>
            <w:r w:rsidRPr="00361664">
              <w:rPr>
                <w:rFonts w:asciiTheme="minorHAnsi" w:hAnsiTheme="minorHAnsi"/>
                <w:b/>
                <w:sz w:val="20"/>
                <w:szCs w:val="22"/>
                <w:lang w:val="hr-HR"/>
              </w:rPr>
              <w:t>3. Revitalizacija GHE Gojak</w:t>
            </w:r>
            <w:r w:rsidRPr="00361664">
              <w:rPr>
                <w:rFonts w:asciiTheme="minorHAnsi" w:hAnsiTheme="minorHAnsi"/>
                <w:sz w:val="20"/>
                <w:szCs w:val="22"/>
                <w:lang w:val="hr-HR"/>
              </w:rPr>
              <w:t xml:space="preserve"> - 9 GWh</w:t>
            </w:r>
          </w:p>
          <w:p w:rsidR="00961A34" w:rsidRPr="00361664" w:rsidRDefault="00961A34" w:rsidP="00961A34">
            <w:pPr>
              <w:pStyle w:val="Tabletext"/>
              <w:tabs>
                <w:tab w:val="left" w:pos="1440"/>
                <w:tab w:val="left" w:pos="5040"/>
              </w:tabs>
              <w:spacing w:before="0" w:after="0" w:line="240" w:lineRule="auto"/>
              <w:ind w:left="360"/>
              <w:rPr>
                <w:rFonts w:asciiTheme="minorHAnsi" w:hAnsiTheme="minorHAnsi"/>
                <w:b/>
                <w:sz w:val="20"/>
                <w:szCs w:val="22"/>
                <w:lang w:val="hr-HR"/>
              </w:rPr>
            </w:pPr>
          </w:p>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Ukupno: 130 GWh</w:t>
            </w:r>
          </w:p>
          <w:p w:rsidR="00961A34" w:rsidRPr="00361664" w:rsidRDefault="00961A34" w:rsidP="0008636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Ukupno: 4</w:t>
            </w:r>
            <w:r w:rsidR="00086369" w:rsidRPr="00361664">
              <w:rPr>
                <w:rFonts w:asciiTheme="minorHAnsi" w:hAnsiTheme="minorHAnsi"/>
                <w:sz w:val="20"/>
                <w:szCs w:val="22"/>
                <w:lang w:val="hr-HR"/>
              </w:rPr>
              <w:t>35,6</w:t>
            </w:r>
            <w:r w:rsidRPr="00361664">
              <w:rPr>
                <w:rFonts w:asciiTheme="minorHAnsi" w:hAnsiTheme="minorHAnsi"/>
                <w:sz w:val="20"/>
                <w:szCs w:val="22"/>
                <w:lang w:val="hr-HR"/>
              </w:rPr>
              <w:t xml:space="preserve"> TJ</w:t>
            </w:r>
          </w:p>
        </w:tc>
      </w:tr>
      <w:tr w:rsidR="00961A34" w:rsidRPr="00361664" w:rsidTr="00961A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tcPr>
          <w:p w:rsidR="00961A34" w:rsidRPr="00361664" w:rsidRDefault="00961A34" w:rsidP="00961A34">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Pretpostavke</w:t>
            </w:r>
          </w:p>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Ostvarenje barem prosječnih hidroloških okolnosti, osiguranje planiranih financijskih sredstava za završetak opremanja Dispečerskog centra proizvodnje Dalmacije, etapnost revitalizacije navedenih HE i MHE, izvršenje aktivnosti izvođača prema planiranom/ugovorenom  opsegu nabave i ugradnje opreme unutar obvezujućih rokova. </w:t>
            </w:r>
          </w:p>
        </w:tc>
      </w:tr>
      <w:tr w:rsidR="00961A34" w:rsidRPr="00361664" w:rsidTr="001E243B">
        <w:trPr>
          <w:trHeight w:val="19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961A34">
            <w:pPr>
              <w:spacing w:after="0" w:line="240" w:lineRule="auto"/>
              <w:jc w:val="both"/>
              <w:rPr>
                <w:sz w:val="20"/>
                <w:lang w:eastAsia="de-DE"/>
              </w:rPr>
            </w:pPr>
          </w:p>
        </w:tc>
        <w:tc>
          <w:tcPr>
            <w:tcW w:w="809" w:type="pct"/>
            <w:tcBorders>
              <w:top w:val="single" w:sz="4" w:space="0" w:color="auto"/>
              <w:left w:val="single" w:sz="4" w:space="0" w:color="auto"/>
              <w:bottom w:val="single" w:sz="4" w:space="0" w:color="auto"/>
              <w:right w:val="single" w:sz="4" w:space="0" w:color="auto"/>
            </w:tcBorders>
            <w:vAlign w:val="center"/>
          </w:tcPr>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Preklapanja, efekt množenja, sinergija</w:t>
            </w:r>
          </w:p>
          <w:p w:rsidR="00961A34" w:rsidRPr="00361664" w:rsidRDefault="00961A34" w:rsidP="00961A34">
            <w:pPr>
              <w:pStyle w:val="Tabletext"/>
              <w:tabs>
                <w:tab w:val="left" w:pos="1440"/>
                <w:tab w:val="left" w:pos="5040"/>
              </w:tabs>
              <w:spacing w:before="0" w:after="0" w:line="240" w:lineRule="auto"/>
              <w:rPr>
                <w:rFonts w:asciiTheme="minorHAnsi" w:hAnsiTheme="minorHAnsi"/>
                <w:sz w:val="20"/>
                <w:szCs w:val="22"/>
                <w:lang w:val="hr-HR"/>
              </w:rPr>
            </w:pPr>
          </w:p>
        </w:tc>
        <w:tc>
          <w:tcPr>
            <w:tcW w:w="3477" w:type="pct"/>
            <w:tcBorders>
              <w:top w:val="single" w:sz="4" w:space="0" w:color="auto"/>
              <w:left w:val="single" w:sz="4" w:space="0" w:color="auto"/>
              <w:bottom w:val="single" w:sz="4" w:space="0" w:color="auto"/>
              <w:right w:val="single" w:sz="4" w:space="0" w:color="auto"/>
            </w:tcBorders>
            <w:vAlign w:val="center"/>
            <w:hideMark/>
          </w:tcPr>
          <w:p w:rsidR="00961A34" w:rsidRPr="00361664" w:rsidRDefault="00961A34" w:rsidP="001E243B">
            <w:pPr>
              <w:tabs>
                <w:tab w:val="left" w:pos="1440"/>
                <w:tab w:val="left" w:pos="5040"/>
              </w:tabs>
              <w:spacing w:after="0" w:line="240" w:lineRule="auto"/>
              <w:contextualSpacing/>
              <w:jc w:val="both"/>
              <w:rPr>
                <w:sz w:val="20"/>
              </w:rPr>
            </w:pPr>
            <w:r w:rsidRPr="00361664">
              <w:rPr>
                <w:sz w:val="20"/>
              </w:rPr>
              <w:t>Ne očekuju se utjecajni čimbenici koji mogu bitno utjecati na planiranu realizaciju navedenih aktivnosti u svrhu poboljšanja energetske učinkovitosti tijekom revitalizacije  postojećih HE i MHE. Ova mjera nadovezuje se na mjeru „Poboljšanje učinkovitosti smanjenjem vlastite potrošnje u hidroelektranama (HE), termoelektranama (TE) i termoelektranama-toplanama  (TE-TO) unutar HEP grupe“, ali uz naglašenu pažnju ne dupliciranja planova (zahvati na istim elektranama u obje mjere).</w:t>
            </w:r>
          </w:p>
        </w:tc>
      </w:tr>
    </w:tbl>
    <w:p w:rsidR="00870134" w:rsidRPr="00361664" w:rsidRDefault="00870134" w:rsidP="00651BCA">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540"/>
        <w:gridCol w:w="6388"/>
      </w:tblGrid>
      <w:tr w:rsidR="001E243B" w:rsidRPr="00361664" w:rsidTr="001E243B">
        <w:trPr>
          <w:trHeight w:val="20"/>
        </w:trPr>
        <w:tc>
          <w:tcPr>
            <w:tcW w:w="1561" w:type="pct"/>
            <w:gridSpan w:val="2"/>
            <w:tcBorders>
              <w:top w:val="single" w:sz="4" w:space="0" w:color="auto"/>
              <w:left w:val="single" w:sz="4" w:space="0" w:color="auto"/>
              <w:bottom w:val="single" w:sz="4" w:space="0" w:color="auto"/>
              <w:right w:val="single" w:sz="4" w:space="0" w:color="auto"/>
            </w:tcBorders>
            <w:shd w:val="clear" w:color="auto" w:fill="CCFFCC"/>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Naziv mjere </w:t>
            </w:r>
          </w:p>
        </w:tc>
        <w:tc>
          <w:tcPr>
            <w:tcW w:w="3439" w:type="pct"/>
            <w:tcBorders>
              <w:top w:val="single" w:sz="4" w:space="0" w:color="auto"/>
              <w:left w:val="single" w:sz="4" w:space="0" w:color="auto"/>
              <w:bottom w:val="single" w:sz="4" w:space="0" w:color="auto"/>
              <w:right w:val="single" w:sz="4" w:space="0" w:color="auto"/>
            </w:tcBorders>
            <w:shd w:val="clear" w:color="auto" w:fill="CCFFCC"/>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Program „smanjenje specifične potrošnje topline turbine 210 MW TE PLOMIN </w:t>
            </w:r>
          </w:p>
        </w:tc>
      </w:tr>
      <w:tr w:rsidR="001E243B" w:rsidRPr="00361664" w:rsidTr="001E243B">
        <w:trPr>
          <w:trHeight w:val="20"/>
        </w:trPr>
        <w:tc>
          <w:tcPr>
            <w:tcW w:w="1561" w:type="pct"/>
            <w:gridSpan w:val="2"/>
            <w:tcBorders>
              <w:top w:val="single" w:sz="4" w:space="0" w:color="auto"/>
              <w:left w:val="single" w:sz="4" w:space="0" w:color="auto"/>
              <w:bottom w:val="single" w:sz="4" w:space="0" w:color="auto"/>
              <w:right w:val="single" w:sz="4" w:space="0" w:color="auto"/>
            </w:tcBorders>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Indeks mjere</w:t>
            </w:r>
          </w:p>
        </w:tc>
        <w:tc>
          <w:tcPr>
            <w:tcW w:w="3439" w:type="pct"/>
            <w:tcBorders>
              <w:top w:val="single" w:sz="4" w:space="0" w:color="auto"/>
              <w:left w:val="single" w:sz="4" w:space="0" w:color="auto"/>
              <w:bottom w:val="single" w:sz="4" w:space="0" w:color="auto"/>
              <w:right w:val="single" w:sz="4" w:space="0" w:color="auto"/>
            </w:tcBorders>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E.3</w:t>
            </w:r>
          </w:p>
        </w:tc>
      </w:tr>
      <w:tr w:rsidR="001E243B" w:rsidRPr="00361664" w:rsidTr="001E243B">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p>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Opis</w:t>
            </w: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Kategorija</w:t>
            </w: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Proizvodnja električne energije - termoelektrane </w:t>
            </w: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Vremenski okvir</w:t>
            </w: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2017. godina</w:t>
            </w:r>
          </w:p>
          <w:p w:rsidR="001E243B" w:rsidRPr="00361664" w:rsidRDefault="001E243B" w:rsidP="001E243B">
            <w:pPr>
              <w:pStyle w:val="Tabletext"/>
              <w:tabs>
                <w:tab w:val="left" w:pos="1440"/>
                <w:tab w:val="left" w:pos="5040"/>
              </w:tabs>
              <w:spacing w:before="60" w:after="0" w:line="240" w:lineRule="auto"/>
              <w:rPr>
                <w:rFonts w:asciiTheme="minorHAnsi" w:hAnsiTheme="minorHAnsi"/>
                <w:sz w:val="20"/>
                <w:lang w:val="hr-HR"/>
              </w:rPr>
            </w:pP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 kratak opis</w:t>
            </w: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60" w:after="0" w:line="240" w:lineRule="auto"/>
              <w:rPr>
                <w:rFonts w:asciiTheme="minorHAnsi" w:hAnsiTheme="minorHAnsi"/>
                <w:sz w:val="20"/>
                <w:lang w:val="hr-HR"/>
              </w:rPr>
            </w:pPr>
            <w:r w:rsidRPr="00361664">
              <w:rPr>
                <w:rFonts w:asciiTheme="minorHAnsi" w:hAnsiTheme="minorHAnsi"/>
                <w:sz w:val="20"/>
                <w:lang w:val="hr-HR"/>
              </w:rPr>
              <w:t xml:space="preserve"> Smanjenje specifične potrošnje topline turbine modernizacijom turbine niskog tlaka</w:t>
            </w: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Ciljni doprinos učinkovitijoj proizvodnji el. en.</w:t>
            </w: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60" w:after="60" w:line="240" w:lineRule="auto"/>
              <w:rPr>
                <w:rFonts w:asciiTheme="minorHAnsi" w:hAnsiTheme="minorHAnsi"/>
                <w:sz w:val="20"/>
                <w:lang w:val="hr-HR"/>
              </w:rPr>
            </w:pPr>
            <w:r w:rsidRPr="00361664">
              <w:rPr>
                <w:rFonts w:asciiTheme="minorHAnsi" w:hAnsiTheme="minorHAnsi"/>
                <w:sz w:val="20"/>
                <w:lang w:val="hr-HR"/>
              </w:rPr>
              <w:t>Povećanje tehničko-ekonomske efektivnosti proizvodnje, smanjenje utroška goriva, povećanje pouzdanosti i sigurnosti u radu.</w:t>
            </w: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skupina</w:t>
            </w: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60" w:after="60" w:line="240" w:lineRule="auto"/>
              <w:rPr>
                <w:rFonts w:asciiTheme="minorHAnsi" w:hAnsiTheme="minorHAnsi"/>
                <w:sz w:val="20"/>
                <w:lang w:val="hr-HR"/>
              </w:rPr>
            </w:pPr>
            <w:r w:rsidRPr="00361664">
              <w:rPr>
                <w:rFonts w:asciiTheme="minorHAnsi" w:hAnsiTheme="minorHAnsi"/>
                <w:sz w:val="20"/>
                <w:lang w:val="hr-HR"/>
              </w:rPr>
              <w:t>Pogon TE Plomin</w:t>
            </w: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Regionalna primjena</w:t>
            </w: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Nacionalno</w:t>
            </w:r>
          </w:p>
        </w:tc>
      </w:tr>
      <w:tr w:rsidR="001E243B" w:rsidRPr="00361664" w:rsidTr="001E243B">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Informacije o  provedbi</w:t>
            </w: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Popis i opis aktivnosti za provođenje mjere</w:t>
            </w:r>
          </w:p>
        </w:tc>
        <w:tc>
          <w:tcPr>
            <w:tcW w:w="3439" w:type="pct"/>
            <w:tcBorders>
              <w:top w:val="single" w:sz="4" w:space="0" w:color="auto"/>
              <w:left w:val="single" w:sz="4" w:space="0" w:color="auto"/>
              <w:bottom w:val="single" w:sz="4" w:space="0" w:color="auto"/>
              <w:right w:val="single" w:sz="4" w:space="0" w:color="auto"/>
            </w:tcBorders>
            <w:vAlign w:val="center"/>
          </w:tcPr>
          <w:p w:rsidR="001E243B" w:rsidRPr="00361664" w:rsidRDefault="001E243B" w:rsidP="001E243B">
            <w:pPr>
              <w:pStyle w:val="Tabletext"/>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 xml:space="preserve">Modernizacija NT turbine uključuje zamjenu sljedećih elemenata:  </w:t>
            </w:r>
          </w:p>
          <w:p w:rsidR="001E243B" w:rsidRPr="00361664" w:rsidRDefault="001E243B" w:rsidP="001E243B">
            <w:pPr>
              <w:pStyle w:val="Tabletext"/>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 xml:space="preserve">• rotor (s lopaticama), </w:t>
            </w:r>
          </w:p>
          <w:p w:rsidR="001E243B" w:rsidRPr="00361664" w:rsidRDefault="001E243B" w:rsidP="001E243B">
            <w:pPr>
              <w:pStyle w:val="Tabletext"/>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 xml:space="preserve">• zavareno unutarnje kućište, </w:t>
            </w:r>
          </w:p>
          <w:p w:rsidR="001E243B" w:rsidRPr="00361664" w:rsidRDefault="001E243B" w:rsidP="001E243B">
            <w:pPr>
              <w:pStyle w:val="Tabletext"/>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 xml:space="preserve">• nosači lopatica sa statorskim lopaticama </w:t>
            </w:r>
          </w:p>
          <w:p w:rsidR="001E243B" w:rsidRPr="00361664" w:rsidRDefault="001E243B" w:rsidP="001E243B">
            <w:pPr>
              <w:pStyle w:val="Tabletext"/>
              <w:tabs>
                <w:tab w:val="left" w:pos="244"/>
                <w:tab w:val="left" w:pos="5040"/>
              </w:tabs>
              <w:spacing w:after="0" w:line="240" w:lineRule="auto"/>
              <w:rPr>
                <w:rFonts w:asciiTheme="minorHAnsi" w:hAnsiTheme="minorHAnsi"/>
                <w:sz w:val="20"/>
                <w:lang w:val="hr-HR"/>
              </w:rPr>
            </w:pPr>
            <w:r w:rsidRPr="00361664">
              <w:rPr>
                <w:rFonts w:asciiTheme="minorHAnsi" w:hAnsiTheme="minorHAnsi"/>
                <w:sz w:val="20"/>
                <w:lang w:val="hr-HR"/>
              </w:rPr>
              <w:t>• krajnje brtvenice.</w:t>
            </w: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Financijska sredstva i izvori financiranja</w:t>
            </w:r>
          </w:p>
        </w:tc>
        <w:tc>
          <w:tcPr>
            <w:tcW w:w="3439" w:type="pct"/>
            <w:tcBorders>
              <w:top w:val="single" w:sz="4" w:space="0" w:color="auto"/>
              <w:left w:val="single" w:sz="4" w:space="0" w:color="auto"/>
              <w:bottom w:val="single" w:sz="4" w:space="0" w:color="auto"/>
              <w:right w:val="single" w:sz="4" w:space="0" w:color="auto"/>
            </w:tcBorders>
            <w:vAlign w:val="center"/>
          </w:tcPr>
          <w:p w:rsidR="001E243B" w:rsidRPr="00361664" w:rsidRDefault="00195AC4" w:rsidP="003C33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szCs w:val="22"/>
                <w:lang w:val="hr-HR"/>
              </w:rPr>
              <w:t xml:space="preserve">Ukupno predviđena vlastita sredstva do kraja 2019. godine iznose: </w:t>
            </w:r>
            <w:r w:rsidR="003C3349" w:rsidRPr="00361664">
              <w:rPr>
                <w:rFonts w:asciiTheme="minorHAnsi" w:hAnsiTheme="minorHAnsi"/>
                <w:sz w:val="20"/>
                <w:szCs w:val="22"/>
                <w:lang w:val="hr-HR"/>
              </w:rPr>
              <w:t>40.396.869,00</w:t>
            </w:r>
            <w:r w:rsidRPr="00361664">
              <w:rPr>
                <w:rFonts w:asciiTheme="minorHAnsi" w:hAnsiTheme="minorHAnsi"/>
                <w:sz w:val="20"/>
                <w:szCs w:val="22"/>
                <w:lang w:val="hr-HR"/>
              </w:rPr>
              <w:t xml:space="preserve"> kn.</w:t>
            </w: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Izvršno  tijelo</w:t>
            </w: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60" w:after="60" w:line="240" w:lineRule="auto"/>
              <w:rPr>
                <w:rFonts w:asciiTheme="minorHAnsi" w:hAnsiTheme="minorHAnsi"/>
                <w:sz w:val="20"/>
                <w:lang w:val="hr-HR"/>
              </w:rPr>
            </w:pPr>
            <w:r w:rsidRPr="00361664">
              <w:rPr>
                <w:rFonts w:asciiTheme="minorHAnsi" w:hAnsiTheme="minorHAnsi"/>
                <w:sz w:val="20"/>
                <w:lang w:val="hr-HR"/>
              </w:rPr>
              <w:t xml:space="preserve">HEP-Proizvodnja d.o.o., Sektor za termoelektrane </w:t>
            </w: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640C0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Tijelo za praćenje, mjerenje i verifikaciju ušteda</w:t>
            </w: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NKT </w:t>
            </w:r>
          </w:p>
        </w:tc>
      </w:tr>
      <w:tr w:rsidR="001E243B" w:rsidRPr="00361664" w:rsidTr="001E243B">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tcPr>
          <w:p w:rsidR="001E243B" w:rsidRPr="00361664" w:rsidRDefault="001E243B" w:rsidP="001E243B">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Uštede energije</w:t>
            </w:r>
          </w:p>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Metoda praćenja / mjerenja ušteda energije</w:t>
            </w:r>
          </w:p>
        </w:tc>
        <w:tc>
          <w:tcPr>
            <w:tcW w:w="3439" w:type="pct"/>
            <w:tcBorders>
              <w:top w:val="single" w:sz="4" w:space="0" w:color="auto"/>
              <w:left w:val="single" w:sz="4" w:space="0" w:color="auto"/>
              <w:bottom w:val="single" w:sz="4" w:space="0" w:color="auto"/>
              <w:right w:val="single" w:sz="4" w:space="0" w:color="auto"/>
            </w:tcBorders>
            <w:vAlign w:val="center"/>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Garantna mjerenja nakon izvršenja mjere </w:t>
            </w: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 xml:space="preserve">Očekivane </w:t>
            </w:r>
            <w:r w:rsidRPr="00361664">
              <w:rPr>
                <w:rFonts w:asciiTheme="minorHAnsi" w:hAnsiTheme="minorHAnsi"/>
                <w:sz w:val="20"/>
                <w:lang w:val="hr-HR"/>
              </w:rPr>
              <w:lastRenderedPageBreak/>
              <w:t>uštede energije do kraja 2019.</w:t>
            </w:r>
          </w:p>
        </w:tc>
        <w:tc>
          <w:tcPr>
            <w:tcW w:w="3439" w:type="pct"/>
            <w:tcBorders>
              <w:top w:val="single" w:sz="4" w:space="0" w:color="auto"/>
              <w:left w:val="single" w:sz="4" w:space="0" w:color="auto"/>
              <w:bottom w:val="single" w:sz="4" w:space="0" w:color="auto"/>
              <w:right w:val="single" w:sz="4" w:space="0" w:color="auto"/>
            </w:tcBorders>
            <w:vAlign w:val="center"/>
          </w:tcPr>
          <w:p w:rsidR="001E243B" w:rsidRPr="00361664" w:rsidRDefault="001E243B" w:rsidP="001E243B">
            <w:pPr>
              <w:pStyle w:val="Tabletext"/>
              <w:tabs>
                <w:tab w:val="left" w:pos="1440"/>
                <w:tab w:val="left" w:pos="5040"/>
              </w:tabs>
              <w:spacing w:after="0" w:line="240" w:lineRule="auto"/>
              <w:rPr>
                <w:rFonts w:asciiTheme="minorHAnsi" w:hAnsiTheme="minorHAnsi"/>
                <w:sz w:val="20"/>
                <w:lang w:val="hr-HR"/>
              </w:rPr>
            </w:pPr>
            <w:r w:rsidRPr="00361664">
              <w:rPr>
                <w:rFonts w:asciiTheme="minorHAnsi" w:hAnsiTheme="minorHAnsi"/>
                <w:sz w:val="20"/>
                <w:lang w:val="hr-HR"/>
              </w:rPr>
              <w:lastRenderedPageBreak/>
              <w:t>Nije procijenjeno</w:t>
            </w:r>
          </w:p>
        </w:tc>
      </w:tr>
      <w:tr w:rsidR="001E243B" w:rsidRPr="00361664" w:rsidTr="001E243B">
        <w:trPr>
          <w:trHeight w:val="18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Očekivane uštede energije do kraja 2020.</w:t>
            </w:r>
          </w:p>
        </w:tc>
        <w:tc>
          <w:tcPr>
            <w:tcW w:w="3439" w:type="pct"/>
            <w:tcBorders>
              <w:top w:val="single" w:sz="4" w:space="0" w:color="auto"/>
              <w:left w:val="single" w:sz="4" w:space="0" w:color="auto"/>
              <w:bottom w:val="single" w:sz="4" w:space="0" w:color="auto"/>
              <w:right w:val="single" w:sz="4" w:space="0" w:color="auto"/>
            </w:tcBorders>
            <w:vAlign w:val="center"/>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Smanjenje specifične potrošnje topline sa sadašnjih 7991,29 kJ/kWh na 7770kJ/kWh, uz povećanje nominalne snage za 7 MW. Ostvarena proizvodnja će se nakon ulaganja povećati za 56.000 MWh /godišnje, uz smanjeni specifični potrošak, čime se cijena električne energije smanjila za 0,95 EUR/MWh.   Smanjenje specifičnog potroška utječe na manji utrošak ugljena (prosječno godišnje oko 13.000 t), time i na manje troškove za kupnju emisijskih jedinica CO</w:t>
            </w:r>
            <w:r w:rsidRPr="00361664">
              <w:rPr>
                <w:rFonts w:asciiTheme="minorHAnsi" w:hAnsiTheme="minorHAnsi"/>
                <w:sz w:val="20"/>
                <w:vertAlign w:val="subscript"/>
                <w:lang w:val="hr-HR"/>
              </w:rPr>
              <w:t>2</w:t>
            </w:r>
            <w:r w:rsidRPr="00361664">
              <w:rPr>
                <w:rFonts w:asciiTheme="minorHAnsi" w:hAnsiTheme="minorHAnsi"/>
                <w:sz w:val="20"/>
                <w:lang w:val="hr-HR"/>
              </w:rPr>
              <w:t>.</w:t>
            </w:r>
          </w:p>
          <w:p w:rsidR="001E243B" w:rsidRPr="00361664" w:rsidRDefault="001E243B" w:rsidP="001E243B">
            <w:pPr>
              <w:pStyle w:val="Tabletext"/>
              <w:tabs>
                <w:tab w:val="left" w:pos="1440"/>
                <w:tab w:val="left" w:pos="5040"/>
              </w:tabs>
              <w:spacing w:before="0" w:after="0" w:line="240" w:lineRule="auto"/>
              <w:ind w:left="360"/>
              <w:rPr>
                <w:rFonts w:asciiTheme="minorHAnsi" w:hAnsiTheme="minorHAnsi"/>
                <w:b/>
                <w:sz w:val="20"/>
                <w:lang w:val="hr-HR"/>
              </w:rPr>
            </w:pPr>
          </w:p>
        </w:tc>
      </w:tr>
      <w:tr w:rsidR="001E243B" w:rsidRPr="00361664" w:rsidTr="001E243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tcPr>
          <w:p w:rsidR="001E243B" w:rsidRPr="00361664" w:rsidRDefault="001E243B" w:rsidP="001E243B">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Pretpostavke</w:t>
            </w:r>
          </w:p>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Osiguranje dostatnih financijskih sredstava kroz Godišnji plan investicija HEP-Proizvodnje te Izvršenje aktivnosti izvođača prema planiranom/ugovorenom opsegu nabave i ugradnje opreme te ostalih nužnih radova unutar obvezujućih rokova.</w:t>
            </w:r>
          </w:p>
        </w:tc>
      </w:tr>
      <w:tr w:rsidR="001E243B" w:rsidRPr="00361664" w:rsidTr="003E2572">
        <w:trPr>
          <w:trHeight w:val="1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spacing w:after="0" w:line="240" w:lineRule="auto"/>
              <w:jc w:val="both"/>
              <w:rPr>
                <w:sz w:val="20"/>
                <w:szCs w:val="20"/>
                <w:lang w:eastAsia="de-DE"/>
              </w:rPr>
            </w:pPr>
          </w:p>
        </w:tc>
        <w:tc>
          <w:tcPr>
            <w:tcW w:w="829" w:type="pct"/>
            <w:tcBorders>
              <w:top w:val="single" w:sz="4" w:space="0" w:color="auto"/>
              <w:left w:val="single" w:sz="4" w:space="0" w:color="auto"/>
              <w:bottom w:val="single" w:sz="4" w:space="0" w:color="auto"/>
              <w:right w:val="single" w:sz="4" w:space="0" w:color="auto"/>
            </w:tcBorders>
            <w:vAlign w:val="center"/>
          </w:tcPr>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Preklapanja, efekt množenja, sinergija</w:t>
            </w:r>
          </w:p>
          <w:p w:rsidR="001E243B" w:rsidRPr="00361664" w:rsidRDefault="001E243B" w:rsidP="001E243B">
            <w:pPr>
              <w:pStyle w:val="Tabletext"/>
              <w:tabs>
                <w:tab w:val="left" w:pos="1440"/>
                <w:tab w:val="left" w:pos="5040"/>
              </w:tabs>
              <w:spacing w:before="0" w:after="0" w:line="240" w:lineRule="auto"/>
              <w:rPr>
                <w:rFonts w:asciiTheme="minorHAnsi" w:hAnsiTheme="minorHAnsi"/>
                <w:sz w:val="20"/>
                <w:lang w:val="hr-HR"/>
              </w:rPr>
            </w:pPr>
          </w:p>
        </w:tc>
        <w:tc>
          <w:tcPr>
            <w:tcW w:w="3439" w:type="pct"/>
            <w:tcBorders>
              <w:top w:val="single" w:sz="4" w:space="0" w:color="auto"/>
              <w:left w:val="single" w:sz="4" w:space="0" w:color="auto"/>
              <w:bottom w:val="single" w:sz="4" w:space="0" w:color="auto"/>
              <w:right w:val="single" w:sz="4" w:space="0" w:color="auto"/>
            </w:tcBorders>
            <w:vAlign w:val="center"/>
            <w:hideMark/>
          </w:tcPr>
          <w:p w:rsidR="001E243B" w:rsidRPr="00361664" w:rsidRDefault="001E243B" w:rsidP="001E243B">
            <w:pPr>
              <w:tabs>
                <w:tab w:val="left" w:pos="1440"/>
                <w:tab w:val="left" w:pos="5040"/>
              </w:tabs>
              <w:spacing w:after="0" w:line="240" w:lineRule="auto"/>
              <w:jc w:val="both"/>
              <w:rPr>
                <w:sz w:val="20"/>
                <w:szCs w:val="20"/>
              </w:rPr>
            </w:pPr>
            <w:r w:rsidRPr="00361664">
              <w:rPr>
                <w:sz w:val="20"/>
                <w:szCs w:val="20"/>
              </w:rPr>
              <w:t xml:space="preserve">Ne očekuju se utjecajni čimbenici koji mogu bitno utjecati na planiranu realizaciju navedenih aktivnosti u svrhu poboljšanja energetske učinkovitosti tijekom rekonstrukcije postrojenja u HE, TE i TE-TO HEP grupe. Nema preklapanja s drugim mjerama. </w:t>
            </w:r>
          </w:p>
        </w:tc>
      </w:tr>
    </w:tbl>
    <w:p w:rsidR="001E243B" w:rsidRPr="00361664" w:rsidRDefault="001E243B" w:rsidP="00651BCA">
      <w:pPr>
        <w:jc w:val="both"/>
        <w:rPr>
          <w:sz w:val="20"/>
        </w:rPr>
      </w:pPr>
    </w:p>
    <w:p w:rsidR="001E243B" w:rsidRPr="00361664" w:rsidRDefault="001E243B" w:rsidP="00651BCA">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540"/>
        <w:gridCol w:w="6388"/>
      </w:tblGrid>
      <w:tr w:rsidR="006C5A2C" w:rsidRPr="00361664" w:rsidTr="006C3D49">
        <w:trPr>
          <w:trHeight w:val="20"/>
        </w:trPr>
        <w:tc>
          <w:tcPr>
            <w:tcW w:w="1561" w:type="pct"/>
            <w:gridSpan w:val="2"/>
            <w:tcBorders>
              <w:top w:val="single" w:sz="4" w:space="0" w:color="auto"/>
              <w:left w:val="single" w:sz="4" w:space="0" w:color="auto"/>
              <w:bottom w:val="single" w:sz="4" w:space="0" w:color="auto"/>
              <w:right w:val="single" w:sz="4" w:space="0" w:color="auto"/>
            </w:tcBorders>
            <w:shd w:val="clear" w:color="auto" w:fill="CCFFCC"/>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Naziv mjere </w:t>
            </w:r>
          </w:p>
        </w:tc>
        <w:tc>
          <w:tcPr>
            <w:tcW w:w="3439" w:type="pct"/>
            <w:tcBorders>
              <w:top w:val="single" w:sz="4" w:space="0" w:color="auto"/>
              <w:left w:val="single" w:sz="4" w:space="0" w:color="auto"/>
              <w:bottom w:val="single" w:sz="4" w:space="0" w:color="auto"/>
              <w:right w:val="single" w:sz="4" w:space="0" w:color="auto"/>
            </w:tcBorders>
            <w:shd w:val="clear" w:color="auto" w:fill="CCFFCC"/>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cstheme="minorHAnsi"/>
                <w:b/>
                <w:sz w:val="20"/>
                <w:szCs w:val="22"/>
                <w:lang w:val="hr-HR"/>
              </w:rPr>
              <w:t xml:space="preserve">Ugradnja novih mjerenja temperature i gubitaka energije </w:t>
            </w:r>
          </w:p>
        </w:tc>
      </w:tr>
      <w:tr w:rsidR="006C5A2C" w:rsidRPr="00361664" w:rsidTr="006C3D49">
        <w:trPr>
          <w:trHeight w:val="20"/>
        </w:trPr>
        <w:tc>
          <w:tcPr>
            <w:tcW w:w="1561" w:type="pct"/>
            <w:gridSpan w:val="2"/>
            <w:tcBorders>
              <w:top w:val="single" w:sz="4" w:space="0" w:color="auto"/>
              <w:left w:val="single" w:sz="4" w:space="0" w:color="auto"/>
              <w:bottom w:val="single" w:sz="4" w:space="0" w:color="auto"/>
              <w:right w:val="single" w:sz="4" w:space="0" w:color="auto"/>
            </w:tcBorders>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Indeks mjere</w:t>
            </w:r>
          </w:p>
        </w:tc>
        <w:tc>
          <w:tcPr>
            <w:tcW w:w="3439" w:type="pct"/>
            <w:tcBorders>
              <w:top w:val="single" w:sz="4" w:space="0" w:color="auto"/>
              <w:left w:val="single" w:sz="4" w:space="0" w:color="auto"/>
              <w:bottom w:val="single" w:sz="4" w:space="0" w:color="auto"/>
              <w:right w:val="single" w:sz="4" w:space="0" w:color="auto"/>
            </w:tcBorders>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E.4</w:t>
            </w:r>
          </w:p>
        </w:tc>
      </w:tr>
      <w:tr w:rsidR="006C5A2C" w:rsidRPr="00361664" w:rsidTr="006C3D49">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p>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Opis</w:t>
            </w: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Kategorija</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Proizvodnja električne i toplinske energije</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Vremenski okvir</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2017. godina</w:t>
            </w:r>
          </w:p>
          <w:p w:rsidR="006C5A2C" w:rsidRPr="00361664" w:rsidRDefault="006C5A2C" w:rsidP="001E243B">
            <w:pPr>
              <w:pStyle w:val="Tabletext"/>
              <w:tabs>
                <w:tab w:val="left" w:pos="1440"/>
                <w:tab w:val="left" w:pos="5040"/>
              </w:tabs>
              <w:spacing w:before="0" w:after="0" w:line="240" w:lineRule="auto"/>
              <w:rPr>
                <w:rFonts w:asciiTheme="minorHAnsi" w:hAnsiTheme="minorHAnsi" w:cstheme="minorHAnsi"/>
                <w:sz w:val="20"/>
                <w:szCs w:val="22"/>
                <w:lang w:val="hr-HR"/>
              </w:rPr>
            </w:pP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Cilj / kratak opis</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 Praćenje parametara proizvodnje radi smanjenja gubitaka</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Ciljni doprinos učinkovitijoj proizvodnji el. en.</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Ugradnjom dodatnih mjerenja temperature na kanalizacijskim ispustima ekspandera PTA 1 i PTA 2 te K6, mjerenja toplinskih gubitaka i protoka zraka na zgradama te mjerenjem temperature dimnih plinova na dimnjaku 200 m i dimnih plinova u dimovodnom kanalu stvorili bi se okviri za analizu gubitaka kao i daljnje postupanje sa ciljem smanjenja troškova pogona.</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Ciljna skupina</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Pogon EL-TO Zagreb</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Regionalna primjena</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w:t>
            </w:r>
          </w:p>
        </w:tc>
      </w:tr>
      <w:tr w:rsidR="006C5A2C" w:rsidRPr="00361664" w:rsidTr="006C3D49">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Informacije o  provedbi</w:t>
            </w: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Popis i opis aktivnosti za provođenje mjere</w:t>
            </w:r>
          </w:p>
        </w:tc>
        <w:tc>
          <w:tcPr>
            <w:tcW w:w="343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Potrebno je isporučiti opremu, izvršiti ugradnju te pustiti u funkcionalni pogon sljedeće mjerne krugove:  </w:t>
            </w:r>
          </w:p>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mjerenje temperature na kanalizacijskim ispustima ekspandera PTA 1 i PTA 2 te K6</w:t>
            </w:r>
          </w:p>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mjerenje toplinskih gubitaka zgrada </w:t>
            </w:r>
          </w:p>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mjerenje protoka zraka na zgradama (energetska učinkovitost)</w:t>
            </w:r>
          </w:p>
          <w:p w:rsidR="006C5A2C" w:rsidRPr="00361664" w:rsidRDefault="006C5A2C" w:rsidP="001E243B">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mjerenje temperature dimnih plinova na dimnjaku 200 m i dimnih plinova u dimovodnom kanalu</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Financijska sredstva i izvori financiranja</w:t>
            </w:r>
          </w:p>
        </w:tc>
        <w:tc>
          <w:tcPr>
            <w:tcW w:w="343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3C33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Vlastita sredstva</w:t>
            </w:r>
            <w:r w:rsidR="00195AC4" w:rsidRPr="00361664">
              <w:rPr>
                <w:rFonts w:asciiTheme="minorHAnsi" w:hAnsiTheme="minorHAnsi" w:cstheme="minorHAnsi"/>
                <w:sz w:val="20"/>
                <w:szCs w:val="22"/>
                <w:lang w:val="hr-HR"/>
              </w:rPr>
              <w:t xml:space="preserve">: </w:t>
            </w:r>
            <w:r w:rsidR="003C3349" w:rsidRPr="00361664">
              <w:rPr>
                <w:rFonts w:asciiTheme="minorHAnsi" w:hAnsiTheme="minorHAnsi" w:cstheme="minorHAnsi"/>
                <w:sz w:val="20"/>
                <w:szCs w:val="22"/>
                <w:lang w:val="hr-HR"/>
              </w:rPr>
              <w:t>982.648,00</w:t>
            </w:r>
            <w:r w:rsidR="00195AC4" w:rsidRPr="00361664">
              <w:rPr>
                <w:rFonts w:asciiTheme="minorHAnsi" w:hAnsiTheme="minorHAnsi" w:cstheme="minorHAnsi"/>
                <w:sz w:val="20"/>
                <w:szCs w:val="22"/>
                <w:lang w:val="hr-HR"/>
              </w:rPr>
              <w:t xml:space="preserve"> kn.</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Izvršno  tijelo</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HEP-Proizvodnja d.o.o., Sektor za termoelektrane </w:t>
            </w:r>
          </w:p>
        </w:tc>
      </w:tr>
      <w:tr w:rsidR="006C5A2C" w:rsidRPr="00361664" w:rsidTr="003E2572">
        <w:trPr>
          <w:trHeight w:val="907"/>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40C0B"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Tijelo za praćenje, mjerenje i verifikaciju ušteda</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 xml:space="preserve">NKT </w:t>
            </w:r>
          </w:p>
        </w:tc>
      </w:tr>
      <w:tr w:rsidR="006C5A2C" w:rsidRPr="00361664" w:rsidTr="006C3D49">
        <w:trPr>
          <w:trHeight w:val="20"/>
        </w:trPr>
        <w:tc>
          <w:tcPr>
            <w:tcW w:w="732" w:type="pct"/>
            <w:vMerge w:val="restar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cstheme="minorHAnsi"/>
                <w:sz w:val="20"/>
                <w:szCs w:val="22"/>
                <w:lang w:val="hr-HR"/>
              </w:rPr>
              <w:lastRenderedPageBreak/>
              <w:t>Uštede energije</w:t>
            </w:r>
          </w:p>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Metoda praćenja / mjerenja ušteda energije</w:t>
            </w:r>
          </w:p>
        </w:tc>
        <w:tc>
          <w:tcPr>
            <w:tcW w:w="343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Po implementaciji  opreme za mjerenje putem sustava za praćenje procesnih parametara</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cstheme="minorHAnsi"/>
                <w:sz w:val="20"/>
                <w:szCs w:val="22"/>
                <w:lang w:val="hr-HR"/>
              </w:rPr>
              <w:t>Očekivane uštede energije do kraja 2019.</w:t>
            </w:r>
          </w:p>
        </w:tc>
        <w:tc>
          <w:tcPr>
            <w:tcW w:w="343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cstheme="minorHAnsi"/>
                <w:sz w:val="20"/>
                <w:szCs w:val="22"/>
                <w:lang w:val="hr-HR"/>
              </w:rPr>
              <w:t>Nije procijenjeno</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Očekivane uštede energije do kraja 2020.</w:t>
            </w:r>
          </w:p>
        </w:tc>
        <w:tc>
          <w:tcPr>
            <w:tcW w:w="343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cstheme="minorHAnsi"/>
                <w:sz w:val="20"/>
                <w:szCs w:val="22"/>
                <w:lang w:val="hr-HR"/>
              </w:rPr>
              <w:t>Nije procijenjeno</w:t>
            </w:r>
          </w:p>
        </w:tc>
      </w:tr>
      <w:tr w:rsidR="006C5A2C" w:rsidRPr="00361664" w:rsidTr="001E243B">
        <w:trPr>
          <w:trHeight w:val="20"/>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cstheme="minorHAnsi"/>
                <w:sz w:val="20"/>
                <w:szCs w:val="22"/>
                <w:lang w:val="hr-HR"/>
              </w:rPr>
              <w:t>Pretpostavke</w:t>
            </w:r>
          </w:p>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w:t>
            </w:r>
          </w:p>
        </w:tc>
      </w:tr>
      <w:tr w:rsidR="006C5A2C" w:rsidRPr="00361664" w:rsidTr="001E243B">
        <w:trPr>
          <w:trHeight w:val="1283"/>
        </w:trPr>
        <w:tc>
          <w:tcPr>
            <w:tcW w:w="732" w:type="pct"/>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p>
        </w:tc>
        <w:tc>
          <w:tcPr>
            <w:tcW w:w="82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cstheme="minorHAnsi"/>
                <w:sz w:val="20"/>
                <w:szCs w:val="22"/>
                <w:lang w:val="hr-HR"/>
              </w:rPr>
            </w:pPr>
            <w:r w:rsidRPr="00361664">
              <w:rPr>
                <w:rFonts w:asciiTheme="minorHAnsi" w:hAnsiTheme="minorHAnsi" w:cstheme="minorHAnsi"/>
                <w:sz w:val="20"/>
                <w:szCs w:val="22"/>
                <w:lang w:val="hr-HR"/>
              </w:rPr>
              <w:t>Preklapanja, efekt množenja, sinergija</w:t>
            </w:r>
          </w:p>
        </w:tc>
        <w:tc>
          <w:tcPr>
            <w:tcW w:w="343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1E243B">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cstheme="minorHAnsi"/>
                <w:sz w:val="20"/>
                <w:szCs w:val="22"/>
                <w:lang w:val="hr-HR"/>
              </w:rPr>
              <w:t>Nije poznato</w:t>
            </w:r>
          </w:p>
        </w:tc>
      </w:tr>
    </w:tbl>
    <w:p w:rsidR="00DC62CA" w:rsidRPr="00361664" w:rsidRDefault="00DC62CA" w:rsidP="00651BCA">
      <w:pPr>
        <w:jc w:val="both"/>
        <w:rPr>
          <w:sz w:val="20"/>
        </w:rPr>
      </w:pPr>
    </w:p>
    <w:tbl>
      <w:tblPr>
        <w:tblStyle w:val="Reetkatablice"/>
        <w:tblW w:w="0" w:type="auto"/>
        <w:tblLook w:val="04A0" w:firstRow="1" w:lastRow="0" w:firstColumn="1" w:lastColumn="0" w:noHBand="0" w:noVBand="1"/>
      </w:tblPr>
      <w:tblGrid>
        <w:gridCol w:w="1271"/>
        <w:gridCol w:w="1559"/>
        <w:gridCol w:w="6232"/>
      </w:tblGrid>
      <w:tr w:rsidR="00A37B37" w:rsidRPr="00361664" w:rsidTr="009040A7">
        <w:tc>
          <w:tcPr>
            <w:tcW w:w="2830" w:type="dxa"/>
            <w:gridSpan w:val="2"/>
            <w:shd w:val="clear" w:color="auto" w:fill="CCFFCC"/>
          </w:tcPr>
          <w:p w:rsidR="00A37B37" w:rsidRPr="00361664" w:rsidRDefault="00A37B37" w:rsidP="00651BCA">
            <w:pPr>
              <w:pStyle w:val="Tabletext"/>
              <w:tabs>
                <w:tab w:val="left" w:pos="1440"/>
                <w:tab w:val="left" w:pos="5040"/>
              </w:tabs>
              <w:spacing w:before="0" w:after="0" w:line="240" w:lineRule="auto"/>
              <w:rPr>
                <w:rFonts w:cstheme="minorHAnsi"/>
                <w:sz w:val="20"/>
                <w:szCs w:val="22"/>
                <w:lang w:val="hr-HR"/>
              </w:rPr>
            </w:pPr>
            <w:r w:rsidRPr="00361664">
              <w:rPr>
                <w:rFonts w:asciiTheme="minorHAnsi" w:hAnsiTheme="minorHAnsi"/>
                <w:b/>
                <w:sz w:val="20"/>
                <w:lang w:val="hr-HR"/>
              </w:rPr>
              <w:t>Naziv mjere</w:t>
            </w:r>
          </w:p>
        </w:tc>
        <w:tc>
          <w:tcPr>
            <w:tcW w:w="6232" w:type="dxa"/>
            <w:shd w:val="clear" w:color="auto" w:fill="CCFFCC"/>
          </w:tcPr>
          <w:p w:rsidR="00A37B37" w:rsidRPr="00361664" w:rsidRDefault="00A37B37" w:rsidP="00F23E36">
            <w:pPr>
              <w:pStyle w:val="Default"/>
              <w:jc w:val="both"/>
              <w:rPr>
                <w:rFonts w:cstheme="minorHAnsi"/>
                <w:sz w:val="20"/>
                <w:szCs w:val="22"/>
              </w:rPr>
            </w:pPr>
            <w:r w:rsidRPr="00361664">
              <w:rPr>
                <w:rFonts w:asciiTheme="minorHAnsi" w:hAnsiTheme="minorHAnsi" w:cstheme="minorHAnsi"/>
                <w:b/>
                <w:bCs/>
                <w:sz w:val="20"/>
                <w:szCs w:val="22"/>
              </w:rPr>
              <w:t>Poboljšanje ene</w:t>
            </w:r>
            <w:r w:rsidR="00F23E36" w:rsidRPr="00361664">
              <w:rPr>
                <w:rFonts w:asciiTheme="minorHAnsi" w:hAnsiTheme="minorHAnsi" w:cstheme="minorHAnsi"/>
                <w:b/>
                <w:bCs/>
                <w:sz w:val="20"/>
                <w:szCs w:val="22"/>
              </w:rPr>
              <w:t xml:space="preserve">rgetske učinkovitosti u istraživanju i proizvodnji </w:t>
            </w:r>
            <w:r w:rsidRPr="00361664">
              <w:rPr>
                <w:rFonts w:asciiTheme="minorHAnsi" w:hAnsiTheme="minorHAnsi" w:cstheme="minorHAnsi"/>
                <w:b/>
                <w:bCs/>
                <w:sz w:val="20"/>
                <w:szCs w:val="22"/>
              </w:rPr>
              <w:t xml:space="preserve">nafte </w:t>
            </w:r>
            <w:r w:rsidR="00F23E36" w:rsidRPr="00361664">
              <w:rPr>
                <w:rFonts w:asciiTheme="minorHAnsi" w:hAnsiTheme="minorHAnsi" w:cstheme="minorHAnsi"/>
                <w:b/>
                <w:bCs/>
                <w:sz w:val="20"/>
                <w:szCs w:val="22"/>
              </w:rPr>
              <w:t>i plina</w:t>
            </w:r>
          </w:p>
        </w:tc>
      </w:tr>
      <w:tr w:rsidR="00A37B37" w:rsidRPr="00361664" w:rsidTr="00D30FF6">
        <w:tc>
          <w:tcPr>
            <w:tcW w:w="2830" w:type="dxa"/>
            <w:gridSpan w:val="2"/>
          </w:tcPr>
          <w:p w:rsidR="00A37B37" w:rsidRPr="00361664" w:rsidRDefault="00A37B37" w:rsidP="00651BCA">
            <w:pPr>
              <w:jc w:val="both"/>
              <w:rPr>
                <w:rFonts w:cstheme="minorHAnsi"/>
              </w:rPr>
            </w:pPr>
            <w:r w:rsidRPr="00361664">
              <w:rPr>
                <w:rFonts w:cstheme="minorHAnsi"/>
              </w:rPr>
              <w:t>Indeks mjere</w:t>
            </w:r>
          </w:p>
        </w:tc>
        <w:tc>
          <w:tcPr>
            <w:tcW w:w="6232" w:type="dxa"/>
          </w:tcPr>
          <w:p w:rsidR="00A37B37" w:rsidRPr="00361664" w:rsidRDefault="00A37B37" w:rsidP="00651BCA">
            <w:pPr>
              <w:jc w:val="both"/>
              <w:rPr>
                <w:rFonts w:cstheme="minorHAnsi"/>
              </w:rPr>
            </w:pPr>
            <w:r w:rsidRPr="00361664">
              <w:rPr>
                <w:rFonts w:cstheme="minorHAnsi"/>
              </w:rPr>
              <w:t>E.5</w:t>
            </w:r>
          </w:p>
        </w:tc>
      </w:tr>
      <w:tr w:rsidR="00A37B37" w:rsidRPr="00361664" w:rsidTr="00D30FF6">
        <w:tc>
          <w:tcPr>
            <w:tcW w:w="1271" w:type="dxa"/>
            <w:vMerge w:val="restart"/>
            <w:vAlign w:val="center"/>
          </w:tcPr>
          <w:p w:rsidR="00A37B37" w:rsidRPr="00361664" w:rsidRDefault="00A37B37" w:rsidP="00651BCA">
            <w:pPr>
              <w:jc w:val="both"/>
              <w:rPr>
                <w:rFonts w:cstheme="minorHAnsi"/>
              </w:rPr>
            </w:pPr>
            <w:r w:rsidRPr="00361664">
              <w:rPr>
                <w:rFonts w:cstheme="minorHAnsi"/>
              </w:rPr>
              <w:t>Opis</w:t>
            </w: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Kategorija </w:t>
            </w:r>
          </w:p>
        </w:tc>
        <w:tc>
          <w:tcPr>
            <w:tcW w:w="6232"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Istraživanje i proizvodnja nafte i plina</w:t>
            </w:r>
          </w:p>
        </w:tc>
      </w:tr>
      <w:tr w:rsidR="00A37B37" w:rsidRPr="00361664" w:rsidTr="00D30FF6">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jc w:val="both"/>
              <w:rPr>
                <w:rFonts w:cstheme="minorHAnsi"/>
              </w:rPr>
            </w:pPr>
            <w:r w:rsidRPr="00361664">
              <w:rPr>
                <w:rFonts w:cstheme="minorHAnsi"/>
              </w:rPr>
              <w:t>Vremenski okvir</w:t>
            </w:r>
          </w:p>
        </w:tc>
        <w:tc>
          <w:tcPr>
            <w:tcW w:w="6232" w:type="dxa"/>
          </w:tcPr>
          <w:p w:rsidR="00A37B37" w:rsidRPr="00361664" w:rsidRDefault="00A37B37" w:rsidP="00651BCA">
            <w:pPr>
              <w:jc w:val="both"/>
              <w:rPr>
                <w:rFonts w:cstheme="minorHAnsi"/>
              </w:rPr>
            </w:pPr>
            <w:r w:rsidRPr="00361664">
              <w:rPr>
                <w:rFonts w:cstheme="minorHAnsi"/>
              </w:rPr>
              <w:t>Početak: 2017.</w:t>
            </w:r>
          </w:p>
          <w:p w:rsidR="00A37B37" w:rsidRPr="00361664" w:rsidRDefault="00A37B37" w:rsidP="00651BCA">
            <w:pPr>
              <w:jc w:val="both"/>
              <w:rPr>
                <w:rFonts w:cstheme="minorHAnsi"/>
              </w:rPr>
            </w:pPr>
            <w:r w:rsidRPr="00361664">
              <w:rPr>
                <w:rFonts w:cstheme="minorHAnsi"/>
              </w:rPr>
              <w:t>Kraj: 2019.</w:t>
            </w:r>
          </w:p>
        </w:tc>
      </w:tr>
      <w:tr w:rsidR="00A37B37" w:rsidRPr="00361664" w:rsidTr="00D30FF6">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Cilj / kratak opis </w:t>
            </w:r>
          </w:p>
        </w:tc>
        <w:tc>
          <w:tcPr>
            <w:tcW w:w="6232"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Postizanje energetske učinkovitosti tijekom proizvodnje nafte i plina zahtjeva kontinuirana poboljšanja. Prethodnim akcijskim planom definirane su aktivnosti koje su uključivale zamjenu opreme novijom i učinkovitijom opremom, a ovim planom cilj je ostvariti uštede na podešavanju parametara te opreme kako bi zadovoljili parametre procesa proizvodnje nafte i plina uz minimalan utrošak energije. Ovakve uštede planirane su na novim kotlovnicama, sustavu vrućeg ulja na procesnom postrojenju Objekti Frakcionacije Ivanić Grad (OFIG). Također, planirane su investicije u automatizaciju rada bušotina gdje će elektromotor biti pogonjen frekventnim pretvaračima te raditi sukladno zahtjevima pojedinačne bušotine. Usto, planirane su investicije u poboljšanje energetske učinkovitosti rasvjetnih objekata na postrojenjima.</w:t>
            </w:r>
          </w:p>
          <w:p w:rsidR="00A37B37" w:rsidRPr="00361664" w:rsidRDefault="00A37B37" w:rsidP="00651BCA">
            <w:pPr>
              <w:pStyle w:val="Default"/>
              <w:jc w:val="both"/>
              <w:rPr>
                <w:rFonts w:asciiTheme="minorHAnsi" w:hAnsiTheme="minorHAnsi" w:cstheme="minorHAnsi"/>
                <w:sz w:val="20"/>
                <w:szCs w:val="22"/>
              </w:rPr>
            </w:pPr>
          </w:p>
        </w:tc>
      </w:tr>
      <w:tr w:rsidR="00A37B37" w:rsidRPr="00361664" w:rsidTr="00D30FF6">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Ciljna neposredna potrošnja </w:t>
            </w:r>
          </w:p>
        </w:tc>
        <w:tc>
          <w:tcPr>
            <w:tcW w:w="6232" w:type="dxa"/>
            <w:vAlign w:val="center"/>
          </w:tcPr>
          <w:p w:rsidR="00A37B37" w:rsidRPr="00361664" w:rsidRDefault="00A37B37" w:rsidP="00651BCA">
            <w:pPr>
              <w:jc w:val="both"/>
              <w:rPr>
                <w:rFonts w:cstheme="minorHAnsi"/>
              </w:rPr>
            </w:pPr>
            <w:r w:rsidRPr="00361664">
              <w:rPr>
                <w:rFonts w:cstheme="minorHAnsi"/>
              </w:rPr>
              <w:t xml:space="preserve">Potrošnja električne energije, potrošnja toplinske energije, potrošnja plina </w:t>
            </w:r>
          </w:p>
        </w:tc>
      </w:tr>
      <w:tr w:rsidR="00A37B37" w:rsidRPr="00361664" w:rsidTr="00D30FF6">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Ciljna skupina </w:t>
            </w:r>
          </w:p>
        </w:tc>
        <w:tc>
          <w:tcPr>
            <w:tcW w:w="6232"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INA d.d. </w:t>
            </w:r>
          </w:p>
        </w:tc>
      </w:tr>
      <w:tr w:rsidR="00A37B37" w:rsidRPr="00361664" w:rsidTr="00D30FF6">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Regionalna primjena </w:t>
            </w:r>
          </w:p>
        </w:tc>
        <w:tc>
          <w:tcPr>
            <w:tcW w:w="6232" w:type="dxa"/>
          </w:tcPr>
          <w:p w:rsidR="00A37B37" w:rsidRPr="00361664" w:rsidRDefault="00A37B37" w:rsidP="00651BCA">
            <w:pPr>
              <w:pStyle w:val="Default"/>
              <w:tabs>
                <w:tab w:val="left" w:pos="1425"/>
              </w:tabs>
              <w:jc w:val="both"/>
              <w:rPr>
                <w:rFonts w:asciiTheme="minorHAnsi" w:hAnsiTheme="minorHAnsi" w:cstheme="minorHAnsi"/>
                <w:sz w:val="20"/>
                <w:szCs w:val="22"/>
              </w:rPr>
            </w:pPr>
            <w:r w:rsidRPr="00361664">
              <w:rPr>
                <w:rFonts w:asciiTheme="minorHAnsi" w:hAnsiTheme="minorHAnsi" w:cstheme="minorHAnsi"/>
                <w:sz w:val="20"/>
                <w:szCs w:val="22"/>
              </w:rPr>
              <w:t>Nacionalno</w:t>
            </w:r>
            <w:r w:rsidRPr="00361664">
              <w:rPr>
                <w:rFonts w:asciiTheme="minorHAnsi" w:hAnsiTheme="minorHAnsi" w:cstheme="minorHAnsi"/>
                <w:sz w:val="20"/>
                <w:szCs w:val="22"/>
              </w:rPr>
              <w:tab/>
            </w:r>
          </w:p>
        </w:tc>
      </w:tr>
      <w:tr w:rsidR="00A37B37" w:rsidRPr="00361664" w:rsidTr="00D30FF6">
        <w:tc>
          <w:tcPr>
            <w:tcW w:w="1271" w:type="dxa"/>
            <w:vMerge w:val="restart"/>
            <w:vAlign w:val="center"/>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Informacije o provedbi </w:t>
            </w: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Popis i opis aktivnosti za provođenje mjere </w:t>
            </w:r>
          </w:p>
        </w:tc>
        <w:tc>
          <w:tcPr>
            <w:tcW w:w="6232" w:type="dxa"/>
          </w:tcPr>
          <w:p w:rsidR="00A37B37" w:rsidRPr="00361664" w:rsidRDefault="00A37B37" w:rsidP="00CD00FF">
            <w:pPr>
              <w:pStyle w:val="Default"/>
              <w:numPr>
                <w:ilvl w:val="0"/>
                <w:numId w:val="34"/>
              </w:numPr>
              <w:jc w:val="both"/>
              <w:rPr>
                <w:rFonts w:asciiTheme="minorHAnsi" w:hAnsiTheme="minorHAnsi" w:cstheme="minorHAnsi"/>
                <w:sz w:val="20"/>
                <w:szCs w:val="22"/>
              </w:rPr>
            </w:pPr>
            <w:r w:rsidRPr="00361664">
              <w:rPr>
                <w:rFonts w:asciiTheme="minorHAnsi" w:hAnsiTheme="minorHAnsi" w:cstheme="minorHAnsi"/>
                <w:sz w:val="20"/>
                <w:szCs w:val="22"/>
              </w:rPr>
              <w:t>Optimizacija rada novih kotlovnica</w:t>
            </w:r>
          </w:p>
          <w:p w:rsidR="00A37B37" w:rsidRPr="00361664" w:rsidRDefault="00A37B37" w:rsidP="00CD00FF">
            <w:pPr>
              <w:pStyle w:val="Default"/>
              <w:numPr>
                <w:ilvl w:val="0"/>
                <w:numId w:val="35"/>
              </w:numPr>
              <w:jc w:val="both"/>
              <w:rPr>
                <w:rFonts w:asciiTheme="minorHAnsi" w:hAnsiTheme="minorHAnsi" w:cstheme="minorHAnsi"/>
                <w:sz w:val="20"/>
                <w:szCs w:val="22"/>
              </w:rPr>
            </w:pPr>
            <w:r w:rsidRPr="00361664">
              <w:rPr>
                <w:rFonts w:asciiTheme="minorHAnsi" w:hAnsiTheme="minorHAnsi" w:cstheme="minorHAnsi"/>
                <w:sz w:val="20"/>
                <w:szCs w:val="22"/>
              </w:rPr>
              <w:t xml:space="preserve">Automatizacija i optimizacija rada proizvodnih bušotina ugradnjom frekventnih pretvarača </w:t>
            </w:r>
          </w:p>
          <w:p w:rsidR="00A37B37" w:rsidRPr="00361664" w:rsidRDefault="00A37B37" w:rsidP="00CD00FF">
            <w:pPr>
              <w:pStyle w:val="Default"/>
              <w:numPr>
                <w:ilvl w:val="0"/>
                <w:numId w:val="35"/>
              </w:numPr>
              <w:jc w:val="both"/>
              <w:rPr>
                <w:rFonts w:asciiTheme="minorHAnsi" w:hAnsiTheme="minorHAnsi" w:cstheme="minorHAnsi"/>
                <w:sz w:val="20"/>
                <w:szCs w:val="22"/>
              </w:rPr>
            </w:pPr>
            <w:r w:rsidRPr="00361664">
              <w:rPr>
                <w:rFonts w:asciiTheme="minorHAnsi" w:hAnsiTheme="minorHAnsi" w:cstheme="minorHAnsi"/>
                <w:sz w:val="20"/>
                <w:szCs w:val="22"/>
              </w:rPr>
              <w:t>Zamjena postojećih reflektora LED reflektorima</w:t>
            </w:r>
          </w:p>
          <w:p w:rsidR="00A37B37" w:rsidRPr="00361664" w:rsidRDefault="00A37B37" w:rsidP="00CD00FF">
            <w:pPr>
              <w:pStyle w:val="Default"/>
              <w:numPr>
                <w:ilvl w:val="0"/>
                <w:numId w:val="35"/>
              </w:numPr>
              <w:jc w:val="both"/>
              <w:rPr>
                <w:rFonts w:asciiTheme="minorHAnsi" w:hAnsiTheme="minorHAnsi" w:cstheme="minorHAnsi"/>
                <w:sz w:val="20"/>
                <w:szCs w:val="22"/>
              </w:rPr>
            </w:pPr>
            <w:r w:rsidRPr="00361664">
              <w:rPr>
                <w:rFonts w:asciiTheme="minorHAnsi" w:hAnsiTheme="minorHAnsi" w:cstheme="minorHAnsi"/>
                <w:sz w:val="20"/>
                <w:szCs w:val="22"/>
              </w:rPr>
              <w:t>Iskorištenje plina na MOS Đeletovci</w:t>
            </w:r>
          </w:p>
          <w:p w:rsidR="00A37B37" w:rsidRPr="00361664" w:rsidRDefault="00A37B37" w:rsidP="00CD00FF">
            <w:pPr>
              <w:pStyle w:val="Default"/>
              <w:numPr>
                <w:ilvl w:val="0"/>
                <w:numId w:val="35"/>
              </w:numPr>
              <w:jc w:val="both"/>
              <w:rPr>
                <w:rFonts w:asciiTheme="minorHAnsi" w:hAnsiTheme="minorHAnsi" w:cstheme="minorHAnsi"/>
                <w:sz w:val="20"/>
                <w:szCs w:val="22"/>
              </w:rPr>
            </w:pPr>
            <w:r w:rsidRPr="00361664">
              <w:rPr>
                <w:rFonts w:asciiTheme="minorHAnsi" w:hAnsiTheme="minorHAnsi" w:cstheme="minorHAnsi"/>
                <w:sz w:val="20"/>
                <w:szCs w:val="22"/>
              </w:rPr>
              <w:t>Sustav filtracije vode Žutica</w:t>
            </w:r>
          </w:p>
          <w:p w:rsidR="00A37B37" w:rsidRPr="00361664" w:rsidRDefault="00A37B37" w:rsidP="00CD00FF">
            <w:pPr>
              <w:pStyle w:val="Default"/>
              <w:numPr>
                <w:ilvl w:val="0"/>
                <w:numId w:val="35"/>
              </w:numPr>
              <w:jc w:val="both"/>
              <w:rPr>
                <w:rFonts w:asciiTheme="minorHAnsi" w:hAnsiTheme="minorHAnsi" w:cstheme="minorHAnsi"/>
                <w:sz w:val="20"/>
                <w:szCs w:val="22"/>
              </w:rPr>
            </w:pPr>
            <w:r w:rsidRPr="00361664">
              <w:rPr>
                <w:rFonts w:asciiTheme="minorHAnsi" w:hAnsiTheme="minorHAnsi" w:cstheme="minorHAnsi"/>
                <w:sz w:val="20"/>
                <w:szCs w:val="22"/>
              </w:rPr>
              <w:t>Optimizacija sustava vrućeg ulja na OFIG</w:t>
            </w:r>
          </w:p>
          <w:p w:rsidR="00A37B37" w:rsidRPr="00361664" w:rsidRDefault="00A37B37" w:rsidP="00CD00FF">
            <w:pPr>
              <w:pStyle w:val="Default"/>
              <w:numPr>
                <w:ilvl w:val="0"/>
                <w:numId w:val="35"/>
              </w:numPr>
              <w:jc w:val="both"/>
              <w:rPr>
                <w:rFonts w:asciiTheme="minorHAnsi" w:hAnsiTheme="minorHAnsi" w:cstheme="minorHAnsi"/>
                <w:sz w:val="20"/>
                <w:szCs w:val="22"/>
              </w:rPr>
            </w:pPr>
            <w:r w:rsidRPr="00361664">
              <w:rPr>
                <w:rFonts w:asciiTheme="minorHAnsi" w:hAnsiTheme="minorHAnsi" w:cstheme="minorHAnsi"/>
                <w:sz w:val="20"/>
                <w:szCs w:val="22"/>
              </w:rPr>
              <w:t>ostalo</w:t>
            </w:r>
          </w:p>
          <w:p w:rsidR="00A37B37" w:rsidRPr="00361664" w:rsidRDefault="00A37B37" w:rsidP="00651BCA">
            <w:pPr>
              <w:jc w:val="both"/>
              <w:rPr>
                <w:rFonts w:cstheme="minorHAnsi"/>
              </w:rPr>
            </w:pPr>
            <w:r w:rsidRPr="00361664">
              <w:rPr>
                <w:rFonts w:cstheme="minorHAnsi"/>
              </w:rPr>
              <w:t xml:space="preserve">Očekivane godišnje uštede ovim mjerama: 6 GWh </w:t>
            </w:r>
          </w:p>
        </w:tc>
      </w:tr>
      <w:tr w:rsidR="00A37B37" w:rsidRPr="00361664" w:rsidTr="00D30FF6">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Financijska </w:t>
            </w:r>
            <w:r w:rsidRPr="00361664">
              <w:rPr>
                <w:rFonts w:asciiTheme="minorHAnsi" w:hAnsiTheme="minorHAnsi" w:cstheme="minorHAnsi"/>
                <w:sz w:val="20"/>
                <w:szCs w:val="22"/>
              </w:rPr>
              <w:lastRenderedPageBreak/>
              <w:t xml:space="preserve">sredstva i izvori financiranja </w:t>
            </w:r>
          </w:p>
        </w:tc>
        <w:tc>
          <w:tcPr>
            <w:tcW w:w="6232" w:type="dxa"/>
            <w:vAlign w:val="center"/>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lastRenderedPageBreak/>
              <w:t xml:space="preserve">Planirana sredstva: poslovni planovi INA-e </w:t>
            </w:r>
          </w:p>
        </w:tc>
      </w:tr>
      <w:tr w:rsidR="00A37B37" w:rsidRPr="00361664" w:rsidTr="00D30FF6">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Izvršno tijelo </w:t>
            </w:r>
          </w:p>
        </w:tc>
        <w:tc>
          <w:tcPr>
            <w:tcW w:w="6232" w:type="dxa"/>
            <w:vAlign w:val="center"/>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INA d.d. </w:t>
            </w:r>
          </w:p>
        </w:tc>
      </w:tr>
      <w:tr w:rsidR="00A37B37" w:rsidRPr="00361664" w:rsidTr="00D30FF6">
        <w:tc>
          <w:tcPr>
            <w:tcW w:w="1271" w:type="dxa"/>
            <w:vMerge/>
          </w:tcPr>
          <w:p w:rsidR="00A37B37" w:rsidRPr="00361664" w:rsidRDefault="00A37B37" w:rsidP="00651BCA">
            <w:pPr>
              <w:jc w:val="both"/>
              <w:rPr>
                <w:rFonts w:cstheme="minorHAnsi"/>
              </w:rPr>
            </w:pPr>
          </w:p>
        </w:tc>
        <w:tc>
          <w:tcPr>
            <w:tcW w:w="1559" w:type="dxa"/>
          </w:tcPr>
          <w:p w:rsidR="00A37B37" w:rsidRPr="00361664" w:rsidRDefault="00640C0B"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Tijelo za praćenje, mjerenje i verifikaciju ušteda</w:t>
            </w:r>
          </w:p>
        </w:tc>
        <w:tc>
          <w:tcPr>
            <w:tcW w:w="6232" w:type="dxa"/>
            <w:vAlign w:val="center"/>
          </w:tcPr>
          <w:p w:rsidR="00A37B37" w:rsidRPr="00361664" w:rsidRDefault="00A37B37" w:rsidP="00651BCA">
            <w:pPr>
              <w:jc w:val="both"/>
              <w:rPr>
                <w:rFonts w:cstheme="minorHAnsi"/>
              </w:rPr>
            </w:pPr>
            <w:r w:rsidRPr="00361664">
              <w:rPr>
                <w:rFonts w:cstheme="minorHAnsi"/>
              </w:rPr>
              <w:t xml:space="preserve">NKT </w:t>
            </w:r>
          </w:p>
        </w:tc>
      </w:tr>
      <w:tr w:rsidR="00A37B37" w:rsidRPr="00361664" w:rsidTr="00D30FF6">
        <w:tc>
          <w:tcPr>
            <w:tcW w:w="1271" w:type="dxa"/>
            <w:vMerge w:val="restart"/>
            <w:vAlign w:val="center"/>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Uštede energije</w:t>
            </w:r>
          </w:p>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Metoda praćenja / mjerenja ušteda energije </w:t>
            </w:r>
          </w:p>
          <w:p w:rsidR="00A37B37" w:rsidRPr="00361664" w:rsidRDefault="00A37B37" w:rsidP="00651BCA">
            <w:pPr>
              <w:jc w:val="both"/>
              <w:rPr>
                <w:rFonts w:cstheme="minorHAnsi"/>
              </w:rPr>
            </w:pPr>
          </w:p>
        </w:tc>
        <w:tc>
          <w:tcPr>
            <w:tcW w:w="6232" w:type="dxa"/>
          </w:tcPr>
          <w:p w:rsidR="00A37B37" w:rsidRPr="00361664" w:rsidRDefault="00A37B37" w:rsidP="00651BCA">
            <w:pPr>
              <w:jc w:val="both"/>
              <w:rPr>
                <w:rFonts w:cstheme="minorHAnsi"/>
              </w:rPr>
            </w:pPr>
            <w:r w:rsidRPr="00361664">
              <w:rPr>
                <w:rFonts w:cstheme="minorHAnsi"/>
              </w:rPr>
              <w:t xml:space="preserve">Projekti se prate internim aktima praćenja provedbe projekata, a uštede će biti vidljive na smanjenom utrošku energenata na lokacijama što se prati kroz novo uvedeni sustav praćenja energije u skladu sa ISO 50001. </w:t>
            </w:r>
          </w:p>
        </w:tc>
      </w:tr>
      <w:tr w:rsidR="00A37B37" w:rsidRPr="00361664" w:rsidTr="00A37B37">
        <w:tc>
          <w:tcPr>
            <w:tcW w:w="1271" w:type="dxa"/>
            <w:vMerge/>
          </w:tcPr>
          <w:p w:rsidR="00A37B37" w:rsidRPr="00361664" w:rsidRDefault="00A37B37" w:rsidP="00651BCA">
            <w:pPr>
              <w:jc w:val="both"/>
              <w:rPr>
                <w:rFonts w:cstheme="minorHAnsi"/>
              </w:rPr>
            </w:pPr>
          </w:p>
        </w:tc>
        <w:tc>
          <w:tcPr>
            <w:tcW w:w="1559" w:type="dxa"/>
          </w:tcPr>
          <w:p w:rsidR="00A37B37" w:rsidRPr="00361664" w:rsidRDefault="006805E4"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Očekivane uštede energije do kraja 2019.</w:t>
            </w:r>
          </w:p>
        </w:tc>
        <w:tc>
          <w:tcPr>
            <w:tcW w:w="6232" w:type="dxa"/>
            <w:vAlign w:val="center"/>
          </w:tcPr>
          <w:p w:rsidR="00471664" w:rsidRPr="00361664" w:rsidRDefault="00A37B37" w:rsidP="00471664">
            <w:pPr>
              <w:jc w:val="both"/>
              <w:rPr>
                <w:rFonts w:cstheme="minorHAnsi"/>
              </w:rPr>
            </w:pPr>
            <w:r w:rsidRPr="00361664">
              <w:rPr>
                <w:rFonts w:cstheme="minorHAnsi"/>
              </w:rPr>
              <w:t>10,2 GWh</w:t>
            </w:r>
            <w:r w:rsidR="00471664" w:rsidRPr="00361664">
              <w:rPr>
                <w:rFonts w:cstheme="minorHAnsi"/>
              </w:rPr>
              <w:t xml:space="preserve"> = 36,72 TJ</w:t>
            </w:r>
          </w:p>
        </w:tc>
      </w:tr>
      <w:tr w:rsidR="00A37B37" w:rsidRPr="00361664" w:rsidTr="00A37B37">
        <w:tc>
          <w:tcPr>
            <w:tcW w:w="1271" w:type="dxa"/>
            <w:vMerge/>
          </w:tcPr>
          <w:p w:rsidR="00A37B37" w:rsidRPr="00361664" w:rsidRDefault="00A37B37" w:rsidP="00651BCA">
            <w:pPr>
              <w:jc w:val="both"/>
              <w:rPr>
                <w:rFonts w:cstheme="minorHAnsi"/>
              </w:rPr>
            </w:pPr>
          </w:p>
        </w:tc>
        <w:tc>
          <w:tcPr>
            <w:tcW w:w="1559" w:type="dxa"/>
          </w:tcPr>
          <w:p w:rsidR="00A37B37" w:rsidRPr="00361664" w:rsidRDefault="006805E4"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Očekivane uštede energije do kraja 2020.</w:t>
            </w:r>
          </w:p>
        </w:tc>
        <w:tc>
          <w:tcPr>
            <w:tcW w:w="6232" w:type="dxa"/>
            <w:vAlign w:val="center"/>
          </w:tcPr>
          <w:p w:rsidR="00A37B37" w:rsidRPr="00361664" w:rsidRDefault="00A37B37" w:rsidP="00651BCA">
            <w:pPr>
              <w:jc w:val="both"/>
              <w:rPr>
                <w:rFonts w:cstheme="minorHAnsi"/>
              </w:rPr>
            </w:pPr>
            <w:r w:rsidRPr="00361664">
              <w:rPr>
                <w:rFonts w:cstheme="minorHAnsi"/>
              </w:rPr>
              <w:t>15,5 GWh</w:t>
            </w:r>
            <w:r w:rsidR="00471664" w:rsidRPr="00361664">
              <w:rPr>
                <w:rFonts w:cstheme="minorHAnsi"/>
              </w:rPr>
              <w:t xml:space="preserve"> = 55,8 TJ</w:t>
            </w:r>
          </w:p>
        </w:tc>
      </w:tr>
      <w:tr w:rsidR="00A37B37" w:rsidRPr="00361664" w:rsidTr="00A37B37">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Pretpostavke </w:t>
            </w:r>
          </w:p>
          <w:p w:rsidR="00A37B37" w:rsidRPr="00361664" w:rsidRDefault="00A37B37" w:rsidP="00651BCA">
            <w:pPr>
              <w:jc w:val="both"/>
              <w:rPr>
                <w:rFonts w:cstheme="minorHAnsi"/>
              </w:rPr>
            </w:pPr>
          </w:p>
        </w:tc>
        <w:tc>
          <w:tcPr>
            <w:tcW w:w="6232" w:type="dxa"/>
            <w:vAlign w:val="center"/>
          </w:tcPr>
          <w:p w:rsidR="00A37B37" w:rsidRPr="00361664" w:rsidRDefault="00A37B37" w:rsidP="00651BCA">
            <w:pPr>
              <w:jc w:val="both"/>
              <w:rPr>
                <w:rFonts w:cstheme="minorHAnsi"/>
              </w:rPr>
            </w:pPr>
            <w:r w:rsidRPr="00361664">
              <w:rPr>
                <w:rFonts w:cstheme="minorHAnsi"/>
              </w:rPr>
              <w:t>Uspješno provedeni projekti uz rad postrojenja.</w:t>
            </w:r>
          </w:p>
        </w:tc>
      </w:tr>
      <w:tr w:rsidR="00A37B37" w:rsidRPr="00361664" w:rsidTr="00A37B37">
        <w:tc>
          <w:tcPr>
            <w:tcW w:w="1271" w:type="dxa"/>
            <w:vMerge/>
          </w:tcPr>
          <w:p w:rsidR="00A37B37" w:rsidRPr="00361664" w:rsidRDefault="00A37B37" w:rsidP="00651BCA">
            <w:pPr>
              <w:jc w:val="both"/>
              <w:rPr>
                <w:rFonts w:cstheme="minorHAnsi"/>
              </w:rPr>
            </w:pPr>
          </w:p>
        </w:tc>
        <w:tc>
          <w:tcPr>
            <w:tcW w:w="1559" w:type="dxa"/>
          </w:tcPr>
          <w:p w:rsidR="00A37B37" w:rsidRPr="00361664" w:rsidRDefault="00A37B37" w:rsidP="00651BCA">
            <w:pPr>
              <w:pStyle w:val="Default"/>
              <w:jc w:val="both"/>
              <w:rPr>
                <w:rFonts w:asciiTheme="minorHAnsi" w:hAnsiTheme="minorHAnsi" w:cstheme="minorHAnsi"/>
                <w:sz w:val="20"/>
                <w:szCs w:val="22"/>
              </w:rPr>
            </w:pPr>
            <w:r w:rsidRPr="00361664">
              <w:rPr>
                <w:rFonts w:asciiTheme="minorHAnsi" w:hAnsiTheme="minorHAnsi" w:cstheme="minorHAnsi"/>
                <w:sz w:val="20"/>
                <w:szCs w:val="22"/>
              </w:rPr>
              <w:t xml:space="preserve">Preklapanja, efekt množenja, sinergija </w:t>
            </w:r>
          </w:p>
          <w:p w:rsidR="00A37B37" w:rsidRPr="00361664" w:rsidRDefault="00A37B37" w:rsidP="00651BCA">
            <w:pPr>
              <w:jc w:val="both"/>
              <w:rPr>
                <w:rFonts w:cstheme="minorHAnsi"/>
              </w:rPr>
            </w:pPr>
          </w:p>
        </w:tc>
        <w:tc>
          <w:tcPr>
            <w:tcW w:w="6232" w:type="dxa"/>
            <w:vAlign w:val="center"/>
          </w:tcPr>
          <w:p w:rsidR="00A37B37" w:rsidRPr="00361664" w:rsidRDefault="00A37B37" w:rsidP="00651BCA">
            <w:pPr>
              <w:jc w:val="both"/>
              <w:rPr>
                <w:rFonts w:cstheme="minorHAnsi"/>
              </w:rPr>
            </w:pPr>
            <w:r w:rsidRPr="00361664">
              <w:rPr>
                <w:rFonts w:cstheme="minorHAnsi"/>
              </w:rPr>
              <w:t>/</w:t>
            </w:r>
          </w:p>
        </w:tc>
      </w:tr>
    </w:tbl>
    <w:p w:rsidR="00DC62CA" w:rsidRPr="00361664" w:rsidRDefault="00DC62CA" w:rsidP="00651BCA">
      <w:pPr>
        <w:jc w:val="both"/>
      </w:pPr>
    </w:p>
    <w:tbl>
      <w:tblPr>
        <w:tblStyle w:val="Reetkatablice"/>
        <w:tblW w:w="0" w:type="auto"/>
        <w:tblLook w:val="04A0" w:firstRow="1" w:lastRow="0" w:firstColumn="1" w:lastColumn="0" w:noHBand="0" w:noVBand="1"/>
      </w:tblPr>
      <w:tblGrid>
        <w:gridCol w:w="1271"/>
        <w:gridCol w:w="1559"/>
        <w:gridCol w:w="6232"/>
      </w:tblGrid>
      <w:tr w:rsidR="00A37B37" w:rsidRPr="00361664" w:rsidTr="009040A7">
        <w:tc>
          <w:tcPr>
            <w:tcW w:w="2830" w:type="dxa"/>
            <w:gridSpan w:val="2"/>
            <w:shd w:val="clear" w:color="auto" w:fill="CCFFCC"/>
          </w:tcPr>
          <w:p w:rsidR="00A37B37" w:rsidRPr="00361664" w:rsidRDefault="00A37B37" w:rsidP="00651BCA">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Naziv mjere</w:t>
            </w:r>
          </w:p>
        </w:tc>
        <w:tc>
          <w:tcPr>
            <w:tcW w:w="6232" w:type="dxa"/>
            <w:shd w:val="clear" w:color="auto" w:fill="CCFFCC"/>
          </w:tcPr>
          <w:p w:rsidR="00A37B37" w:rsidRPr="00361664" w:rsidRDefault="00A37B37" w:rsidP="00651BCA">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Poboljšanje energetske učinkovitosti u preradi nafte </w:t>
            </w:r>
          </w:p>
          <w:p w:rsidR="00A37B37" w:rsidRPr="00361664" w:rsidRDefault="00A37B37" w:rsidP="00651BCA">
            <w:pPr>
              <w:pStyle w:val="Tabletext"/>
              <w:tabs>
                <w:tab w:val="left" w:pos="1440"/>
                <w:tab w:val="left" w:pos="5040"/>
              </w:tabs>
              <w:spacing w:before="0" w:after="0" w:line="240" w:lineRule="auto"/>
              <w:rPr>
                <w:rFonts w:asciiTheme="minorHAnsi" w:hAnsiTheme="minorHAnsi"/>
                <w:b/>
                <w:sz w:val="20"/>
                <w:lang w:val="hr-HR"/>
              </w:rPr>
            </w:pPr>
          </w:p>
        </w:tc>
      </w:tr>
      <w:tr w:rsidR="00A37B37" w:rsidRPr="00361664" w:rsidTr="00D30FF6">
        <w:tc>
          <w:tcPr>
            <w:tcW w:w="2830" w:type="dxa"/>
            <w:gridSpan w:val="2"/>
          </w:tcPr>
          <w:p w:rsidR="00A37B37" w:rsidRPr="00361664" w:rsidRDefault="00A37B37" w:rsidP="00651BCA">
            <w:pPr>
              <w:jc w:val="both"/>
              <w:rPr>
                <w:rFonts w:cstheme="minorHAnsi"/>
                <w:szCs w:val="24"/>
              </w:rPr>
            </w:pPr>
            <w:r w:rsidRPr="00361664">
              <w:rPr>
                <w:rFonts w:cstheme="minorHAnsi"/>
                <w:szCs w:val="24"/>
              </w:rPr>
              <w:t>Indeks mjere</w:t>
            </w:r>
          </w:p>
        </w:tc>
        <w:tc>
          <w:tcPr>
            <w:tcW w:w="6232" w:type="dxa"/>
          </w:tcPr>
          <w:p w:rsidR="00A37B37" w:rsidRPr="00361664" w:rsidRDefault="00A37B37" w:rsidP="00651BCA">
            <w:pPr>
              <w:jc w:val="both"/>
              <w:rPr>
                <w:rFonts w:cstheme="minorHAnsi"/>
                <w:szCs w:val="24"/>
              </w:rPr>
            </w:pPr>
            <w:r w:rsidRPr="00361664">
              <w:rPr>
                <w:rFonts w:cstheme="minorHAnsi"/>
                <w:szCs w:val="24"/>
              </w:rPr>
              <w:t>E.6</w:t>
            </w:r>
          </w:p>
        </w:tc>
      </w:tr>
      <w:tr w:rsidR="00A37B37" w:rsidRPr="00361664" w:rsidTr="00D30FF6">
        <w:tc>
          <w:tcPr>
            <w:tcW w:w="1271" w:type="dxa"/>
            <w:vMerge w:val="restart"/>
            <w:vAlign w:val="center"/>
          </w:tcPr>
          <w:p w:rsidR="00A37B37" w:rsidRPr="00361664" w:rsidRDefault="00A37B37" w:rsidP="00651BCA">
            <w:pPr>
              <w:jc w:val="both"/>
              <w:rPr>
                <w:rFonts w:cstheme="minorHAnsi"/>
                <w:szCs w:val="24"/>
              </w:rPr>
            </w:pPr>
            <w:r w:rsidRPr="00361664">
              <w:rPr>
                <w:rFonts w:cstheme="minorHAnsi"/>
                <w:szCs w:val="24"/>
              </w:rPr>
              <w:t>Opis</w:t>
            </w: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Kategorija </w:t>
            </w:r>
          </w:p>
        </w:tc>
        <w:tc>
          <w:tcPr>
            <w:tcW w:w="6232"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Prerada nafte </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651BCA">
            <w:pPr>
              <w:jc w:val="both"/>
              <w:rPr>
                <w:rFonts w:cstheme="minorHAnsi"/>
                <w:szCs w:val="24"/>
              </w:rPr>
            </w:pPr>
            <w:r w:rsidRPr="00361664">
              <w:rPr>
                <w:rFonts w:cstheme="minorHAnsi"/>
                <w:szCs w:val="24"/>
              </w:rPr>
              <w:t>Vremenski okvir</w:t>
            </w:r>
          </w:p>
        </w:tc>
        <w:tc>
          <w:tcPr>
            <w:tcW w:w="6232" w:type="dxa"/>
          </w:tcPr>
          <w:p w:rsidR="00A37B37" w:rsidRPr="00361664" w:rsidRDefault="00A37B37" w:rsidP="00651BCA">
            <w:pPr>
              <w:jc w:val="both"/>
              <w:rPr>
                <w:rFonts w:cstheme="minorHAnsi"/>
                <w:szCs w:val="24"/>
              </w:rPr>
            </w:pPr>
            <w:r w:rsidRPr="00361664">
              <w:rPr>
                <w:rFonts w:cstheme="minorHAnsi"/>
                <w:szCs w:val="24"/>
              </w:rPr>
              <w:t>Početak: 2017.</w:t>
            </w:r>
          </w:p>
          <w:p w:rsidR="00A37B37" w:rsidRPr="00361664" w:rsidRDefault="00A37B37" w:rsidP="00651BCA">
            <w:pPr>
              <w:jc w:val="both"/>
              <w:rPr>
                <w:rFonts w:cstheme="minorHAnsi"/>
                <w:szCs w:val="24"/>
              </w:rPr>
            </w:pPr>
            <w:r w:rsidRPr="00361664">
              <w:rPr>
                <w:rFonts w:cstheme="minorHAnsi"/>
                <w:szCs w:val="24"/>
              </w:rPr>
              <w:t>Kraj: 2019.</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Cilj / kratak opis </w:t>
            </w:r>
          </w:p>
        </w:tc>
        <w:tc>
          <w:tcPr>
            <w:tcW w:w="6232"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INA će u rafinerijskoj preradi nastaviti s aktivnostima glede poboljšanja energetske učinkovitosti odnosno smanjenja emisija i time utjecaja na okoliš. U procesu se prerade koriste značajne količine toplinske energije, te je iskustvo pokazalo da su u navedenom području i najveće mogućnosti za uštede (Prikupljanje i povrat kondenzata, Poboljšanje postojećih peći i kotlova, rekuperacija topline, mjerenje potrošnje, unaprjeđenje izmjenjivača topline). Osim potrošača toplinske energije, u procesu se koristi i značajan broj potrošača električne energije te su i u tom području uočene</w:t>
            </w:r>
            <w:r w:rsidR="001E0502">
              <w:rPr>
                <w:rFonts w:asciiTheme="minorHAnsi" w:hAnsiTheme="minorHAnsi" w:cstheme="minorHAnsi"/>
                <w:sz w:val="20"/>
              </w:rPr>
              <w:t xml:space="preserve"> mogućnosti za dodatne uštede (z</w:t>
            </w:r>
            <w:r w:rsidRPr="00361664">
              <w:rPr>
                <w:rFonts w:asciiTheme="minorHAnsi" w:hAnsiTheme="minorHAnsi" w:cstheme="minorHAnsi"/>
                <w:sz w:val="20"/>
              </w:rPr>
              <w:t>amje</w:t>
            </w:r>
            <w:r w:rsidR="001E0502">
              <w:rPr>
                <w:rFonts w:asciiTheme="minorHAnsi" w:hAnsiTheme="minorHAnsi" w:cstheme="minorHAnsi"/>
                <w:sz w:val="20"/>
              </w:rPr>
              <w:t>na rasvjete, izgradnja nove podstanice, n</w:t>
            </w:r>
            <w:r w:rsidRPr="00361664">
              <w:rPr>
                <w:rFonts w:asciiTheme="minorHAnsi" w:hAnsiTheme="minorHAnsi" w:cstheme="minorHAnsi"/>
                <w:sz w:val="20"/>
              </w:rPr>
              <w:t xml:space="preserve">adogradnja postojeće opreme u pogonima, instalacija daljinskih centara za upravljanje el. </w:t>
            </w:r>
            <w:r w:rsidR="001E0502">
              <w:rPr>
                <w:rFonts w:asciiTheme="minorHAnsi" w:hAnsiTheme="minorHAnsi" w:cstheme="minorHAnsi"/>
                <w:sz w:val="20"/>
              </w:rPr>
              <w:t>m</w:t>
            </w:r>
            <w:r w:rsidRPr="00361664">
              <w:rPr>
                <w:rFonts w:asciiTheme="minorHAnsi" w:hAnsiTheme="minorHAnsi" w:cstheme="minorHAnsi"/>
                <w:sz w:val="20"/>
              </w:rPr>
              <w:t>režom</w:t>
            </w:r>
            <w:r w:rsidR="001E0502">
              <w:rPr>
                <w:rFonts w:asciiTheme="minorHAnsi" w:hAnsiTheme="minorHAnsi" w:cstheme="minorHAnsi"/>
                <w:sz w:val="20"/>
              </w:rPr>
              <w:t>)</w:t>
            </w:r>
            <w:r w:rsidRPr="00361664">
              <w:rPr>
                <w:rFonts w:asciiTheme="minorHAnsi" w:hAnsiTheme="minorHAnsi" w:cstheme="minorHAnsi"/>
                <w:sz w:val="20"/>
              </w:rPr>
              <w:t>. Dodatne aktivnosti su planirane u području smanjenja gubitaka ugljikovodika i</w:t>
            </w:r>
            <w:r w:rsidR="001E0502">
              <w:rPr>
                <w:rFonts w:asciiTheme="minorHAnsi" w:hAnsiTheme="minorHAnsi" w:cstheme="minorHAnsi"/>
                <w:sz w:val="20"/>
              </w:rPr>
              <w:t xml:space="preserve"> optimizacije procesa prerade (r</w:t>
            </w:r>
            <w:r w:rsidRPr="00361664">
              <w:rPr>
                <w:rFonts w:asciiTheme="minorHAnsi" w:hAnsiTheme="minorHAnsi" w:cstheme="minorHAnsi"/>
                <w:sz w:val="20"/>
              </w:rPr>
              <w:t>ekuperacija plina iz sustava baklje, napredno vođenje procesa prerade).</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Ciljna neposredna potrošnja </w:t>
            </w:r>
          </w:p>
        </w:tc>
        <w:tc>
          <w:tcPr>
            <w:tcW w:w="6232" w:type="dxa"/>
            <w:vAlign w:val="center"/>
          </w:tcPr>
          <w:p w:rsidR="00A37B37" w:rsidRPr="00361664" w:rsidRDefault="00A37B37" w:rsidP="00651BCA">
            <w:pPr>
              <w:jc w:val="both"/>
              <w:rPr>
                <w:rFonts w:cstheme="minorHAnsi"/>
                <w:szCs w:val="24"/>
              </w:rPr>
            </w:pPr>
            <w:r w:rsidRPr="00361664">
              <w:rPr>
                <w:rFonts w:cstheme="minorHAnsi"/>
                <w:szCs w:val="24"/>
              </w:rPr>
              <w:t xml:space="preserve">Potrošnja električne energije, potrošnja toplinske energije, potrošnja tekućih goriva, potrošnja plina </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Ciljna skupina </w:t>
            </w:r>
          </w:p>
        </w:tc>
        <w:tc>
          <w:tcPr>
            <w:tcW w:w="6232"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INA d.d. </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Regionalna primjena </w:t>
            </w:r>
          </w:p>
        </w:tc>
        <w:tc>
          <w:tcPr>
            <w:tcW w:w="6232"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Nacionalno</w:t>
            </w:r>
          </w:p>
        </w:tc>
      </w:tr>
      <w:tr w:rsidR="00A37B37" w:rsidRPr="00361664" w:rsidTr="00D30FF6">
        <w:tc>
          <w:tcPr>
            <w:tcW w:w="1271" w:type="dxa"/>
            <w:vMerge w:val="restart"/>
            <w:vAlign w:val="center"/>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Informacije o provedbi </w:t>
            </w: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Popis i opis aktivnosti za </w:t>
            </w:r>
            <w:r w:rsidRPr="00361664">
              <w:rPr>
                <w:rFonts w:asciiTheme="minorHAnsi" w:hAnsiTheme="minorHAnsi" w:cstheme="minorHAnsi"/>
                <w:sz w:val="20"/>
              </w:rPr>
              <w:lastRenderedPageBreak/>
              <w:t xml:space="preserve">provođenje mjere </w:t>
            </w:r>
          </w:p>
        </w:tc>
        <w:tc>
          <w:tcPr>
            <w:tcW w:w="6232" w:type="dxa"/>
          </w:tcPr>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lastRenderedPageBreak/>
              <w:t xml:space="preserve">Unaprjeđenje sustava za prikupljanje i povrat kondenzata </w:t>
            </w:r>
          </w:p>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lastRenderedPageBreak/>
              <w:t>Rekuperacija plina iz sustava baklje</w:t>
            </w:r>
          </w:p>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t>Analiza i poboljšanje postojećih procesnih peći i kotlova</w:t>
            </w:r>
          </w:p>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t>Zamjena rasvjete i instalacija LED tehnologije</w:t>
            </w:r>
          </w:p>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t>Integracija i poboljšanje rekuperacije topline</w:t>
            </w:r>
          </w:p>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t>Poboljšanja mjerenja, praćenja i kontrole potrošnje energije</w:t>
            </w:r>
          </w:p>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t>Izgradnja pod stanice TS 110/35 kV</w:t>
            </w:r>
          </w:p>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t xml:space="preserve">Analiza i nadogradnja postojeće opreme (npr. Instalacije frekventnih regulatora) </w:t>
            </w:r>
          </w:p>
          <w:p w:rsidR="00A37B37" w:rsidRPr="00361664" w:rsidRDefault="00A37B37" w:rsidP="00CD00FF">
            <w:pPr>
              <w:pStyle w:val="Default"/>
              <w:numPr>
                <w:ilvl w:val="0"/>
                <w:numId w:val="34"/>
              </w:numPr>
              <w:jc w:val="both"/>
              <w:rPr>
                <w:rFonts w:asciiTheme="minorHAnsi" w:hAnsiTheme="minorHAnsi" w:cstheme="minorHAnsi"/>
                <w:sz w:val="20"/>
              </w:rPr>
            </w:pPr>
            <w:r w:rsidRPr="00361664">
              <w:rPr>
                <w:rFonts w:asciiTheme="minorHAnsi" w:hAnsiTheme="minorHAnsi" w:cstheme="minorHAnsi"/>
                <w:sz w:val="20"/>
              </w:rPr>
              <w:t>Izgradnja sustava naprednog vođenja procesa prerade</w:t>
            </w:r>
          </w:p>
          <w:p w:rsidR="00A37B37" w:rsidRPr="00361664" w:rsidRDefault="00A37B37" w:rsidP="00CD00FF">
            <w:pPr>
              <w:pStyle w:val="Default"/>
              <w:numPr>
                <w:ilvl w:val="0"/>
                <w:numId w:val="35"/>
              </w:numPr>
              <w:jc w:val="both"/>
              <w:rPr>
                <w:rFonts w:asciiTheme="minorHAnsi" w:hAnsiTheme="minorHAnsi" w:cstheme="minorHAnsi"/>
                <w:sz w:val="20"/>
              </w:rPr>
            </w:pPr>
            <w:r w:rsidRPr="00361664">
              <w:rPr>
                <w:rFonts w:asciiTheme="minorHAnsi" w:hAnsiTheme="minorHAnsi" w:cstheme="minorHAnsi"/>
                <w:sz w:val="20"/>
              </w:rPr>
              <w:t>Analiza i unaprjeđenje postojećih izmjenjivača topline</w:t>
            </w:r>
          </w:p>
          <w:p w:rsidR="00A37B37" w:rsidRPr="00361664" w:rsidRDefault="00A37B37" w:rsidP="00CD00FF">
            <w:pPr>
              <w:pStyle w:val="Default"/>
              <w:numPr>
                <w:ilvl w:val="0"/>
                <w:numId w:val="35"/>
              </w:numPr>
              <w:jc w:val="both"/>
              <w:rPr>
                <w:rFonts w:asciiTheme="minorHAnsi" w:hAnsiTheme="minorHAnsi" w:cstheme="minorHAnsi"/>
                <w:sz w:val="20"/>
              </w:rPr>
            </w:pPr>
            <w:r w:rsidRPr="00361664">
              <w:rPr>
                <w:rFonts w:asciiTheme="minorHAnsi" w:hAnsiTheme="minorHAnsi" w:cstheme="minorHAnsi"/>
                <w:sz w:val="20"/>
              </w:rPr>
              <w:t>Analiza postojećih i instalacija daljinskih centara za upravljanje električnom mrežom</w:t>
            </w:r>
          </w:p>
          <w:p w:rsidR="00A37B37" w:rsidRPr="00361664" w:rsidRDefault="00A37B37" w:rsidP="00CD00FF">
            <w:pPr>
              <w:pStyle w:val="Default"/>
              <w:numPr>
                <w:ilvl w:val="0"/>
                <w:numId w:val="35"/>
              </w:numPr>
              <w:jc w:val="both"/>
              <w:rPr>
                <w:rFonts w:asciiTheme="minorHAnsi" w:hAnsiTheme="minorHAnsi" w:cstheme="minorHAnsi"/>
                <w:sz w:val="20"/>
              </w:rPr>
            </w:pPr>
            <w:r w:rsidRPr="00361664">
              <w:rPr>
                <w:rFonts w:asciiTheme="minorHAnsi" w:hAnsiTheme="minorHAnsi" w:cstheme="minorHAnsi"/>
                <w:sz w:val="20"/>
              </w:rPr>
              <w:t xml:space="preserve">Analiza i poboljšanje rashladnih tornjeva </w:t>
            </w:r>
          </w:p>
          <w:p w:rsidR="00A37B37" w:rsidRPr="00361664" w:rsidRDefault="00A37B37" w:rsidP="00CD00FF">
            <w:pPr>
              <w:pStyle w:val="Default"/>
              <w:numPr>
                <w:ilvl w:val="0"/>
                <w:numId w:val="35"/>
              </w:numPr>
              <w:jc w:val="both"/>
              <w:rPr>
                <w:rFonts w:asciiTheme="minorHAnsi" w:hAnsiTheme="minorHAnsi" w:cstheme="minorHAnsi"/>
                <w:sz w:val="20"/>
              </w:rPr>
            </w:pPr>
            <w:r w:rsidRPr="00361664">
              <w:rPr>
                <w:rFonts w:asciiTheme="minorHAnsi" w:hAnsiTheme="minorHAnsi" w:cstheme="minorHAnsi"/>
                <w:sz w:val="20"/>
              </w:rPr>
              <w:t>ostalo</w:t>
            </w:r>
          </w:p>
          <w:p w:rsidR="00A37B37" w:rsidRPr="00361664" w:rsidRDefault="00A37B37" w:rsidP="00651BCA">
            <w:pPr>
              <w:jc w:val="both"/>
              <w:rPr>
                <w:rFonts w:cstheme="minorHAnsi"/>
                <w:szCs w:val="24"/>
              </w:rPr>
            </w:pPr>
            <w:r w:rsidRPr="00361664">
              <w:rPr>
                <w:rFonts w:cstheme="minorHAnsi"/>
                <w:szCs w:val="24"/>
              </w:rPr>
              <w:t xml:space="preserve">Očekivane uštede u razdoblju 2017. – 2019.: 550 GWh </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Financijska sredstva i izvori financiranja </w:t>
            </w:r>
          </w:p>
        </w:tc>
        <w:tc>
          <w:tcPr>
            <w:tcW w:w="6232" w:type="dxa"/>
            <w:vAlign w:val="center"/>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Planirana sredstva: Poslovni planovi INA-e </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Izvršno tijelo </w:t>
            </w:r>
          </w:p>
        </w:tc>
        <w:tc>
          <w:tcPr>
            <w:tcW w:w="6232" w:type="dxa"/>
            <w:vAlign w:val="center"/>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INA d.d. </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640C0B" w:rsidP="00651BCA">
            <w:pPr>
              <w:pStyle w:val="Default"/>
              <w:jc w:val="both"/>
              <w:rPr>
                <w:rFonts w:asciiTheme="minorHAnsi" w:hAnsiTheme="minorHAnsi" w:cstheme="minorHAnsi"/>
                <w:sz w:val="20"/>
              </w:rPr>
            </w:pPr>
            <w:r w:rsidRPr="00361664">
              <w:rPr>
                <w:rFonts w:asciiTheme="minorHAnsi" w:hAnsiTheme="minorHAnsi" w:cstheme="minorHAnsi"/>
                <w:sz w:val="20"/>
              </w:rPr>
              <w:t>Tijelo za praćenje, mjerenje i verifikaciju ušteda</w:t>
            </w:r>
          </w:p>
        </w:tc>
        <w:tc>
          <w:tcPr>
            <w:tcW w:w="6232" w:type="dxa"/>
            <w:vAlign w:val="center"/>
          </w:tcPr>
          <w:p w:rsidR="00A37B37" w:rsidRPr="00361664" w:rsidRDefault="00A37B37" w:rsidP="00651BCA">
            <w:pPr>
              <w:jc w:val="both"/>
              <w:rPr>
                <w:rFonts w:cstheme="minorHAnsi"/>
                <w:szCs w:val="24"/>
              </w:rPr>
            </w:pPr>
            <w:r w:rsidRPr="00361664">
              <w:rPr>
                <w:rFonts w:cstheme="minorHAnsi"/>
                <w:szCs w:val="24"/>
              </w:rPr>
              <w:t xml:space="preserve">NKT </w:t>
            </w:r>
          </w:p>
        </w:tc>
      </w:tr>
      <w:tr w:rsidR="00A37B37" w:rsidRPr="00361664" w:rsidTr="00D30FF6">
        <w:tc>
          <w:tcPr>
            <w:tcW w:w="1271" w:type="dxa"/>
            <w:vMerge w:val="restart"/>
            <w:vAlign w:val="center"/>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Uštede energije</w:t>
            </w:r>
          </w:p>
          <w:p w:rsidR="00A37B37" w:rsidRPr="00361664" w:rsidRDefault="00A37B37" w:rsidP="00651BCA">
            <w:pPr>
              <w:jc w:val="both"/>
              <w:rPr>
                <w:rFonts w:cstheme="minorHAnsi"/>
                <w:szCs w:val="24"/>
              </w:rPr>
            </w:pPr>
          </w:p>
        </w:tc>
        <w:tc>
          <w:tcPr>
            <w:tcW w:w="1559" w:type="dxa"/>
          </w:tcPr>
          <w:p w:rsidR="00A37B37" w:rsidRPr="00361664" w:rsidRDefault="00A37B37" w:rsidP="00651BCA">
            <w:pPr>
              <w:pStyle w:val="Default"/>
              <w:jc w:val="both"/>
              <w:rPr>
                <w:rFonts w:asciiTheme="minorHAnsi" w:hAnsiTheme="minorHAnsi" w:cstheme="minorHAnsi"/>
                <w:sz w:val="20"/>
              </w:rPr>
            </w:pPr>
            <w:r w:rsidRPr="00361664">
              <w:rPr>
                <w:rFonts w:asciiTheme="minorHAnsi" w:hAnsiTheme="minorHAnsi" w:cstheme="minorHAnsi"/>
                <w:sz w:val="20"/>
              </w:rPr>
              <w:t xml:space="preserve">Metoda praćenja / mjerenja ušteda energije </w:t>
            </w:r>
          </w:p>
          <w:p w:rsidR="00A37B37" w:rsidRPr="00361664" w:rsidRDefault="00A37B37" w:rsidP="00651BCA">
            <w:pPr>
              <w:jc w:val="both"/>
              <w:rPr>
                <w:rFonts w:cstheme="minorHAnsi"/>
                <w:szCs w:val="24"/>
              </w:rPr>
            </w:pPr>
          </w:p>
        </w:tc>
        <w:tc>
          <w:tcPr>
            <w:tcW w:w="6232" w:type="dxa"/>
          </w:tcPr>
          <w:p w:rsidR="00A37B37" w:rsidRPr="00361664" w:rsidRDefault="00A37B37" w:rsidP="00651BCA">
            <w:pPr>
              <w:jc w:val="both"/>
              <w:rPr>
                <w:rFonts w:cstheme="minorHAnsi"/>
                <w:szCs w:val="24"/>
              </w:rPr>
            </w:pPr>
            <w:r w:rsidRPr="00361664">
              <w:rPr>
                <w:rFonts w:cstheme="minorHAnsi"/>
                <w:szCs w:val="24"/>
              </w:rPr>
              <w:t xml:space="preserve">Mjere se prate internim aktima za praćenje provedbe. Izvještavanje interno i NKT. </w:t>
            </w: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6805E4" w:rsidP="00651BCA">
            <w:pPr>
              <w:pStyle w:val="Default"/>
              <w:jc w:val="both"/>
              <w:rPr>
                <w:rFonts w:asciiTheme="minorHAnsi" w:hAnsiTheme="minorHAnsi" w:cstheme="minorHAnsi"/>
                <w:sz w:val="20"/>
              </w:rPr>
            </w:pPr>
            <w:r w:rsidRPr="00361664">
              <w:rPr>
                <w:rFonts w:asciiTheme="minorHAnsi" w:hAnsiTheme="minorHAnsi" w:cstheme="minorHAnsi"/>
                <w:sz w:val="20"/>
              </w:rPr>
              <w:t>Očekivane uštede energije do kraja 2019.</w:t>
            </w:r>
          </w:p>
        </w:tc>
        <w:tc>
          <w:tcPr>
            <w:tcW w:w="6232" w:type="dxa"/>
          </w:tcPr>
          <w:p w:rsidR="00A37B37" w:rsidRPr="00361664" w:rsidRDefault="003F7345" w:rsidP="00651BCA">
            <w:pPr>
              <w:jc w:val="both"/>
              <w:rPr>
                <w:rFonts w:cstheme="minorHAnsi"/>
                <w:szCs w:val="24"/>
              </w:rPr>
            </w:pPr>
            <w:r w:rsidRPr="00361664">
              <w:rPr>
                <w:rFonts w:cstheme="minorHAnsi"/>
                <w:szCs w:val="24"/>
              </w:rPr>
              <w:t>1980 TJ</w:t>
            </w:r>
            <w:r w:rsidR="00A37B37" w:rsidRPr="00361664">
              <w:rPr>
                <w:rFonts w:cstheme="minorHAnsi"/>
                <w:szCs w:val="24"/>
              </w:rPr>
              <w:t xml:space="preserve"> u 2017., 2018. i 2019. godini</w:t>
            </w:r>
          </w:p>
          <w:p w:rsidR="00471664" w:rsidRPr="00361664" w:rsidRDefault="00471664" w:rsidP="00651BCA">
            <w:pPr>
              <w:jc w:val="both"/>
              <w:rPr>
                <w:rFonts w:cstheme="minorHAnsi"/>
                <w:szCs w:val="24"/>
              </w:rPr>
            </w:pPr>
          </w:p>
        </w:tc>
      </w:tr>
      <w:tr w:rsidR="00A37B37" w:rsidRPr="00361664" w:rsidTr="00D30FF6">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6805E4" w:rsidP="00651BCA">
            <w:pPr>
              <w:pStyle w:val="Default"/>
              <w:jc w:val="both"/>
              <w:rPr>
                <w:rFonts w:asciiTheme="minorHAnsi" w:hAnsiTheme="minorHAnsi" w:cstheme="minorHAnsi"/>
                <w:sz w:val="20"/>
              </w:rPr>
            </w:pPr>
            <w:r w:rsidRPr="00361664">
              <w:rPr>
                <w:rFonts w:asciiTheme="minorHAnsi" w:hAnsiTheme="minorHAnsi" w:cstheme="minorHAnsi"/>
                <w:sz w:val="20"/>
              </w:rPr>
              <w:t>Očekivane uštede energije do kraja 2020.</w:t>
            </w:r>
          </w:p>
        </w:tc>
        <w:tc>
          <w:tcPr>
            <w:tcW w:w="6232" w:type="dxa"/>
          </w:tcPr>
          <w:p w:rsidR="00A37B37" w:rsidRPr="00361664" w:rsidRDefault="00A37B37" w:rsidP="00651BCA">
            <w:pPr>
              <w:jc w:val="both"/>
              <w:rPr>
                <w:rFonts w:cstheme="minorHAnsi"/>
                <w:szCs w:val="24"/>
              </w:rPr>
            </w:pPr>
            <w:r w:rsidRPr="00361664">
              <w:rPr>
                <w:rFonts w:cstheme="minorHAnsi"/>
                <w:szCs w:val="24"/>
              </w:rPr>
              <w:t>Dodatne mjere u 2020. nisu određene.</w:t>
            </w:r>
          </w:p>
          <w:p w:rsidR="00471664" w:rsidRPr="00361664" w:rsidRDefault="00471664" w:rsidP="00651BCA">
            <w:pPr>
              <w:jc w:val="both"/>
              <w:rPr>
                <w:rFonts w:cstheme="minorHAnsi"/>
                <w:szCs w:val="24"/>
              </w:rPr>
            </w:pPr>
          </w:p>
          <w:p w:rsidR="00471664" w:rsidRPr="00361664" w:rsidRDefault="00471664" w:rsidP="00651BCA">
            <w:pPr>
              <w:jc w:val="both"/>
              <w:rPr>
                <w:rFonts w:cstheme="minorHAnsi"/>
                <w:szCs w:val="24"/>
              </w:rPr>
            </w:pPr>
            <w:r w:rsidRPr="00361664">
              <w:rPr>
                <w:rFonts w:cstheme="minorHAnsi"/>
                <w:szCs w:val="24"/>
              </w:rPr>
              <w:t xml:space="preserve">Ukupno: 1980 TJ </w:t>
            </w:r>
          </w:p>
        </w:tc>
      </w:tr>
      <w:tr w:rsidR="00A37B37" w:rsidRPr="00361664" w:rsidTr="001E243B">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1E243B">
            <w:pPr>
              <w:pStyle w:val="Default"/>
              <w:rPr>
                <w:rFonts w:asciiTheme="minorHAnsi" w:hAnsiTheme="minorHAnsi" w:cstheme="minorHAnsi"/>
                <w:sz w:val="20"/>
              </w:rPr>
            </w:pPr>
            <w:r w:rsidRPr="00361664">
              <w:rPr>
                <w:rFonts w:asciiTheme="minorHAnsi" w:hAnsiTheme="minorHAnsi" w:cstheme="minorHAnsi"/>
                <w:sz w:val="20"/>
              </w:rPr>
              <w:t>Pretpostavke</w:t>
            </w:r>
          </w:p>
          <w:p w:rsidR="00A37B37" w:rsidRPr="00361664" w:rsidRDefault="00A37B37" w:rsidP="001E243B">
            <w:pPr>
              <w:rPr>
                <w:rFonts w:cstheme="minorHAnsi"/>
                <w:szCs w:val="24"/>
              </w:rPr>
            </w:pPr>
          </w:p>
        </w:tc>
        <w:tc>
          <w:tcPr>
            <w:tcW w:w="6232" w:type="dxa"/>
            <w:vAlign w:val="center"/>
          </w:tcPr>
          <w:p w:rsidR="00A37B37" w:rsidRPr="00361664" w:rsidRDefault="006C5A2C" w:rsidP="001E243B">
            <w:pPr>
              <w:rPr>
                <w:rFonts w:cstheme="minorHAnsi"/>
                <w:szCs w:val="24"/>
              </w:rPr>
            </w:pPr>
            <w:r w:rsidRPr="00361664">
              <w:rPr>
                <w:rFonts w:cstheme="minorHAnsi"/>
                <w:szCs w:val="24"/>
              </w:rPr>
              <w:t>/</w:t>
            </w:r>
          </w:p>
        </w:tc>
      </w:tr>
      <w:tr w:rsidR="00A37B37" w:rsidRPr="00361664" w:rsidTr="001E243B">
        <w:tc>
          <w:tcPr>
            <w:tcW w:w="1271" w:type="dxa"/>
            <w:vMerge/>
          </w:tcPr>
          <w:p w:rsidR="00A37B37" w:rsidRPr="00361664" w:rsidRDefault="00A37B37" w:rsidP="00651BCA">
            <w:pPr>
              <w:jc w:val="both"/>
              <w:rPr>
                <w:rFonts w:cstheme="minorHAnsi"/>
                <w:szCs w:val="24"/>
              </w:rPr>
            </w:pPr>
          </w:p>
        </w:tc>
        <w:tc>
          <w:tcPr>
            <w:tcW w:w="1559" w:type="dxa"/>
          </w:tcPr>
          <w:p w:rsidR="00A37B37" w:rsidRPr="00361664" w:rsidRDefault="00A37B37" w:rsidP="00A850B6">
            <w:pPr>
              <w:pStyle w:val="Default"/>
              <w:rPr>
                <w:rFonts w:asciiTheme="minorHAnsi" w:hAnsiTheme="minorHAnsi" w:cstheme="minorHAnsi"/>
                <w:sz w:val="20"/>
              </w:rPr>
            </w:pPr>
            <w:r w:rsidRPr="00361664">
              <w:rPr>
                <w:rFonts w:asciiTheme="minorHAnsi" w:hAnsiTheme="minorHAnsi" w:cstheme="minorHAnsi"/>
                <w:sz w:val="20"/>
              </w:rPr>
              <w:t>Preklapanja, efekt množenja, sinergija</w:t>
            </w:r>
          </w:p>
        </w:tc>
        <w:tc>
          <w:tcPr>
            <w:tcW w:w="6232" w:type="dxa"/>
            <w:vAlign w:val="center"/>
          </w:tcPr>
          <w:p w:rsidR="00A37B37" w:rsidRPr="00361664" w:rsidRDefault="006C5A2C" w:rsidP="001E243B">
            <w:pPr>
              <w:rPr>
                <w:rFonts w:cstheme="minorHAnsi"/>
                <w:szCs w:val="24"/>
              </w:rPr>
            </w:pPr>
            <w:r w:rsidRPr="00361664">
              <w:rPr>
                <w:rFonts w:cstheme="minorHAnsi"/>
                <w:szCs w:val="24"/>
              </w:rPr>
              <w:t>/</w:t>
            </w:r>
          </w:p>
        </w:tc>
      </w:tr>
    </w:tbl>
    <w:p w:rsidR="007871C0" w:rsidRPr="001E0502" w:rsidRDefault="004A126F" w:rsidP="001E0502">
      <w:pPr>
        <w:pStyle w:val="Naslov3"/>
        <w:rPr>
          <w:rStyle w:val="Jakoisticanje"/>
          <w:b/>
          <w:bCs w:val="0"/>
          <w:i/>
          <w:iCs w:val="0"/>
          <w:color w:val="375F91"/>
          <w:lang w:val="hr-HR"/>
        </w:rPr>
      </w:pPr>
      <w:bookmarkStart w:id="57" w:name="_Toc535245874"/>
      <w:r w:rsidRPr="001E0502">
        <w:rPr>
          <w:rStyle w:val="Jakoisticanje"/>
          <w:b/>
          <w:bCs w:val="0"/>
          <w:i/>
          <w:iCs w:val="0"/>
          <w:color w:val="375F91"/>
          <w:lang w:val="hr-HR"/>
        </w:rPr>
        <w:t>Kriteriji energets</w:t>
      </w:r>
      <w:r w:rsidR="0082314F" w:rsidRPr="001E0502">
        <w:rPr>
          <w:rStyle w:val="Jakoisticanje"/>
          <w:b/>
          <w:bCs w:val="0"/>
          <w:i/>
          <w:iCs w:val="0"/>
          <w:color w:val="375F91"/>
          <w:lang w:val="hr-HR"/>
        </w:rPr>
        <w:t>ke učinkovitosti u mrežnim</w:t>
      </w:r>
      <w:r w:rsidR="003A1F2D" w:rsidRPr="001E0502">
        <w:rPr>
          <w:rStyle w:val="Jakoisticanje"/>
          <w:b/>
          <w:bCs w:val="0"/>
          <w:i/>
          <w:iCs w:val="0"/>
          <w:color w:val="375F91"/>
          <w:lang w:val="hr-HR"/>
        </w:rPr>
        <w:t xml:space="preserve"> tarifa</w:t>
      </w:r>
      <w:r w:rsidR="0082314F" w:rsidRPr="001E0502">
        <w:rPr>
          <w:rStyle w:val="Jakoisticanje"/>
          <w:b/>
          <w:bCs w:val="0"/>
          <w:i/>
          <w:iCs w:val="0"/>
          <w:color w:val="375F91"/>
          <w:lang w:val="hr-HR"/>
        </w:rPr>
        <w:t>ma</w:t>
      </w:r>
      <w:r w:rsidRPr="001E0502">
        <w:rPr>
          <w:rStyle w:val="Jakoisticanje"/>
          <w:b/>
          <w:bCs w:val="0"/>
          <w:i/>
          <w:iCs w:val="0"/>
          <w:color w:val="375F91"/>
          <w:lang w:val="hr-HR"/>
        </w:rPr>
        <w:t xml:space="preserve"> i regulacij</w:t>
      </w:r>
      <w:r w:rsidR="0082314F" w:rsidRPr="001E0502">
        <w:rPr>
          <w:rStyle w:val="Jakoisticanje"/>
          <w:b/>
          <w:bCs w:val="0"/>
          <w:i/>
          <w:iCs w:val="0"/>
          <w:color w:val="375F91"/>
          <w:lang w:val="hr-HR"/>
        </w:rPr>
        <w:t>a (č</w:t>
      </w:r>
      <w:r w:rsidRPr="001E0502">
        <w:rPr>
          <w:rStyle w:val="Jakoisticanje"/>
          <w:b/>
          <w:bCs w:val="0"/>
          <w:i/>
          <w:iCs w:val="0"/>
          <w:color w:val="375F91"/>
          <w:lang w:val="hr-HR"/>
        </w:rPr>
        <w:t>lanak 15</w:t>
      </w:r>
      <w:r w:rsidR="0082314F" w:rsidRPr="001E0502">
        <w:rPr>
          <w:rStyle w:val="Jakoisticanje"/>
          <w:b/>
          <w:bCs w:val="0"/>
          <w:i/>
          <w:iCs w:val="0"/>
          <w:color w:val="375F91"/>
          <w:lang w:val="hr-HR"/>
        </w:rPr>
        <w:t>. DEU-a</w:t>
      </w:r>
      <w:r w:rsidRPr="001E0502">
        <w:rPr>
          <w:rStyle w:val="Jakoisticanje"/>
          <w:b/>
          <w:bCs w:val="0"/>
          <w:i/>
          <w:iCs w:val="0"/>
          <w:color w:val="375F91"/>
          <w:lang w:val="hr-HR"/>
        </w:rPr>
        <w:t>)</w:t>
      </w:r>
      <w:bookmarkEnd w:id="57"/>
    </w:p>
    <w:p w:rsidR="005C7E7E" w:rsidRPr="00361664" w:rsidRDefault="005C7E7E" w:rsidP="005C7E7E">
      <w:pPr>
        <w:jc w:val="both"/>
        <w:rPr>
          <w:sz w:val="20"/>
          <w:szCs w:val="20"/>
          <w:lang w:eastAsia="de-DE"/>
        </w:rPr>
      </w:pPr>
      <w:r w:rsidRPr="00361664">
        <w:rPr>
          <w:sz w:val="20"/>
          <w:szCs w:val="20"/>
          <w:lang w:eastAsia="de-DE"/>
        </w:rPr>
        <w:t>HERA u skladu sa Zakonom o energiji (NN 120/12), Zakonom o regulaciji energetskih djelatnosti (NN 120/12), Zakona o tržištu električne energije (NN 22/13) i Zakonu o tržištu plina (NN 28/13) prati i analizira rad i poslovanje energetskih subjekata. Navedeni zakonski okvir je u skladu s Direktivom 2009/72/EC i Objašnjenja Europske komisije po pitanju regulatornih tijela prema Direktivama 2009/72/EC i 2009/73/EC ("Interpretative Note On Directive 2009/72/EC ConcerningCommonRules for theInternalMarketinElectricityandDirective 2009/73/EC ConcerningCommonRules for theInternalMarketin Natural Gas").</w:t>
      </w:r>
    </w:p>
    <w:p w:rsidR="005C7E7E" w:rsidRPr="00361664" w:rsidRDefault="005C7E7E" w:rsidP="005C7E7E">
      <w:pPr>
        <w:jc w:val="both"/>
        <w:rPr>
          <w:sz w:val="20"/>
          <w:szCs w:val="20"/>
          <w:lang w:eastAsia="de-DE"/>
        </w:rPr>
      </w:pPr>
      <w:r w:rsidRPr="00361664">
        <w:rPr>
          <w:sz w:val="20"/>
          <w:szCs w:val="20"/>
          <w:lang w:eastAsia="de-DE"/>
        </w:rPr>
        <w:t xml:space="preserve">Sukladno odredbama Zakona o energiji  i Zakona o regulaciji energetskih djelatnosti, jedan od osnovnih poslova HERA-e je izdavanje, produženje i prijenos dozvola za obavljanje energetskih djelatnosti. Važećim zakonskim paketom, usklađenim s odredbama Trećeg paketa energetskih propisa Europske unije, propisano je da HERA </w:t>
      </w:r>
      <w:r w:rsidRPr="00361664">
        <w:rPr>
          <w:sz w:val="20"/>
          <w:szCs w:val="20"/>
          <w:lang w:eastAsia="de-DE"/>
        </w:rPr>
        <w:lastRenderedPageBreak/>
        <w:t>donosi odluke o iznosima tarifnih stavki, i to po zahtjevu energetskog subjekta ili samostalno. Zakonom o energiji i Zakonom o regulaciji energetskih djelatnosti bitno se mijenja uloga HERA-e u pogledu određivanja cijena, odnosno iznosa tarifnih stavki, za regulirane energetske djelatnosti. U tom će smislu HERA provoditi postupke vezane za donošenje i javnu objavu odluka o iznosima tarifnih stavki.</w:t>
      </w:r>
    </w:p>
    <w:p w:rsidR="005C7E7E" w:rsidRPr="00361664" w:rsidRDefault="005C7E7E" w:rsidP="005C7E7E">
      <w:pPr>
        <w:jc w:val="both"/>
        <w:rPr>
          <w:sz w:val="20"/>
          <w:szCs w:val="20"/>
          <w:lang w:eastAsia="de-DE"/>
        </w:rPr>
      </w:pPr>
      <w:r w:rsidRPr="00361664">
        <w:rPr>
          <w:sz w:val="20"/>
          <w:szCs w:val="20"/>
          <w:lang w:eastAsia="de-DE"/>
        </w:rPr>
        <w:t>Zakonom o energetskoj učinkovitosti (NN 127/14) propisane su značajne dodatne obveze HERA-e. HERA provodi nadzor nad obvezama opskrbljivača energije u svezi s dostavom informacija o obračunu električne energije, toplinske energije, odnosno plina te prethodnoj potrošnji krajnjeg kupca energije. HERA provodi nadzor nad obvezama distributera energije da osiguraju da, u mjeri u kojoj je to tehnički moguće, financijski opravdano i razmjerno s obzirom na potencijalne uštede energije, krajnjim kupcima energije i tople vode u kućanstvima budu pribavljena pojedinačna brojila po konkurentnim cijenama koja točno odražavaju stvarnu potrošnju energije krajnjih kupaca, kao i da se pojedinačna brojila osiguraju po konkurentnim cijenama prilikom zamjene postojećeg brojila i postavljanja novog priključka u novoj zgradi ili ako je zgrada podvrgnuta rekonstrukciji.</w:t>
      </w:r>
    </w:p>
    <w:p w:rsidR="005C7E7E" w:rsidRPr="00361664" w:rsidRDefault="005C7E7E" w:rsidP="005C7E7E">
      <w:pPr>
        <w:jc w:val="both"/>
        <w:rPr>
          <w:sz w:val="20"/>
          <w:szCs w:val="20"/>
          <w:lang w:eastAsia="de-DE"/>
        </w:rPr>
      </w:pPr>
      <w:r w:rsidRPr="00361664">
        <w:rPr>
          <w:sz w:val="20"/>
          <w:szCs w:val="20"/>
          <w:lang w:eastAsia="de-DE"/>
        </w:rPr>
        <w:t>HERA će pri provedbi regulatornih zadataka sukladno odredbama zakona kojim se uređuje tržište električne energije i tržište plina, voditi računa o energetskoj učinkovitosti u vezi sa svojim odlukama o radu infrastrukture za plin i električnu energiju. Pri donošenju tarifnih metodologija za energetske djelatnosti distribucije i prijenosa, odnosno transporta energije (mrežne tarife) i propisa sukladno zakonu kojim se ureduje tržište električne energije, HERA će uzeti u obzir troškove i koristi svake mjere, poticaje za mrežne operatore da korisnicima mreže stave na raspolaganje usluge sustava i time im omoguće provedbu mjera za poboljšanje energetske učinkovitosti u kontekstu daljnjeg uvođenja pametnih mreža. HERA će u području električne energije osiguravati usklađenost propisa o mreži i mrežnih tarifa s kriterijima iz članka 16. stavka 3. Zakona o energetskoj učinkovitosti, ali i uzimajući u obzir smjernice i kodekse utvrđene na temelju Uredbe (EZ) br. 714/2009. HERA će osiguravati provedbu procjene potencijala za povećanje energetske učinkovitosti, posebno u vezi s prijenosom, odnosno transportom, distribucijom, upravljanjem opterećenjem, interoperabilnošću te priključivanjem na postrojenja za proizvodnju energije, uključujući mogućnosti pristupa za mikrogeneratore energije, te utvrditi konkretne mjere i ulaganja za uvođenje troškovno učinkovitih poboljšanja energetske učinkovitosti u mrežnu infrastrukturu, uključujući rokove njihova uvođenja. HERA će osigurati ukidanje onih poticaja u mrežnima tarifama koji su štetni za cjelokupnu učinkovitost, uključujući energetsku učinkovitost, proizvodnje, prijenosa/transporta i distribucije energije te opskrbe njome ili onih koji mogu onemogućiti sudjelovanje u odgovoru na potražnj</w:t>
      </w:r>
      <w:r w:rsidR="00DC5E3F" w:rsidRPr="00361664">
        <w:rPr>
          <w:sz w:val="20"/>
          <w:szCs w:val="20"/>
          <w:lang w:eastAsia="de-DE"/>
        </w:rPr>
        <w:t>u na tržištima uravnoteženja ili</w:t>
      </w:r>
      <w:r w:rsidRPr="00361664">
        <w:rPr>
          <w:sz w:val="20"/>
          <w:szCs w:val="20"/>
          <w:lang w:eastAsia="de-DE"/>
        </w:rPr>
        <w:t xml:space="preserve"> prilikom nabave pomodnih usluga. HERA će osigurati da se mrežnima operatorima pružaju poticaji za poboljšanje učinkovitosti u planiranju i radu infrastrukture te da tarife dobavljačima omogućuju poboljšanje sudjelovanja potrošača u učinkovitosti sustava, uključujući odgovor na potražnju, ovisno o okolnostima. HERA će poticati izvore na strani potražnje, kao što je odgovor na potražnju, na način da osim u nabavi sudjeluju i na veleprodajnim i maloprodajnim tržištima, Zakonom o regulaciji energetskih djelatnosti bitno je ojačana uloga HERA-e glede nadzora tržišta električne energije i tržišta plina.</w:t>
      </w:r>
    </w:p>
    <w:p w:rsidR="007871C0" w:rsidRPr="00361664" w:rsidRDefault="0082314F" w:rsidP="00651BCA">
      <w:pPr>
        <w:pStyle w:val="Naslov3"/>
        <w:rPr>
          <w:rStyle w:val="Jakoisticanje"/>
          <w:b/>
          <w:bCs w:val="0"/>
          <w:i/>
          <w:iCs w:val="0"/>
          <w:color w:val="375F91"/>
          <w:lang w:val="hr-HR"/>
        </w:rPr>
      </w:pPr>
      <w:bookmarkStart w:id="58" w:name="_Toc535245875"/>
      <w:r w:rsidRPr="00361664">
        <w:rPr>
          <w:rStyle w:val="Jakoisticanje"/>
          <w:b/>
          <w:bCs w:val="0"/>
          <w:i/>
          <w:iCs w:val="0"/>
          <w:color w:val="375F91"/>
          <w:lang w:val="hr-HR"/>
        </w:rPr>
        <w:t>Olakšavanje i poticanje odgovora na  potražnju (č</w:t>
      </w:r>
      <w:r w:rsidR="004A126F" w:rsidRPr="00361664">
        <w:rPr>
          <w:rStyle w:val="Jakoisticanje"/>
          <w:b/>
          <w:bCs w:val="0"/>
          <w:i/>
          <w:iCs w:val="0"/>
          <w:color w:val="375F91"/>
          <w:lang w:val="hr-HR"/>
        </w:rPr>
        <w:t>lanak 15</w:t>
      </w:r>
      <w:r w:rsidRPr="00361664">
        <w:rPr>
          <w:rStyle w:val="Jakoisticanje"/>
          <w:b/>
          <w:bCs w:val="0"/>
          <w:i/>
          <w:iCs w:val="0"/>
          <w:color w:val="375F91"/>
          <w:lang w:val="hr-HR"/>
        </w:rPr>
        <w:t>. DEU-a</w:t>
      </w:r>
      <w:r w:rsidR="004A126F" w:rsidRPr="00361664">
        <w:rPr>
          <w:rStyle w:val="Jakoisticanje"/>
          <w:b/>
          <w:bCs w:val="0"/>
          <w:i/>
          <w:iCs w:val="0"/>
          <w:color w:val="375F91"/>
          <w:lang w:val="hr-HR"/>
        </w:rPr>
        <w:t>)</w:t>
      </w:r>
      <w:bookmarkEnd w:id="58"/>
    </w:p>
    <w:p w:rsidR="000977DC" w:rsidRPr="00361664" w:rsidRDefault="000977DC" w:rsidP="000977DC">
      <w:pPr>
        <w:jc w:val="both"/>
        <w:rPr>
          <w:sz w:val="20"/>
          <w:szCs w:val="20"/>
          <w:lang w:eastAsia="de-DE"/>
        </w:rPr>
      </w:pPr>
      <w:r w:rsidRPr="00361664">
        <w:rPr>
          <w:sz w:val="20"/>
          <w:szCs w:val="20"/>
          <w:lang w:eastAsia="de-DE"/>
        </w:rPr>
        <w:t>HOPS i HEP-ODS kontinuirano ulažu u automatizaciju elektroenergetskih mreža i ICT tehnologije u svojoj nadležnosti. Kao jedan od strateških ciljeva HOPS predviđa nastavak značajnih ulaganja u suvremene informacijsko-komunikacijske tehnologije za sustav daljinskog vođenja (koordinirani nadzor, upravljanja, zaštite i mjerenja) hrvatskog elektroenergetskog sustava koji pretpostavlja modernizaciju Nacionalnog dispečerskog centra (NDC) i četiri mrežna centra upravljanja (MC) kojim se ispunjavaju i obveze iz paralelnog rada u sinkronom sustavu kontinentalne Europe u cilju osiguranja stalne ravnoteže između potrošnje i proizvodnje električne energije kao temeljnog uvjeta sigurne opskrbe.</w:t>
      </w:r>
    </w:p>
    <w:p w:rsidR="005C7E7E" w:rsidRPr="00361664" w:rsidRDefault="005C7E7E" w:rsidP="000977DC">
      <w:pPr>
        <w:jc w:val="both"/>
        <w:rPr>
          <w:sz w:val="20"/>
          <w:szCs w:val="20"/>
          <w:lang w:eastAsia="de-DE"/>
        </w:rPr>
      </w:pPr>
    </w:p>
    <w:p w:rsidR="00A90616" w:rsidRPr="00361664" w:rsidRDefault="004A126F" w:rsidP="00651BCA">
      <w:pPr>
        <w:pStyle w:val="Naslov3"/>
        <w:rPr>
          <w:rStyle w:val="Jakoisticanje"/>
          <w:b/>
          <w:bCs w:val="0"/>
          <w:i/>
          <w:iCs w:val="0"/>
          <w:color w:val="375F91"/>
          <w:lang w:val="hr-HR"/>
        </w:rPr>
      </w:pPr>
      <w:bookmarkStart w:id="59" w:name="_Toc535245876"/>
      <w:r w:rsidRPr="00361664">
        <w:rPr>
          <w:rStyle w:val="Jakoisticanje"/>
          <w:b/>
          <w:bCs w:val="0"/>
          <w:i/>
          <w:iCs w:val="0"/>
          <w:color w:val="375F91"/>
          <w:lang w:val="hr-HR"/>
        </w:rPr>
        <w:lastRenderedPageBreak/>
        <w:t>E</w:t>
      </w:r>
      <w:r w:rsidR="0082314F" w:rsidRPr="00361664">
        <w:rPr>
          <w:rStyle w:val="Jakoisticanje"/>
          <w:b/>
          <w:bCs w:val="0"/>
          <w:i/>
          <w:iCs w:val="0"/>
          <w:color w:val="375F91"/>
          <w:lang w:val="hr-HR"/>
        </w:rPr>
        <w:t>nergetska učinkovitost u projektiranju</w:t>
      </w:r>
      <w:r w:rsidRPr="00361664">
        <w:rPr>
          <w:rStyle w:val="Jakoisticanje"/>
          <w:b/>
          <w:bCs w:val="0"/>
          <w:i/>
          <w:iCs w:val="0"/>
          <w:color w:val="375F91"/>
          <w:lang w:val="hr-HR"/>
        </w:rPr>
        <w:t xml:space="preserve"> mrež</w:t>
      </w:r>
      <w:r w:rsidR="0082314F" w:rsidRPr="00361664">
        <w:rPr>
          <w:rStyle w:val="Jakoisticanje"/>
          <w:b/>
          <w:bCs w:val="0"/>
          <w:i/>
          <w:iCs w:val="0"/>
          <w:color w:val="375F91"/>
          <w:lang w:val="hr-HR"/>
        </w:rPr>
        <w:t>a i regulaciji (č</w:t>
      </w:r>
      <w:r w:rsidRPr="00361664">
        <w:rPr>
          <w:rStyle w:val="Jakoisticanje"/>
          <w:b/>
          <w:bCs w:val="0"/>
          <w:i/>
          <w:iCs w:val="0"/>
          <w:color w:val="375F91"/>
          <w:lang w:val="hr-HR"/>
        </w:rPr>
        <w:t>lanak 15</w:t>
      </w:r>
      <w:r w:rsidR="0082314F" w:rsidRPr="00361664">
        <w:rPr>
          <w:rStyle w:val="Jakoisticanje"/>
          <w:b/>
          <w:bCs w:val="0"/>
          <w:i/>
          <w:iCs w:val="0"/>
          <w:color w:val="375F91"/>
          <w:lang w:val="hr-HR"/>
        </w:rPr>
        <w:t>. DEU-a</w:t>
      </w:r>
      <w:r w:rsidRPr="00361664">
        <w:rPr>
          <w:rStyle w:val="Jakoisticanje"/>
          <w:b/>
          <w:bCs w:val="0"/>
          <w:i/>
          <w:iCs w:val="0"/>
          <w:color w:val="375F91"/>
          <w:lang w:val="hr-HR"/>
        </w:rPr>
        <w:t>)</w:t>
      </w:r>
      <w:bookmarkEnd w:id="59"/>
    </w:p>
    <w:p w:rsidR="006D0896" w:rsidRPr="00361664" w:rsidRDefault="000977DC" w:rsidP="00471664">
      <w:pPr>
        <w:jc w:val="both"/>
        <w:rPr>
          <w:sz w:val="20"/>
          <w:szCs w:val="20"/>
          <w:lang w:eastAsia="de-DE"/>
        </w:rPr>
      </w:pPr>
      <w:r w:rsidRPr="00361664">
        <w:rPr>
          <w:sz w:val="20"/>
          <w:szCs w:val="20"/>
          <w:lang w:eastAsia="de-DE"/>
        </w:rPr>
        <w:t>HOPS svake godine podnosi HERA-i na odobrenje</w:t>
      </w:r>
      <w:r w:rsidRPr="00361664">
        <w:rPr>
          <w:b/>
          <w:sz w:val="20"/>
          <w:szCs w:val="20"/>
          <w:lang w:eastAsia="de-DE"/>
        </w:rPr>
        <w:t xml:space="preserve"> Des</w:t>
      </w:r>
      <w:r w:rsidR="00DC5E3F" w:rsidRPr="00361664">
        <w:rPr>
          <w:b/>
          <w:sz w:val="20"/>
          <w:szCs w:val="20"/>
          <w:lang w:eastAsia="de-DE"/>
        </w:rPr>
        <w:t>e</w:t>
      </w:r>
      <w:r w:rsidRPr="00361664">
        <w:rPr>
          <w:b/>
          <w:sz w:val="20"/>
          <w:szCs w:val="20"/>
          <w:lang w:eastAsia="de-DE"/>
        </w:rPr>
        <w:t xml:space="preserve">togodišnji plan razvoja prijenosne mreže </w:t>
      </w:r>
      <w:r w:rsidRPr="00361664">
        <w:rPr>
          <w:sz w:val="20"/>
          <w:szCs w:val="20"/>
          <w:lang w:eastAsia="de-DE"/>
        </w:rPr>
        <w:t>u kojem su predviđene i navedene investicije, u skladu s financijskim okvirom tog plana. HOPS je dužan u navedenom planu definirati iznos godišnje energetske uštede u postotku od prosječne ukupne isporučene električne energije u prethodne tri godine. Te uštede odnose se na sve planske investicije. HERA prati izvršenje plana</w:t>
      </w:r>
      <w:r w:rsidR="003436A0" w:rsidRPr="00361664">
        <w:rPr>
          <w:sz w:val="20"/>
          <w:szCs w:val="20"/>
          <w:lang w:eastAsia="de-DE"/>
        </w:rPr>
        <w:t xml:space="preserve"> te daje HOPS-u suglasnost na godišnji plan nabave energije za pokriće gubitaka u prijenosnoj mreži za sljedeću godinu. Ostvarena razina gubitaka u prijenosnoj mreži Republike Hrvatske za 2015. godinu iznosila je 2,3% prenesene električne energije. </w:t>
      </w:r>
    </w:p>
    <w:p w:rsidR="005C7E7E" w:rsidRPr="00361664" w:rsidRDefault="003436A0" w:rsidP="00471664">
      <w:pPr>
        <w:jc w:val="both"/>
        <w:rPr>
          <w:sz w:val="20"/>
          <w:szCs w:val="20"/>
          <w:lang w:eastAsia="de-DE"/>
        </w:rPr>
      </w:pPr>
      <w:r w:rsidRPr="00361664">
        <w:rPr>
          <w:sz w:val="20"/>
          <w:szCs w:val="20"/>
          <w:lang w:eastAsia="de-DE"/>
        </w:rPr>
        <w:t>HEP- ODS svake godine podnosi HERA-i na odobrenje</w:t>
      </w:r>
      <w:r w:rsidRPr="00361664">
        <w:rPr>
          <w:b/>
          <w:sz w:val="20"/>
          <w:szCs w:val="20"/>
          <w:lang w:eastAsia="de-DE"/>
        </w:rPr>
        <w:t xml:space="preserve"> Desetogodišnji plan razvoja distribucijske mreže </w:t>
      </w:r>
      <w:r w:rsidRPr="00361664">
        <w:rPr>
          <w:sz w:val="20"/>
          <w:szCs w:val="20"/>
          <w:lang w:eastAsia="de-DE"/>
        </w:rPr>
        <w:t>u kojem su predviđene i investicije koje rezultiraju smanjenjem gubitka električne energije, u skladu s financijskim okvirima tog plana. HEP-ODS je dužan u navedenom planu definirati iznos godišnje energetske uštede u postotku od prosječne ukupne isporučene električne energije u prethodne tri godine. HERA prati izvršenje plana te daje HEP-ODS-u suglasnost na godišnji plan nabave energije za pokriće gubitaka u distribucijskoj mreži za sljedeću godinu. Ostvarena razina gubitaka u distribucijskoj mreži Republike Hrvatske za 2015. godinu iznosila je 8,1% nabavljene električne energije. HERA je 2016. godine naručila studiju „Procjena potencijala za povećanje energetske učinkovitosti infr</w:t>
      </w:r>
      <w:r w:rsidR="00DC5E3F" w:rsidRPr="00361664">
        <w:rPr>
          <w:sz w:val="20"/>
          <w:szCs w:val="20"/>
          <w:lang w:eastAsia="de-DE"/>
        </w:rPr>
        <w:t>a</w:t>
      </w:r>
      <w:r w:rsidRPr="00361664">
        <w:rPr>
          <w:sz w:val="20"/>
          <w:szCs w:val="20"/>
          <w:lang w:eastAsia="de-DE"/>
        </w:rPr>
        <w:t xml:space="preserve">strukture za električnu energiju“ </w:t>
      </w:r>
      <w:r w:rsidR="00471664" w:rsidRPr="00361664">
        <w:rPr>
          <w:sz w:val="20"/>
          <w:szCs w:val="20"/>
          <w:lang w:eastAsia="de-DE"/>
        </w:rPr>
        <w:t xml:space="preserve">koja je dovršena 2016. godine i koristi se u praćenju gubitaka u prijenosnoj i distribucijskoj mreži.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518"/>
        <w:gridCol w:w="6537"/>
      </w:tblGrid>
      <w:tr w:rsidR="006C5A2C" w:rsidRPr="00361664" w:rsidTr="006C3D49">
        <w:trPr>
          <w:trHeight w:val="20"/>
        </w:trPr>
        <w:tc>
          <w:tcPr>
            <w:tcW w:w="1481" w:type="pct"/>
            <w:gridSpan w:val="2"/>
            <w:tcBorders>
              <w:top w:val="single" w:sz="4" w:space="0" w:color="auto"/>
              <w:left w:val="single" w:sz="4" w:space="0" w:color="auto"/>
              <w:bottom w:val="single" w:sz="4" w:space="0" w:color="auto"/>
              <w:right w:val="single" w:sz="4" w:space="0" w:color="auto"/>
            </w:tcBorders>
            <w:shd w:val="clear" w:color="auto" w:fill="CCFFCC"/>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Naziv mjere </w:t>
            </w:r>
          </w:p>
        </w:tc>
        <w:tc>
          <w:tcPr>
            <w:tcW w:w="3519" w:type="pct"/>
            <w:tcBorders>
              <w:top w:val="single" w:sz="4" w:space="0" w:color="auto"/>
              <w:left w:val="single" w:sz="4" w:space="0" w:color="auto"/>
              <w:bottom w:val="single" w:sz="4" w:space="0" w:color="auto"/>
              <w:right w:val="single" w:sz="4" w:space="0" w:color="auto"/>
            </w:tcBorders>
            <w:shd w:val="clear" w:color="auto" w:fill="CCFFCC"/>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Zamjene i rekonstrukcije vrelovodne i parovodne mreže</w:t>
            </w:r>
          </w:p>
        </w:tc>
      </w:tr>
      <w:tr w:rsidR="006C5A2C" w:rsidRPr="00361664" w:rsidTr="006C3D49">
        <w:trPr>
          <w:trHeight w:val="20"/>
        </w:trPr>
        <w:tc>
          <w:tcPr>
            <w:tcW w:w="1481" w:type="pct"/>
            <w:gridSpan w:val="2"/>
            <w:tcBorders>
              <w:top w:val="single" w:sz="4" w:space="0" w:color="auto"/>
              <w:left w:val="single" w:sz="4" w:space="0" w:color="auto"/>
              <w:bottom w:val="single" w:sz="4" w:space="0" w:color="auto"/>
              <w:right w:val="single" w:sz="4" w:space="0" w:color="auto"/>
            </w:tcBorders>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Indeks mjere</w:t>
            </w:r>
          </w:p>
        </w:tc>
        <w:tc>
          <w:tcPr>
            <w:tcW w:w="3519" w:type="pct"/>
            <w:tcBorders>
              <w:top w:val="single" w:sz="4" w:space="0" w:color="auto"/>
              <w:left w:val="single" w:sz="4" w:space="0" w:color="auto"/>
              <w:bottom w:val="single" w:sz="4" w:space="0" w:color="auto"/>
              <w:right w:val="single" w:sz="4" w:space="0" w:color="auto"/>
            </w:tcBorders>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E.7</w:t>
            </w:r>
          </w:p>
        </w:tc>
      </w:tr>
      <w:tr w:rsidR="006C5A2C" w:rsidRPr="00361664" w:rsidTr="006C3D49">
        <w:trPr>
          <w:trHeight w:val="20"/>
        </w:trPr>
        <w:tc>
          <w:tcPr>
            <w:tcW w:w="664" w:type="pct"/>
            <w:vMerge w:val="restar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p>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Opis</w:t>
            </w: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Kategorija</w:t>
            </w:r>
          </w:p>
        </w:tc>
        <w:tc>
          <w:tcPr>
            <w:tcW w:w="351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Vremenski okvir</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Početak: 2017.</w:t>
            </w:r>
          </w:p>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Kraj: 2019.</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 / kratak opis</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highlight w:val="yellow"/>
                <w:lang w:val="hr-HR"/>
              </w:rPr>
            </w:pPr>
            <w:r w:rsidRPr="00361664">
              <w:rPr>
                <w:rFonts w:asciiTheme="minorHAnsi" w:hAnsiTheme="minorHAnsi"/>
                <w:sz w:val="20"/>
                <w:szCs w:val="22"/>
                <w:lang w:val="hr-HR"/>
              </w:rPr>
              <w:t>Preventivna i korektivna zamjena magistralnih vrelovoda, vrelovodnih ogranaka i priključaka u cilju smanjenja toplinskih gubitaka, smanjenja gubitaka pogonske vode, smanjenje emisije dimnih plinova te povećanja sigurnosti opskrbe toplinskom energijom krajnjih kupaca.  Nadalje, planira se i r</w:t>
            </w:r>
            <w:r w:rsidRPr="00361664">
              <w:rPr>
                <w:rFonts w:asciiTheme="minorHAnsi" w:hAnsiTheme="minorHAnsi" w:cstheme="minorHAnsi"/>
                <w:sz w:val="20"/>
                <w:szCs w:val="22"/>
                <w:lang w:val="hr-HR"/>
              </w:rPr>
              <w:t>evitalizacija parovoda starih preko 30 godina kako bi se smanjili toplinski gubici.</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neposredna potrošnja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highlight w:val="yellow"/>
                <w:lang w:val="hr-HR"/>
              </w:rPr>
            </w:pPr>
            <w:r w:rsidRPr="00361664">
              <w:rPr>
                <w:rFonts w:asciiTheme="minorHAnsi" w:hAnsiTheme="minorHAnsi"/>
                <w:sz w:val="20"/>
                <w:szCs w:val="22"/>
                <w:lang w:val="hr-HR"/>
              </w:rPr>
              <w:t>Potrošnja toplinske energije.</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skupina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Distributer toplinske energije  - HEP-TOPLINARSTVO d.o.o.</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Nacionalno</w:t>
            </w:r>
          </w:p>
        </w:tc>
      </w:tr>
      <w:tr w:rsidR="006C5A2C" w:rsidRPr="00361664" w:rsidTr="006C3D49">
        <w:trPr>
          <w:trHeight w:val="20"/>
        </w:trPr>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Informacije o  provedbi</w:t>
            </w: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Popis i opis aktivnosti za provođenje mjere</w:t>
            </w:r>
          </w:p>
        </w:tc>
        <w:tc>
          <w:tcPr>
            <w:tcW w:w="3519" w:type="pct"/>
            <w:tcBorders>
              <w:top w:val="single" w:sz="4" w:space="0" w:color="auto"/>
              <w:left w:val="single" w:sz="4" w:space="0" w:color="auto"/>
              <w:bottom w:val="single" w:sz="4" w:space="0" w:color="auto"/>
              <w:right w:val="single" w:sz="4" w:space="0" w:color="auto"/>
            </w:tcBorders>
            <w:vAlign w:val="center"/>
          </w:tcPr>
          <w:p w:rsidR="006C5A2C" w:rsidRPr="001E0502" w:rsidRDefault="002A0422" w:rsidP="006C3D49">
            <w:pPr>
              <w:pStyle w:val="Tabletext"/>
              <w:tabs>
                <w:tab w:val="left" w:pos="1440"/>
                <w:tab w:val="left" w:pos="5040"/>
              </w:tabs>
              <w:spacing w:before="0" w:after="0" w:line="240" w:lineRule="auto"/>
              <w:rPr>
                <w:rFonts w:asciiTheme="minorHAnsi" w:hAnsiTheme="minorHAnsi"/>
                <w:sz w:val="20"/>
                <w:szCs w:val="22"/>
                <w:lang w:val="hr-HR"/>
              </w:rPr>
            </w:pPr>
            <w:r w:rsidRPr="001E0502">
              <w:rPr>
                <w:rFonts w:asciiTheme="minorHAnsi" w:hAnsiTheme="minorHAnsi"/>
                <w:sz w:val="20"/>
                <w:szCs w:val="22"/>
                <w:lang w:val="hr-HR"/>
              </w:rPr>
              <w:t>A</w:t>
            </w:r>
            <w:r w:rsidR="006C5A2C" w:rsidRPr="001E0502">
              <w:rPr>
                <w:rFonts w:asciiTheme="minorHAnsi" w:hAnsiTheme="minorHAnsi"/>
                <w:sz w:val="20"/>
                <w:szCs w:val="22"/>
                <w:lang w:val="hr-HR"/>
              </w:rPr>
              <w:t>ktivnosti:</w:t>
            </w:r>
          </w:p>
          <w:p w:rsidR="006C5A2C" w:rsidRPr="00361664" w:rsidRDefault="006C5A2C" w:rsidP="006C5A2C">
            <w:pPr>
              <w:pStyle w:val="Tabletext"/>
              <w:numPr>
                <w:ilvl w:val="0"/>
                <w:numId w:val="7"/>
              </w:numPr>
              <w:tabs>
                <w:tab w:val="left" w:pos="244"/>
                <w:tab w:val="left" w:pos="5040"/>
              </w:tabs>
              <w:spacing w:before="0" w:after="0" w:line="240" w:lineRule="auto"/>
              <w:ind w:left="235" w:hanging="235"/>
              <w:rPr>
                <w:rFonts w:asciiTheme="minorHAnsi" w:hAnsiTheme="minorHAnsi"/>
                <w:sz w:val="20"/>
                <w:szCs w:val="22"/>
                <w:lang w:val="hr-HR"/>
              </w:rPr>
            </w:pPr>
            <w:r w:rsidRPr="00361664">
              <w:rPr>
                <w:rFonts w:asciiTheme="minorHAnsi" w:hAnsiTheme="minorHAnsi"/>
                <w:sz w:val="20"/>
                <w:szCs w:val="22"/>
                <w:lang w:val="hr-HR"/>
              </w:rPr>
              <w:t>Priprema dokumentacije za zamjenu dotrajalih vrelovodnih i parovodnih distributivnih sustava</w:t>
            </w:r>
          </w:p>
          <w:p w:rsidR="006C5A2C" w:rsidRPr="00361664" w:rsidRDefault="006C5A2C" w:rsidP="006C5A2C">
            <w:pPr>
              <w:pStyle w:val="Tabletext"/>
              <w:numPr>
                <w:ilvl w:val="0"/>
                <w:numId w:val="7"/>
              </w:numPr>
              <w:tabs>
                <w:tab w:val="left" w:pos="244"/>
                <w:tab w:val="left" w:pos="5040"/>
              </w:tabs>
              <w:spacing w:before="0" w:after="0" w:line="240" w:lineRule="auto"/>
              <w:ind w:left="235" w:hanging="235"/>
              <w:rPr>
                <w:rFonts w:asciiTheme="minorHAnsi" w:hAnsiTheme="minorHAnsi"/>
                <w:sz w:val="20"/>
                <w:szCs w:val="22"/>
                <w:lang w:val="hr-HR"/>
              </w:rPr>
            </w:pPr>
            <w:r w:rsidRPr="00361664">
              <w:rPr>
                <w:rFonts w:asciiTheme="minorHAnsi" w:hAnsiTheme="minorHAnsi"/>
                <w:sz w:val="20"/>
                <w:szCs w:val="22"/>
                <w:lang w:val="hr-HR"/>
              </w:rPr>
              <w:t>Zamjena vrelovoda i parovoda sa dotrajalom izolacijom čeličnih cjevovoda sa novim predizoliranim cijevima</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Financijska sredstva i izvori financiranja</w:t>
            </w:r>
          </w:p>
        </w:tc>
        <w:tc>
          <w:tcPr>
            <w:tcW w:w="3519" w:type="pct"/>
            <w:tcBorders>
              <w:top w:val="single" w:sz="4" w:space="0" w:color="auto"/>
              <w:left w:val="single" w:sz="4" w:space="0" w:color="auto"/>
              <w:bottom w:val="single" w:sz="4" w:space="0" w:color="auto"/>
              <w:right w:val="single" w:sz="4" w:space="0" w:color="auto"/>
            </w:tcBorders>
            <w:vAlign w:val="center"/>
            <w:hideMark/>
          </w:tcPr>
          <w:p w:rsidR="00195AC4" w:rsidRPr="00361664" w:rsidRDefault="00195AC4" w:rsidP="005971A5">
            <w:pPr>
              <w:pStyle w:val="Tabletext"/>
              <w:numPr>
                <w:ilvl w:val="0"/>
                <w:numId w:val="58"/>
              </w:numPr>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Ukupno planirana sre</w:t>
            </w:r>
            <w:r w:rsidR="003539C9" w:rsidRPr="00361664">
              <w:rPr>
                <w:rFonts w:asciiTheme="minorHAnsi" w:hAnsiTheme="minorHAnsi"/>
                <w:sz w:val="20"/>
                <w:szCs w:val="22"/>
                <w:lang w:val="hr-HR"/>
              </w:rPr>
              <w:t xml:space="preserve">dstva do kraja 2019. godine: </w:t>
            </w:r>
            <w:r w:rsidR="005971A5">
              <w:rPr>
                <w:rFonts w:asciiTheme="minorHAnsi" w:hAnsiTheme="minorHAnsi"/>
                <w:sz w:val="20"/>
                <w:szCs w:val="22"/>
                <w:lang w:val="hr-HR"/>
              </w:rPr>
              <w:t>77.934.637</w:t>
            </w:r>
            <w:r w:rsidR="003C3349" w:rsidRPr="00361664">
              <w:rPr>
                <w:rFonts w:asciiTheme="minorHAnsi" w:hAnsiTheme="minorHAnsi"/>
                <w:sz w:val="20"/>
                <w:szCs w:val="22"/>
                <w:lang w:val="hr-HR"/>
              </w:rPr>
              <w:t>,00</w:t>
            </w:r>
            <w:r w:rsidR="003539C9" w:rsidRPr="00361664">
              <w:rPr>
                <w:rFonts w:asciiTheme="minorHAnsi" w:hAnsiTheme="minorHAnsi"/>
                <w:sz w:val="20"/>
                <w:szCs w:val="22"/>
                <w:lang w:val="hr-HR"/>
              </w:rPr>
              <w:t xml:space="preserve"> kn</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Izvršno  tijelo</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Distributer toplinske energije  - HEP-TOPLINARSTVO d.o.o.</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40C0B"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Tijelo za praćenje, mjerenje i verifikaciju ušteda</w:t>
            </w:r>
          </w:p>
        </w:tc>
        <w:tc>
          <w:tcPr>
            <w:tcW w:w="3519"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NKT</w:t>
            </w:r>
          </w:p>
        </w:tc>
      </w:tr>
      <w:tr w:rsidR="006C5A2C" w:rsidRPr="00361664" w:rsidTr="006C3D49">
        <w:trPr>
          <w:trHeight w:val="20"/>
        </w:trPr>
        <w:tc>
          <w:tcPr>
            <w:tcW w:w="664" w:type="pct"/>
            <w:vMerge w:val="restar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Uštede energije</w:t>
            </w:r>
          </w:p>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lastRenderedPageBreak/>
              <w:t xml:space="preserve">Metoda praćenja / </w:t>
            </w:r>
            <w:r w:rsidRPr="00361664">
              <w:rPr>
                <w:rFonts w:asciiTheme="minorHAnsi" w:hAnsiTheme="minorHAnsi"/>
                <w:sz w:val="20"/>
                <w:szCs w:val="22"/>
                <w:lang w:val="hr-HR"/>
              </w:rPr>
              <w:lastRenderedPageBreak/>
              <w:t>mjerenja ušteda energije</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lastRenderedPageBreak/>
              <w:t xml:space="preserve">Praćenje učinaka ove mjere ostvaruje se temeljem podataka distributera toplinske energije. </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 xml:space="preserve">Očekivane uštede energije </w:t>
            </w:r>
            <w:r w:rsidR="00DC62CA" w:rsidRPr="00361664">
              <w:rPr>
                <w:rFonts w:asciiTheme="minorHAnsi" w:hAnsiTheme="minorHAnsi"/>
                <w:sz w:val="20"/>
                <w:szCs w:val="22"/>
                <w:lang w:val="hr-HR"/>
              </w:rPr>
              <w:t>u</w:t>
            </w:r>
            <w:r w:rsidRPr="00361664">
              <w:rPr>
                <w:rFonts w:asciiTheme="minorHAnsi" w:hAnsiTheme="minorHAnsi"/>
                <w:sz w:val="20"/>
                <w:szCs w:val="22"/>
                <w:lang w:val="hr-HR"/>
              </w:rPr>
              <w:t>do kraja 2019.</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3C3349">
            <w:pPr>
              <w:pStyle w:val="Tabletext"/>
              <w:tabs>
                <w:tab w:val="left" w:pos="1440"/>
                <w:tab w:val="left" w:pos="5040"/>
              </w:tabs>
              <w:spacing w:before="0" w:after="0" w:line="240" w:lineRule="auto"/>
              <w:rPr>
                <w:rFonts w:asciiTheme="minorHAnsi" w:hAnsiTheme="minorHAnsi"/>
                <w:sz w:val="20"/>
                <w:szCs w:val="22"/>
                <w:highlight w:val="green"/>
                <w:lang w:val="hr-HR"/>
              </w:rPr>
            </w:pPr>
            <w:r w:rsidRPr="00361664">
              <w:rPr>
                <w:rFonts w:asciiTheme="minorHAnsi" w:hAnsiTheme="minorHAnsi"/>
                <w:sz w:val="20"/>
                <w:szCs w:val="22"/>
                <w:lang w:val="hr-HR"/>
              </w:rPr>
              <w:t xml:space="preserve"> 15 GWh = </w:t>
            </w:r>
            <w:r w:rsidR="003C3349" w:rsidRPr="00361664">
              <w:rPr>
                <w:rFonts w:asciiTheme="minorHAnsi" w:hAnsiTheme="minorHAnsi"/>
                <w:sz w:val="20"/>
                <w:szCs w:val="22"/>
                <w:lang w:val="hr-HR"/>
              </w:rPr>
              <w:t>43,7</w:t>
            </w:r>
            <w:r w:rsidRPr="00361664">
              <w:rPr>
                <w:rFonts w:asciiTheme="minorHAnsi" w:hAnsiTheme="minorHAnsi"/>
                <w:sz w:val="20"/>
                <w:szCs w:val="22"/>
                <w:lang w:val="hr-HR"/>
              </w:rPr>
              <w:t xml:space="preserve"> TJ</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Očekivane uštede energije do kraja 2020.</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5971A5">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 20 GWh = </w:t>
            </w:r>
            <w:r w:rsidR="003C3349" w:rsidRPr="00361664">
              <w:rPr>
                <w:rFonts w:asciiTheme="minorHAnsi" w:hAnsiTheme="minorHAnsi"/>
                <w:sz w:val="20"/>
                <w:szCs w:val="22"/>
                <w:lang w:val="hr-HR"/>
              </w:rPr>
              <w:t>67,</w:t>
            </w:r>
            <w:r w:rsidR="005971A5">
              <w:rPr>
                <w:rFonts w:asciiTheme="minorHAnsi" w:hAnsiTheme="minorHAnsi"/>
                <w:sz w:val="20"/>
                <w:szCs w:val="22"/>
                <w:lang w:val="hr-HR"/>
              </w:rPr>
              <w:t>3</w:t>
            </w:r>
            <w:r w:rsidRPr="00361664">
              <w:rPr>
                <w:rFonts w:asciiTheme="minorHAnsi" w:hAnsiTheme="minorHAnsi"/>
                <w:sz w:val="20"/>
                <w:szCs w:val="22"/>
                <w:lang w:val="hr-HR"/>
              </w:rPr>
              <w:t xml:space="preserve"> TJ</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Pretpostavke</w:t>
            </w:r>
          </w:p>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Starost i dotrajalost vrelovodnog i parovodnog sustava, te nedostatak sustavne revitalizacije uzrok su relativnog velikog broja puknuća na mreži. Ta puknuća uzrok su prekida opskrbe toplinskom energijom, čime se povećavaju gubici zbog izgubljene energije, odnosno dolazi do smanjenja učinkovitosti sustava i visokih troškova sanacije. Potencijal smanjenja gubitaka je sustavna zamjena najstarijih dijelova vrelovoda i parovoda s novom tehnologijom predizoliranih cijevi s nadzornim sustavom za detekciju propuštanja. Osim smanjenja toplinskih gubitaka time će se podići sigurnost opskrbe toplinskom energijom i smanjenje emisije dimnih plinova.  </w:t>
            </w:r>
          </w:p>
        </w:tc>
      </w:tr>
      <w:tr w:rsidR="006C5A2C"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spacing w:after="0" w:line="240" w:lineRule="auto"/>
              <w:jc w:val="both"/>
              <w:rPr>
                <w:sz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tcPr>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Preklapanja, efekt množenja, sinergija</w:t>
            </w:r>
          </w:p>
          <w:p w:rsidR="006C5A2C" w:rsidRPr="00361664" w:rsidRDefault="006C5A2C" w:rsidP="006C3D49">
            <w:pPr>
              <w:pStyle w:val="Tabletext"/>
              <w:tabs>
                <w:tab w:val="left" w:pos="1440"/>
                <w:tab w:val="left" w:pos="5040"/>
              </w:tabs>
              <w:spacing w:before="0" w:after="0" w:line="240" w:lineRule="auto"/>
              <w:rPr>
                <w:rFonts w:asciiTheme="minorHAnsi" w:hAnsiTheme="minorHAnsi"/>
                <w:sz w:val="20"/>
                <w:szCs w:val="22"/>
                <w:lang w:val="hr-HR"/>
              </w:rPr>
            </w:pPr>
          </w:p>
        </w:tc>
        <w:tc>
          <w:tcPr>
            <w:tcW w:w="3519" w:type="pct"/>
            <w:tcBorders>
              <w:top w:val="single" w:sz="4" w:space="0" w:color="auto"/>
              <w:left w:val="single" w:sz="4" w:space="0" w:color="auto"/>
              <w:bottom w:val="single" w:sz="4" w:space="0" w:color="auto"/>
              <w:right w:val="single" w:sz="4" w:space="0" w:color="auto"/>
            </w:tcBorders>
            <w:vAlign w:val="center"/>
            <w:hideMark/>
          </w:tcPr>
          <w:p w:rsidR="006C5A2C" w:rsidRPr="00361664" w:rsidRDefault="006C5A2C" w:rsidP="006C3D49">
            <w:pPr>
              <w:tabs>
                <w:tab w:val="left" w:pos="1440"/>
                <w:tab w:val="left" w:pos="5040"/>
              </w:tabs>
              <w:spacing w:after="0" w:line="240" w:lineRule="auto"/>
              <w:jc w:val="both"/>
              <w:rPr>
                <w:sz w:val="20"/>
              </w:rPr>
            </w:pPr>
            <w:r w:rsidRPr="00361664">
              <w:rPr>
                <w:sz w:val="20"/>
              </w:rPr>
              <w:t>Ova mjera ima učinke prvenstveno u sektoru distribucije toplinske energije te će se učinci u smislu energetskih ušteda prikazivati u tom sektoru.</w:t>
            </w:r>
          </w:p>
        </w:tc>
      </w:tr>
    </w:tbl>
    <w:p w:rsidR="006C5A2C" w:rsidRPr="00361664" w:rsidRDefault="006C5A2C" w:rsidP="00471664">
      <w:pPr>
        <w:jc w:val="both"/>
        <w:rPr>
          <w:sz w:val="20"/>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540"/>
        <w:gridCol w:w="6388"/>
      </w:tblGrid>
      <w:tr w:rsidR="006C3D49" w:rsidRPr="00361664" w:rsidTr="006C3D49">
        <w:trPr>
          <w:trHeight w:val="20"/>
        </w:trPr>
        <w:tc>
          <w:tcPr>
            <w:tcW w:w="1561" w:type="pct"/>
            <w:gridSpan w:val="2"/>
            <w:tcBorders>
              <w:top w:val="single" w:sz="4" w:space="0" w:color="auto"/>
              <w:left w:val="single" w:sz="4" w:space="0" w:color="auto"/>
              <w:bottom w:val="single" w:sz="4" w:space="0" w:color="auto"/>
              <w:right w:val="single" w:sz="4" w:space="0" w:color="auto"/>
            </w:tcBorders>
            <w:shd w:val="clear" w:color="auto" w:fill="CCFFCC"/>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Naziv mjere </w:t>
            </w:r>
          </w:p>
        </w:tc>
        <w:tc>
          <w:tcPr>
            <w:tcW w:w="3439" w:type="pct"/>
            <w:tcBorders>
              <w:top w:val="single" w:sz="4" w:space="0" w:color="auto"/>
              <w:left w:val="single" w:sz="4" w:space="0" w:color="auto"/>
              <w:bottom w:val="single" w:sz="4" w:space="0" w:color="auto"/>
              <w:right w:val="single" w:sz="4" w:space="0" w:color="auto"/>
            </w:tcBorders>
            <w:shd w:val="clear" w:color="auto" w:fill="CCFFCC"/>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Mjere vezane za vođenje pogona elektroenergetskog sustava te kratkoročni i dugoročni razvoj prijenosne mreže</w:t>
            </w:r>
          </w:p>
        </w:tc>
      </w:tr>
      <w:tr w:rsidR="006C3D49" w:rsidRPr="00361664" w:rsidTr="006C3D49">
        <w:trPr>
          <w:trHeight w:val="20"/>
        </w:trPr>
        <w:tc>
          <w:tcPr>
            <w:tcW w:w="1561"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Indeks mjere</w:t>
            </w:r>
          </w:p>
        </w:tc>
        <w:tc>
          <w:tcPr>
            <w:tcW w:w="3439" w:type="pct"/>
            <w:tcBorders>
              <w:top w:val="single" w:sz="4" w:space="0" w:color="auto"/>
              <w:left w:val="single" w:sz="4" w:space="0" w:color="auto"/>
              <w:bottom w:val="single" w:sz="4" w:space="0" w:color="auto"/>
              <w:right w:val="single" w:sz="4" w:space="0" w:color="auto"/>
            </w:tcBorders>
            <w:shd w:val="clear" w:color="auto" w:fill="auto"/>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E.8</w:t>
            </w:r>
          </w:p>
        </w:tc>
      </w:tr>
      <w:tr w:rsidR="006C3D49" w:rsidRPr="00361664" w:rsidTr="006C3D49">
        <w:trPr>
          <w:trHeight w:val="20"/>
        </w:trPr>
        <w:tc>
          <w:tcPr>
            <w:tcW w:w="732" w:type="pct"/>
            <w:vMerge w:val="restar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Opis</w:t>
            </w: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Kategorija</w:t>
            </w:r>
          </w:p>
        </w:tc>
        <w:tc>
          <w:tcPr>
            <w:tcW w:w="3439" w:type="pct"/>
          </w:tcPr>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Vođenje pogona elektroenergetskog sustavate kratkoročni i dugoročni razvoj prijenosne mreže</w:t>
            </w:r>
          </w:p>
        </w:tc>
      </w:tr>
      <w:tr w:rsidR="006C3D49" w:rsidRPr="00361664" w:rsidTr="006C3D49">
        <w:trPr>
          <w:trHeight w:val="20"/>
        </w:trPr>
        <w:tc>
          <w:tcPr>
            <w:tcW w:w="732" w:type="pct"/>
            <w:vMerge/>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Vremenski okvir</w:t>
            </w:r>
          </w:p>
        </w:tc>
        <w:tc>
          <w:tcPr>
            <w:tcW w:w="3439" w:type="pct"/>
          </w:tcPr>
          <w:p w:rsidR="006C3D49" w:rsidRPr="00361664" w:rsidRDefault="006C3D49" w:rsidP="006C3D49">
            <w:pPr>
              <w:pStyle w:val="Default"/>
              <w:jc w:val="both"/>
              <w:rPr>
                <w:rFonts w:asciiTheme="minorHAnsi" w:hAnsiTheme="minorHAnsi" w:cstheme="minorHAnsi"/>
                <w:sz w:val="20"/>
              </w:rPr>
            </w:pPr>
            <w:r w:rsidRPr="00361664">
              <w:rPr>
                <w:rFonts w:asciiTheme="minorHAnsi" w:hAnsiTheme="minorHAnsi" w:cstheme="minorHAnsi"/>
                <w:sz w:val="20"/>
              </w:rPr>
              <w:t xml:space="preserve">Početak: 2017. </w:t>
            </w:r>
          </w:p>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Kraj: 2019.  </w:t>
            </w:r>
          </w:p>
        </w:tc>
      </w:tr>
      <w:tr w:rsidR="006C3D49" w:rsidRPr="00361664" w:rsidTr="006C3D49">
        <w:trPr>
          <w:trHeight w:val="20"/>
        </w:trPr>
        <w:tc>
          <w:tcPr>
            <w:tcW w:w="732" w:type="pct"/>
            <w:vMerge/>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 kratak opis</w:t>
            </w:r>
          </w:p>
        </w:tc>
        <w:tc>
          <w:tcPr>
            <w:tcW w:w="3439" w:type="pct"/>
          </w:tcPr>
          <w:p w:rsidR="006C3D49" w:rsidRPr="00361664" w:rsidRDefault="006C3D49" w:rsidP="006C3D49">
            <w:pPr>
              <w:pStyle w:val="Tabletext"/>
              <w:tabs>
                <w:tab w:val="left" w:pos="1440"/>
                <w:tab w:val="left" w:pos="5040"/>
              </w:tabs>
              <w:spacing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Budući da HOPS ne utječe na vozne redove elektrana, proizvodnju vjetroelektrana i ostalih OiE, kao ni tržišne transakcije uključujući uvoz električne energije, te tranzite prijenosnom mrežom za potrebe trećih zemalja, moguć utjecaj HOPS-a na iznos gubitaka u prijenosnoj mreži ograničen je mjerama vezanim za vođenje pogona EES-a te kratkoročni i dugoročni razvoj prijenosne mreže (popis mjera prikazan je u nastavku).</w:t>
            </w:r>
          </w:p>
        </w:tc>
      </w:tr>
      <w:tr w:rsidR="006C3D49" w:rsidRPr="00361664" w:rsidTr="006C3D49">
        <w:trPr>
          <w:trHeight w:val="20"/>
        </w:trPr>
        <w:tc>
          <w:tcPr>
            <w:tcW w:w="732" w:type="pct"/>
            <w:vMerge/>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neposredna potrošnja</w:t>
            </w:r>
          </w:p>
        </w:tc>
        <w:tc>
          <w:tcPr>
            <w:tcW w:w="3439" w:type="pct"/>
          </w:tcPr>
          <w:p w:rsidR="006C3D49" w:rsidRPr="00361664" w:rsidRDefault="006C3D49" w:rsidP="006C3D49">
            <w:pPr>
              <w:pStyle w:val="Default"/>
              <w:jc w:val="both"/>
              <w:rPr>
                <w:rFonts w:asciiTheme="minorHAnsi" w:hAnsiTheme="minorHAnsi" w:cstheme="minorHAnsi"/>
                <w:sz w:val="20"/>
              </w:rPr>
            </w:pPr>
          </w:p>
          <w:p w:rsidR="006C3D49" w:rsidRPr="00361664" w:rsidRDefault="006C3D49" w:rsidP="006C3D49">
            <w:pPr>
              <w:pStyle w:val="Default"/>
              <w:jc w:val="both"/>
              <w:rPr>
                <w:rFonts w:asciiTheme="minorHAnsi" w:hAnsiTheme="minorHAnsi" w:cstheme="minorHAnsi"/>
                <w:sz w:val="20"/>
              </w:rPr>
            </w:pPr>
            <w:r w:rsidRPr="00361664">
              <w:rPr>
                <w:rFonts w:asciiTheme="minorHAnsi" w:hAnsiTheme="minorHAnsi" w:cstheme="minorHAnsi"/>
                <w:sz w:val="20"/>
              </w:rPr>
              <w:t xml:space="preserve">Potrošnja / gubici električne energije </w:t>
            </w:r>
          </w:p>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p>
        </w:tc>
      </w:tr>
      <w:tr w:rsidR="006C3D49" w:rsidRPr="00361664" w:rsidTr="006C3D49">
        <w:trPr>
          <w:trHeight w:val="20"/>
        </w:trPr>
        <w:tc>
          <w:tcPr>
            <w:tcW w:w="732" w:type="pct"/>
            <w:vMerge/>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skupina</w:t>
            </w:r>
          </w:p>
        </w:tc>
        <w:tc>
          <w:tcPr>
            <w:tcW w:w="3439" w:type="pct"/>
          </w:tcPr>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Hrvatski operator prijenosnog sustava </w:t>
            </w:r>
          </w:p>
        </w:tc>
      </w:tr>
      <w:tr w:rsidR="006C3D49" w:rsidRPr="00361664" w:rsidTr="006C3D49">
        <w:trPr>
          <w:trHeight w:val="20"/>
        </w:trPr>
        <w:tc>
          <w:tcPr>
            <w:tcW w:w="732" w:type="pct"/>
            <w:vMerge/>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Regionalna primjena</w:t>
            </w:r>
          </w:p>
        </w:tc>
        <w:tc>
          <w:tcPr>
            <w:tcW w:w="3439" w:type="pct"/>
          </w:tcPr>
          <w:p w:rsidR="006C3D49" w:rsidRPr="00361664" w:rsidRDefault="006C3D49" w:rsidP="006C3D49">
            <w:pPr>
              <w:pStyle w:val="Default"/>
              <w:jc w:val="both"/>
              <w:rPr>
                <w:rFonts w:asciiTheme="minorHAnsi" w:hAnsiTheme="minorHAnsi" w:cstheme="minorHAnsi"/>
                <w:sz w:val="20"/>
              </w:rPr>
            </w:pPr>
            <w:r w:rsidRPr="00361664">
              <w:rPr>
                <w:rFonts w:asciiTheme="minorHAnsi" w:hAnsiTheme="minorHAnsi" w:cstheme="minorHAnsi"/>
                <w:sz w:val="20"/>
              </w:rPr>
              <w:t xml:space="preserve">Nacionalno </w:t>
            </w:r>
          </w:p>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p>
        </w:tc>
      </w:tr>
      <w:tr w:rsidR="006C3D49" w:rsidRPr="00361664" w:rsidTr="006C3D49">
        <w:trPr>
          <w:trHeight w:val="20"/>
        </w:trPr>
        <w:tc>
          <w:tcPr>
            <w:tcW w:w="732" w:type="pct"/>
            <w:vMerge w:val="restar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Informacije o provedbi</w:t>
            </w: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Popis i opis aktivnosti za provođenje mjere</w:t>
            </w:r>
          </w:p>
        </w:tc>
        <w:tc>
          <w:tcPr>
            <w:tcW w:w="3439" w:type="pct"/>
          </w:tcPr>
          <w:p w:rsidR="006C3D49" w:rsidRPr="00361664" w:rsidRDefault="006C3D49" w:rsidP="006C3D49">
            <w:pPr>
              <w:pStyle w:val="Default"/>
              <w:jc w:val="both"/>
              <w:rPr>
                <w:rFonts w:asciiTheme="minorHAnsi" w:hAnsiTheme="minorHAnsi" w:cstheme="minorHAnsi"/>
                <w:sz w:val="20"/>
                <w:u w:val="single"/>
              </w:rPr>
            </w:pPr>
            <w:r w:rsidRPr="00361664">
              <w:rPr>
                <w:rFonts w:asciiTheme="minorHAnsi" w:hAnsiTheme="minorHAnsi" w:cstheme="minorHAnsi"/>
                <w:sz w:val="20"/>
                <w:u w:val="single"/>
              </w:rPr>
              <w:t xml:space="preserve">Popis aktivnosti: </w:t>
            </w:r>
          </w:p>
          <w:p w:rsidR="006C3D49" w:rsidRPr="00361664" w:rsidRDefault="006C3D49" w:rsidP="006C3D49">
            <w:pPr>
              <w:pStyle w:val="Default"/>
              <w:jc w:val="both"/>
              <w:rPr>
                <w:rFonts w:asciiTheme="minorHAnsi" w:hAnsiTheme="minorHAnsi" w:cstheme="minorHAnsi"/>
                <w:sz w:val="20"/>
              </w:rPr>
            </w:pPr>
          </w:p>
          <w:p w:rsidR="006C3D49" w:rsidRPr="00361664" w:rsidRDefault="006C3D49" w:rsidP="006C3D49">
            <w:pPr>
              <w:pStyle w:val="Default"/>
              <w:jc w:val="both"/>
              <w:rPr>
                <w:rFonts w:asciiTheme="minorHAnsi" w:hAnsiTheme="minorHAnsi" w:cstheme="minorHAnsi"/>
                <w:sz w:val="20"/>
              </w:rPr>
            </w:pPr>
            <w:r w:rsidRPr="00361664">
              <w:rPr>
                <w:rFonts w:asciiTheme="minorHAnsi" w:hAnsiTheme="minorHAnsi" w:cstheme="minorHAnsi"/>
                <w:sz w:val="20"/>
              </w:rPr>
              <w:t>1) Mjere vezane za vođenje pogona EES-a:</w:t>
            </w:r>
          </w:p>
          <w:p w:rsidR="006C3D49" w:rsidRPr="00361664" w:rsidRDefault="006C3D49" w:rsidP="00CD00FF">
            <w:pPr>
              <w:pStyle w:val="Default"/>
              <w:numPr>
                <w:ilvl w:val="0"/>
                <w:numId w:val="32"/>
              </w:numPr>
              <w:jc w:val="both"/>
              <w:rPr>
                <w:rFonts w:asciiTheme="minorHAnsi" w:hAnsiTheme="minorHAnsi" w:cstheme="minorHAnsi"/>
                <w:sz w:val="20"/>
              </w:rPr>
            </w:pPr>
            <w:r w:rsidRPr="00361664">
              <w:rPr>
                <w:rFonts w:asciiTheme="minorHAnsi" w:hAnsiTheme="minorHAnsi" w:cstheme="minorHAnsi"/>
                <w:sz w:val="20"/>
              </w:rPr>
              <w:t>topološke promjene u mreži ovisno o trenutnom pogonskom stanju,</w:t>
            </w:r>
          </w:p>
          <w:p w:rsidR="006C3D49" w:rsidRPr="00361664" w:rsidRDefault="006C3D49" w:rsidP="00CD00FF">
            <w:pPr>
              <w:pStyle w:val="Default"/>
              <w:numPr>
                <w:ilvl w:val="0"/>
                <w:numId w:val="32"/>
              </w:numPr>
              <w:jc w:val="both"/>
              <w:rPr>
                <w:rFonts w:asciiTheme="minorHAnsi" w:hAnsiTheme="minorHAnsi" w:cstheme="minorHAnsi"/>
                <w:sz w:val="20"/>
              </w:rPr>
            </w:pPr>
            <w:r w:rsidRPr="00361664">
              <w:rPr>
                <w:rFonts w:asciiTheme="minorHAnsi" w:hAnsiTheme="minorHAnsi" w:cstheme="minorHAnsi"/>
                <w:sz w:val="20"/>
              </w:rPr>
              <w:t>promjena uklopnog stanja transformatora 400/220 kV, 400/110 kV, 220/110 kV i 110/x kV u vlasništvu/nadležnosti HOPS-a i optimiranje rada transformatora s kosom regulacijom (TS Žerjavinec, TS-HE Senj),</w:t>
            </w:r>
          </w:p>
          <w:p w:rsidR="006C3D49" w:rsidRPr="00361664" w:rsidRDefault="006C3D49" w:rsidP="00CD00FF">
            <w:pPr>
              <w:pStyle w:val="Default"/>
              <w:numPr>
                <w:ilvl w:val="0"/>
                <w:numId w:val="32"/>
              </w:numPr>
              <w:jc w:val="both"/>
              <w:rPr>
                <w:rFonts w:asciiTheme="minorHAnsi" w:hAnsiTheme="minorHAnsi" w:cstheme="minorHAnsi"/>
                <w:sz w:val="20"/>
              </w:rPr>
            </w:pPr>
            <w:r w:rsidRPr="00361664">
              <w:rPr>
                <w:rFonts w:asciiTheme="minorHAnsi" w:hAnsiTheme="minorHAnsi" w:cstheme="minorHAnsi"/>
                <w:sz w:val="20"/>
              </w:rPr>
              <w:t>upravljanje naponima i optimiranje tokova snaga u mreži,</w:t>
            </w:r>
          </w:p>
          <w:p w:rsidR="006C3D49" w:rsidRPr="00361664" w:rsidRDefault="006C3D49" w:rsidP="00CD00FF">
            <w:pPr>
              <w:pStyle w:val="Default"/>
              <w:numPr>
                <w:ilvl w:val="0"/>
                <w:numId w:val="32"/>
              </w:numPr>
              <w:jc w:val="both"/>
              <w:rPr>
                <w:rFonts w:asciiTheme="minorHAnsi" w:hAnsiTheme="minorHAnsi" w:cstheme="minorHAnsi"/>
                <w:sz w:val="20"/>
              </w:rPr>
            </w:pPr>
            <w:r w:rsidRPr="00361664">
              <w:rPr>
                <w:rFonts w:asciiTheme="minorHAnsi" w:hAnsiTheme="minorHAnsi" w:cstheme="minorHAnsi"/>
                <w:sz w:val="20"/>
              </w:rPr>
              <w:t xml:space="preserve">optimiranje rada generatora (radne točke s faktorom snage u </w:t>
            </w:r>
            <w:r w:rsidRPr="00361664">
              <w:rPr>
                <w:rFonts w:asciiTheme="minorHAnsi" w:hAnsiTheme="minorHAnsi" w:cstheme="minorHAnsi"/>
                <w:sz w:val="20"/>
              </w:rPr>
              <w:lastRenderedPageBreak/>
              <w:t>granicama 0,95 -1).</w:t>
            </w:r>
          </w:p>
          <w:p w:rsidR="006C3D49" w:rsidRPr="00361664" w:rsidRDefault="006C3D49" w:rsidP="006C3D49">
            <w:pPr>
              <w:pStyle w:val="Default"/>
              <w:ind w:left="720"/>
              <w:jc w:val="both"/>
              <w:rPr>
                <w:rFonts w:asciiTheme="minorHAnsi" w:hAnsiTheme="minorHAnsi" w:cstheme="minorHAnsi"/>
                <w:sz w:val="20"/>
              </w:rPr>
            </w:pPr>
          </w:p>
          <w:p w:rsidR="006C3D49" w:rsidRPr="00361664" w:rsidRDefault="006C3D49" w:rsidP="006C3D49">
            <w:pPr>
              <w:pStyle w:val="Default"/>
              <w:jc w:val="both"/>
              <w:rPr>
                <w:rFonts w:asciiTheme="minorHAnsi" w:hAnsiTheme="minorHAnsi" w:cstheme="minorHAnsi"/>
                <w:sz w:val="20"/>
              </w:rPr>
            </w:pPr>
            <w:r w:rsidRPr="00361664">
              <w:rPr>
                <w:rFonts w:asciiTheme="minorHAnsi" w:hAnsiTheme="minorHAnsi" w:cstheme="minorHAnsi"/>
                <w:sz w:val="20"/>
              </w:rPr>
              <w:t xml:space="preserve">2) Mjere vezane uz kratkoročni i dugoročni razvoj prijenosne mreže: </w:t>
            </w:r>
          </w:p>
          <w:p w:rsidR="006C3D49" w:rsidRPr="00361664" w:rsidRDefault="006C3D49" w:rsidP="00CD00FF">
            <w:pPr>
              <w:pStyle w:val="Default"/>
              <w:numPr>
                <w:ilvl w:val="0"/>
                <w:numId w:val="32"/>
              </w:numPr>
              <w:jc w:val="both"/>
              <w:rPr>
                <w:rFonts w:asciiTheme="minorHAnsi" w:hAnsiTheme="minorHAnsi" w:cstheme="minorHAnsi"/>
                <w:sz w:val="20"/>
              </w:rPr>
            </w:pPr>
            <w:r w:rsidRPr="00361664">
              <w:rPr>
                <w:rFonts w:asciiTheme="minorHAnsi" w:hAnsiTheme="minorHAnsi" w:cstheme="minorHAnsi"/>
                <w:sz w:val="20"/>
              </w:rPr>
              <w:t>zamjene starih energetskih transformatora s novim transformatorima manjih gubitaka,</w:t>
            </w:r>
          </w:p>
          <w:p w:rsidR="006C3D49" w:rsidRPr="00361664" w:rsidRDefault="006C3D49" w:rsidP="00CD00FF">
            <w:pPr>
              <w:pStyle w:val="Default"/>
              <w:numPr>
                <w:ilvl w:val="0"/>
                <w:numId w:val="32"/>
              </w:numPr>
              <w:jc w:val="both"/>
              <w:rPr>
                <w:rFonts w:asciiTheme="minorHAnsi" w:hAnsiTheme="minorHAnsi" w:cstheme="minorHAnsi"/>
                <w:sz w:val="20"/>
              </w:rPr>
            </w:pPr>
            <w:r w:rsidRPr="00361664">
              <w:rPr>
                <w:rFonts w:asciiTheme="minorHAnsi" w:hAnsiTheme="minorHAnsi" w:cstheme="minorHAnsi"/>
                <w:sz w:val="20"/>
              </w:rPr>
              <w:t>revitalizacije starih dalekovoda sa zamjenom vodiča, upotrebom HTLS vodiča s većim presjekom aluminijskog plašta odnosno manjim gubicima,</w:t>
            </w:r>
          </w:p>
          <w:p w:rsidR="006C3D49" w:rsidRPr="00361664" w:rsidRDefault="006C3D49" w:rsidP="00CD00FF">
            <w:pPr>
              <w:pStyle w:val="Default"/>
              <w:numPr>
                <w:ilvl w:val="0"/>
                <w:numId w:val="32"/>
              </w:numPr>
              <w:jc w:val="both"/>
              <w:rPr>
                <w:rFonts w:asciiTheme="minorHAnsi" w:hAnsiTheme="minorHAnsi" w:cstheme="minorHAnsi"/>
                <w:sz w:val="20"/>
              </w:rPr>
            </w:pPr>
            <w:r w:rsidRPr="00361664">
              <w:rPr>
                <w:rFonts w:asciiTheme="minorHAnsi" w:hAnsiTheme="minorHAnsi" w:cstheme="minorHAnsi"/>
                <w:sz w:val="20"/>
              </w:rPr>
              <w:t>planirana pojačanja prijenosne mreže (izgradnja novih vodova),</w:t>
            </w:r>
          </w:p>
          <w:p w:rsidR="006C3D49" w:rsidRPr="00361664" w:rsidRDefault="006C3D49" w:rsidP="006C3D49">
            <w:pPr>
              <w:pStyle w:val="Default"/>
              <w:jc w:val="both"/>
              <w:rPr>
                <w:rFonts w:asciiTheme="minorHAnsi" w:hAnsiTheme="minorHAnsi" w:cstheme="minorHAnsi"/>
                <w:sz w:val="20"/>
                <w:u w:val="single"/>
              </w:rPr>
            </w:pPr>
          </w:p>
          <w:p w:rsidR="006C3D49" w:rsidRPr="00361664" w:rsidRDefault="006C3D49" w:rsidP="006C3D49">
            <w:pPr>
              <w:pStyle w:val="Default"/>
              <w:jc w:val="both"/>
              <w:rPr>
                <w:rFonts w:asciiTheme="minorHAnsi" w:hAnsiTheme="minorHAnsi" w:cstheme="minorHAnsi"/>
                <w:sz w:val="20"/>
                <w:u w:val="single"/>
              </w:rPr>
            </w:pPr>
            <w:r w:rsidRPr="00361664">
              <w:rPr>
                <w:rFonts w:asciiTheme="minorHAnsi" w:hAnsiTheme="minorHAnsi" w:cstheme="minorHAnsi"/>
                <w:sz w:val="20"/>
                <w:u w:val="single"/>
              </w:rPr>
              <w:t xml:space="preserve">Opis aktivnosti za provođenje mjere: </w:t>
            </w:r>
          </w:p>
          <w:p w:rsidR="006C3D49" w:rsidRPr="00361664" w:rsidRDefault="006C3D49" w:rsidP="00CD00FF">
            <w:pPr>
              <w:pStyle w:val="Default"/>
              <w:numPr>
                <w:ilvl w:val="0"/>
                <w:numId w:val="31"/>
              </w:numPr>
              <w:jc w:val="both"/>
              <w:rPr>
                <w:rFonts w:asciiTheme="minorHAnsi" w:hAnsiTheme="minorHAnsi" w:cstheme="minorHAnsi"/>
                <w:sz w:val="20"/>
              </w:rPr>
            </w:pPr>
            <w:r w:rsidRPr="00361664">
              <w:rPr>
                <w:rFonts w:asciiTheme="minorHAnsi" w:hAnsiTheme="minorHAnsi" w:cstheme="minorHAnsi"/>
                <w:sz w:val="20"/>
              </w:rPr>
              <w:t>Sadašnje razine gubitaka iznose oko 2 % prenesene električne energije, što je iznos na razini ostalih operatora prijenosnog sustava ENTSO-E.</w:t>
            </w:r>
          </w:p>
          <w:p w:rsidR="006C3D49" w:rsidRPr="00361664" w:rsidRDefault="006C3D49" w:rsidP="00CD00FF">
            <w:pPr>
              <w:pStyle w:val="Default"/>
              <w:numPr>
                <w:ilvl w:val="0"/>
                <w:numId w:val="31"/>
              </w:numPr>
              <w:jc w:val="both"/>
              <w:rPr>
                <w:rFonts w:asciiTheme="minorHAnsi" w:hAnsiTheme="minorHAnsi" w:cstheme="minorHAnsi"/>
                <w:sz w:val="20"/>
              </w:rPr>
            </w:pPr>
            <w:r w:rsidRPr="00361664">
              <w:rPr>
                <w:rFonts w:asciiTheme="minorHAnsi" w:hAnsiTheme="minorHAnsi" w:cstheme="minorHAnsi"/>
                <w:sz w:val="20"/>
              </w:rPr>
              <w:t>Važna karakteristika hrvatske prijenosne mreže, kako s aspekta sigurnosti pogona i podržavanja tržišnih aktivnosti, tako i s aspekta gubitaka je izuzetno jaka povezanost sa susjednim elektroenergetskim sustavima (interkonekcije). Dok se s jedne strane time značajno povećava sigurnost pogona, s druge strane se zbog tranzita povećavaju gubici u mreži.</w:t>
            </w:r>
          </w:p>
          <w:p w:rsidR="006C3D49" w:rsidRPr="00361664" w:rsidRDefault="006C3D49" w:rsidP="00CD00FF">
            <w:pPr>
              <w:pStyle w:val="Default"/>
              <w:numPr>
                <w:ilvl w:val="0"/>
                <w:numId w:val="31"/>
              </w:numPr>
              <w:jc w:val="both"/>
              <w:rPr>
                <w:rFonts w:asciiTheme="minorHAnsi" w:hAnsiTheme="minorHAnsi" w:cstheme="minorHAnsi"/>
                <w:sz w:val="20"/>
              </w:rPr>
            </w:pPr>
            <w:r w:rsidRPr="00361664">
              <w:rPr>
                <w:rFonts w:asciiTheme="minorHAnsi" w:hAnsiTheme="minorHAnsi" w:cstheme="minorHAnsi"/>
                <w:sz w:val="20"/>
              </w:rPr>
              <w:t xml:space="preserve">Zamjena 10% najstarijih transformatora u mreži koje je odgovorno za oko 20 % ukupnih fiksnih gubitaka u transformacijama i oko 15 % ukupnih varijabilnih gubitaka u transformacijama. </w:t>
            </w:r>
          </w:p>
          <w:p w:rsidR="006C3D49" w:rsidRPr="00361664" w:rsidRDefault="006C3D49" w:rsidP="00CD00FF">
            <w:pPr>
              <w:pStyle w:val="Default"/>
              <w:numPr>
                <w:ilvl w:val="0"/>
                <w:numId w:val="31"/>
              </w:numPr>
              <w:jc w:val="both"/>
              <w:rPr>
                <w:rFonts w:asciiTheme="minorHAnsi" w:hAnsiTheme="minorHAnsi" w:cstheme="minorHAnsi"/>
                <w:sz w:val="20"/>
              </w:rPr>
            </w:pPr>
            <w:r w:rsidRPr="00361664">
              <w:rPr>
                <w:rFonts w:asciiTheme="minorHAnsi" w:hAnsiTheme="minorHAnsi" w:cstheme="minorHAnsi"/>
                <w:sz w:val="20"/>
              </w:rPr>
              <w:t xml:space="preserve">Zamjena postojećih vodova novim s većim presjekom direktno smanjuje otpor vodiča, te time pozitivno utječe za smanjenje iznosa tehničkih gubitaka uslijed opterećenja (varijabilni dio gubitaka). </w:t>
            </w:r>
          </w:p>
          <w:p w:rsidR="006C3D49" w:rsidRPr="00361664" w:rsidRDefault="006C3D49" w:rsidP="00CD00FF">
            <w:pPr>
              <w:pStyle w:val="Default"/>
              <w:numPr>
                <w:ilvl w:val="0"/>
                <w:numId w:val="31"/>
              </w:numPr>
              <w:jc w:val="both"/>
              <w:rPr>
                <w:rFonts w:asciiTheme="minorHAnsi" w:hAnsiTheme="minorHAnsi" w:cstheme="minorHAnsi"/>
                <w:sz w:val="20"/>
              </w:rPr>
            </w:pPr>
            <w:r w:rsidRPr="00361664">
              <w:rPr>
                <w:rFonts w:asciiTheme="minorHAnsi" w:hAnsiTheme="minorHAnsi" w:cstheme="minorHAnsi"/>
                <w:sz w:val="20"/>
              </w:rPr>
              <w:t>Zamjenom starije opreme novom sa smanjenim iznosom gubitaka postiže se smanjenje ukupnih gubitaka na razini sustava.</w:t>
            </w:r>
          </w:p>
          <w:p w:rsidR="006C3D49" w:rsidRPr="00361664" w:rsidRDefault="006C3D49" w:rsidP="006C3D49">
            <w:pPr>
              <w:pStyle w:val="Default"/>
              <w:jc w:val="both"/>
              <w:rPr>
                <w:rFonts w:asciiTheme="minorHAnsi" w:hAnsiTheme="minorHAnsi" w:cstheme="minorHAnsi"/>
                <w:sz w:val="20"/>
              </w:rPr>
            </w:pPr>
          </w:p>
          <w:p w:rsidR="006C3D49" w:rsidRPr="00361664" w:rsidRDefault="006C3D49" w:rsidP="006C3D49">
            <w:pPr>
              <w:pStyle w:val="Tabletext"/>
              <w:tabs>
                <w:tab w:val="left" w:pos="244"/>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Do daljnjeg smanjenja gubitaka u budućnosti može doći razvojem novih i energetski efikasnijih tehnologija, te daljnjom revitalizacijom i izgradnjom mreže koristeći vodiče najnovije generacije s manjim električnim otporom, odnosno manjim gubicima.</w:t>
            </w:r>
          </w:p>
        </w:tc>
      </w:tr>
      <w:tr w:rsidR="006C3D49" w:rsidRPr="00361664" w:rsidTr="006C3D49">
        <w:trPr>
          <w:trHeight w:val="20"/>
        </w:trPr>
        <w:tc>
          <w:tcPr>
            <w:tcW w:w="732" w:type="pct"/>
            <w:vMerge/>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Financijska sredstva i izvori financiranja</w:t>
            </w:r>
          </w:p>
        </w:tc>
        <w:tc>
          <w:tcPr>
            <w:tcW w:w="3439" w:type="pct"/>
          </w:tcPr>
          <w:p w:rsidR="006C3D49" w:rsidRPr="00361664" w:rsidRDefault="006C3D49" w:rsidP="006C3D49">
            <w:pPr>
              <w:pStyle w:val="Default"/>
              <w:jc w:val="both"/>
              <w:rPr>
                <w:rFonts w:asciiTheme="minorHAnsi" w:hAnsiTheme="minorHAnsi" w:cstheme="minorHAnsi"/>
                <w:sz w:val="20"/>
              </w:rPr>
            </w:pPr>
            <w:r w:rsidRPr="00361664">
              <w:rPr>
                <w:rFonts w:asciiTheme="minorHAnsi" w:hAnsiTheme="minorHAnsi" w:cstheme="minorHAnsi"/>
                <w:sz w:val="20"/>
              </w:rPr>
              <w:t>Planirana sredstva do kraja 2019.</w:t>
            </w:r>
            <w:r w:rsidR="003539C9" w:rsidRPr="00361664">
              <w:rPr>
                <w:rFonts w:asciiTheme="minorHAnsi" w:hAnsiTheme="minorHAnsi" w:cstheme="minorHAnsi"/>
                <w:sz w:val="20"/>
              </w:rPr>
              <w:t>godine : 261.851.530,00 kn.</w:t>
            </w:r>
          </w:p>
          <w:p w:rsidR="006C3D49" w:rsidRPr="00361664" w:rsidRDefault="006C3D49" w:rsidP="001E0502">
            <w:pPr>
              <w:pStyle w:val="Default"/>
              <w:ind w:left="720"/>
              <w:jc w:val="both"/>
              <w:rPr>
                <w:rFonts w:asciiTheme="minorHAnsi" w:hAnsiTheme="minorHAnsi" w:cstheme="minorHAnsi"/>
                <w:sz w:val="20"/>
              </w:rPr>
            </w:pPr>
          </w:p>
        </w:tc>
      </w:tr>
      <w:tr w:rsidR="006C3D49" w:rsidRPr="00361664" w:rsidTr="006C3D49">
        <w:trPr>
          <w:trHeight w:val="20"/>
        </w:trPr>
        <w:tc>
          <w:tcPr>
            <w:tcW w:w="732" w:type="pct"/>
            <w:vMerge/>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Izvršno tijelo</w:t>
            </w:r>
          </w:p>
        </w:tc>
        <w:tc>
          <w:tcPr>
            <w:tcW w:w="3439" w:type="pct"/>
          </w:tcPr>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HOPS </w:t>
            </w:r>
          </w:p>
        </w:tc>
      </w:tr>
      <w:tr w:rsidR="006C3D49" w:rsidRPr="00361664" w:rsidTr="006C3D49">
        <w:trPr>
          <w:trHeight w:val="20"/>
        </w:trPr>
        <w:tc>
          <w:tcPr>
            <w:tcW w:w="732" w:type="pct"/>
            <w:vMerge/>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40C0B"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Tijelo za praćenje, mjerenje i verifikaciju ušteda</w:t>
            </w:r>
          </w:p>
        </w:tc>
        <w:tc>
          <w:tcPr>
            <w:tcW w:w="3439" w:type="pct"/>
          </w:tcPr>
          <w:p w:rsidR="006C3D49" w:rsidRPr="00361664" w:rsidRDefault="00C31D0D" w:rsidP="00C31D0D">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NKT </w:t>
            </w:r>
          </w:p>
        </w:tc>
      </w:tr>
      <w:tr w:rsidR="006C3D49" w:rsidRPr="00361664" w:rsidTr="006C3D49">
        <w:trPr>
          <w:trHeight w:val="20"/>
        </w:trPr>
        <w:tc>
          <w:tcPr>
            <w:tcW w:w="732" w:type="pct"/>
            <w:vMerge w:val="restar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Uštede energije</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Metoda praćenja / mjerenja ušteda energije</w:t>
            </w:r>
          </w:p>
        </w:tc>
        <w:tc>
          <w:tcPr>
            <w:tcW w:w="3439" w:type="pct"/>
          </w:tcPr>
          <w:p w:rsidR="006C3D49" w:rsidRPr="00361664" w:rsidRDefault="006C3D49" w:rsidP="006C3D49">
            <w:pPr>
              <w:pStyle w:val="Default"/>
              <w:jc w:val="both"/>
              <w:rPr>
                <w:rFonts w:asciiTheme="minorHAnsi" w:hAnsiTheme="minorHAnsi" w:cstheme="minorHAnsi"/>
                <w:sz w:val="20"/>
              </w:rPr>
            </w:pPr>
            <w:r w:rsidRPr="00361664">
              <w:rPr>
                <w:rFonts w:asciiTheme="minorHAnsi" w:hAnsiTheme="minorHAnsi" w:cstheme="minorHAnsi"/>
                <w:sz w:val="20"/>
              </w:rPr>
              <w:t xml:space="preserve">Praćenje učinaka ove mjere ostvaruje se temeljem podataka o </w:t>
            </w:r>
          </w:p>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ostvarenim gubicima električne energije prije i poslije provedbe mjere uz normalizaciju prema iznosu i trajanju opterećenja. </w:t>
            </w:r>
          </w:p>
        </w:tc>
      </w:tr>
      <w:tr w:rsidR="006C3D49" w:rsidRPr="00361664" w:rsidTr="006C3D49">
        <w:trPr>
          <w:trHeight w:val="20"/>
        </w:trPr>
        <w:tc>
          <w:tcPr>
            <w:tcW w:w="732" w:type="pct"/>
            <w:vMerge/>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Očekivane uštede energije do kraja 2019.</w:t>
            </w:r>
          </w:p>
        </w:tc>
        <w:tc>
          <w:tcPr>
            <w:tcW w:w="3439" w:type="pct"/>
            <w:shd w:val="clear" w:color="auto" w:fill="auto"/>
            <w:vAlign w:val="center"/>
          </w:tcPr>
          <w:p w:rsidR="006C3D49" w:rsidRPr="00361664" w:rsidRDefault="006C3D49" w:rsidP="006C3D49">
            <w:pPr>
              <w:pStyle w:val="Default"/>
              <w:jc w:val="both"/>
              <w:rPr>
                <w:rFonts w:asciiTheme="minorHAnsi" w:hAnsiTheme="minorHAnsi" w:cstheme="minorHAnsi"/>
                <w:sz w:val="20"/>
              </w:rPr>
            </w:pPr>
          </w:p>
          <w:p w:rsidR="006C3D49" w:rsidRPr="00361664" w:rsidRDefault="006C3D49" w:rsidP="006C3D49">
            <w:pPr>
              <w:pStyle w:val="Default"/>
              <w:jc w:val="both"/>
              <w:rPr>
                <w:rFonts w:asciiTheme="minorHAnsi" w:hAnsiTheme="minorHAnsi" w:cstheme="minorHAnsi"/>
                <w:sz w:val="20"/>
              </w:rPr>
            </w:pPr>
          </w:p>
          <w:p w:rsidR="006C3D49" w:rsidRPr="00361664" w:rsidRDefault="00A850B6" w:rsidP="006C3D49">
            <w:pPr>
              <w:pStyle w:val="Default"/>
              <w:jc w:val="both"/>
              <w:rPr>
                <w:rFonts w:asciiTheme="minorHAnsi" w:hAnsiTheme="minorHAnsi" w:cstheme="minorHAnsi"/>
                <w:sz w:val="20"/>
              </w:rPr>
            </w:pPr>
            <w:r w:rsidRPr="00361664">
              <w:rPr>
                <w:rFonts w:asciiTheme="minorHAnsi" w:hAnsiTheme="minorHAnsi" w:cstheme="minorHAnsi"/>
                <w:sz w:val="20"/>
              </w:rPr>
              <w:t xml:space="preserve"> 174,96 TJ</w:t>
            </w:r>
          </w:p>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p>
        </w:tc>
      </w:tr>
      <w:tr w:rsidR="006C3D49" w:rsidRPr="00361664" w:rsidTr="006C3D49">
        <w:trPr>
          <w:trHeight w:val="20"/>
        </w:trPr>
        <w:tc>
          <w:tcPr>
            <w:tcW w:w="732" w:type="pct"/>
            <w:vMerge/>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highlight w:val="yellow"/>
                <w:lang w:val="hr-HR"/>
              </w:rPr>
            </w:pPr>
            <w:r w:rsidRPr="00361664">
              <w:rPr>
                <w:rFonts w:asciiTheme="minorHAnsi" w:hAnsiTheme="minorHAnsi"/>
                <w:sz w:val="20"/>
                <w:lang w:val="hr-HR"/>
              </w:rPr>
              <w:t>Očekivane uštede energije do kraja 2020.</w:t>
            </w:r>
          </w:p>
        </w:tc>
        <w:tc>
          <w:tcPr>
            <w:tcW w:w="3439" w:type="pct"/>
            <w:vAlign w:val="center"/>
          </w:tcPr>
          <w:p w:rsidR="006C3D49" w:rsidRPr="00361664" w:rsidRDefault="006C3D49" w:rsidP="006C3D49">
            <w:pPr>
              <w:pStyle w:val="Default"/>
              <w:jc w:val="both"/>
              <w:rPr>
                <w:rFonts w:asciiTheme="minorHAnsi" w:hAnsiTheme="minorHAnsi" w:cstheme="minorHAnsi"/>
                <w:sz w:val="20"/>
              </w:rPr>
            </w:pPr>
          </w:p>
          <w:p w:rsidR="006C3D49" w:rsidRPr="00361664" w:rsidRDefault="006C3D49" w:rsidP="006C3D49">
            <w:pPr>
              <w:pStyle w:val="Default"/>
              <w:jc w:val="both"/>
              <w:rPr>
                <w:rFonts w:asciiTheme="minorHAnsi" w:hAnsiTheme="minorHAnsi" w:cstheme="minorHAnsi"/>
                <w:sz w:val="20"/>
              </w:rPr>
            </w:pPr>
          </w:p>
          <w:p w:rsidR="006C3D49" w:rsidRPr="00361664" w:rsidRDefault="00A850B6" w:rsidP="006C3D49">
            <w:pPr>
              <w:pStyle w:val="Default"/>
              <w:jc w:val="both"/>
              <w:rPr>
                <w:rFonts w:asciiTheme="minorHAnsi" w:hAnsiTheme="minorHAnsi" w:cstheme="minorHAnsi"/>
                <w:sz w:val="20"/>
              </w:rPr>
            </w:pPr>
            <w:r w:rsidRPr="00361664">
              <w:rPr>
                <w:rFonts w:asciiTheme="minorHAnsi" w:hAnsiTheme="minorHAnsi" w:cstheme="minorHAnsi"/>
                <w:sz w:val="20"/>
              </w:rPr>
              <w:t>285,12 TJ</w:t>
            </w:r>
          </w:p>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p>
        </w:tc>
      </w:tr>
      <w:tr w:rsidR="006C3D49" w:rsidRPr="00361664" w:rsidTr="006C3D49">
        <w:trPr>
          <w:trHeight w:val="20"/>
        </w:trPr>
        <w:tc>
          <w:tcPr>
            <w:tcW w:w="732" w:type="pct"/>
            <w:vMerge/>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Pretpostavke</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3439" w:type="pct"/>
          </w:tcPr>
          <w:p w:rsidR="006C3D49" w:rsidRPr="00361664" w:rsidRDefault="006C3D49" w:rsidP="006C3D49">
            <w:pPr>
              <w:pStyle w:val="Tabletext"/>
              <w:tabs>
                <w:tab w:val="left" w:pos="1440"/>
                <w:tab w:val="left" w:pos="5040"/>
              </w:tabs>
              <w:spacing w:before="0" w:after="0" w:line="240" w:lineRule="auto"/>
              <w:rPr>
                <w:rFonts w:asciiTheme="minorHAnsi" w:hAnsiTheme="minorHAnsi" w:cstheme="minorHAnsi"/>
                <w:sz w:val="20"/>
                <w:szCs w:val="24"/>
                <w:lang w:val="hr-HR"/>
              </w:rPr>
            </w:pPr>
            <w:r w:rsidRPr="00361664">
              <w:rPr>
                <w:rFonts w:asciiTheme="minorHAnsi" w:hAnsiTheme="minorHAnsi" w:cstheme="minorHAnsi"/>
                <w:sz w:val="20"/>
                <w:szCs w:val="24"/>
                <w:lang w:val="hr-HR"/>
              </w:rPr>
              <w:t xml:space="preserve">Buduće procjene temeljene su na indikacijama porasta potrošnje električne energije u prethodnih 5 godina, te na zadržavanju postojećih tokova prekogranične razmjene električne energije u širem okruženju. </w:t>
            </w:r>
          </w:p>
        </w:tc>
      </w:tr>
      <w:tr w:rsidR="006C3D49" w:rsidRPr="00361664" w:rsidTr="006C3D49">
        <w:trPr>
          <w:trHeight w:val="20"/>
        </w:trPr>
        <w:tc>
          <w:tcPr>
            <w:tcW w:w="732" w:type="pct"/>
            <w:vMerge/>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29" w:type="pct"/>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Preklapanja, efekt množenja, sinergija</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3439" w:type="pct"/>
          </w:tcPr>
          <w:p w:rsidR="006C3D49" w:rsidRPr="00361664" w:rsidRDefault="006C3D49" w:rsidP="006C3D49">
            <w:pPr>
              <w:pStyle w:val="Default"/>
              <w:jc w:val="both"/>
              <w:rPr>
                <w:rFonts w:asciiTheme="minorHAnsi" w:hAnsiTheme="minorHAnsi" w:cstheme="minorHAnsi"/>
                <w:sz w:val="20"/>
              </w:rPr>
            </w:pPr>
          </w:p>
          <w:p w:rsidR="006C3D49" w:rsidRPr="00361664" w:rsidRDefault="006C3D49" w:rsidP="006C3D49">
            <w:pPr>
              <w:pStyle w:val="Default"/>
              <w:jc w:val="both"/>
              <w:rPr>
                <w:rFonts w:asciiTheme="minorHAnsi" w:hAnsiTheme="minorHAnsi" w:cstheme="minorHAnsi"/>
                <w:sz w:val="20"/>
              </w:rPr>
            </w:pPr>
            <w:r w:rsidRPr="00361664">
              <w:rPr>
                <w:rFonts w:asciiTheme="minorHAnsi" w:hAnsiTheme="minorHAnsi" w:cstheme="minorHAnsi"/>
                <w:sz w:val="20"/>
              </w:rPr>
              <w:t xml:space="preserve">Ova mjera ima učinke prvenstveno u sektoru proizvodnje, prijenosa i distribucije električne energije te će se učinci u smislu energetskih ušteda prikazivati u tom sektoru. </w:t>
            </w:r>
          </w:p>
          <w:p w:rsidR="006C3D49" w:rsidRPr="00361664" w:rsidRDefault="006C3D49" w:rsidP="006C3D49">
            <w:pPr>
              <w:tabs>
                <w:tab w:val="left" w:pos="1440"/>
                <w:tab w:val="left" w:pos="5040"/>
              </w:tabs>
              <w:spacing w:after="0" w:line="240" w:lineRule="auto"/>
              <w:jc w:val="both"/>
              <w:rPr>
                <w:rFonts w:asciiTheme="minorHAnsi" w:hAnsiTheme="minorHAnsi" w:cstheme="minorHAnsi"/>
                <w:sz w:val="20"/>
                <w:szCs w:val="24"/>
              </w:rPr>
            </w:pPr>
          </w:p>
        </w:tc>
      </w:tr>
    </w:tbl>
    <w:p w:rsidR="006C5A2C" w:rsidRPr="00361664" w:rsidRDefault="006C5A2C" w:rsidP="00471664">
      <w:pPr>
        <w:jc w:val="both"/>
        <w:rPr>
          <w:sz w:val="20"/>
          <w:szCs w:val="20"/>
          <w:lang w:eastAsia="de-DE"/>
        </w:rPr>
      </w:pPr>
    </w:p>
    <w:p w:rsidR="009B7EF3" w:rsidRPr="00361664" w:rsidRDefault="009B7EF3" w:rsidP="00651BCA">
      <w:pPr>
        <w:jc w:val="both"/>
        <w:rPr>
          <w:lang w:eastAsia="de-DE"/>
        </w:rPr>
      </w:pPr>
    </w:p>
    <w:p w:rsidR="006C3D49" w:rsidRPr="00361664" w:rsidRDefault="006C3D49" w:rsidP="00651BCA">
      <w:pPr>
        <w:jc w:val="both"/>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518"/>
        <w:gridCol w:w="6537"/>
      </w:tblGrid>
      <w:tr w:rsidR="006C3D49" w:rsidRPr="00361664" w:rsidTr="006C3D49">
        <w:trPr>
          <w:trHeight w:val="20"/>
        </w:trPr>
        <w:tc>
          <w:tcPr>
            <w:tcW w:w="1481" w:type="pct"/>
            <w:gridSpan w:val="2"/>
            <w:tcBorders>
              <w:top w:val="single" w:sz="4" w:space="0" w:color="auto"/>
              <w:left w:val="single" w:sz="4" w:space="0" w:color="auto"/>
              <w:bottom w:val="single" w:sz="4" w:space="0" w:color="auto"/>
              <w:right w:val="single" w:sz="4" w:space="0" w:color="auto"/>
            </w:tcBorders>
            <w:shd w:val="clear" w:color="auto" w:fill="CCFFCC"/>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 xml:space="preserve">Naziv mjere </w:t>
            </w:r>
          </w:p>
        </w:tc>
        <w:tc>
          <w:tcPr>
            <w:tcW w:w="3519" w:type="pct"/>
            <w:tcBorders>
              <w:top w:val="single" w:sz="4" w:space="0" w:color="auto"/>
              <w:left w:val="single" w:sz="4" w:space="0" w:color="auto"/>
              <w:bottom w:val="single" w:sz="4" w:space="0" w:color="auto"/>
              <w:right w:val="single" w:sz="4" w:space="0" w:color="auto"/>
            </w:tcBorders>
            <w:shd w:val="clear" w:color="auto" w:fill="CCFFCC"/>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b/>
                <w:sz w:val="20"/>
                <w:lang w:val="hr-HR"/>
              </w:rPr>
            </w:pPr>
            <w:r w:rsidRPr="00361664">
              <w:rPr>
                <w:rFonts w:asciiTheme="minorHAnsi" w:hAnsiTheme="minorHAnsi"/>
                <w:b/>
                <w:sz w:val="20"/>
                <w:lang w:val="hr-HR"/>
              </w:rPr>
              <w:t>Smanjenje gubitaka u distribucijskoj elektroenergetskoj mreži</w:t>
            </w:r>
          </w:p>
        </w:tc>
      </w:tr>
      <w:tr w:rsidR="006C3D49" w:rsidRPr="00361664" w:rsidTr="006C3D49">
        <w:trPr>
          <w:trHeight w:val="20"/>
        </w:trPr>
        <w:tc>
          <w:tcPr>
            <w:tcW w:w="1481" w:type="pct"/>
            <w:gridSpan w:val="2"/>
            <w:tcBorders>
              <w:top w:val="single" w:sz="4" w:space="0" w:color="auto"/>
              <w:left w:val="single" w:sz="4" w:space="0" w:color="auto"/>
              <w:bottom w:val="single" w:sz="4" w:space="0" w:color="auto"/>
              <w:right w:val="single" w:sz="4" w:space="0" w:color="auto"/>
            </w:tcBorders>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Indeks mjere</w:t>
            </w:r>
          </w:p>
        </w:tc>
        <w:tc>
          <w:tcPr>
            <w:tcW w:w="3519" w:type="pct"/>
            <w:tcBorders>
              <w:top w:val="single" w:sz="4" w:space="0" w:color="auto"/>
              <w:left w:val="single" w:sz="4" w:space="0" w:color="auto"/>
              <w:bottom w:val="single" w:sz="4" w:space="0" w:color="auto"/>
              <w:right w:val="single" w:sz="4" w:space="0" w:color="auto"/>
            </w:tcBorders>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E.9</w:t>
            </w:r>
          </w:p>
        </w:tc>
      </w:tr>
      <w:tr w:rsidR="006C3D49" w:rsidRPr="00361664" w:rsidTr="006C3D49">
        <w:trPr>
          <w:trHeight w:val="20"/>
        </w:trPr>
        <w:tc>
          <w:tcPr>
            <w:tcW w:w="664" w:type="pct"/>
            <w:vMerge w:val="restart"/>
            <w:tcBorders>
              <w:top w:val="single" w:sz="4" w:space="0" w:color="auto"/>
              <w:left w:val="single" w:sz="4" w:space="0" w:color="auto"/>
              <w:bottom w:val="single" w:sz="4" w:space="0" w:color="auto"/>
              <w:right w:val="single" w:sz="4" w:space="0" w:color="auto"/>
            </w:tcBorders>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Opis</w:t>
            </w: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Kategorija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Informacijske i obvezne informacijske mjere; Financijski instrumenti</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Vremenski okvir</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Početak: kontinuirano</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Kraj: kontinuirano</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Predviđene veće promjene, dopune, poboljšanja:</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Sustavno će se provoditi praćenje i analiza gubitaka električne energije u organizacijskim jedinicama HEP- Operatora distribucijskog sustava d.o.o., na temelju čega će se provoditi aktivnosti s ciljem smanjenja gubitaka električne energije. Uvođenje pametnih brojila.</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 kratak opis</w:t>
            </w:r>
          </w:p>
        </w:tc>
        <w:tc>
          <w:tcPr>
            <w:tcW w:w="3519" w:type="pct"/>
            <w:tcBorders>
              <w:top w:val="single" w:sz="4" w:space="0" w:color="auto"/>
              <w:left w:val="single" w:sz="4" w:space="0" w:color="auto"/>
              <w:bottom w:val="single" w:sz="4" w:space="0" w:color="auto"/>
              <w:right w:val="single" w:sz="4" w:space="0" w:color="auto"/>
            </w:tcBorders>
            <w:vAlign w:val="center"/>
          </w:tcPr>
          <w:p w:rsidR="006C3D49" w:rsidRPr="00361664" w:rsidRDefault="006C3D49" w:rsidP="006C3D49">
            <w:pPr>
              <w:pStyle w:val="Tabletext"/>
              <w:tabs>
                <w:tab w:val="left" w:pos="1440"/>
                <w:tab w:val="left" w:pos="5040"/>
              </w:tabs>
              <w:spacing w:after="0" w:line="240" w:lineRule="auto"/>
              <w:rPr>
                <w:rFonts w:asciiTheme="minorHAnsi" w:hAnsiTheme="minorHAnsi"/>
                <w:sz w:val="20"/>
                <w:lang w:val="hr-HR"/>
              </w:rPr>
            </w:pPr>
            <w:r w:rsidRPr="00361664">
              <w:rPr>
                <w:rFonts w:asciiTheme="minorHAnsi" w:hAnsiTheme="minorHAnsi"/>
                <w:sz w:val="20"/>
                <w:lang w:val="hr-HR"/>
              </w:rPr>
              <w:t>Gubici električne energije u distribucijskoj mreži dijele se na tehničke i netehničke gubitke pa se i aktivnosti za smanjenje gubitaka mogu podijeliti u dvije kategorije:</w:t>
            </w:r>
          </w:p>
          <w:p w:rsidR="006C3D49" w:rsidRPr="00361664" w:rsidRDefault="006C3D49" w:rsidP="006C3D49">
            <w:pPr>
              <w:pStyle w:val="Tabletext"/>
              <w:numPr>
                <w:ilvl w:val="0"/>
                <w:numId w:val="6"/>
              </w:numPr>
              <w:tabs>
                <w:tab w:val="left" w:pos="1440"/>
                <w:tab w:val="left" w:pos="5040"/>
              </w:tabs>
              <w:spacing w:after="0" w:line="240" w:lineRule="auto"/>
              <w:rPr>
                <w:rFonts w:asciiTheme="minorHAnsi" w:hAnsiTheme="minorHAnsi"/>
                <w:sz w:val="20"/>
                <w:lang w:val="hr-HR"/>
              </w:rPr>
            </w:pPr>
            <w:r w:rsidRPr="00361664">
              <w:rPr>
                <w:rFonts w:asciiTheme="minorHAnsi" w:hAnsiTheme="minorHAnsi"/>
                <w:sz w:val="20"/>
                <w:lang w:val="hr-HR"/>
              </w:rPr>
              <w:t>aktivnosti za smanjenje netehničkih gubitaka,</w:t>
            </w:r>
          </w:p>
          <w:p w:rsidR="006C3D49" w:rsidRPr="00361664" w:rsidRDefault="006C3D49" w:rsidP="006C3D49">
            <w:pPr>
              <w:pStyle w:val="Tabletext"/>
              <w:numPr>
                <w:ilvl w:val="0"/>
                <w:numId w:val="6"/>
              </w:numPr>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aktivnosti za smanjenje tehničkih gubitaka, odnosno  povećanje energetske učinkovitosti.</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Detaljnom analizom gubitaka električne energije u distribucijskoj mreži će se utvrditi uzroci povećanih gubitaka i odrediti prioriteti provedbi aktivnosti s ciljem smanjenja gubitaka. Aktivnosti na smanjenju netehničkih gubitaka iziskuju manja financijska sredstva (osim ugradnje pametnih brojila), dok aktivnosti smanjenja tehničkih gubitaka u pravilu zahtijevanju pojačano investiranje u elemente distribucijske mreže.</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 HEP- Operatora distribucijskog sustava d.o.o. je do kraja 2019. godine gubitke električne energije (ukupno tehnički i netehnički)  svesti na iznos od maksimalno 7,75 % (±0,25 %)  od ostvarene nabave u distribucijskoj  mreži u toj godini.</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neposredna potrošnja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Potrošnja električne energije</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Ciljna skupina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Operator distribucijskog sustava</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Regionalna primjena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Nacionalno</w:t>
            </w:r>
          </w:p>
        </w:tc>
      </w:tr>
      <w:tr w:rsidR="006C3D49" w:rsidRPr="00361664" w:rsidTr="006C3D49">
        <w:trPr>
          <w:trHeight w:val="20"/>
        </w:trPr>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Informacije o  provedbi</w:t>
            </w: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Popis i opis aktivnosti za provođenje mjere</w:t>
            </w:r>
          </w:p>
        </w:tc>
        <w:tc>
          <w:tcPr>
            <w:tcW w:w="3519" w:type="pct"/>
            <w:tcBorders>
              <w:top w:val="single" w:sz="4" w:space="0" w:color="auto"/>
              <w:left w:val="single" w:sz="4" w:space="0" w:color="auto"/>
              <w:bottom w:val="single" w:sz="4" w:space="0" w:color="auto"/>
              <w:right w:val="single" w:sz="4" w:space="0" w:color="auto"/>
            </w:tcBorders>
            <w:vAlign w:val="center"/>
          </w:tcPr>
          <w:p w:rsidR="006C3D49" w:rsidRPr="00361664" w:rsidRDefault="006C3D49" w:rsidP="006C3D49">
            <w:pPr>
              <w:jc w:val="both"/>
              <w:rPr>
                <w:sz w:val="20"/>
                <w:szCs w:val="20"/>
                <w:lang w:eastAsia="de-DE"/>
              </w:rPr>
            </w:pPr>
            <w:r w:rsidRPr="00361664">
              <w:rPr>
                <w:sz w:val="20"/>
              </w:rPr>
              <w:t xml:space="preserve">U HEP- Operatoru distribucijskog sustava d.o.o. nastaviti će se sustavna provedba mjere smanjenja gubitaka električne </w:t>
            </w:r>
            <w:r w:rsidRPr="00361664">
              <w:rPr>
                <w:sz w:val="20"/>
                <w:szCs w:val="20"/>
                <w:lang w:eastAsia="de-DE"/>
              </w:rPr>
              <w:t xml:space="preserve">energije u distribucijskoj elektroenergetskoj mreži.  </w:t>
            </w:r>
          </w:p>
          <w:p w:rsidR="006C3D49" w:rsidRPr="00361664" w:rsidRDefault="006C3D49" w:rsidP="006C3D49">
            <w:pPr>
              <w:jc w:val="both"/>
              <w:rPr>
                <w:sz w:val="20"/>
                <w:szCs w:val="20"/>
                <w:lang w:eastAsia="de-DE"/>
              </w:rPr>
            </w:pPr>
            <w:r w:rsidRPr="00361664">
              <w:rPr>
                <w:sz w:val="20"/>
                <w:szCs w:val="20"/>
                <w:lang w:eastAsia="de-DE"/>
              </w:rPr>
              <w:t xml:space="preserve">Detaljnom analizom utvrditi će se uzroci povećanih gubitaka u pojedinim dijelovima mreže i utvrditi će se prioriteti za provedbu aktivnosti za </w:t>
            </w:r>
            <w:r w:rsidRPr="00361664">
              <w:rPr>
                <w:sz w:val="20"/>
                <w:szCs w:val="20"/>
                <w:lang w:eastAsia="de-DE"/>
              </w:rPr>
              <w:lastRenderedPageBreak/>
              <w:t xml:space="preserve">smanjenje tehničkih i netehničkih gubitaka. </w:t>
            </w:r>
          </w:p>
          <w:p w:rsidR="006C3D49" w:rsidRPr="00361664" w:rsidRDefault="006C3D49" w:rsidP="006C3D49">
            <w:pPr>
              <w:jc w:val="both"/>
              <w:rPr>
                <w:sz w:val="20"/>
                <w:szCs w:val="20"/>
                <w:lang w:eastAsia="de-DE"/>
              </w:rPr>
            </w:pPr>
            <w:r w:rsidRPr="00361664">
              <w:rPr>
                <w:sz w:val="20"/>
                <w:szCs w:val="20"/>
                <w:lang w:eastAsia="de-DE"/>
              </w:rPr>
              <w:t xml:space="preserve">Aktivnosti smanjenja tehničkih gubitaka očitovati će se u: </w:t>
            </w:r>
          </w:p>
          <w:p w:rsidR="006C3D49" w:rsidRPr="00361664" w:rsidRDefault="006C3D49" w:rsidP="00CD00FF">
            <w:pPr>
              <w:pStyle w:val="Odlomakpopisa"/>
              <w:numPr>
                <w:ilvl w:val="0"/>
                <w:numId w:val="29"/>
              </w:numPr>
              <w:jc w:val="both"/>
              <w:rPr>
                <w:rFonts w:asciiTheme="minorHAnsi" w:hAnsiTheme="minorHAnsi"/>
                <w:sz w:val="20"/>
                <w:szCs w:val="20"/>
                <w:lang w:eastAsia="de-DE"/>
              </w:rPr>
            </w:pPr>
            <w:r w:rsidRPr="00361664">
              <w:rPr>
                <w:rFonts w:asciiTheme="minorHAnsi" w:hAnsiTheme="minorHAnsi"/>
                <w:sz w:val="20"/>
                <w:szCs w:val="20"/>
                <w:lang w:eastAsia="de-DE"/>
              </w:rPr>
              <w:t xml:space="preserve">optimiranju pogonskog  stanja mreže </w:t>
            </w:r>
          </w:p>
          <w:p w:rsidR="006C3D49" w:rsidRPr="00361664" w:rsidRDefault="006C3D49" w:rsidP="00CD00FF">
            <w:pPr>
              <w:pStyle w:val="Odlomakpopisa"/>
              <w:numPr>
                <w:ilvl w:val="0"/>
                <w:numId w:val="29"/>
              </w:numPr>
              <w:jc w:val="both"/>
              <w:rPr>
                <w:rFonts w:asciiTheme="minorHAnsi" w:hAnsiTheme="minorHAnsi"/>
                <w:sz w:val="20"/>
                <w:szCs w:val="20"/>
                <w:lang w:eastAsia="de-DE"/>
              </w:rPr>
            </w:pPr>
            <w:r w:rsidRPr="00361664">
              <w:rPr>
                <w:rFonts w:asciiTheme="minorHAnsi" w:hAnsiTheme="minorHAnsi"/>
                <w:sz w:val="20"/>
                <w:szCs w:val="20"/>
                <w:lang w:eastAsia="de-DE"/>
              </w:rPr>
              <w:t>rekonstrukcijama dijelova mreže s malim presjekom vodiča i dugačkim dionicama</w:t>
            </w:r>
          </w:p>
          <w:p w:rsidR="006C3D49" w:rsidRPr="00361664" w:rsidRDefault="006C3D49" w:rsidP="00CD00FF">
            <w:pPr>
              <w:pStyle w:val="Odlomakpopisa"/>
              <w:numPr>
                <w:ilvl w:val="0"/>
                <w:numId w:val="29"/>
              </w:numPr>
              <w:jc w:val="both"/>
              <w:rPr>
                <w:rFonts w:asciiTheme="minorHAnsi" w:hAnsiTheme="minorHAnsi"/>
                <w:sz w:val="20"/>
                <w:szCs w:val="20"/>
                <w:lang w:eastAsia="de-DE"/>
              </w:rPr>
            </w:pPr>
            <w:r w:rsidRPr="00361664">
              <w:rPr>
                <w:rFonts w:asciiTheme="minorHAnsi" w:hAnsiTheme="minorHAnsi"/>
                <w:sz w:val="20"/>
                <w:szCs w:val="20"/>
                <w:lang w:eastAsia="de-DE"/>
              </w:rPr>
              <w:t>prelasku dijelova 10 kV mreže na 20 kV naponsku razinu</w:t>
            </w:r>
          </w:p>
          <w:p w:rsidR="006C3D49" w:rsidRPr="00361664" w:rsidRDefault="006C3D49" w:rsidP="00CD00FF">
            <w:pPr>
              <w:pStyle w:val="Odlomakpopisa"/>
              <w:numPr>
                <w:ilvl w:val="0"/>
                <w:numId w:val="29"/>
              </w:numPr>
              <w:jc w:val="both"/>
              <w:rPr>
                <w:rFonts w:asciiTheme="minorHAnsi" w:hAnsiTheme="minorHAnsi"/>
                <w:sz w:val="20"/>
                <w:szCs w:val="20"/>
                <w:lang w:eastAsia="de-DE"/>
              </w:rPr>
            </w:pPr>
            <w:r w:rsidRPr="00361664">
              <w:rPr>
                <w:rFonts w:asciiTheme="minorHAnsi" w:hAnsiTheme="minorHAnsi"/>
                <w:sz w:val="20"/>
                <w:szCs w:val="20"/>
                <w:lang w:eastAsia="de-DE"/>
              </w:rPr>
              <w:t xml:space="preserve">zamjeni starih transformatora s velikih gubicima </w:t>
            </w:r>
          </w:p>
          <w:p w:rsidR="006C3D49" w:rsidRPr="00361664" w:rsidRDefault="006C3D49" w:rsidP="00CD00FF">
            <w:pPr>
              <w:pStyle w:val="Odlomakpopisa"/>
              <w:numPr>
                <w:ilvl w:val="0"/>
                <w:numId w:val="29"/>
              </w:numPr>
              <w:jc w:val="both"/>
              <w:rPr>
                <w:rFonts w:asciiTheme="minorHAnsi" w:hAnsiTheme="minorHAnsi"/>
                <w:sz w:val="20"/>
                <w:szCs w:val="20"/>
                <w:lang w:eastAsia="de-DE"/>
              </w:rPr>
            </w:pPr>
            <w:r w:rsidRPr="00361664">
              <w:rPr>
                <w:rFonts w:asciiTheme="minorHAnsi" w:hAnsiTheme="minorHAnsi"/>
                <w:sz w:val="20"/>
                <w:szCs w:val="20"/>
                <w:lang w:eastAsia="de-DE"/>
              </w:rPr>
              <w:t xml:space="preserve">ugradnji energetskih transformatora sa smanjenim gubicima </w:t>
            </w:r>
          </w:p>
          <w:p w:rsidR="006C3D49" w:rsidRPr="00361664" w:rsidRDefault="006C3D49" w:rsidP="00CD00FF">
            <w:pPr>
              <w:pStyle w:val="Odlomakpopisa"/>
              <w:numPr>
                <w:ilvl w:val="0"/>
                <w:numId w:val="29"/>
              </w:numPr>
              <w:jc w:val="both"/>
              <w:rPr>
                <w:rFonts w:asciiTheme="minorHAnsi" w:hAnsiTheme="minorHAnsi"/>
                <w:sz w:val="20"/>
                <w:szCs w:val="20"/>
                <w:lang w:eastAsia="de-DE"/>
              </w:rPr>
            </w:pPr>
            <w:r w:rsidRPr="00361664">
              <w:rPr>
                <w:rFonts w:asciiTheme="minorHAnsi" w:hAnsiTheme="minorHAnsi"/>
                <w:sz w:val="20"/>
                <w:szCs w:val="20"/>
                <w:lang w:eastAsia="de-DE"/>
              </w:rPr>
              <w:t xml:space="preserve">smanjenju vlastite potrošnje. </w:t>
            </w:r>
          </w:p>
          <w:p w:rsidR="006C3D49" w:rsidRPr="00361664" w:rsidRDefault="006C3D49" w:rsidP="006C3D49">
            <w:pPr>
              <w:jc w:val="both"/>
              <w:rPr>
                <w:sz w:val="20"/>
                <w:szCs w:val="20"/>
                <w:lang w:eastAsia="de-DE"/>
              </w:rPr>
            </w:pPr>
            <w:r w:rsidRPr="00361664">
              <w:rPr>
                <w:sz w:val="20"/>
                <w:szCs w:val="20"/>
                <w:lang w:eastAsia="de-DE"/>
              </w:rPr>
              <w:t xml:space="preserve">Aktivnosti smanjenja netehničkih gubitaka očitovati će se u: </w:t>
            </w:r>
          </w:p>
          <w:p w:rsidR="006C3D49" w:rsidRPr="00361664" w:rsidRDefault="006C3D49" w:rsidP="00CD00FF">
            <w:pPr>
              <w:pStyle w:val="Odlomakpopisa"/>
              <w:numPr>
                <w:ilvl w:val="0"/>
                <w:numId w:val="30"/>
              </w:numPr>
              <w:jc w:val="both"/>
              <w:rPr>
                <w:rFonts w:asciiTheme="minorHAnsi" w:hAnsiTheme="minorHAnsi"/>
                <w:sz w:val="20"/>
                <w:szCs w:val="20"/>
                <w:lang w:eastAsia="de-DE"/>
              </w:rPr>
            </w:pPr>
            <w:r w:rsidRPr="00361664">
              <w:rPr>
                <w:rFonts w:asciiTheme="minorHAnsi" w:hAnsiTheme="minorHAnsi"/>
                <w:sz w:val="20"/>
                <w:szCs w:val="20"/>
                <w:lang w:eastAsia="de-DE"/>
              </w:rPr>
              <w:t xml:space="preserve">daljnjoj ugradnji i uvođenju što većeg broja naprednih brojila u sustav daljinskog nadzora i očitanja </w:t>
            </w:r>
          </w:p>
          <w:p w:rsidR="006C3D49" w:rsidRPr="00361664" w:rsidRDefault="006C3D49" w:rsidP="00CD00FF">
            <w:pPr>
              <w:pStyle w:val="Odlomakpopisa"/>
              <w:numPr>
                <w:ilvl w:val="0"/>
                <w:numId w:val="30"/>
              </w:numPr>
              <w:jc w:val="both"/>
              <w:rPr>
                <w:rFonts w:asciiTheme="minorHAnsi" w:hAnsiTheme="minorHAnsi"/>
                <w:sz w:val="20"/>
                <w:szCs w:val="20"/>
                <w:lang w:eastAsia="de-DE"/>
              </w:rPr>
            </w:pPr>
            <w:r w:rsidRPr="00361664">
              <w:rPr>
                <w:rFonts w:asciiTheme="minorHAnsi" w:hAnsiTheme="minorHAnsi"/>
                <w:sz w:val="20"/>
                <w:szCs w:val="20"/>
                <w:lang w:eastAsia="de-DE"/>
              </w:rPr>
              <w:t xml:space="preserve">daljnjoj sveobuhvatnoj provedbi kontrole priključaka i mjernih mjesta (KPiMM), s naglaskom na otkrivanje neovlaštene potrošnje električne energije </w:t>
            </w:r>
          </w:p>
          <w:p w:rsidR="006C3D49" w:rsidRPr="00361664" w:rsidRDefault="006C3D49" w:rsidP="00CD00FF">
            <w:pPr>
              <w:pStyle w:val="Odlomakpopisa"/>
              <w:numPr>
                <w:ilvl w:val="0"/>
                <w:numId w:val="30"/>
              </w:numPr>
              <w:jc w:val="both"/>
              <w:rPr>
                <w:rFonts w:asciiTheme="minorHAnsi" w:hAnsiTheme="minorHAnsi"/>
                <w:sz w:val="20"/>
              </w:rPr>
            </w:pPr>
            <w:r w:rsidRPr="00361664">
              <w:rPr>
                <w:rFonts w:asciiTheme="minorHAnsi" w:hAnsiTheme="minorHAnsi"/>
                <w:sz w:val="20"/>
                <w:szCs w:val="20"/>
                <w:lang w:eastAsia="de-DE"/>
              </w:rPr>
              <w:t xml:space="preserve">nastavku rekonstrukcije postojećih priključaka i mjernih mjesta, koja su smještena u objektima kupaca. </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Financijska sredstva i izvori financiranja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3539C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Ukupno planirana sredstva do kraja 2019. godine iznose: 50.632.330,00 kn.</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Izvršno  tijelo</w:t>
            </w:r>
          </w:p>
        </w:tc>
        <w:tc>
          <w:tcPr>
            <w:tcW w:w="3519" w:type="pct"/>
            <w:tcBorders>
              <w:top w:val="single" w:sz="4" w:space="0" w:color="auto"/>
              <w:left w:val="single" w:sz="4" w:space="0" w:color="auto"/>
              <w:bottom w:val="single" w:sz="4" w:space="0" w:color="auto"/>
              <w:right w:val="single" w:sz="4" w:space="0" w:color="auto"/>
            </w:tcBorders>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Operator distribucijskog sustava</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40C0B"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Tijelo za praćenje, mjerenje i verifikaciju ušteda</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C31D0D"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NKT </w:t>
            </w:r>
          </w:p>
        </w:tc>
      </w:tr>
      <w:tr w:rsidR="006C3D49" w:rsidRPr="00361664" w:rsidTr="006C3D49">
        <w:trPr>
          <w:trHeight w:val="20"/>
        </w:trPr>
        <w:tc>
          <w:tcPr>
            <w:tcW w:w="664" w:type="pct"/>
            <w:vMerge w:val="restart"/>
            <w:tcBorders>
              <w:top w:val="single" w:sz="4" w:space="0" w:color="auto"/>
              <w:left w:val="single" w:sz="4" w:space="0" w:color="auto"/>
              <w:bottom w:val="single" w:sz="4" w:space="0" w:color="auto"/>
              <w:right w:val="single" w:sz="4" w:space="0" w:color="auto"/>
            </w:tcBorders>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Uštede energije</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Metoda praćenja / mjerenja ušteda energije</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 xml:space="preserve">HEP- Operator distribucijskog sustava izrađuje bilancu za prethodnu godinu, u kojoj se posebno iskazuju gubici električne energije. </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Očekivane uštede energije do kraja 2019.</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108 TJ</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highlight w:val="yellow"/>
                <w:lang w:val="hr-HR"/>
              </w:rPr>
            </w:pPr>
            <w:r w:rsidRPr="00361664">
              <w:rPr>
                <w:rFonts w:asciiTheme="minorHAnsi" w:hAnsiTheme="minorHAnsi"/>
                <w:sz w:val="20"/>
                <w:lang w:val="hr-HR"/>
              </w:rPr>
              <w:t>Očekivane uštede energije do kraja 2020.</w:t>
            </w: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144 TJ</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color w:val="FF0000"/>
                <w:sz w:val="20"/>
                <w:lang w:val="hr-HR"/>
              </w:rPr>
            </w:pPr>
            <w:r w:rsidRPr="00361664">
              <w:rPr>
                <w:rFonts w:asciiTheme="minorHAnsi" w:hAnsiTheme="minorHAnsi"/>
                <w:sz w:val="20"/>
                <w:lang w:val="hr-HR"/>
              </w:rPr>
              <w:t>Pretpostavke</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Iskazane uštede dane su uz pretpostavke približno istog iznosa ostvarene nabave električne energije u distribucijskoj elektroenergetskoj mreži i približno iste strukture potrošnje po naponskim razinama za 2015., 2016. i 2020. godinu.</w:t>
            </w:r>
          </w:p>
        </w:tc>
      </w:tr>
      <w:tr w:rsidR="006C3D49" w:rsidRPr="00361664" w:rsidTr="006C3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spacing w:after="0" w:line="240" w:lineRule="auto"/>
              <w:jc w:val="both"/>
              <w:rPr>
                <w:sz w:val="20"/>
                <w:szCs w:val="20"/>
                <w:lang w:eastAsia="de-DE"/>
              </w:rPr>
            </w:pPr>
          </w:p>
        </w:tc>
        <w:tc>
          <w:tcPr>
            <w:tcW w:w="817" w:type="pct"/>
            <w:tcBorders>
              <w:top w:val="single" w:sz="4" w:space="0" w:color="auto"/>
              <w:left w:val="single" w:sz="4" w:space="0" w:color="auto"/>
              <w:bottom w:val="single" w:sz="4" w:space="0" w:color="auto"/>
              <w:right w:val="single" w:sz="4" w:space="0" w:color="auto"/>
            </w:tcBorders>
            <w:vAlign w:val="center"/>
          </w:tcPr>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Preklapanja, efekt množenja, sinergija</w:t>
            </w:r>
          </w:p>
          <w:p w:rsidR="006C3D49" w:rsidRPr="00361664" w:rsidRDefault="006C3D49" w:rsidP="006C3D49">
            <w:pPr>
              <w:pStyle w:val="Tabletext"/>
              <w:tabs>
                <w:tab w:val="left" w:pos="1440"/>
                <w:tab w:val="left" w:pos="5040"/>
              </w:tabs>
              <w:spacing w:before="0" w:after="0" w:line="240" w:lineRule="auto"/>
              <w:rPr>
                <w:rFonts w:asciiTheme="minorHAnsi" w:hAnsiTheme="minorHAnsi"/>
                <w:sz w:val="20"/>
                <w:lang w:val="hr-HR"/>
              </w:rPr>
            </w:pPr>
          </w:p>
        </w:tc>
        <w:tc>
          <w:tcPr>
            <w:tcW w:w="3519" w:type="pct"/>
            <w:tcBorders>
              <w:top w:val="single" w:sz="4" w:space="0" w:color="auto"/>
              <w:left w:val="single" w:sz="4" w:space="0" w:color="auto"/>
              <w:bottom w:val="single" w:sz="4" w:space="0" w:color="auto"/>
              <w:right w:val="single" w:sz="4" w:space="0" w:color="auto"/>
            </w:tcBorders>
            <w:vAlign w:val="center"/>
            <w:hideMark/>
          </w:tcPr>
          <w:p w:rsidR="006C3D49" w:rsidRPr="00361664" w:rsidRDefault="006C3D49" w:rsidP="006C3D49">
            <w:pPr>
              <w:tabs>
                <w:tab w:val="left" w:pos="1440"/>
                <w:tab w:val="left" w:pos="5040"/>
              </w:tabs>
              <w:spacing w:after="0" w:line="240" w:lineRule="auto"/>
              <w:jc w:val="both"/>
              <w:rPr>
                <w:sz w:val="20"/>
                <w:szCs w:val="20"/>
              </w:rPr>
            </w:pPr>
            <w:r w:rsidRPr="00361664">
              <w:rPr>
                <w:sz w:val="20"/>
                <w:szCs w:val="20"/>
              </w:rPr>
              <w:t>Ova mjera ima učinke prvenstveno u distribucijskoj elektroenergetskoj mreži.</w:t>
            </w:r>
          </w:p>
        </w:tc>
      </w:tr>
    </w:tbl>
    <w:p w:rsidR="003E2572" w:rsidRPr="00361664" w:rsidRDefault="003E2572" w:rsidP="00651BCA">
      <w:pPr>
        <w:jc w:val="both"/>
        <w:rPr>
          <w:lang w:eastAsia="de-DE"/>
        </w:rPr>
      </w:pPr>
    </w:p>
    <w:p w:rsidR="003E2572" w:rsidRPr="00361664" w:rsidRDefault="003E2572" w:rsidP="00651BCA">
      <w:pPr>
        <w:jc w:val="both"/>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27"/>
        <w:gridCol w:w="6546"/>
      </w:tblGrid>
      <w:tr w:rsidR="009040A7" w:rsidRPr="00361664" w:rsidTr="00D30FF6">
        <w:trPr>
          <w:trHeight w:val="20"/>
        </w:trPr>
        <w:tc>
          <w:tcPr>
            <w:tcW w:w="1476" w:type="pct"/>
            <w:gridSpan w:val="2"/>
            <w:tcBorders>
              <w:top w:val="single" w:sz="4" w:space="0" w:color="auto"/>
              <w:left w:val="single" w:sz="4" w:space="0" w:color="auto"/>
              <w:bottom w:val="single" w:sz="4" w:space="0" w:color="auto"/>
              <w:right w:val="single" w:sz="4" w:space="0" w:color="auto"/>
            </w:tcBorders>
            <w:shd w:val="clear" w:color="auto" w:fill="CCFFCC"/>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 xml:space="preserve">Naziv mjere </w:t>
            </w:r>
          </w:p>
        </w:tc>
        <w:tc>
          <w:tcPr>
            <w:tcW w:w="3524" w:type="pct"/>
            <w:tcBorders>
              <w:top w:val="single" w:sz="4" w:space="0" w:color="auto"/>
              <w:left w:val="single" w:sz="4" w:space="0" w:color="auto"/>
              <w:bottom w:val="single" w:sz="4" w:space="0" w:color="auto"/>
              <w:right w:val="single" w:sz="4" w:space="0" w:color="auto"/>
            </w:tcBorders>
            <w:shd w:val="clear" w:color="auto" w:fill="CCFFCC"/>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b/>
                <w:sz w:val="20"/>
                <w:szCs w:val="22"/>
                <w:lang w:val="hr-HR"/>
              </w:rPr>
            </w:pPr>
            <w:r w:rsidRPr="00361664">
              <w:rPr>
                <w:rFonts w:asciiTheme="minorHAnsi" w:hAnsiTheme="minorHAnsi"/>
                <w:b/>
                <w:sz w:val="20"/>
                <w:szCs w:val="22"/>
                <w:lang w:val="hr-HR"/>
              </w:rPr>
              <w:t>Energetska učinkovitost u transportu nafte naftovodima</w:t>
            </w:r>
          </w:p>
        </w:tc>
      </w:tr>
      <w:tr w:rsidR="009040A7" w:rsidRPr="00361664" w:rsidTr="00D30FF6">
        <w:trPr>
          <w:trHeight w:val="20"/>
        </w:trPr>
        <w:tc>
          <w:tcPr>
            <w:tcW w:w="1476" w:type="pct"/>
            <w:gridSpan w:val="2"/>
            <w:tcBorders>
              <w:top w:val="single" w:sz="4" w:space="0" w:color="auto"/>
              <w:left w:val="single" w:sz="4" w:space="0" w:color="auto"/>
              <w:bottom w:val="single" w:sz="4" w:space="0" w:color="auto"/>
              <w:right w:val="single" w:sz="4" w:space="0" w:color="auto"/>
            </w:tcBorders>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Indeks mjere</w:t>
            </w:r>
          </w:p>
        </w:tc>
        <w:tc>
          <w:tcPr>
            <w:tcW w:w="3524" w:type="pct"/>
            <w:tcBorders>
              <w:top w:val="single" w:sz="4" w:space="0" w:color="auto"/>
              <w:left w:val="single" w:sz="4" w:space="0" w:color="auto"/>
              <w:bottom w:val="single" w:sz="4" w:space="0" w:color="auto"/>
              <w:right w:val="single" w:sz="4" w:space="0" w:color="auto"/>
            </w:tcBorders>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E.10</w:t>
            </w:r>
          </w:p>
        </w:tc>
      </w:tr>
      <w:tr w:rsidR="009040A7" w:rsidRPr="00361664" w:rsidTr="00D30FF6">
        <w:trPr>
          <w:trHeight w:val="20"/>
        </w:trPr>
        <w:tc>
          <w:tcPr>
            <w:tcW w:w="654" w:type="pct"/>
            <w:vMerge w:val="restart"/>
            <w:tcBorders>
              <w:top w:val="single" w:sz="4" w:space="0" w:color="auto"/>
              <w:left w:val="single" w:sz="4" w:space="0" w:color="auto"/>
              <w:bottom w:val="single" w:sz="4" w:space="0" w:color="auto"/>
              <w:right w:val="single" w:sz="4" w:space="0" w:color="auto"/>
            </w:tcBorders>
            <w:vAlign w:val="center"/>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Kategorija</w:t>
            </w:r>
          </w:p>
        </w:tc>
        <w:tc>
          <w:tcPr>
            <w:tcW w:w="3524"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p>
        </w:tc>
      </w:tr>
      <w:tr w:rsidR="009040A7"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Vremenski okvir</w:t>
            </w:r>
          </w:p>
        </w:tc>
        <w:tc>
          <w:tcPr>
            <w:tcW w:w="3524"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Početak:  2017.</w:t>
            </w:r>
          </w:p>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Kraj:         2019.</w:t>
            </w:r>
          </w:p>
        </w:tc>
      </w:tr>
      <w:tr w:rsidR="009040A7"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 / kratak opis</w:t>
            </w:r>
          </w:p>
        </w:tc>
        <w:tc>
          <w:tcPr>
            <w:tcW w:w="3524" w:type="pct"/>
            <w:tcBorders>
              <w:top w:val="single" w:sz="4" w:space="0" w:color="auto"/>
              <w:left w:val="single" w:sz="4" w:space="0" w:color="auto"/>
              <w:bottom w:val="single" w:sz="4" w:space="0" w:color="auto"/>
              <w:right w:val="single" w:sz="4" w:space="0" w:color="auto"/>
            </w:tcBorders>
            <w:vAlign w:val="center"/>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Razvojni projekti JANAF-a usmjereni su na modernizaciju naftovodno-skladišnog  sustava, intenzivnije uključivanje u europsku naftovodnu mrežu uz </w:t>
            </w:r>
            <w:r w:rsidR="00D0277A" w:rsidRPr="00361664">
              <w:rPr>
                <w:rFonts w:asciiTheme="minorHAnsi" w:hAnsiTheme="minorHAnsi"/>
                <w:sz w:val="20"/>
                <w:szCs w:val="22"/>
                <w:lang w:val="hr-HR"/>
              </w:rPr>
              <w:t>diversifikaciju</w:t>
            </w:r>
            <w:r w:rsidRPr="00361664">
              <w:rPr>
                <w:rFonts w:asciiTheme="minorHAnsi" w:hAnsiTheme="minorHAnsi"/>
                <w:sz w:val="20"/>
                <w:szCs w:val="22"/>
                <w:lang w:val="hr-HR"/>
              </w:rPr>
              <w:t xml:space="preserve"> pravaca i izvora dobave nafte, tj. povećanje sigurnosti opskrbe potrošača naftom, gradnju spremničkih kapaciteta te posebno na ostvarenje poslovnih ciljeva u vezi razvoja i povećanja uspješnosti i učinkovitosti poslovanja. </w:t>
            </w:r>
          </w:p>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U posljednjih nekoliko godina sustav naftovoda modernizira se prema najvišim svjetskim tehnološkim standardima s ciljem povećanja sigurnosti transporta nafte, skladištenja nafte i derivata te zaštite okoliša, održavanja pogonske sposobnosti transporta u okvirima instaliranog, odnosno projektiranog kapaciteta, produženja vijeka trajanja naftovoda i spremnika te učinkovitog korištenja energije. U vezi  s time naročito je značajan završetak i stalne dogradnje projekata modernizacije Sustava nadzora i upravljanja JANAF-a (SCADA), elektroenergetskog i komunikacijsko-informacijskog sustava, GIS-a te stalna ispitivanja i poboljšanja integriteta cjevovoda i dr.</w:t>
            </w:r>
          </w:p>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Elektroenergetski sustav JANAF-a do kraja 2016. u potpunosti je moderniziran, odnosno zamijenjena je kompletna oprema i elektroenergetska postrojenja naponskih razina 48 VDC, 110 VDC, 400 VAC, 6000 VAC i 35000 VAC na svim lokacijama JANAF-a. Modernizirano je i povezivanja na Sustav SCADA, koji se i nadalje modernizira. Naročito je značajna i modernizacija 35 kV postrojenja, koja su dijelom u nadležnosti HEP-a, distributera električne energije. Rezultat svih tih mjera je sigurna i kvalitetna opskrba električnom energijom, bez kvarova i zastoja u transportu nafte.</w:t>
            </w:r>
          </w:p>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Kako bi se u potpunosti zadovoljile potrebe kupaca za što bržom dostavom sirove nafte s Terminala Omišalj u rafinerije u Hrvatskoj, Mađarskoj, Srbiji te Bosni i Hercegovini, transport nafte na dionicama Omišalj-Melnice-Sisak te Omišalj-Urinj nastoji se organizirati što je moguće više u noćnom režimu, tj. u razdoblju niže tarife električne energije, kada su u pogonu glavna i pomoćna crpka na terminalu Omišalj, te crpka na Pumpnoj stanici (PS) Melnice. Izravna posljedica takvog režima rada je značajna ušteda na troškovima električne energije kroz neplaćanje pune angažirane snage (koja se inače obračunava u dnevnoj tarifi), a koja na terminalu Omišalj iznosi 4.000 kW, a na PS Melnice 3.500 kW, što ukupno iznosi oko 7.500 kW. Neizravna posljedica noćnog režima rada, kada je potrošnja niska, veliki je doprinos uravnoteženju i stabilnosti elektroenergetskog sustava. Međutim, izgledno povećanje transporta nafte može ograničiti mogućnosti korištenja povoljnog noćnog režima rada i uštede u potrošnji energije.</w:t>
            </w:r>
          </w:p>
        </w:tc>
      </w:tr>
      <w:tr w:rsidR="009040A7"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neposredna potrošnja</w:t>
            </w:r>
          </w:p>
        </w:tc>
        <w:tc>
          <w:tcPr>
            <w:tcW w:w="3524"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Do 5 kWh/toni transportirane nafte</w:t>
            </w:r>
          </w:p>
        </w:tc>
      </w:tr>
      <w:tr w:rsidR="009040A7"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Ciljna skupina</w:t>
            </w:r>
          </w:p>
        </w:tc>
        <w:tc>
          <w:tcPr>
            <w:tcW w:w="3524"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Transport nafte – električna energija</w:t>
            </w:r>
          </w:p>
        </w:tc>
      </w:tr>
      <w:tr w:rsidR="009040A7"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Regionalna primjena</w:t>
            </w:r>
          </w:p>
        </w:tc>
        <w:tc>
          <w:tcPr>
            <w:tcW w:w="3524"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Nacionalno</w:t>
            </w:r>
          </w:p>
        </w:tc>
      </w:tr>
      <w:tr w:rsidR="009040A7" w:rsidRPr="00361664" w:rsidTr="00D30FF6">
        <w:trPr>
          <w:trHeight w:val="20"/>
        </w:trPr>
        <w:tc>
          <w:tcPr>
            <w:tcW w:w="654" w:type="pct"/>
            <w:vMerge w:val="restar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Informacije o  provedbi</w:t>
            </w:r>
          </w:p>
        </w:tc>
        <w:tc>
          <w:tcPr>
            <w:tcW w:w="822" w:type="pct"/>
            <w:tcBorders>
              <w:top w:val="single" w:sz="4" w:space="0" w:color="auto"/>
              <w:left w:val="single" w:sz="4" w:space="0" w:color="auto"/>
              <w:bottom w:val="single" w:sz="4" w:space="0" w:color="auto"/>
              <w:right w:val="single" w:sz="4" w:space="0" w:color="auto"/>
            </w:tcBorders>
            <w:vAlign w:val="center"/>
            <w:hideMark/>
          </w:tcPr>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Popis i opis aktivnosti za provođenje mjere</w:t>
            </w:r>
          </w:p>
        </w:tc>
        <w:tc>
          <w:tcPr>
            <w:tcW w:w="3524" w:type="pct"/>
            <w:tcBorders>
              <w:top w:val="single" w:sz="4" w:space="0" w:color="auto"/>
              <w:left w:val="single" w:sz="4" w:space="0" w:color="auto"/>
              <w:bottom w:val="single" w:sz="4" w:space="0" w:color="auto"/>
              <w:right w:val="single" w:sz="4" w:space="0" w:color="auto"/>
            </w:tcBorders>
            <w:vAlign w:val="center"/>
          </w:tcPr>
          <w:p w:rsidR="009040A7" w:rsidRPr="00361664" w:rsidRDefault="009040A7" w:rsidP="00651BCA">
            <w:pPr>
              <w:pStyle w:val="Tabletext"/>
              <w:tabs>
                <w:tab w:val="left" w:pos="1440"/>
                <w:tab w:val="left" w:pos="5040"/>
              </w:tabs>
              <w:spacing w:before="0" w:after="120" w:line="240" w:lineRule="auto"/>
              <w:rPr>
                <w:rFonts w:asciiTheme="minorHAnsi" w:hAnsiTheme="minorHAnsi"/>
                <w:sz w:val="20"/>
                <w:szCs w:val="22"/>
                <w:lang w:val="hr-HR"/>
              </w:rPr>
            </w:pPr>
            <w:r w:rsidRPr="00361664">
              <w:rPr>
                <w:rFonts w:asciiTheme="minorHAnsi" w:hAnsiTheme="minorHAnsi"/>
                <w:sz w:val="20"/>
                <w:szCs w:val="22"/>
                <w:lang w:val="hr-HR"/>
              </w:rPr>
              <w:t>Planom optimizacije sustava transporta nafte u predstojećem trogodišnjem razdoblju predviđena je modernizacija elektromotornih pogona glavnih pumpaonica na terminalima Omišalj i Sisak.</w:t>
            </w:r>
          </w:p>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Na Terminalu Omišalj predviđena je zamjena dva postojeća elektromotora </w:t>
            </w:r>
            <w:r w:rsidRPr="00361664">
              <w:rPr>
                <w:rFonts w:asciiTheme="minorHAnsi" w:hAnsiTheme="minorHAnsi"/>
                <w:sz w:val="20"/>
                <w:szCs w:val="22"/>
                <w:lang w:val="hr-HR"/>
              </w:rPr>
              <w:lastRenderedPageBreak/>
              <w:t xml:space="preserve">snage 3.300 kW, koja su instalirana još 1979., i to s novima, boljih električnih karakteristika. Nakon te zamjene, pumpnim agregatom s novim elektromotornim pogonom transportirat će se ista količina nafte u kraćem vremenu, što bi trebalo rezultirati uštedom troškova električne energije na Terminalu Omišalj. Značajne će se uštede istodobno ostvariti i na PS Melnice, budući da će tamošnji agregati, koji rade paralelno s crpnim agregatima na Terminalu Omišalj, kraće vrijeme raditi za prijevoz iste količine nafte. Tijekom životnog vijeka novih elektromotora na Terminalu Omišalj (procijenjeno, 30 godina), financijske uštede značajno će premašiti investicijske troškove. </w:t>
            </w:r>
          </w:p>
          <w:p w:rsidR="009040A7" w:rsidRPr="00361664" w:rsidRDefault="009040A7" w:rsidP="00651BCA">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Na Terminalu Sisak planirana je modernizacija dva crpna agregata izmjenom regulacije brzine vrtnje elektromotornog pogona na nov tehnološki način, primjenom pretvarača frekvencije mrežnog napajanja (</w:t>
            </w:r>
            <w:r w:rsidR="00D0277A" w:rsidRPr="00361664">
              <w:rPr>
                <w:rFonts w:asciiTheme="minorHAnsi" w:hAnsiTheme="minorHAnsi"/>
                <w:sz w:val="20"/>
                <w:szCs w:val="22"/>
                <w:lang w:val="hr-HR"/>
              </w:rPr>
              <w:t>engl.</w:t>
            </w:r>
            <w:r w:rsidRPr="00361664">
              <w:rPr>
                <w:rFonts w:asciiTheme="minorHAnsi" w:hAnsiTheme="minorHAnsi"/>
                <w:sz w:val="20"/>
                <w:szCs w:val="22"/>
                <w:lang w:val="hr-HR"/>
              </w:rPr>
              <w:t xml:space="preserve">VariableSpeedDrive - VSD). Izravna posljedica uvođenja VSD-a bit će bitno manja potrošnja električne energije za istu količinu prevezene sirove nafte. U odnosu na sadašnji način pumpanja te istu količinu transportirane nafte s Terminala Sisak u smjeru Slavonskog Broda, odnosno Virja, očekivana ušteda troškova električne energije trebala bi osigurati povrat investicije u razdoblju kraćem od pet godina. </w:t>
            </w:r>
          </w:p>
        </w:tc>
      </w:tr>
      <w:tr w:rsidR="003539C9"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Financijska sredstva i izvori financiranja</w:t>
            </w:r>
          </w:p>
        </w:tc>
        <w:tc>
          <w:tcPr>
            <w:tcW w:w="3524"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lang w:val="hr-HR"/>
              </w:rPr>
              <w:t>Ukupno planirana sredstva do kraja 2019. godine iznose: 21.485.403,00 kn.</w:t>
            </w:r>
          </w:p>
        </w:tc>
      </w:tr>
      <w:tr w:rsidR="003539C9"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Izvršno  tijelo</w:t>
            </w:r>
          </w:p>
        </w:tc>
        <w:tc>
          <w:tcPr>
            <w:tcW w:w="3524" w:type="pct"/>
            <w:tcBorders>
              <w:top w:val="single" w:sz="4" w:space="0" w:color="auto"/>
              <w:left w:val="single" w:sz="4" w:space="0" w:color="auto"/>
              <w:bottom w:val="single" w:sz="4" w:space="0" w:color="auto"/>
              <w:right w:val="single" w:sz="4" w:space="0" w:color="auto"/>
            </w:tcBorders>
            <w:vAlign w:val="center"/>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Jadranski naftovod d.d.</w:t>
            </w:r>
          </w:p>
        </w:tc>
      </w:tr>
      <w:tr w:rsidR="003539C9"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 xml:space="preserve">Tijelo za praćenje, mjerenje i verifikaciju ušteda </w:t>
            </w:r>
          </w:p>
        </w:tc>
        <w:tc>
          <w:tcPr>
            <w:tcW w:w="3524"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NKT</w:t>
            </w:r>
          </w:p>
        </w:tc>
      </w:tr>
      <w:tr w:rsidR="003539C9" w:rsidRPr="00361664" w:rsidTr="00D30FF6">
        <w:trPr>
          <w:trHeight w:val="20"/>
        </w:trPr>
        <w:tc>
          <w:tcPr>
            <w:tcW w:w="654" w:type="pct"/>
            <w:vMerge w:val="restart"/>
            <w:tcBorders>
              <w:top w:val="single" w:sz="4" w:space="0" w:color="auto"/>
              <w:left w:val="single" w:sz="4" w:space="0" w:color="auto"/>
              <w:bottom w:val="single" w:sz="4" w:space="0" w:color="auto"/>
              <w:right w:val="single" w:sz="4" w:space="0" w:color="auto"/>
            </w:tcBorders>
            <w:vAlign w:val="center"/>
          </w:tcPr>
          <w:p w:rsidR="003539C9" w:rsidRPr="00361664" w:rsidRDefault="003539C9" w:rsidP="003539C9">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Uštede energije</w:t>
            </w:r>
          </w:p>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Metoda praćenja / mjerenja ušteda energije</w:t>
            </w:r>
          </w:p>
        </w:tc>
        <w:tc>
          <w:tcPr>
            <w:tcW w:w="3524"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Potrošnja električne energije u kilowatsatima (kWh) po prevezenoj toni sirove nafte</w:t>
            </w:r>
          </w:p>
        </w:tc>
      </w:tr>
      <w:tr w:rsidR="003539C9"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color w:val="FF0000"/>
                <w:sz w:val="20"/>
                <w:szCs w:val="22"/>
                <w:lang w:val="hr-HR"/>
              </w:rPr>
            </w:pPr>
            <w:r w:rsidRPr="00361664">
              <w:rPr>
                <w:rFonts w:asciiTheme="minorHAnsi" w:hAnsiTheme="minorHAnsi"/>
                <w:sz w:val="20"/>
                <w:szCs w:val="22"/>
                <w:lang w:val="hr-HR"/>
              </w:rPr>
              <w:t>Očekivane uštede energije do kraja 2019.</w:t>
            </w:r>
          </w:p>
        </w:tc>
        <w:tc>
          <w:tcPr>
            <w:tcW w:w="3524"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Zbog volatilnosti tržišta korisnici naftovoda ne objavljuju pouzdane srednjoročne planove transporta nafte, pa se uštede ne mogu pouzdano izračunati.</w:t>
            </w:r>
          </w:p>
        </w:tc>
      </w:tr>
      <w:tr w:rsidR="003539C9"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Očekivane uštede energije do kraja 2020.</w:t>
            </w:r>
          </w:p>
        </w:tc>
        <w:tc>
          <w:tcPr>
            <w:tcW w:w="3524"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Zbog volatilnosti tržišta korisnici naftovoda ne objavljuju pouzdane srednjoročne planove transporta nafte, pa se uštede ne mogu pouzdano izračunati.</w:t>
            </w:r>
          </w:p>
        </w:tc>
      </w:tr>
      <w:tr w:rsidR="003539C9"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Pretpostavke</w:t>
            </w:r>
          </w:p>
        </w:tc>
        <w:tc>
          <w:tcPr>
            <w:tcW w:w="3524"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120" w:line="240" w:lineRule="auto"/>
              <w:rPr>
                <w:rFonts w:asciiTheme="minorHAnsi" w:hAnsiTheme="minorHAnsi"/>
                <w:sz w:val="20"/>
                <w:szCs w:val="22"/>
                <w:lang w:val="hr-HR"/>
              </w:rPr>
            </w:pPr>
            <w:r w:rsidRPr="00361664">
              <w:rPr>
                <w:rFonts w:asciiTheme="minorHAnsi" w:hAnsiTheme="minorHAnsi"/>
                <w:sz w:val="20"/>
                <w:szCs w:val="22"/>
                <w:lang w:val="hr-HR"/>
              </w:rPr>
              <w:t>Provedba plana modernizacije elektromotornih pogona glavnih pumpaonica na terminalima Omišalj i Sisak.</w:t>
            </w:r>
          </w:p>
        </w:tc>
      </w:tr>
      <w:tr w:rsidR="003539C9" w:rsidRPr="00361664" w:rsidTr="00D30F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spacing w:after="0" w:line="240" w:lineRule="auto"/>
              <w:jc w:val="both"/>
              <w:rPr>
                <w:sz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Preklapanja, efekt množenja, sinergija</w:t>
            </w:r>
          </w:p>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p>
        </w:tc>
        <w:tc>
          <w:tcPr>
            <w:tcW w:w="3524" w:type="pct"/>
            <w:tcBorders>
              <w:top w:val="single" w:sz="4" w:space="0" w:color="auto"/>
              <w:left w:val="single" w:sz="4" w:space="0" w:color="auto"/>
              <w:bottom w:val="single" w:sz="4" w:space="0" w:color="auto"/>
              <w:right w:val="single" w:sz="4" w:space="0" w:color="auto"/>
            </w:tcBorders>
            <w:vAlign w:val="center"/>
            <w:hideMark/>
          </w:tcPr>
          <w:p w:rsidR="003539C9" w:rsidRPr="00361664" w:rsidRDefault="003539C9" w:rsidP="003539C9">
            <w:pPr>
              <w:pStyle w:val="Tabletext"/>
              <w:tabs>
                <w:tab w:val="left" w:pos="1440"/>
                <w:tab w:val="left" w:pos="5040"/>
              </w:tabs>
              <w:spacing w:before="0" w:after="0" w:line="240" w:lineRule="auto"/>
              <w:rPr>
                <w:rFonts w:asciiTheme="minorHAnsi" w:hAnsiTheme="minorHAnsi"/>
                <w:sz w:val="20"/>
                <w:szCs w:val="22"/>
                <w:lang w:val="hr-HR"/>
              </w:rPr>
            </w:pPr>
            <w:r w:rsidRPr="00361664">
              <w:rPr>
                <w:rFonts w:asciiTheme="minorHAnsi" w:hAnsiTheme="minorHAnsi"/>
                <w:sz w:val="20"/>
                <w:szCs w:val="22"/>
                <w:lang w:val="hr-HR"/>
              </w:rPr>
              <w:t>Zaključno, projekti koji su već završeni, kao i oni planirani za sljedeće trogodišnje razdoblje, značajno pridonose povećanju sigurnosti transporta i opskrbe naftom te zaštiti okoliša. Uz to, pridonijet će i produljenju životnog vijeka naftovoda, kao i zadržavanju starih te stjecanju novih tržišta.</w:t>
            </w:r>
          </w:p>
        </w:tc>
      </w:tr>
    </w:tbl>
    <w:p w:rsidR="009040A7" w:rsidRPr="00361664" w:rsidRDefault="009040A7" w:rsidP="00651BCA">
      <w:pPr>
        <w:jc w:val="both"/>
        <w:rPr>
          <w:lang w:eastAsia="de-DE"/>
        </w:rPr>
      </w:pPr>
    </w:p>
    <w:p w:rsidR="006A025C" w:rsidRPr="00361664" w:rsidRDefault="004A126F" w:rsidP="00651BCA">
      <w:pPr>
        <w:pStyle w:val="Naslov3"/>
        <w:rPr>
          <w:rStyle w:val="Jakoisticanje"/>
          <w:b/>
          <w:bCs w:val="0"/>
          <w:i/>
          <w:iCs w:val="0"/>
          <w:color w:val="375F91"/>
          <w:lang w:val="hr-HR"/>
        </w:rPr>
      </w:pPr>
      <w:bookmarkStart w:id="60" w:name="_Toc535245877"/>
      <w:r w:rsidRPr="00361664">
        <w:rPr>
          <w:rStyle w:val="Jakoisticanje"/>
          <w:b/>
          <w:bCs w:val="0"/>
          <w:i/>
          <w:iCs w:val="0"/>
          <w:color w:val="375F91"/>
          <w:lang w:val="hr-HR"/>
        </w:rPr>
        <w:t xml:space="preserve">Uštede koje proizlaze iz mjera u području opskrbe </w:t>
      </w:r>
      <w:r w:rsidR="006A025C" w:rsidRPr="00361664">
        <w:rPr>
          <w:rStyle w:val="Jakoisticanje"/>
          <w:b/>
          <w:bCs w:val="0"/>
          <w:i/>
          <w:iCs w:val="0"/>
          <w:color w:val="375F91"/>
          <w:lang w:val="hr-HR"/>
        </w:rPr>
        <w:t>Energijom</w:t>
      </w:r>
      <w:bookmarkEnd w:id="60"/>
    </w:p>
    <w:p w:rsidR="00324A5A" w:rsidRPr="00361664" w:rsidRDefault="006A025C" w:rsidP="00651BCA">
      <w:pPr>
        <w:jc w:val="both"/>
        <w:rPr>
          <w:sz w:val="20"/>
          <w:szCs w:val="20"/>
        </w:rPr>
      </w:pPr>
      <w:r w:rsidRPr="00361664">
        <w:rPr>
          <w:sz w:val="20"/>
          <w:szCs w:val="20"/>
        </w:rPr>
        <w:t xml:space="preserve">Prethodno opisano </w:t>
      </w:r>
      <w:r w:rsidR="00716D5A" w:rsidRPr="00361664">
        <w:rPr>
          <w:sz w:val="20"/>
          <w:szCs w:val="20"/>
        </w:rPr>
        <w:t>u svakoj</w:t>
      </w:r>
      <w:r w:rsidRPr="00361664">
        <w:rPr>
          <w:sz w:val="20"/>
          <w:szCs w:val="20"/>
        </w:rPr>
        <w:t xml:space="preserve"> mjeri pojedinačno.</w:t>
      </w:r>
    </w:p>
    <w:p w:rsidR="006A025C" w:rsidRPr="00361664" w:rsidRDefault="00944F9E" w:rsidP="00651BCA">
      <w:pPr>
        <w:pStyle w:val="Naslov3"/>
        <w:rPr>
          <w:rStyle w:val="Jakoisticanje"/>
          <w:b/>
          <w:bCs w:val="0"/>
          <w:i/>
          <w:iCs w:val="0"/>
          <w:color w:val="375F91"/>
          <w:lang w:val="hr-HR"/>
        </w:rPr>
      </w:pPr>
      <w:bookmarkStart w:id="61" w:name="_Toc535245878"/>
      <w:r w:rsidRPr="00361664">
        <w:rPr>
          <w:rStyle w:val="Jakoisticanje"/>
          <w:b/>
          <w:bCs w:val="0"/>
          <w:i/>
          <w:iCs w:val="0"/>
          <w:color w:val="375F91"/>
          <w:lang w:val="hr-HR"/>
        </w:rPr>
        <w:t>Financ</w:t>
      </w:r>
      <w:r w:rsidR="007871C0" w:rsidRPr="00361664">
        <w:rPr>
          <w:rStyle w:val="Jakoisticanje"/>
          <w:b/>
          <w:bCs w:val="0"/>
          <w:i/>
          <w:iCs w:val="0"/>
          <w:color w:val="375F91"/>
          <w:lang w:val="hr-HR"/>
        </w:rPr>
        <w:t>i</w:t>
      </w:r>
      <w:r w:rsidR="004A126F" w:rsidRPr="00361664">
        <w:rPr>
          <w:rStyle w:val="Jakoisticanje"/>
          <w:b/>
          <w:bCs w:val="0"/>
          <w:i/>
          <w:iCs w:val="0"/>
          <w:color w:val="375F91"/>
          <w:lang w:val="hr-HR"/>
        </w:rPr>
        <w:t xml:space="preserve">ranje mjera u području opskrbe </w:t>
      </w:r>
      <w:r w:rsidR="006A025C" w:rsidRPr="00361664">
        <w:rPr>
          <w:rStyle w:val="Jakoisticanje"/>
          <w:b/>
          <w:bCs w:val="0"/>
          <w:i/>
          <w:iCs w:val="0"/>
          <w:color w:val="375F91"/>
          <w:lang w:val="hr-HR"/>
        </w:rPr>
        <w:t>Ener</w:t>
      </w:r>
      <w:r w:rsidR="00417281" w:rsidRPr="00361664">
        <w:rPr>
          <w:rStyle w:val="Jakoisticanje"/>
          <w:b/>
          <w:bCs w:val="0"/>
          <w:i/>
          <w:iCs w:val="0"/>
          <w:color w:val="375F91"/>
          <w:lang w:val="hr-HR"/>
        </w:rPr>
        <w:t>g</w:t>
      </w:r>
      <w:r w:rsidR="006A025C" w:rsidRPr="00361664">
        <w:rPr>
          <w:rStyle w:val="Jakoisticanje"/>
          <w:b/>
          <w:bCs w:val="0"/>
          <w:i/>
          <w:iCs w:val="0"/>
          <w:color w:val="375F91"/>
          <w:lang w:val="hr-HR"/>
        </w:rPr>
        <w:t>ijom</w:t>
      </w:r>
      <w:bookmarkEnd w:id="61"/>
    </w:p>
    <w:p w:rsidR="006A025C" w:rsidRPr="00361664" w:rsidRDefault="006A025C" w:rsidP="00651BCA">
      <w:pPr>
        <w:jc w:val="both"/>
        <w:rPr>
          <w:sz w:val="20"/>
          <w:szCs w:val="20"/>
        </w:rPr>
      </w:pPr>
      <w:r w:rsidRPr="00361664">
        <w:rPr>
          <w:sz w:val="20"/>
          <w:szCs w:val="20"/>
        </w:rPr>
        <w:t xml:space="preserve">Prethodno opisano </w:t>
      </w:r>
      <w:r w:rsidR="00716D5A" w:rsidRPr="00361664">
        <w:rPr>
          <w:sz w:val="20"/>
          <w:szCs w:val="20"/>
        </w:rPr>
        <w:t>u svakoj</w:t>
      </w:r>
      <w:r w:rsidRPr="00361664">
        <w:rPr>
          <w:sz w:val="20"/>
          <w:szCs w:val="20"/>
        </w:rPr>
        <w:t xml:space="preserve"> mjeri pojedinačno.</w:t>
      </w:r>
    </w:p>
    <w:p w:rsidR="00651BCA" w:rsidRPr="00361664" w:rsidRDefault="00A850B6" w:rsidP="00A850B6">
      <w:pPr>
        <w:rPr>
          <w:rStyle w:val="Jakoisticanje"/>
          <w:rFonts w:ascii="Cambria" w:hAnsi="Cambria"/>
          <w:i w:val="0"/>
          <w:iCs w:val="0"/>
          <w:color w:val="365F91"/>
          <w:szCs w:val="20"/>
          <w:lang w:eastAsia="de-DE"/>
        </w:rPr>
      </w:pPr>
      <w:r w:rsidRPr="00361664">
        <w:rPr>
          <w:rStyle w:val="Jakoisticanje"/>
          <w:rFonts w:ascii="Cambria" w:hAnsi="Cambria"/>
          <w:i w:val="0"/>
          <w:iCs w:val="0"/>
          <w:color w:val="365F91"/>
          <w:szCs w:val="20"/>
          <w:lang w:eastAsia="de-DE"/>
        </w:rPr>
        <w:br w:type="page"/>
      </w:r>
    </w:p>
    <w:p w:rsidR="00651BCA" w:rsidRPr="00361664" w:rsidRDefault="00651BCA" w:rsidP="00651BCA">
      <w:pPr>
        <w:pStyle w:val="Naslov3"/>
        <w:numPr>
          <w:ilvl w:val="0"/>
          <w:numId w:val="0"/>
        </w:numPr>
        <w:ind w:left="720" w:hanging="720"/>
        <w:rPr>
          <w:rStyle w:val="Jakoisticanje"/>
          <w:b/>
          <w:bCs w:val="0"/>
          <w:i/>
          <w:iCs w:val="0"/>
          <w:color w:val="375F91"/>
          <w:lang w:val="hr-HR"/>
        </w:rPr>
      </w:pPr>
      <w:bookmarkStart w:id="62" w:name="_Toc535245879"/>
      <w:r w:rsidRPr="00361664">
        <w:rPr>
          <w:rStyle w:val="Jakoisticanje"/>
          <w:b/>
          <w:bCs w:val="0"/>
          <w:i/>
          <w:iCs w:val="0"/>
          <w:color w:val="375F91"/>
          <w:lang w:val="hr-HR"/>
        </w:rPr>
        <w:lastRenderedPageBreak/>
        <w:t>DODATAK 1  Pregled mjera za uspostavu infrastrukture za alternativna goriva</w:t>
      </w:r>
      <w:bookmarkEnd w:id="62"/>
    </w:p>
    <w:p w:rsidR="00651BCA" w:rsidRPr="00361664" w:rsidRDefault="00651BCA" w:rsidP="00651BCA">
      <w:pPr>
        <w:jc w:val="both"/>
        <w:rPr>
          <w:sz w:val="20"/>
        </w:rPr>
      </w:pPr>
      <w:r w:rsidRPr="00361664">
        <w:rPr>
          <w:sz w:val="20"/>
        </w:rPr>
        <w:t xml:space="preserve">Mjere za uspostavu infrastrukture za alternativna goriva </w:t>
      </w:r>
      <w:r w:rsidR="001D7C28" w:rsidRPr="00361664">
        <w:rPr>
          <w:sz w:val="20"/>
        </w:rPr>
        <w:t>razvijene su u sklopu Četvrtog n</w:t>
      </w:r>
      <w:r w:rsidRPr="00361664">
        <w:rPr>
          <w:sz w:val="20"/>
        </w:rPr>
        <w:t>acionalnog akcijskog plana te se na taj način usklađuju s provedbom politike energetske učinkovitosti i ublažavanja klimatskih promjena</w:t>
      </w:r>
      <w:r w:rsidR="004D75AC">
        <w:rPr>
          <w:sz w:val="20"/>
        </w:rPr>
        <w:t xml:space="preserve"> u sektoru prometa</w:t>
      </w:r>
      <w:r w:rsidRPr="00361664">
        <w:rPr>
          <w:sz w:val="20"/>
        </w:rPr>
        <w:t>. Pregled mjera za uspostavu infrastrukture za alternativna goriva</w:t>
      </w:r>
      <w:r w:rsidR="004D75AC">
        <w:rPr>
          <w:sz w:val="20"/>
        </w:rPr>
        <w:t xml:space="preserve"> iz </w:t>
      </w:r>
      <w:r w:rsidR="004D75AC" w:rsidRPr="004D75AC">
        <w:rPr>
          <w:sz w:val="20"/>
        </w:rPr>
        <w:t xml:space="preserve">Četvrtog nacionalnog akcijskog plana </w:t>
      </w:r>
      <w:r w:rsidRPr="00361664">
        <w:rPr>
          <w:sz w:val="20"/>
        </w:rPr>
        <w:t>dan je u nastavku:</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565"/>
        <w:gridCol w:w="6480"/>
      </w:tblGrid>
      <w:tr w:rsidR="00F60742" w:rsidRPr="00361664" w:rsidTr="00F60742">
        <w:trPr>
          <w:trHeight w:val="120"/>
        </w:trPr>
        <w:tc>
          <w:tcPr>
            <w:tcW w:w="1513" w:type="pct"/>
            <w:gridSpan w:val="2"/>
            <w:tcBorders>
              <w:top w:val="single" w:sz="4" w:space="0" w:color="auto"/>
              <w:left w:val="single" w:sz="4" w:space="0" w:color="auto"/>
              <w:bottom w:val="single" w:sz="4" w:space="0" w:color="auto"/>
              <w:right w:val="single" w:sz="4" w:space="0" w:color="auto"/>
            </w:tcBorders>
            <w:shd w:val="clear" w:color="auto" w:fill="CCFFCC"/>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 xml:space="preserve">Naziv mjere </w:t>
            </w:r>
          </w:p>
        </w:tc>
        <w:tc>
          <w:tcPr>
            <w:tcW w:w="3487" w:type="pct"/>
            <w:tcBorders>
              <w:top w:val="single" w:sz="4" w:space="0" w:color="auto"/>
              <w:left w:val="single" w:sz="4" w:space="0" w:color="auto"/>
              <w:bottom w:val="single" w:sz="4" w:space="0" w:color="auto"/>
              <w:right w:val="single" w:sz="4" w:space="0" w:color="auto"/>
            </w:tcBorders>
            <w:shd w:val="clear" w:color="auto" w:fill="CCFFCC"/>
          </w:tcPr>
          <w:p w:rsidR="00F60742" w:rsidRPr="00361664" w:rsidRDefault="00F60742" w:rsidP="00F60742">
            <w:p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Zakonodavna prilagodba odredbi o uspostavi infrastrukture za alternativna goriva</w:t>
            </w:r>
          </w:p>
        </w:tc>
      </w:tr>
      <w:tr w:rsidR="00F60742" w:rsidRPr="00361664" w:rsidTr="00F60742">
        <w:trPr>
          <w:trHeight w:val="20"/>
        </w:trPr>
        <w:tc>
          <w:tcPr>
            <w:tcW w:w="1513" w:type="pct"/>
            <w:gridSpan w:val="2"/>
            <w:tcBorders>
              <w:top w:val="single" w:sz="4" w:space="0" w:color="auto"/>
              <w:left w:val="single" w:sz="4" w:space="0" w:color="auto"/>
              <w:bottom w:val="single" w:sz="4" w:space="0" w:color="auto"/>
              <w:right w:val="single" w:sz="4" w:space="0" w:color="auto"/>
            </w:tcBorders>
            <w:shd w:val="clear" w:color="auto" w:fill="auto"/>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Indeks mjere</w:t>
            </w:r>
          </w:p>
        </w:tc>
        <w:tc>
          <w:tcPr>
            <w:tcW w:w="3487" w:type="pct"/>
            <w:tcBorders>
              <w:top w:val="single" w:sz="4" w:space="0" w:color="auto"/>
              <w:left w:val="single" w:sz="4" w:space="0" w:color="auto"/>
              <w:bottom w:val="single" w:sz="4" w:space="0" w:color="auto"/>
              <w:right w:val="single" w:sz="4" w:space="0" w:color="auto"/>
            </w:tcBorders>
            <w:shd w:val="clear" w:color="auto" w:fill="auto"/>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T.2</w:t>
            </w:r>
          </w:p>
        </w:tc>
      </w:tr>
      <w:tr w:rsidR="00F60742" w:rsidRPr="00361664" w:rsidTr="00F60742">
        <w:trPr>
          <w:trHeight w:val="20"/>
        </w:trPr>
        <w:tc>
          <w:tcPr>
            <w:tcW w:w="671" w:type="pct"/>
            <w:vMerge w:val="restart"/>
            <w:tcBorders>
              <w:top w:val="single" w:sz="4" w:space="0" w:color="auto"/>
              <w:left w:val="single" w:sz="4" w:space="0" w:color="auto"/>
              <w:bottom w:val="single" w:sz="4" w:space="0" w:color="auto"/>
              <w:right w:val="single" w:sz="4" w:space="0" w:color="auto"/>
            </w:tcBorders>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Opis</w:t>
            </w: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Kategorija</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Regulativa</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Vremenski okvir</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Početak: 2017.</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Kraj: 2030.</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Predviđene veće promjene, dopune, poboljšanja: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Nova mjera</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Cilj / kratak opis</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before="40"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Na nacionalnoj razini potrebno je donijeti zakonske i podzakonske akte kojima će se urediti određivanje uvjeta priključka na elektroenergetski sustav za punionice, uvjete distribuiranja,  naplate i jediničnu cijenu alternativnih energenata koji se koriste u prometu, određivanje uvjeta punionica za ukapljeni prirodni plin i stlačeni prirodni plin (UPP i SPP). Ispunjenje ove obaveze preduvjet su daljnjeg razvoja infrastrukture alternativnih goriva. </w:t>
            </w:r>
          </w:p>
          <w:p w:rsidR="00F60742" w:rsidRPr="00361664" w:rsidRDefault="00F60742" w:rsidP="00F60742">
            <w:pPr>
              <w:tabs>
                <w:tab w:val="left" w:pos="1440"/>
                <w:tab w:val="left" w:pos="5040"/>
                <w:tab w:val="right" w:pos="8504"/>
              </w:tabs>
              <w:spacing w:before="40" w:after="0" w:line="240" w:lineRule="auto"/>
              <w:jc w:val="both"/>
              <w:rPr>
                <w:rFonts w:asciiTheme="minorHAnsi" w:hAnsiTheme="minorHAnsi"/>
                <w:sz w:val="20"/>
                <w:szCs w:val="20"/>
                <w:lang w:eastAsia="de-DE"/>
              </w:rPr>
            </w:pP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Ciljna neposredna potrošnja</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Cestovni, željeznički i pomorski promet i unutarnja plovidba</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Ciljna skupina</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Trgovačka društva vezana za infrastrukturu i prijevozne tvrtke u cestovnom,  željezničkom i pomorskom prometu i unutarnjoj plovidbi</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Regionalna primjena</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Nacionalno </w:t>
            </w:r>
          </w:p>
        </w:tc>
      </w:tr>
      <w:tr w:rsidR="00F60742" w:rsidRPr="00361664" w:rsidTr="00F60742">
        <w:trPr>
          <w:trHeight w:val="1241"/>
        </w:trPr>
        <w:tc>
          <w:tcPr>
            <w:tcW w:w="671"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Informacije o  provedbi</w:t>
            </w: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Popis i opis aktivnosti za provođenje mjere </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0742" w:rsidRPr="00361664" w:rsidRDefault="00F60742" w:rsidP="00F60742">
            <w:pPr>
              <w:tabs>
                <w:tab w:val="left" w:pos="1440"/>
                <w:tab w:val="left" w:pos="5040"/>
                <w:tab w:val="right" w:pos="8504"/>
              </w:tabs>
              <w:spacing w:before="40"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Potrebno je predvidjeti izmjene i dopune zakona koji reguliraju prometnu regulativnu na način da se propišu obaveze uspostave infrastrukture za alternativna goriva za subjekte koji upravljaju prometnom infrastrukturom, te dopune zakona koji reguliraju uvjete građenja parkirališnih prostora tako da se uvede obveza postojanja punionica alternativnim gorivima.</w:t>
            </w:r>
          </w:p>
        </w:tc>
      </w:tr>
      <w:tr w:rsidR="00F60742" w:rsidRPr="00361664" w:rsidTr="00F60742">
        <w:trPr>
          <w:trHeight w:val="20"/>
        </w:trPr>
        <w:tc>
          <w:tcPr>
            <w:tcW w:w="671" w:type="pct"/>
            <w:vMerge w:val="restart"/>
            <w:tcBorders>
              <w:top w:val="single" w:sz="4" w:space="0" w:color="auto"/>
              <w:left w:val="single" w:sz="4" w:space="0" w:color="auto"/>
              <w:bottom w:val="single" w:sz="4" w:space="0" w:color="auto"/>
              <w:right w:val="single" w:sz="4" w:space="0" w:color="auto"/>
            </w:tcBorders>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Financijska sredstva i izvori financiranja</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Nisu potrebna dodatna financijska sredstva, priprema zakonodavstva je rad tijela državne uprave.</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Izvršno  tijelo</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eastAsiaTheme="minorHAnsi" w:hAnsiTheme="minorHAnsi"/>
                <w:sz w:val="20"/>
                <w:szCs w:val="20"/>
                <w:lang w:eastAsia="de-DE"/>
              </w:rPr>
              <w:t>NKT i druga tijela državne uprave: ministarstvo zaduženo za financije, ministarstvo zaduženo za prometnu infrastrukturu, ministarstvo zaduženo za energetiku, ministarstvo zaduženo za unutarnje poslove, ministarstvo zaduženo za graditeljstvo i prostorno uređenje i ministarstvo zaduženo za zaštitu okoliša, kao i odgovarajući fondovi te regulatorna tijela.</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Tijelo za praćenje, mjerenje i verifikaciju ušteda </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NKT </w:t>
            </w:r>
          </w:p>
        </w:tc>
      </w:tr>
      <w:tr w:rsidR="00F60742" w:rsidRPr="00361664" w:rsidTr="00F60742">
        <w:trPr>
          <w:trHeight w:val="20"/>
        </w:trPr>
        <w:tc>
          <w:tcPr>
            <w:tcW w:w="671" w:type="pct"/>
            <w:vMerge w:val="restart"/>
            <w:tcBorders>
              <w:top w:val="single" w:sz="4" w:space="0" w:color="auto"/>
              <w:left w:val="single" w:sz="4" w:space="0" w:color="auto"/>
              <w:bottom w:val="single" w:sz="4" w:space="0" w:color="auto"/>
              <w:right w:val="single" w:sz="4" w:space="0" w:color="auto"/>
            </w:tcBorders>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color w:val="FF0000"/>
                <w:sz w:val="20"/>
                <w:szCs w:val="20"/>
                <w:lang w:eastAsia="de-DE"/>
              </w:rPr>
            </w:pPr>
            <w:r w:rsidRPr="00361664">
              <w:rPr>
                <w:rFonts w:asciiTheme="minorHAnsi" w:hAnsiTheme="minorHAnsi"/>
                <w:sz w:val="20"/>
                <w:szCs w:val="20"/>
                <w:lang w:eastAsia="de-DE"/>
              </w:rPr>
              <w:t>Uštede energije</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Metoda praćenja  mjerenja ušteda energije</w:t>
            </w:r>
          </w:p>
        </w:tc>
        <w:tc>
          <w:tcPr>
            <w:tcW w:w="3487" w:type="pct"/>
            <w:tcBorders>
              <w:top w:val="single" w:sz="4" w:space="0" w:color="auto"/>
              <w:left w:val="single" w:sz="4" w:space="0" w:color="auto"/>
              <w:bottom w:val="single" w:sz="4" w:space="0" w:color="auto"/>
              <w:right w:val="single" w:sz="4" w:space="0" w:color="auto"/>
            </w:tcBorders>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color w:val="FF0000"/>
                <w:sz w:val="20"/>
                <w:szCs w:val="20"/>
                <w:lang w:eastAsia="de-DE"/>
              </w:rPr>
            </w:pPr>
            <w:r w:rsidRPr="00361664">
              <w:rPr>
                <w:rFonts w:asciiTheme="minorHAnsi" w:hAnsiTheme="minorHAnsi"/>
                <w:sz w:val="20"/>
                <w:szCs w:val="20"/>
                <w:lang w:eastAsia="de-DE"/>
              </w:rPr>
              <w:t>Očekivane uštede energije u 2019.</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Nije procijenjeno</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Očekivani utjecaj na uštede energije za 2020.</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Nije procijenjeno</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color w:val="FF0000"/>
                <w:sz w:val="20"/>
                <w:szCs w:val="20"/>
                <w:lang w:eastAsia="de-DE"/>
              </w:rPr>
            </w:pPr>
            <w:r w:rsidRPr="00361664">
              <w:rPr>
                <w:rFonts w:asciiTheme="minorHAnsi" w:hAnsiTheme="minorHAnsi"/>
                <w:sz w:val="20"/>
                <w:szCs w:val="20"/>
                <w:lang w:eastAsia="de-DE"/>
              </w:rPr>
              <w:t>Pretpostavke</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w:t>
            </w:r>
          </w:p>
        </w:tc>
      </w:tr>
      <w:tr w:rsidR="00F60742" w:rsidRPr="00361664" w:rsidTr="00F607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spacing w:after="0" w:line="240" w:lineRule="auto"/>
              <w:jc w:val="both"/>
              <w:rPr>
                <w:sz w:val="20"/>
                <w:szCs w:val="20"/>
                <w:lang w:eastAsia="de-DE"/>
              </w:rPr>
            </w:pPr>
          </w:p>
        </w:tc>
        <w:tc>
          <w:tcPr>
            <w:tcW w:w="842" w:type="pct"/>
            <w:tcBorders>
              <w:top w:val="single" w:sz="4" w:space="0" w:color="auto"/>
              <w:left w:val="single" w:sz="4" w:space="0" w:color="auto"/>
              <w:bottom w:val="single" w:sz="4" w:space="0" w:color="auto"/>
              <w:right w:val="single" w:sz="4" w:space="0" w:color="auto"/>
            </w:tcBorders>
            <w:hideMark/>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Preklapanja, efekt množenja, sinergija</w:t>
            </w:r>
          </w:p>
        </w:tc>
        <w:tc>
          <w:tcPr>
            <w:tcW w:w="3487" w:type="pct"/>
            <w:tcBorders>
              <w:top w:val="single" w:sz="4" w:space="0" w:color="auto"/>
              <w:left w:val="single" w:sz="4" w:space="0" w:color="auto"/>
              <w:bottom w:val="single" w:sz="4" w:space="0" w:color="auto"/>
              <w:right w:val="single" w:sz="4" w:space="0" w:color="auto"/>
            </w:tcBorders>
            <w:vAlign w:val="center"/>
            <w:hideMark/>
          </w:tcPr>
          <w:p w:rsidR="00F60742" w:rsidRPr="00361664" w:rsidRDefault="00F60742" w:rsidP="00F60742">
            <w:pPr>
              <w:tabs>
                <w:tab w:val="left" w:pos="1440"/>
                <w:tab w:val="left" w:pos="5040"/>
              </w:tabs>
              <w:spacing w:after="0" w:line="240" w:lineRule="auto"/>
              <w:jc w:val="both"/>
              <w:rPr>
                <w:sz w:val="20"/>
                <w:szCs w:val="20"/>
              </w:rPr>
            </w:pPr>
            <w:r w:rsidRPr="00361664">
              <w:rPr>
                <w:sz w:val="20"/>
                <w:szCs w:val="20"/>
              </w:rPr>
              <w:t>/</w:t>
            </w:r>
          </w:p>
        </w:tc>
      </w:tr>
    </w:tbl>
    <w:p w:rsidR="00651BCA" w:rsidRPr="00361664" w:rsidRDefault="00651BCA" w:rsidP="00651BCA">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481"/>
        <w:gridCol w:w="6536"/>
      </w:tblGrid>
      <w:tr w:rsidR="00F60742" w:rsidRPr="00361664" w:rsidTr="00F60742">
        <w:trPr>
          <w:trHeight w:val="20"/>
        </w:trPr>
        <w:tc>
          <w:tcPr>
            <w:tcW w:w="1483" w:type="pct"/>
            <w:gridSpan w:val="2"/>
            <w:tcBorders>
              <w:top w:val="single" w:sz="4" w:space="0" w:color="auto"/>
              <w:left w:val="single" w:sz="4" w:space="0" w:color="auto"/>
              <w:bottom w:val="single" w:sz="4" w:space="0" w:color="auto"/>
              <w:right w:val="single" w:sz="4" w:space="0" w:color="auto"/>
            </w:tcBorders>
            <w:shd w:val="clear" w:color="auto" w:fill="CCFFCC"/>
          </w:tcPr>
          <w:p w:rsidR="00F60742" w:rsidRPr="00361664" w:rsidRDefault="00F60742" w:rsidP="00F60742">
            <w:p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 xml:space="preserve">Naziv mjere </w:t>
            </w:r>
          </w:p>
        </w:tc>
        <w:tc>
          <w:tcPr>
            <w:tcW w:w="3517" w:type="pct"/>
            <w:tcBorders>
              <w:top w:val="single" w:sz="4" w:space="0" w:color="auto"/>
              <w:left w:val="single" w:sz="4" w:space="0" w:color="auto"/>
              <w:bottom w:val="single" w:sz="4" w:space="0" w:color="auto"/>
              <w:right w:val="single" w:sz="4" w:space="0" w:color="auto"/>
            </w:tcBorders>
            <w:shd w:val="clear" w:color="auto" w:fill="CCFFCC"/>
          </w:tcPr>
          <w:p w:rsidR="00F60742" w:rsidRPr="00361664" w:rsidRDefault="00F60742" w:rsidP="00F60742">
            <w:p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Promicanje integriranog i inteligentnog prometa i razvoj infrastrukture za alternativna goriva na lokalnoj i područnoj razini</w:t>
            </w:r>
          </w:p>
        </w:tc>
      </w:tr>
      <w:tr w:rsidR="00F60742" w:rsidRPr="00361664" w:rsidTr="00F60742">
        <w:trPr>
          <w:trHeight w:val="20"/>
        </w:trPr>
        <w:tc>
          <w:tcPr>
            <w:tcW w:w="1483" w:type="pct"/>
            <w:gridSpan w:val="2"/>
            <w:tcBorders>
              <w:top w:val="single" w:sz="4" w:space="0" w:color="auto"/>
              <w:left w:val="single" w:sz="4" w:space="0" w:color="auto"/>
              <w:bottom w:val="single" w:sz="4" w:space="0" w:color="auto"/>
              <w:right w:val="single" w:sz="4" w:space="0" w:color="auto"/>
            </w:tcBorders>
            <w:shd w:val="clear" w:color="auto" w:fill="CCFFCC"/>
          </w:tcPr>
          <w:p w:rsidR="00F60742" w:rsidRPr="00361664" w:rsidRDefault="00F60742" w:rsidP="00F60742">
            <w:p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Indeks mjere</w:t>
            </w:r>
          </w:p>
        </w:tc>
        <w:tc>
          <w:tcPr>
            <w:tcW w:w="3517" w:type="pct"/>
            <w:tcBorders>
              <w:top w:val="single" w:sz="4" w:space="0" w:color="auto"/>
              <w:left w:val="single" w:sz="4" w:space="0" w:color="auto"/>
              <w:bottom w:val="single" w:sz="4" w:space="0" w:color="auto"/>
              <w:right w:val="single" w:sz="4" w:space="0" w:color="auto"/>
            </w:tcBorders>
            <w:shd w:val="clear" w:color="auto" w:fill="CCFFCC"/>
          </w:tcPr>
          <w:p w:rsidR="00F60742" w:rsidRPr="00361664" w:rsidRDefault="00F60742" w:rsidP="00F60742">
            <w:p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T.3</w:t>
            </w:r>
          </w:p>
        </w:tc>
      </w:tr>
      <w:tr w:rsidR="00F60742" w:rsidRPr="00361664" w:rsidTr="00F60742">
        <w:trPr>
          <w:trHeight w:val="20"/>
        </w:trPr>
        <w:tc>
          <w:tcPr>
            <w:tcW w:w="686" w:type="pct"/>
            <w:vMerge w:val="restar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Opis</w:t>
            </w: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Kategorija</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Informacijska i organizacijska mjera, infrastruktura</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Vremenski okvir</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Početak: 2014.</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Kraj: 2030.</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Mjera je spoj mjera T.4 i T.8 iz 3. NAPEnU te nove mjere, uz veće promjene, dopune i poboljšanja.</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Cilj / kratak opis</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Prometne gužve postaju sve veći problem u gradovima, koji značajno utječe na nepotrebno povećanu potrošnju goriva. Stoga je potrebno promovirati održivi razvoj gradskih prometnih sustava i to kroz:</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Optimiranje logistike prijevoza tereta te inteligentno upravljanje javnim parkirnim površinama (ICT tehnologije)</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Uvođenje integriranog prijevoza putnika</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Uvođenje car-sharing sheme u gradovima</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Uvođenje sustava javnih gradskih bicikala i izgradnja pripadajuće biciklističke infrastrukture</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Inteligentno upravljanje u prometu</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Uz mjere promicanja infrastrukture za alternativna goriva na nacionalnoj razini, preporučen je i niz mjera na lokalnoj razini:</w:t>
            </w:r>
          </w:p>
          <w:p w:rsidR="00F60742" w:rsidRPr="00361664" w:rsidRDefault="00F60742" w:rsidP="00F60742">
            <w:pPr>
              <w:numPr>
                <w:ilvl w:val="0"/>
                <w:numId w:val="42"/>
              </w:num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Razvoj infrastrukture za alternativna goriva na lokalnoj i područnoj razini</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Ciljna neposredna potrošnja</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Cestovna vozila</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Ciljna skupina</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Vozači</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Regionalna primjena</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Gradska/Nacionalna</w:t>
            </w:r>
          </w:p>
        </w:tc>
      </w:tr>
      <w:tr w:rsidR="00F60742" w:rsidRPr="00361664" w:rsidTr="00F60742">
        <w:trPr>
          <w:trHeight w:val="20"/>
        </w:trPr>
        <w:tc>
          <w:tcPr>
            <w:tcW w:w="686" w:type="pct"/>
            <w:vMerge w:val="restar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4Informacije o  provedbi</w:t>
            </w: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Popis i opis aktivnosti za provođenje mjere </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Veliki gradovi (s više od 35.000 stanovnika) i sve županije trebaju u svoje Akcijske planove uvrstiti i mjere iz područja promicanja integriranog i inteligentnog prometa. U nastavku su definirane predložene mjere/aktivnosti.</w:t>
            </w:r>
          </w:p>
          <w:p w:rsidR="00F60742" w:rsidRPr="00361664" w:rsidRDefault="00F60742" w:rsidP="00F60742">
            <w:pPr>
              <w:tabs>
                <w:tab w:val="left" w:pos="1440"/>
                <w:tab w:val="left" w:pos="5040"/>
                <w:tab w:val="right" w:pos="8504"/>
              </w:tabs>
              <w:spacing w:after="0" w:line="240" w:lineRule="auto"/>
              <w:ind w:left="720"/>
              <w:jc w:val="both"/>
              <w:rPr>
                <w:rFonts w:asciiTheme="minorHAnsi" w:hAnsiTheme="minorHAnsi"/>
                <w:sz w:val="20"/>
                <w:szCs w:val="20"/>
                <w:lang w:eastAsia="de-DE"/>
              </w:rPr>
            </w:pP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 xml:space="preserve">Optimiranje logistike prijevoza tereta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Optimiranje logistike prijevoza tereta poseban je izazov s obzirom na specifičnosti konfiguracije urbanog terena, lokalne potrebe tržišta i navike opskrbljivača. Kako bi se aktivno doprinijelo povećanju energetske učinkovitosti u procesu urbane logistike prijevoza tereta, mjerom će se prvenstveno definirati smjernice za povećanje učinkovitosti u prijevozu tereta na osnovu kojih će se krenuti sa provedbom edukacije operatora </w:t>
            </w:r>
            <w:r w:rsidR="00103DCB" w:rsidRPr="00361664">
              <w:rPr>
                <w:rFonts w:asciiTheme="minorHAnsi" w:hAnsiTheme="minorHAnsi"/>
                <w:sz w:val="20"/>
                <w:szCs w:val="20"/>
                <w:lang w:eastAsia="de-DE"/>
              </w:rPr>
              <w:t xml:space="preserve">flota </w:t>
            </w:r>
            <w:r w:rsidRPr="00361664">
              <w:rPr>
                <w:rFonts w:asciiTheme="minorHAnsi" w:hAnsiTheme="minorHAnsi"/>
                <w:sz w:val="20"/>
                <w:szCs w:val="20"/>
                <w:lang w:eastAsia="de-DE"/>
              </w:rPr>
              <w:t>dostavnih vozila. Gradovi pripremaju smjernice za prijevoznike sa svojim područja kojima se optimira vrijeme ulaska teretnih i dostavnih vozila u gradska središta. Na ovaj način poboljšava se propusnost i smanjuju gužve posebno u vršim jutarnjim terminima opterećenja.</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FZOEU će osigurati sredstva u obliku subvencije (iz alokacije sredstava dobivenih od emisijskih jedinica) za 10-ak većih gradova RH. Gradovi mogu koristiti ova sredstva za izradu stručnih analiza u svrhu optimiziranje gradske logistike prijevoza tereta.</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Uvođenje integriranog i održivog prijevoza putnika</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Potrebno je motivirati  JLP(R)S (s naglaskom na velike gradove) da potiču putnike u korištenju javnog gradskog prijevoza te u kombiniranju različitih sustava/modaliteta javnog gradskog prijevoza. Cilj je da čim veći broj putnika gradskog i prigradskog prometa prelazi s osobnih automobila na kombinirane sustave javnog gradskog prijevoza. Nacionalno koordinacijsko tijelo za energetske učinkovitosti potiče gradove da pri izradi i provedbi planskih dokumenata energetske učinkovitosti promoviraju i aktivno se posvećuju </w:t>
            </w:r>
            <w:r w:rsidR="00D0277A" w:rsidRPr="00361664">
              <w:rPr>
                <w:rFonts w:asciiTheme="minorHAnsi" w:hAnsiTheme="minorHAnsi"/>
                <w:sz w:val="20"/>
                <w:szCs w:val="20"/>
                <w:lang w:eastAsia="de-DE"/>
              </w:rPr>
              <w:t>rješavanju</w:t>
            </w:r>
            <w:r w:rsidRPr="00361664">
              <w:rPr>
                <w:rFonts w:asciiTheme="minorHAnsi" w:hAnsiTheme="minorHAnsi"/>
                <w:sz w:val="20"/>
                <w:szCs w:val="20"/>
                <w:lang w:eastAsia="de-DE"/>
              </w:rPr>
              <w:t xml:space="preserve"> ove problematike.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Kroz Godišnje planove, Akcijske planove i izvješća gradovi samostalno razvijaju i </w:t>
            </w:r>
            <w:r w:rsidR="00D0277A" w:rsidRPr="00361664">
              <w:rPr>
                <w:rFonts w:asciiTheme="minorHAnsi" w:hAnsiTheme="minorHAnsi"/>
                <w:sz w:val="20"/>
                <w:szCs w:val="20"/>
                <w:lang w:eastAsia="de-DE"/>
              </w:rPr>
              <w:t>unaprjeđuju</w:t>
            </w:r>
            <w:r w:rsidRPr="00361664">
              <w:rPr>
                <w:rFonts w:asciiTheme="minorHAnsi" w:hAnsiTheme="minorHAnsi"/>
                <w:sz w:val="20"/>
                <w:szCs w:val="20"/>
                <w:lang w:eastAsia="de-DE"/>
              </w:rPr>
              <w:t xml:space="preserve"> javne gradske prometne servise i infrastrukturu u suradnji s NKT-om.</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Primjeri aktivnosti u svrhu integriranog i održivog prijevoza putnika:</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Uvođenje opcije kupovine jedne povoljnije karte koja će se moći koristiti za sav javni gradski prijevoz i ostale gradske servise prijevoza putnika</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Omogućiti informacije o statusu dostupnih servisa javnog gradskog prometa putem ICT tehnologija i/ili na „mjestu korištenja“ (stajališta autobusa, tramvaja, parkirališta za bicikle i sl.)</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Daljnji razvoj gradske i prigradske mreže dostupne širem krugu korisnika (autobusne, tramvajske, željezničke linije i biciklističke staze i osigurana parkirališta za bicikle)</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Ostale mjere koje doprinose motivaciji korisnika za prelazak sa osobnih vozila na sustave javnog gradskog prometa (</w:t>
            </w:r>
            <w:r w:rsidR="00D0277A" w:rsidRPr="00361664">
              <w:rPr>
                <w:rFonts w:asciiTheme="minorHAnsi" w:hAnsiTheme="minorHAnsi"/>
                <w:sz w:val="20"/>
                <w:szCs w:val="20"/>
                <w:lang w:eastAsia="de-DE"/>
              </w:rPr>
              <w:t>omogućuju</w:t>
            </w:r>
            <w:r w:rsidRPr="00361664">
              <w:rPr>
                <w:rFonts w:asciiTheme="minorHAnsi" w:hAnsiTheme="minorHAnsi"/>
                <w:sz w:val="20"/>
                <w:szCs w:val="20"/>
                <w:lang w:eastAsia="de-DE"/>
              </w:rPr>
              <w:t xml:space="preserve"> jeftinije, brže, lakše i efikasniji javni gradski prijevoz)</w:t>
            </w:r>
          </w:p>
          <w:p w:rsidR="00F60742" w:rsidRPr="00361664" w:rsidRDefault="00F60742" w:rsidP="00F60742">
            <w:pPr>
              <w:tabs>
                <w:tab w:val="left" w:pos="897"/>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Gradovi mogu za pojedine projekte tražiti/ugovarati direktnu pomoć od FZOEU ukoliko se to pokaže opravdano (kroz dokazivu uštedu energije i CO2). FZEOU će za ovu svrhu osigurati oko 1.000.000 kn ukupno za razdoblje 4. NAPEnU. </w:t>
            </w:r>
          </w:p>
          <w:p w:rsidR="00F60742" w:rsidRPr="00361664" w:rsidRDefault="00F60742" w:rsidP="00F60742">
            <w:pPr>
              <w:tabs>
                <w:tab w:val="left" w:pos="897"/>
                <w:tab w:val="left" w:pos="5040"/>
                <w:tab w:val="right" w:pos="8504"/>
              </w:tabs>
              <w:spacing w:after="0" w:line="240" w:lineRule="auto"/>
              <w:jc w:val="both"/>
              <w:rPr>
                <w:rFonts w:asciiTheme="minorHAnsi" w:hAnsiTheme="minorHAnsi"/>
                <w:sz w:val="20"/>
                <w:szCs w:val="20"/>
                <w:lang w:eastAsia="de-DE"/>
              </w:rPr>
            </w:pP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Inteligentno upravljanje u prometu</w:t>
            </w:r>
          </w:p>
          <w:p w:rsidR="00F60742" w:rsidRPr="00361664" w:rsidRDefault="00F60742" w:rsidP="00F60742">
            <w:pPr>
              <w:tabs>
                <w:tab w:val="left" w:pos="1440"/>
                <w:tab w:val="left" w:pos="5040"/>
                <w:tab w:val="right" w:pos="8504"/>
              </w:tabs>
              <w:spacing w:after="0" w:line="240" w:lineRule="auto"/>
              <w:jc w:val="both"/>
              <w:rPr>
                <w:rFonts w:asciiTheme="minorHAnsi" w:hAnsiTheme="minorHAnsi"/>
                <w:color w:val="000000" w:themeColor="text1"/>
                <w:sz w:val="20"/>
                <w:szCs w:val="20"/>
                <w:lang w:eastAsia="de-DE"/>
              </w:rPr>
            </w:pPr>
            <w:r w:rsidRPr="00361664">
              <w:rPr>
                <w:rFonts w:asciiTheme="minorHAnsi" w:hAnsiTheme="minorHAnsi"/>
                <w:color w:val="000000" w:themeColor="text1"/>
                <w:sz w:val="20"/>
                <w:szCs w:val="20"/>
                <w:lang w:eastAsia="de-DE"/>
              </w:rPr>
              <w:t>Uvođenje naprednih tehnologija u regulaciji i upravljanju prometom doprinosi smanjenju primarne potrošnje energije, kao i emisije ugljičnog dioksida i ostalih štetnih plinova. Neke od predloženih aktivnosti uvođenja inteligentnog upravljanja u prometu uključuju:</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color w:val="000000" w:themeColor="text1"/>
                <w:sz w:val="20"/>
                <w:szCs w:val="20"/>
                <w:lang w:eastAsia="de-DE"/>
              </w:rPr>
            </w:pPr>
            <w:r w:rsidRPr="00361664">
              <w:rPr>
                <w:rFonts w:asciiTheme="minorHAnsi" w:hAnsiTheme="minorHAnsi"/>
                <w:color w:val="000000" w:themeColor="text1"/>
                <w:sz w:val="20"/>
                <w:szCs w:val="20"/>
                <w:lang w:eastAsia="de-DE"/>
              </w:rPr>
              <w:t>Nadogradnju, prilagodbu i zamjenu zastarjelih signalnih uređaja i opreme,</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color w:val="000000" w:themeColor="text1"/>
                <w:sz w:val="20"/>
                <w:szCs w:val="20"/>
                <w:lang w:eastAsia="de-DE"/>
              </w:rPr>
            </w:pPr>
            <w:r w:rsidRPr="00361664">
              <w:rPr>
                <w:rFonts w:asciiTheme="minorHAnsi" w:hAnsiTheme="minorHAnsi"/>
                <w:color w:val="000000" w:themeColor="text1"/>
                <w:sz w:val="20"/>
                <w:szCs w:val="20"/>
                <w:lang w:eastAsia="de-DE"/>
              </w:rPr>
              <w:t>Ugradnju napredne prometne opreme i inteligentnih semafora opremljenih autonomnim sustavom napajanja iz obnovljivih izvora (sunce, vjetar),</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color w:val="000000" w:themeColor="text1"/>
                <w:sz w:val="20"/>
                <w:szCs w:val="20"/>
                <w:lang w:eastAsia="de-DE"/>
              </w:rPr>
            </w:pPr>
            <w:r w:rsidRPr="00361664">
              <w:rPr>
                <w:rFonts w:asciiTheme="minorHAnsi" w:hAnsiTheme="minorHAnsi"/>
                <w:color w:val="000000" w:themeColor="text1"/>
                <w:sz w:val="20"/>
                <w:szCs w:val="20"/>
                <w:lang w:eastAsia="de-DE"/>
              </w:rPr>
              <w:t>Izgradnja i opremanje središnjih operativnih centara za nadzor i upravljanje raskrižjima s postavljenim semaforima,</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color w:val="000000" w:themeColor="text1"/>
                <w:sz w:val="20"/>
                <w:szCs w:val="20"/>
                <w:lang w:eastAsia="de-DE"/>
              </w:rPr>
            </w:pPr>
            <w:r w:rsidRPr="00361664">
              <w:rPr>
                <w:rFonts w:asciiTheme="minorHAnsi" w:hAnsiTheme="minorHAnsi"/>
                <w:color w:val="000000" w:themeColor="text1"/>
                <w:sz w:val="20"/>
                <w:szCs w:val="20"/>
                <w:lang w:eastAsia="de-DE"/>
              </w:rPr>
              <w:t>Povezivanje s postojećim i budućim sustavima napredne regulacije križanja opremljenih inteligentnim semaforima u gradu (sustavi napredne regulacije križanja opremljenih inteligentnim semaforima).</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color w:val="000000" w:themeColor="text1"/>
                <w:sz w:val="20"/>
                <w:szCs w:val="20"/>
                <w:lang w:eastAsia="de-DE"/>
              </w:rPr>
            </w:pPr>
            <w:r w:rsidRPr="00361664">
              <w:rPr>
                <w:rFonts w:asciiTheme="minorHAnsi" w:hAnsiTheme="minorHAnsi"/>
                <w:sz w:val="20"/>
                <w:szCs w:val="20"/>
                <w:lang w:eastAsia="de-DE"/>
              </w:rPr>
              <w:lastRenderedPageBreak/>
              <w:t>inteligentno upravljanje javnim parkirnim površinama (ICT tehnologije)uspostava jednostavnog praćenja trenutne raspoloživosti parkirnih mjesta na javnim parkirnim površinama i garažama.</w:t>
            </w:r>
          </w:p>
          <w:p w:rsidR="00F60742" w:rsidRPr="00361664" w:rsidRDefault="00F60742" w:rsidP="00F60742">
            <w:pPr>
              <w:tabs>
                <w:tab w:val="right" w:pos="8504"/>
              </w:tabs>
              <w:spacing w:after="0" w:line="240" w:lineRule="auto"/>
              <w:jc w:val="both"/>
              <w:rPr>
                <w:rFonts w:cs="Calibri"/>
                <w:color w:val="000000"/>
                <w:sz w:val="20"/>
                <w:szCs w:val="20"/>
                <w:lang w:eastAsia="de-DE"/>
              </w:rPr>
            </w:pPr>
            <w:r w:rsidRPr="00361664">
              <w:rPr>
                <w:rFonts w:cs="Calibri"/>
                <w:color w:val="000000"/>
                <w:sz w:val="20"/>
                <w:szCs w:val="20"/>
                <w:lang w:eastAsia="de-DE"/>
              </w:rPr>
              <w:t>Implementacija ove mjere će rezultirati povećanjem protočnosti individualnog prometa, ubrzanjem javnog gradskog prometa, smanjenjem potrošnje goriva i pripadajućih emisija CO</w:t>
            </w:r>
            <w:r w:rsidRPr="00361664">
              <w:rPr>
                <w:rFonts w:cs="Calibri"/>
                <w:color w:val="000000"/>
                <w:sz w:val="20"/>
                <w:szCs w:val="20"/>
                <w:vertAlign w:val="subscript"/>
                <w:lang w:eastAsia="de-DE"/>
              </w:rPr>
              <w:t>2</w:t>
            </w:r>
            <w:r w:rsidRPr="00361664">
              <w:rPr>
                <w:rFonts w:cs="Calibri"/>
                <w:color w:val="000000"/>
                <w:sz w:val="20"/>
                <w:szCs w:val="20"/>
                <w:lang w:eastAsia="de-DE"/>
              </w:rPr>
              <w:t xml:space="preserve"> te će se znatno rasteretiti prometnice. Na ovaj način može se značajno smanjiti potrošnja goriva primjerice ugrađivanjem vizualnog indikatora trajanja faze crvenog svijetla podignut će se svijest vozača o mogućnostima donošenja odluke vezane uz gašenje motora tijekom čekanja u koloni ispred raskrižja, dok će izgradnjom i opremanjem operativnog centra za nadzor </w:t>
            </w:r>
            <w:r w:rsidRPr="00361664">
              <w:rPr>
                <w:rFonts w:cs="Calibri"/>
                <w:sz w:val="20"/>
                <w:szCs w:val="20"/>
                <w:lang w:eastAsia="de-DE"/>
              </w:rPr>
              <w:t xml:space="preserve">odnosno automatiziranim i inteligentnim </w:t>
            </w:r>
            <w:r w:rsidRPr="00361664">
              <w:rPr>
                <w:rFonts w:cs="Calibri"/>
                <w:color w:val="000000"/>
                <w:sz w:val="20"/>
                <w:szCs w:val="20"/>
                <w:lang w:eastAsia="de-DE"/>
              </w:rPr>
              <w:t>upravljanje</w:t>
            </w:r>
            <w:r w:rsidRPr="00361664">
              <w:rPr>
                <w:rFonts w:cs="Calibri"/>
                <w:sz w:val="20"/>
                <w:szCs w:val="20"/>
                <w:lang w:eastAsia="de-DE"/>
              </w:rPr>
              <w:t>m prometom</w:t>
            </w:r>
            <w:r w:rsidRPr="00361664">
              <w:rPr>
                <w:rFonts w:cs="Calibri"/>
                <w:color w:val="000000"/>
                <w:sz w:val="20"/>
                <w:szCs w:val="20"/>
                <w:lang w:eastAsia="de-DE"/>
              </w:rPr>
              <w:t xml:space="preserve"> u slučaju prometne nezgode</w:t>
            </w:r>
            <w:r w:rsidRPr="00361664">
              <w:rPr>
                <w:rFonts w:cs="Calibri"/>
                <w:sz w:val="20"/>
                <w:szCs w:val="20"/>
                <w:lang w:eastAsia="de-DE"/>
              </w:rPr>
              <w:t xml:space="preserve"> i dnevnih zahtjeva</w:t>
            </w:r>
            <w:r w:rsidRPr="00361664">
              <w:rPr>
                <w:rFonts w:cs="Calibri"/>
                <w:color w:val="000000"/>
                <w:sz w:val="20"/>
                <w:szCs w:val="20"/>
                <w:lang w:eastAsia="de-DE"/>
              </w:rPr>
              <w:t xml:space="preserve"> lako će se moći preusmjeriti promet te tako smanjiti gužve i potrošnja. </w:t>
            </w:r>
          </w:p>
          <w:p w:rsidR="00F60742" w:rsidRPr="00361664" w:rsidRDefault="00F60742" w:rsidP="00F60742">
            <w:pPr>
              <w:tabs>
                <w:tab w:val="left" w:pos="1440"/>
                <w:tab w:val="left" w:pos="5040"/>
                <w:tab w:val="right" w:pos="8504"/>
              </w:tabs>
              <w:spacing w:after="0" w:line="240" w:lineRule="auto"/>
              <w:ind w:left="360"/>
              <w:jc w:val="both"/>
              <w:rPr>
                <w:rFonts w:asciiTheme="minorHAnsi" w:hAnsiTheme="minorHAnsi"/>
                <w:sz w:val="20"/>
                <w:szCs w:val="20"/>
                <w:lang w:eastAsia="de-DE"/>
              </w:rPr>
            </w:pP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 xml:space="preserve">Uvođenje Car Sharing sheme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Iskustvo DČ EU pokazalo je da jedno vozilo u Car Sharing shemi zamjenjuje 4-8 normalnih(osobnih) vozila na prometnicama. Za potrebe realizacije Car Sharing sheme, kao jedne od mjera za povećanje energetske učinkovitosti u prometu. Predlaže se sukcesivno uvođenje do 100 električnih i/ili plug-in hibridnih vozila godišnje u shemu u najvećim gradovima zaključno do 2020. godine. FZOEU će sufinancirati Car Sharing sheme sa isključivo električnim i plug-in hibridnim vozilima. Ova mjera ima i posredan utjecaj na okoliš i: manji broj vozila na prometnicama, manje opterećenje na parkiralištima u središtima gradova, smanjenje onečišćujućih tvari u okoliš, smanjenje potrošnje goriva (posebno fosilnih).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 xml:space="preserve">Uvođenje sustava javnih gradskih bicikala i nabava biciklističke parkirne infrastrukture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Cilj uvođenja sustava javnih gradskih bicikala je građanima urbanih sredina pružiti alternativno rješenje mobilnosti, koje će direktno pozitivno utjecati na izbjegavanje potrošnje fosilnih goriva, smanjenje ekološkog opterećenja okoliša, smanjenje prometnog opterećenja kao i sveukupnom povećanju kvalitete života građana kroz povećanu fizičku aktivnost. U proteklom razdoblju uspostavljena je infrastruktura sustava javnih gradskih bicikala u 10 gradova u RH. Ukupno je dostupno 283 bicikala, odnosno 44 terminala u gradovima: Zagreb, Ivanić Grad, Slavonski Brod, Karlovac, Brinje, Gospić, Zadar, Šibenik, Makarska, Lastovo.</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Planirano je da do 2019. godine bude javno dostupno oko 700 bicikala, odnosno oko 100 terminala na području RH. Daljnji razvoj sustava javnih bicikala mora biti na otvaranju i izgradnji dodatnih terminala/lokacija prvenstveno u većim gradovima RH, odnosno prvenstveno kao nadopuna javnom prijevozu, a ne kao dodatna turistička usluga. Ovakvi sustavi su najiskoristiviji i imaju najveći učinak na potrošnju i smanjenje onečišćenja upravo u većim urbanim mjestima gdje zamjenjuju osobna vozila i nadopunjuju ostale sustave javnog prijevoza. Potrebno je uvesti oko 400 novih javnih gradskih bicikala na oko 70 novih lokacija u vremenskom razdoblju 4. NAPEnU.</w:t>
            </w:r>
          </w:p>
          <w:p w:rsidR="00F60742" w:rsidRPr="00361664" w:rsidRDefault="00F60742" w:rsidP="00F60742">
            <w:pPr>
              <w:tabs>
                <w:tab w:val="right" w:pos="8504"/>
              </w:tabs>
              <w:spacing w:after="0" w:line="240" w:lineRule="auto"/>
              <w:jc w:val="both"/>
              <w:rPr>
                <w:rFonts w:eastAsiaTheme="minorHAnsi" w:cs="Calibri"/>
                <w:color w:val="000000"/>
                <w:sz w:val="20"/>
                <w:szCs w:val="20"/>
                <w:lang w:eastAsia="de-DE"/>
              </w:rPr>
            </w:pPr>
          </w:p>
          <w:p w:rsidR="00F60742" w:rsidRPr="00361664" w:rsidRDefault="00F60742" w:rsidP="00F60742">
            <w:pPr>
              <w:numPr>
                <w:ilvl w:val="0"/>
                <w:numId w:val="40"/>
              </w:numPr>
              <w:tabs>
                <w:tab w:val="left" w:pos="897"/>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Razvoj infrastrukture za alternativna goriva na lokalnoj i područnoj razini</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Potrebno je potaknuti jedinice lokalne i regionalne samouprave na uključivanje mjera za razvoj infrastrukture za alternativna goriva u svoje </w:t>
            </w:r>
            <w:r w:rsidRPr="00361664">
              <w:rPr>
                <w:sz w:val="20"/>
                <w:szCs w:val="20"/>
                <w:lang w:eastAsia="de-DE"/>
              </w:rPr>
              <w:lastRenderedPageBreak/>
              <w:t>Akcijske i Godišnje planove energetske učinkovitosti.</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sz w:val="20"/>
                <w:szCs w:val="20"/>
                <w:lang w:eastAsia="de-DE"/>
              </w:rPr>
              <w:t>Neke od predloženih aktivnosti za razvoj infrastrukture</w:t>
            </w:r>
            <w:r w:rsidRPr="00361664">
              <w:rPr>
                <w:rFonts w:asciiTheme="minorHAnsi" w:hAnsiTheme="minorHAnsi"/>
                <w:sz w:val="20"/>
                <w:szCs w:val="20"/>
                <w:lang w:eastAsia="de-DE"/>
              </w:rPr>
              <w:t xml:space="preserve"> za alternativna goriva na lokalnoj i područnoj razini:</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Parkirna mjesta</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Potrebno je uvesti mogućnost povlaštenog parkiranja za vozila nultih emisija ili ograničavanje pristupa parkirnom mjestu vozilima s motorima na unutarnje izgaranje. Za potrebe provođenja mjere, potrebno će biti definirati smjernice na osnovu kojih bi se mogle donositi odluke o izuzećima ili popustima za korištenje usluge javnog parkirališta za ekološki prihvatljivija vozila. </w:t>
            </w:r>
          </w:p>
          <w:p w:rsidR="00F60742" w:rsidRPr="00361664" w:rsidRDefault="00F60742" w:rsidP="00F60742">
            <w:pPr>
              <w:numPr>
                <w:ilvl w:val="0"/>
                <w:numId w:val="41"/>
              </w:numPr>
              <w:tabs>
                <w:tab w:val="left" w:pos="897"/>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Zone čistog prometa</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Slično kao kod uvođenja povlaštenog parkinga za vozila nultih emisija, predlaže se uvođenje zabrane prometa svih vozila osim onih nultih emisija kroz centralne dijelove gradova, a u dijelovima gradova gdje je sada uvedena zabrana svim vozilima osim vozila javnog pometa dozvoliti prometovanje vozilima nultih emisija. </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Financijska sredstva i izvori financiranja</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JLP(R)S - Proračuni JLP(R)S, EU fondovi – ovisno o planovima i projektima JLP(R)S-a</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p>
          <w:p w:rsidR="00F60742" w:rsidRPr="00361664" w:rsidRDefault="00F60742" w:rsidP="00606A3C">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FZOEU </w:t>
            </w:r>
            <w:r w:rsidRPr="00361664">
              <w:rPr>
                <w:rFonts w:ascii="Arial" w:hAnsi="Arial"/>
                <w:sz w:val="20"/>
                <w:szCs w:val="20"/>
                <w:lang w:eastAsia="de-DE"/>
              </w:rPr>
              <w:t xml:space="preserve">- </w:t>
            </w:r>
            <w:r w:rsidRPr="00361664">
              <w:rPr>
                <w:rFonts w:asciiTheme="minorHAnsi" w:hAnsiTheme="minorHAnsi"/>
                <w:sz w:val="20"/>
                <w:szCs w:val="20"/>
                <w:lang w:eastAsia="de-DE"/>
              </w:rPr>
              <w:t>financiranje sredstvima stečenim od prodaje emisijskih jedinica putem dražbe na sustavu trgovanja emisijskim jedinicama EU-a temeljem Zakona o zaštiti zraka (</w:t>
            </w:r>
            <w:r w:rsidR="00C44613" w:rsidRPr="00361664">
              <w:rPr>
                <w:rFonts w:asciiTheme="minorHAnsi" w:hAnsiTheme="minorHAnsi"/>
                <w:sz w:val="20"/>
                <w:szCs w:val="20"/>
                <w:lang w:eastAsia="de-DE"/>
              </w:rPr>
              <w:t>NN 130/11, 47/14, 61/17</w:t>
            </w:r>
            <w:r w:rsidR="00606A3C" w:rsidRPr="00361664">
              <w:rPr>
                <w:rFonts w:asciiTheme="minorHAnsi" w:hAnsiTheme="minorHAnsi"/>
                <w:sz w:val="20"/>
                <w:szCs w:val="20"/>
                <w:lang w:eastAsia="de-DE"/>
              </w:rPr>
              <w:t>) u ukupnom iznosu</w:t>
            </w:r>
            <w:r w:rsidRPr="00361664">
              <w:rPr>
                <w:rFonts w:asciiTheme="minorHAnsi" w:hAnsiTheme="minorHAnsi"/>
                <w:sz w:val="20"/>
                <w:szCs w:val="20"/>
                <w:lang w:eastAsia="de-DE"/>
              </w:rPr>
              <w:t xml:space="preserve"> </w:t>
            </w:r>
            <w:r w:rsidR="00606A3C" w:rsidRPr="00361664">
              <w:rPr>
                <w:sz w:val="20"/>
              </w:rPr>
              <w:t>21.242.900,00</w:t>
            </w:r>
            <w:r w:rsidR="00A03F6F" w:rsidRPr="00361664">
              <w:rPr>
                <w:sz w:val="20"/>
              </w:rPr>
              <w:t xml:space="preserve"> kuna za razdoblje</w:t>
            </w:r>
            <w:r w:rsidR="00A03F6F" w:rsidRPr="00361664">
              <w:rPr>
                <w:rFonts w:asciiTheme="minorHAnsi" w:hAnsiTheme="minorHAnsi"/>
                <w:sz w:val="20"/>
              </w:rPr>
              <w:t xml:space="preserve"> do kraja 2019. godine</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Izvršno  tijelo</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FZOEU (sufinanciranje i raspisivanje natječaja)</w:t>
            </w:r>
            <w:r w:rsidRPr="00361664">
              <w:rPr>
                <w:rFonts w:asciiTheme="minorHAnsi" w:hAnsiTheme="minorHAnsi"/>
                <w:sz w:val="20"/>
                <w:szCs w:val="20"/>
                <w:lang w:eastAsia="de-DE"/>
              </w:rPr>
              <w:br/>
              <w:t>JLP(R)S – planiranje kroz godišnje i akcijske planove i provedba</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Tijela za praćenje </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NKT u koordinaciji s MMPI </w:t>
            </w:r>
          </w:p>
        </w:tc>
      </w:tr>
      <w:tr w:rsidR="00F60742" w:rsidRPr="00361664" w:rsidTr="00F60742">
        <w:trPr>
          <w:trHeight w:val="20"/>
        </w:trPr>
        <w:tc>
          <w:tcPr>
            <w:tcW w:w="686" w:type="pct"/>
            <w:vMerge w:val="restar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color w:val="FF0000"/>
                <w:sz w:val="20"/>
                <w:szCs w:val="20"/>
                <w:lang w:eastAsia="de-DE"/>
              </w:rPr>
            </w:pPr>
            <w:r w:rsidRPr="00361664">
              <w:rPr>
                <w:rFonts w:asciiTheme="minorHAnsi" w:hAnsiTheme="minorHAnsi"/>
                <w:sz w:val="20"/>
                <w:szCs w:val="20"/>
                <w:lang w:eastAsia="de-DE"/>
              </w:rPr>
              <w:t>Uštede energije</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Metoda praćenja / mjerenja ušteda energije</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Učinci ove mjere evidentirat će se zasebno po projektima, </w:t>
            </w:r>
            <w:r w:rsidR="00D0277A" w:rsidRPr="00361664">
              <w:rPr>
                <w:rFonts w:asciiTheme="minorHAnsi" w:hAnsiTheme="minorHAnsi"/>
                <w:sz w:val="20"/>
                <w:szCs w:val="20"/>
                <w:lang w:eastAsia="de-DE"/>
              </w:rPr>
              <w:t>propisanom</w:t>
            </w:r>
            <w:r w:rsidRPr="00361664">
              <w:rPr>
                <w:rFonts w:asciiTheme="minorHAnsi" w:hAnsiTheme="minorHAnsi"/>
                <w:sz w:val="20"/>
                <w:szCs w:val="20"/>
                <w:lang w:eastAsia="de-DE"/>
              </w:rPr>
              <w:t xml:space="preserve"> TD metodologijom, uz eventualnu nadopunu/razradu nove BU metodologije</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color w:val="FF0000"/>
                <w:sz w:val="20"/>
                <w:szCs w:val="20"/>
                <w:lang w:eastAsia="de-DE"/>
              </w:rPr>
            </w:pPr>
            <w:r w:rsidRPr="00361664">
              <w:rPr>
                <w:rFonts w:asciiTheme="minorHAnsi" w:hAnsiTheme="minorHAnsi"/>
                <w:sz w:val="20"/>
                <w:szCs w:val="20"/>
                <w:lang w:eastAsia="de-DE"/>
              </w:rPr>
              <w:t>Očekivane uštede energije do kraja 2019.</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Inteligentno upravljanje u prometu: 201 TJ</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Uvođenje Car Sharing sheme: 9,3 TJ</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Uvođenje sustava javnih gradskih bicikala i nabava biciklističke parkirne infrastrukture: 0,5 TJ</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Očekivane uštede energije do kraja 2020.</w:t>
            </w:r>
          </w:p>
        </w:tc>
        <w:tc>
          <w:tcPr>
            <w:tcW w:w="351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Inteligentno upravljanje u prometu: 402 TJ</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Uvođenje Car Sharing sheme:  12,4 TJ</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Uvođenje sustava javnih gradskih bicikala i nabava biciklističke parkirne infrastrukture: 0,7 TJ</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color w:val="FF0000"/>
                <w:sz w:val="20"/>
                <w:szCs w:val="20"/>
                <w:lang w:eastAsia="de-DE"/>
              </w:rPr>
            </w:pPr>
            <w:r w:rsidRPr="00361664">
              <w:rPr>
                <w:rFonts w:asciiTheme="minorHAnsi" w:hAnsiTheme="minorHAnsi"/>
                <w:sz w:val="20"/>
                <w:szCs w:val="20"/>
                <w:lang w:eastAsia="de-DE"/>
              </w:rPr>
              <w:t>Pretpostavke</w:t>
            </w:r>
          </w:p>
        </w:tc>
        <w:tc>
          <w:tcPr>
            <w:tcW w:w="3517" w:type="pct"/>
            <w:vAlign w:val="center"/>
          </w:tcPr>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 xml:space="preserve">Optimiranje logistike prijevoza tereta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Nije procijenjeno.</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Uvođenje integriranog i održivog prijevoza putnika</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Nije procijenjeno.</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Inteligentno upravljanje u prometu</w:t>
            </w:r>
          </w:p>
          <w:p w:rsidR="00F60742" w:rsidRPr="00361664" w:rsidRDefault="00F60742" w:rsidP="00F60742">
            <w:pPr>
              <w:tabs>
                <w:tab w:val="left" w:pos="1440"/>
                <w:tab w:val="left" w:pos="5040"/>
                <w:tab w:val="right" w:pos="8504"/>
              </w:tabs>
              <w:spacing w:after="0" w:line="240" w:lineRule="auto"/>
              <w:jc w:val="both"/>
              <w:rPr>
                <w:rFonts w:asciiTheme="minorHAnsi" w:hAnsiTheme="minorHAnsi"/>
                <w:color w:val="000000" w:themeColor="text1"/>
                <w:sz w:val="20"/>
                <w:szCs w:val="20"/>
                <w:lang w:eastAsia="de-DE"/>
              </w:rPr>
            </w:pPr>
            <w:r w:rsidRPr="00361664">
              <w:rPr>
                <w:rFonts w:asciiTheme="minorHAnsi" w:hAnsiTheme="minorHAnsi"/>
                <w:color w:val="000000" w:themeColor="text1"/>
                <w:sz w:val="20"/>
                <w:szCs w:val="20"/>
                <w:lang w:eastAsia="de-DE"/>
              </w:rPr>
              <w:t>Ukupna dnevna potrošnja svih vozila u Hrvatskoj se zbog čekanja na semaforima procjenjuje na oko 160.000 litara. U Republici Hrvatskoj trenutno je oko 1.000 prometnih raskrižja opremljeno semaforima. U prosjeku se po raskrižju dnevno potroši oko 160 litara goriva zbog nepotrebnog čekanja vozila na semaforu. Predlaže se sukcesivna zamjena postojećih semafora instaliranih na 200 raskrižja do 2020. godine, pretpostavljeno je 20 semafora 2017., 30 semafora 2018., 50 semafora 2019. i 100 semafora 2020. godine. U takvim okolnostima, mjerom bi se mogla smanjiti potrošnja goriva na prometnim raskrižjima energetske vrijednosti do 201 TJ u 2019. godini te do 402 TJ u 2020. godini.</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 xml:space="preserve">Uvođenje Car Sharing sheme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 xml:space="preserve">Procjenjuje se da bi se uvođenjem najučinkovitijih vozila u predmetnu shemu </w:t>
            </w:r>
            <w:r w:rsidRPr="00361664">
              <w:rPr>
                <w:rFonts w:asciiTheme="minorHAnsi" w:hAnsiTheme="minorHAnsi"/>
                <w:sz w:val="20"/>
                <w:szCs w:val="20"/>
                <w:lang w:eastAsia="de-DE"/>
              </w:rPr>
              <w:lastRenderedPageBreak/>
              <w:t>mogla postići razlika u iznosu od preko 3 l/100 km u odnosu na postojeća vozila. S druge strane, prosječna godišnja kilometraža po vozilu u Car Sharing shemi se procjenjuje na 30.000 km. Uz navedene pretpostavke, nove godišnje uštede iznosile bi 860 MWh, odnosno ukupno 9,3 TJ u 2019. godini te 12,4 TJ u 2020. godini.</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 xml:space="preserve">Uvođenje sustava javnih gradskih bicikala i nabava biciklističke parkirne infrastrukture </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Do sada se pokazalo da je prosječna dnevna kilometraža jednog bicikla 1,5 km, računajući i period u godini kada zbog zime sustav javnih bicikala nije dostupan. S oko 140 novih bicikala godišnje može se izbjeći oko 76.650 km vožnje automobila godišnje. Uz navedene pretpostavke, nove godišnje uštede iznosile bi 52 MWh, odnosno ukupno 0,5 TJ u 2019. godini i 0,7 TJ u 2020. godini (bez zbrajanja ušteda temeljem ranije provedenih mjera).</w:t>
            </w:r>
          </w:p>
          <w:p w:rsidR="00F60742" w:rsidRPr="00361664" w:rsidRDefault="00F60742" w:rsidP="00F60742">
            <w:pPr>
              <w:numPr>
                <w:ilvl w:val="0"/>
                <w:numId w:val="40"/>
              </w:numPr>
              <w:tabs>
                <w:tab w:val="left" w:pos="1440"/>
                <w:tab w:val="left" w:pos="5040"/>
                <w:tab w:val="right" w:pos="8504"/>
              </w:tabs>
              <w:spacing w:after="0" w:line="240" w:lineRule="auto"/>
              <w:jc w:val="both"/>
              <w:rPr>
                <w:rFonts w:asciiTheme="minorHAnsi" w:hAnsiTheme="minorHAnsi"/>
                <w:b/>
                <w:sz w:val="20"/>
                <w:szCs w:val="20"/>
                <w:lang w:eastAsia="de-DE"/>
              </w:rPr>
            </w:pPr>
            <w:r w:rsidRPr="00361664">
              <w:rPr>
                <w:rFonts w:asciiTheme="minorHAnsi" w:hAnsiTheme="minorHAnsi"/>
                <w:b/>
                <w:sz w:val="20"/>
                <w:szCs w:val="20"/>
                <w:lang w:eastAsia="de-DE"/>
              </w:rPr>
              <w:t>Razvoj infrastrukture za alternativna goriva na lokalnoj i područnoj razini</w:t>
            </w:r>
          </w:p>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Nije procijenjeno.</w:t>
            </w:r>
          </w:p>
        </w:tc>
      </w:tr>
      <w:tr w:rsidR="00F60742" w:rsidRPr="00361664" w:rsidTr="00F60742">
        <w:trPr>
          <w:trHeight w:val="20"/>
        </w:trPr>
        <w:tc>
          <w:tcPr>
            <w:tcW w:w="686" w:type="pct"/>
            <w:vMerge/>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p>
        </w:tc>
        <w:tc>
          <w:tcPr>
            <w:tcW w:w="797" w:type="pct"/>
            <w:vAlign w:val="center"/>
          </w:tcPr>
          <w:p w:rsidR="00F60742" w:rsidRPr="00361664" w:rsidRDefault="00F60742" w:rsidP="00F60742">
            <w:pPr>
              <w:tabs>
                <w:tab w:val="left" w:pos="1440"/>
                <w:tab w:val="left" w:pos="5040"/>
                <w:tab w:val="right" w:pos="8504"/>
              </w:tabs>
              <w:spacing w:after="0" w:line="240" w:lineRule="auto"/>
              <w:jc w:val="both"/>
              <w:rPr>
                <w:rFonts w:asciiTheme="minorHAnsi" w:hAnsiTheme="minorHAnsi"/>
                <w:sz w:val="20"/>
                <w:szCs w:val="20"/>
                <w:lang w:eastAsia="de-DE"/>
              </w:rPr>
            </w:pPr>
            <w:r w:rsidRPr="00361664">
              <w:rPr>
                <w:rFonts w:asciiTheme="minorHAnsi" w:hAnsiTheme="minorHAnsi"/>
                <w:sz w:val="20"/>
                <w:szCs w:val="20"/>
                <w:lang w:eastAsia="de-DE"/>
              </w:rPr>
              <w:t>Preklapanja, efekt množenja, sinergija</w:t>
            </w:r>
          </w:p>
        </w:tc>
        <w:tc>
          <w:tcPr>
            <w:tcW w:w="3517" w:type="pct"/>
            <w:vAlign w:val="center"/>
          </w:tcPr>
          <w:p w:rsidR="00F60742" w:rsidRPr="00361664" w:rsidRDefault="00F60742" w:rsidP="00F60742">
            <w:pPr>
              <w:tabs>
                <w:tab w:val="left" w:pos="1440"/>
                <w:tab w:val="left" w:pos="5040"/>
              </w:tabs>
              <w:jc w:val="both"/>
              <w:rPr>
                <w:sz w:val="20"/>
                <w:szCs w:val="20"/>
              </w:rPr>
            </w:pPr>
            <w:r w:rsidRPr="00361664">
              <w:rPr>
                <w:sz w:val="20"/>
                <w:szCs w:val="20"/>
              </w:rPr>
              <w:t>/</w:t>
            </w:r>
          </w:p>
        </w:tc>
      </w:tr>
    </w:tbl>
    <w:p w:rsidR="00F60742" w:rsidRPr="00361664" w:rsidRDefault="00F60742" w:rsidP="00651BCA">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528"/>
        <w:gridCol w:w="6551"/>
      </w:tblGrid>
      <w:tr w:rsidR="008F2560" w:rsidRPr="00361664" w:rsidTr="00AC55BD">
        <w:trPr>
          <w:trHeight w:val="20"/>
        </w:trPr>
        <w:tc>
          <w:tcPr>
            <w:tcW w:w="1475" w:type="pct"/>
            <w:gridSpan w:val="2"/>
            <w:tcBorders>
              <w:top w:val="single" w:sz="4" w:space="0" w:color="auto"/>
              <w:left w:val="single" w:sz="4" w:space="0" w:color="auto"/>
              <w:bottom w:val="single" w:sz="4" w:space="0" w:color="auto"/>
              <w:right w:val="single" w:sz="4" w:space="0" w:color="auto"/>
            </w:tcBorders>
            <w:shd w:val="clear" w:color="auto" w:fill="CCFFCC"/>
            <w:hideMark/>
          </w:tcPr>
          <w:p w:rsidR="008F2560" w:rsidRPr="00361664" w:rsidRDefault="008F2560" w:rsidP="00AC55BD">
            <w:pPr>
              <w:pStyle w:val="Tabletext"/>
              <w:tabs>
                <w:tab w:val="left" w:pos="1440"/>
                <w:tab w:val="left" w:pos="5040"/>
              </w:tabs>
              <w:spacing w:before="0" w:after="0" w:line="240" w:lineRule="auto"/>
              <w:rPr>
                <w:rFonts w:ascii="Calibri" w:hAnsi="Calibri"/>
                <w:b/>
                <w:sz w:val="20"/>
                <w:lang w:val="hr-HR"/>
              </w:rPr>
            </w:pPr>
            <w:r w:rsidRPr="00361664">
              <w:rPr>
                <w:rFonts w:ascii="Calibri" w:hAnsi="Calibri"/>
                <w:b/>
                <w:sz w:val="20"/>
                <w:lang w:val="hr-HR"/>
              </w:rPr>
              <w:t xml:space="preserve">Naziv mjere </w:t>
            </w:r>
          </w:p>
        </w:tc>
        <w:tc>
          <w:tcPr>
            <w:tcW w:w="3525" w:type="pct"/>
            <w:tcBorders>
              <w:top w:val="single" w:sz="4" w:space="0" w:color="auto"/>
              <w:left w:val="single" w:sz="4" w:space="0" w:color="auto"/>
              <w:bottom w:val="single" w:sz="4" w:space="0" w:color="auto"/>
              <w:right w:val="single" w:sz="4" w:space="0" w:color="auto"/>
            </w:tcBorders>
            <w:shd w:val="clear" w:color="auto" w:fill="CCFFCC"/>
            <w:hideMark/>
          </w:tcPr>
          <w:p w:rsidR="008F2560" w:rsidRPr="00361664" w:rsidRDefault="008F2560" w:rsidP="00AC55BD">
            <w:pPr>
              <w:pStyle w:val="Tabletext"/>
              <w:tabs>
                <w:tab w:val="left" w:pos="1440"/>
                <w:tab w:val="left" w:pos="5040"/>
              </w:tabs>
              <w:spacing w:before="0" w:after="0" w:line="240" w:lineRule="auto"/>
              <w:rPr>
                <w:rFonts w:ascii="Calibri" w:hAnsi="Calibri"/>
                <w:b/>
                <w:sz w:val="20"/>
                <w:lang w:val="hr-HR"/>
              </w:rPr>
            </w:pPr>
            <w:r w:rsidRPr="00361664">
              <w:rPr>
                <w:rFonts w:ascii="Calibri" w:hAnsi="Calibri"/>
                <w:b/>
                <w:sz w:val="20"/>
                <w:lang w:val="hr-HR"/>
              </w:rPr>
              <w:t xml:space="preserve">Financijski poticaji za energetski učinkovita vozila </w:t>
            </w:r>
          </w:p>
        </w:tc>
      </w:tr>
      <w:tr w:rsidR="008F2560" w:rsidRPr="00361664" w:rsidTr="00AC55BD">
        <w:trPr>
          <w:trHeight w:val="20"/>
        </w:trPr>
        <w:tc>
          <w:tcPr>
            <w:tcW w:w="1475" w:type="pct"/>
            <w:gridSpan w:val="2"/>
            <w:tcBorders>
              <w:top w:val="single" w:sz="4" w:space="0" w:color="auto"/>
              <w:left w:val="single" w:sz="4" w:space="0" w:color="auto"/>
              <w:bottom w:val="single" w:sz="4" w:space="0" w:color="auto"/>
              <w:right w:val="single" w:sz="4" w:space="0" w:color="auto"/>
            </w:tcBorders>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Indeks mjere</w:t>
            </w:r>
          </w:p>
        </w:tc>
        <w:tc>
          <w:tcPr>
            <w:tcW w:w="3525" w:type="pct"/>
            <w:tcBorders>
              <w:top w:val="single" w:sz="4" w:space="0" w:color="auto"/>
              <w:left w:val="single" w:sz="4" w:space="0" w:color="auto"/>
              <w:bottom w:val="single" w:sz="4" w:space="0" w:color="auto"/>
              <w:right w:val="single" w:sz="4" w:space="0" w:color="auto"/>
            </w:tcBorders>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T.4</w:t>
            </w:r>
          </w:p>
        </w:tc>
      </w:tr>
      <w:tr w:rsidR="008F2560" w:rsidRPr="00361664" w:rsidTr="00AC55BD">
        <w:trPr>
          <w:trHeight w:val="20"/>
        </w:trPr>
        <w:tc>
          <w:tcPr>
            <w:tcW w:w="653" w:type="pct"/>
            <w:vMerge w:val="restart"/>
            <w:tcBorders>
              <w:top w:val="single" w:sz="4" w:space="0" w:color="auto"/>
              <w:left w:val="single" w:sz="4" w:space="0" w:color="auto"/>
              <w:bottom w:val="single" w:sz="4" w:space="0" w:color="auto"/>
              <w:right w:val="single" w:sz="4" w:space="0" w:color="auto"/>
            </w:tcBorders>
            <w:vAlign w:val="center"/>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p>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Opis</w:t>
            </w: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Kategorija</w:t>
            </w:r>
          </w:p>
        </w:tc>
        <w:tc>
          <w:tcPr>
            <w:tcW w:w="3525"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Financijski instrumenti</w:t>
            </w:r>
          </w:p>
        </w:tc>
      </w:tr>
      <w:tr w:rsidR="008F2560"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Vremenski okvir</w:t>
            </w:r>
          </w:p>
        </w:tc>
        <w:tc>
          <w:tcPr>
            <w:tcW w:w="3525"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Početak: 2014.</w:t>
            </w:r>
          </w:p>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Kraj: 2020.</w:t>
            </w:r>
          </w:p>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Mjera je nastavljena iz 3. NAPEnU</w:t>
            </w:r>
            <w:r w:rsidRPr="00361664">
              <w:rPr>
                <w:rFonts w:asciiTheme="minorHAnsi" w:hAnsiTheme="minorHAnsi"/>
                <w:sz w:val="20"/>
                <w:lang w:val="hr-HR"/>
              </w:rPr>
              <w:t xml:space="preserve"> uz veće promjene, dopune i poboljšanja.</w:t>
            </w:r>
          </w:p>
        </w:tc>
      </w:tr>
      <w:tr w:rsidR="00172AA9"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 / kratak opis</w:t>
            </w:r>
          </w:p>
        </w:tc>
        <w:tc>
          <w:tcPr>
            <w:tcW w:w="3525" w:type="pct"/>
            <w:tcBorders>
              <w:top w:val="single" w:sz="4" w:space="0" w:color="auto"/>
              <w:left w:val="single" w:sz="4" w:space="0" w:color="auto"/>
              <w:bottom w:val="single" w:sz="4" w:space="0" w:color="auto"/>
              <w:right w:val="single" w:sz="4" w:space="0" w:color="auto"/>
            </w:tcBorders>
            <w:vAlign w:val="center"/>
          </w:tcPr>
          <w:p w:rsidR="00172AA9" w:rsidRPr="00361664" w:rsidRDefault="00172AA9" w:rsidP="00172AA9">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FZOEU će uspostaviti sheme za sufinanciranje i kupnju vozila u skladu s definiranim ciljem. Program treba unaprijediti razradom sufinanciranja koje će uključivati:</w:t>
            </w:r>
          </w:p>
          <w:p w:rsidR="00172AA9" w:rsidRPr="00361664" w:rsidRDefault="00172AA9" w:rsidP="00172AA9">
            <w:pPr>
              <w:pStyle w:val="Tabletext"/>
              <w:numPr>
                <w:ilvl w:val="0"/>
                <w:numId w:val="43"/>
              </w:numPr>
              <w:tabs>
                <w:tab w:val="left" w:pos="703"/>
                <w:tab w:val="left" w:pos="5040"/>
              </w:tabs>
              <w:spacing w:before="0" w:after="0" w:line="240" w:lineRule="auto"/>
              <w:rPr>
                <w:rFonts w:ascii="Calibri" w:hAnsi="Calibri"/>
                <w:sz w:val="20"/>
                <w:lang w:val="hr-HR"/>
              </w:rPr>
            </w:pPr>
            <w:r w:rsidRPr="00361664">
              <w:rPr>
                <w:rFonts w:ascii="Calibri" w:hAnsi="Calibri"/>
                <w:sz w:val="20"/>
                <w:lang w:val="hr-HR"/>
              </w:rPr>
              <w:t xml:space="preserve">Kupnju električnih i ''plug-in'' hibridnih osobnih vozila niže i srednje veličine vozila (gradska i kompaktna vozila) </w:t>
            </w:r>
          </w:p>
          <w:p w:rsidR="00172AA9" w:rsidRPr="00361664" w:rsidRDefault="00172AA9" w:rsidP="00172AA9">
            <w:pPr>
              <w:pStyle w:val="Tabletext"/>
              <w:numPr>
                <w:ilvl w:val="0"/>
                <w:numId w:val="43"/>
              </w:numPr>
              <w:tabs>
                <w:tab w:val="left" w:pos="703"/>
                <w:tab w:val="left" w:pos="5040"/>
              </w:tabs>
              <w:spacing w:before="0" w:after="0" w:line="240" w:lineRule="auto"/>
              <w:rPr>
                <w:rFonts w:ascii="Calibri" w:hAnsi="Calibri"/>
                <w:sz w:val="20"/>
                <w:lang w:val="hr-HR"/>
              </w:rPr>
            </w:pPr>
            <w:r w:rsidRPr="00361664">
              <w:rPr>
                <w:rFonts w:ascii="Calibri" w:hAnsi="Calibri"/>
                <w:sz w:val="20"/>
                <w:lang w:val="hr-HR"/>
              </w:rPr>
              <w:t>Kupnju energetski učinkovitih teretnih vozila i autobusa:</w:t>
            </w:r>
          </w:p>
          <w:p w:rsidR="00172AA9" w:rsidRPr="00361664" w:rsidRDefault="00172AA9" w:rsidP="00172AA9">
            <w:pPr>
              <w:pStyle w:val="Tabletext"/>
              <w:numPr>
                <w:ilvl w:val="0"/>
                <w:numId w:val="41"/>
              </w:numPr>
              <w:tabs>
                <w:tab w:val="left" w:pos="897"/>
                <w:tab w:val="left" w:pos="5040"/>
              </w:tabs>
              <w:spacing w:before="0" w:after="0" w:line="240" w:lineRule="auto"/>
              <w:rPr>
                <w:rFonts w:ascii="Calibri" w:hAnsi="Calibri"/>
                <w:sz w:val="20"/>
                <w:lang w:val="hr-HR"/>
              </w:rPr>
            </w:pPr>
            <w:r w:rsidRPr="00361664">
              <w:rPr>
                <w:rFonts w:ascii="Calibri" w:hAnsi="Calibri"/>
                <w:sz w:val="20"/>
                <w:lang w:val="hr-HR"/>
              </w:rPr>
              <w:t>EURO6 ili EEV standarda uz dostavu dokaza stavljanja postojećih vozila nižih normi van prometa</w:t>
            </w:r>
          </w:p>
          <w:p w:rsidR="00172AA9" w:rsidRPr="00361664" w:rsidRDefault="00172AA9" w:rsidP="00172AA9">
            <w:pPr>
              <w:pStyle w:val="Tabletext"/>
              <w:numPr>
                <w:ilvl w:val="0"/>
                <w:numId w:val="41"/>
              </w:numPr>
              <w:tabs>
                <w:tab w:val="left" w:pos="897"/>
                <w:tab w:val="left" w:pos="5040"/>
              </w:tabs>
              <w:spacing w:before="0" w:after="0" w:line="240" w:lineRule="auto"/>
              <w:rPr>
                <w:rFonts w:ascii="Calibri" w:hAnsi="Calibri"/>
                <w:sz w:val="20"/>
                <w:lang w:val="hr-HR"/>
              </w:rPr>
            </w:pPr>
            <w:r w:rsidRPr="00361664">
              <w:rPr>
                <w:rFonts w:ascii="Calibri" w:hAnsi="Calibri"/>
                <w:sz w:val="20"/>
                <w:lang w:val="hr-HR"/>
              </w:rPr>
              <w:t xml:space="preserve">Vozila s pogonom na SPP i UPP </w:t>
            </w:r>
          </w:p>
          <w:p w:rsidR="00172AA9" w:rsidRPr="00361664" w:rsidRDefault="00172AA9" w:rsidP="00172AA9">
            <w:pPr>
              <w:pStyle w:val="Tabletext"/>
              <w:numPr>
                <w:ilvl w:val="0"/>
                <w:numId w:val="41"/>
              </w:numPr>
              <w:tabs>
                <w:tab w:val="left" w:pos="897"/>
                <w:tab w:val="left" w:pos="5040"/>
              </w:tabs>
              <w:spacing w:before="0" w:after="0" w:line="240" w:lineRule="auto"/>
              <w:rPr>
                <w:rFonts w:ascii="Calibri" w:hAnsi="Calibri"/>
                <w:sz w:val="20"/>
                <w:lang w:val="hr-HR"/>
              </w:rPr>
            </w:pPr>
            <w:r w:rsidRPr="00361664">
              <w:rPr>
                <w:rFonts w:ascii="Calibri" w:hAnsi="Calibri"/>
                <w:sz w:val="20"/>
                <w:lang w:val="hr-HR"/>
              </w:rPr>
              <w:t>Vozila na električni i plug-in hibridni pogon</w:t>
            </w:r>
          </w:p>
          <w:p w:rsidR="00172AA9" w:rsidRPr="00361664" w:rsidRDefault="00172AA9" w:rsidP="00172AA9">
            <w:pPr>
              <w:pStyle w:val="Tabletext"/>
              <w:numPr>
                <w:ilvl w:val="0"/>
                <w:numId w:val="43"/>
              </w:numPr>
              <w:tabs>
                <w:tab w:val="left" w:pos="703"/>
                <w:tab w:val="left" w:pos="5040"/>
              </w:tabs>
              <w:spacing w:before="0" w:after="0" w:line="240" w:lineRule="auto"/>
              <w:rPr>
                <w:rFonts w:ascii="Calibri" w:hAnsi="Calibri"/>
                <w:sz w:val="20"/>
                <w:lang w:val="hr-HR"/>
              </w:rPr>
            </w:pPr>
            <w:r w:rsidRPr="00361664">
              <w:rPr>
                <w:rFonts w:ascii="Calibri" w:hAnsi="Calibri"/>
                <w:sz w:val="20"/>
                <w:lang w:val="hr-HR"/>
              </w:rPr>
              <w:t>Kupnju električnih bicikala, mopeda i motocikala.</w:t>
            </w:r>
          </w:p>
          <w:p w:rsidR="00172AA9" w:rsidRPr="00361664" w:rsidRDefault="00172AA9" w:rsidP="00172AA9">
            <w:pPr>
              <w:pStyle w:val="Tabletext"/>
              <w:tabs>
                <w:tab w:val="left" w:pos="703"/>
                <w:tab w:val="left" w:pos="5040"/>
              </w:tabs>
              <w:spacing w:before="0" w:after="0" w:line="240" w:lineRule="auto"/>
              <w:rPr>
                <w:rFonts w:ascii="Calibri" w:hAnsi="Calibri"/>
                <w:sz w:val="20"/>
                <w:lang w:val="hr-HR"/>
              </w:rPr>
            </w:pPr>
          </w:p>
          <w:p w:rsidR="00172AA9" w:rsidRPr="00361664" w:rsidRDefault="00172AA9" w:rsidP="00172AA9">
            <w:pPr>
              <w:pStyle w:val="Tabletext"/>
              <w:tabs>
                <w:tab w:val="left" w:pos="703"/>
                <w:tab w:val="left" w:pos="5040"/>
              </w:tabs>
              <w:spacing w:before="0" w:after="0" w:line="240" w:lineRule="auto"/>
              <w:rPr>
                <w:rFonts w:ascii="Calibri" w:hAnsi="Calibri"/>
                <w:sz w:val="20"/>
                <w:lang w:val="hr-HR"/>
              </w:rPr>
            </w:pPr>
            <w:r w:rsidRPr="00361664">
              <w:rPr>
                <w:rFonts w:ascii="Calibri" w:hAnsi="Calibri"/>
                <w:sz w:val="20"/>
                <w:lang w:val="hr-HR"/>
              </w:rPr>
              <w:t>U 2015. godini Fond za zaštitu okoliša i energetsku učinkovitost sufinancirao je kupovinu 528, a 2016. godine 198 električna, hibridna i plug-in hibridna vozila.</w:t>
            </w:r>
          </w:p>
          <w:p w:rsidR="00172AA9" w:rsidRPr="00361664" w:rsidRDefault="00172AA9" w:rsidP="00172AA9">
            <w:pPr>
              <w:pStyle w:val="Tabletext"/>
              <w:tabs>
                <w:tab w:val="left" w:pos="703"/>
                <w:tab w:val="left" w:pos="5040"/>
              </w:tabs>
              <w:spacing w:before="0" w:after="0" w:line="240" w:lineRule="auto"/>
              <w:rPr>
                <w:rFonts w:ascii="Calibri" w:hAnsi="Calibri"/>
                <w:sz w:val="20"/>
                <w:lang w:val="hr-HR"/>
              </w:rPr>
            </w:pPr>
            <w:r w:rsidRPr="00361664">
              <w:rPr>
                <w:rFonts w:ascii="Calibri" w:hAnsi="Calibri"/>
                <w:sz w:val="20"/>
                <w:lang w:val="hr-HR"/>
              </w:rPr>
              <w:t>Najviše vozila je iz kategorije osobnih automobila, preko 80%, a sufinancirani su i električni motocikli te dva električna kamiona.</w:t>
            </w:r>
          </w:p>
          <w:p w:rsidR="00172AA9" w:rsidRPr="00361664" w:rsidRDefault="00172AA9" w:rsidP="00172AA9">
            <w:pPr>
              <w:pStyle w:val="Tabletext"/>
              <w:tabs>
                <w:tab w:val="left" w:pos="703"/>
                <w:tab w:val="left" w:pos="5040"/>
              </w:tabs>
              <w:spacing w:before="0" w:after="0" w:line="240" w:lineRule="auto"/>
              <w:rPr>
                <w:rFonts w:ascii="Calibri" w:hAnsi="Calibri"/>
                <w:sz w:val="20"/>
                <w:lang w:val="hr-HR"/>
              </w:rPr>
            </w:pPr>
            <w:r w:rsidRPr="00361664">
              <w:rPr>
                <w:rFonts w:ascii="Calibri" w:hAnsi="Calibri"/>
                <w:sz w:val="20"/>
                <w:lang w:val="hr-HR"/>
              </w:rPr>
              <w:t>Ovom mjerom u 2015. godini ostvarena je ušteda energije od 2.069.350 kWh odnosno 502 tCO</w:t>
            </w:r>
            <w:r w:rsidRPr="00361664">
              <w:rPr>
                <w:rFonts w:ascii="Calibri" w:hAnsi="Calibri"/>
                <w:sz w:val="20"/>
                <w:vertAlign w:val="subscript"/>
                <w:lang w:val="hr-HR"/>
              </w:rPr>
              <w:t>2</w:t>
            </w:r>
            <w:r w:rsidRPr="00361664">
              <w:rPr>
                <w:rFonts w:ascii="Calibri" w:hAnsi="Calibri"/>
                <w:sz w:val="20"/>
                <w:lang w:val="hr-HR"/>
              </w:rPr>
              <w:t>, a u 2016. godini 962.838 kWh odnosno 230 tCO</w:t>
            </w:r>
            <w:r w:rsidRPr="00361664">
              <w:rPr>
                <w:rFonts w:ascii="Calibri" w:hAnsi="Calibri"/>
                <w:sz w:val="20"/>
                <w:vertAlign w:val="subscript"/>
                <w:lang w:val="hr-HR"/>
              </w:rPr>
              <w:t>2</w:t>
            </w:r>
            <w:r w:rsidRPr="00361664">
              <w:rPr>
                <w:rFonts w:ascii="Calibri" w:hAnsi="Calibri"/>
                <w:sz w:val="20"/>
                <w:lang w:val="hr-HR"/>
              </w:rPr>
              <w:t>.</w:t>
            </w:r>
          </w:p>
          <w:p w:rsidR="00172AA9" w:rsidRPr="00361664" w:rsidRDefault="00172AA9" w:rsidP="00172AA9">
            <w:pPr>
              <w:pStyle w:val="Tabletext"/>
              <w:tabs>
                <w:tab w:val="left" w:pos="703"/>
                <w:tab w:val="left" w:pos="5040"/>
              </w:tabs>
              <w:spacing w:before="0" w:after="0" w:line="240" w:lineRule="auto"/>
              <w:rPr>
                <w:rFonts w:ascii="Calibri" w:hAnsi="Calibri"/>
                <w:sz w:val="20"/>
                <w:lang w:val="hr-HR"/>
              </w:rPr>
            </w:pPr>
            <w:r w:rsidRPr="00361664">
              <w:rPr>
                <w:rFonts w:ascii="Calibri" w:hAnsi="Calibri"/>
                <w:sz w:val="20"/>
                <w:lang w:val="hr-HR"/>
              </w:rPr>
              <w:t>U nastavku ove mjere potrebno je osigurati da se sufinanciraju vozila koja će polučiti veću kumulativnu uštedu energije i smanjenje emisija stakleničkih plinova tj. vozila namijenjena javnom prijevoz putnika i tereta.</w:t>
            </w:r>
          </w:p>
        </w:tc>
      </w:tr>
      <w:tr w:rsidR="008F2560"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Ciljna neposredna potrošnja</w:t>
            </w:r>
          </w:p>
        </w:tc>
        <w:tc>
          <w:tcPr>
            <w:tcW w:w="3525"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Cestovna vozila </w:t>
            </w:r>
          </w:p>
        </w:tc>
      </w:tr>
      <w:tr w:rsidR="008F2560"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Ciljna skupina</w:t>
            </w:r>
          </w:p>
        </w:tc>
        <w:tc>
          <w:tcPr>
            <w:tcW w:w="3525" w:type="pct"/>
            <w:tcBorders>
              <w:top w:val="single" w:sz="4" w:space="0" w:color="auto"/>
              <w:left w:val="single" w:sz="4" w:space="0" w:color="auto"/>
              <w:bottom w:val="single" w:sz="4" w:space="0" w:color="auto"/>
              <w:right w:val="single" w:sz="4" w:space="0" w:color="auto"/>
            </w:tcBorders>
            <w:vAlign w:val="center"/>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Fizičke i pravne osobe</w:t>
            </w:r>
          </w:p>
        </w:tc>
      </w:tr>
      <w:tr w:rsidR="008F2560"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Regionalna </w:t>
            </w:r>
            <w:r w:rsidRPr="00361664">
              <w:rPr>
                <w:rFonts w:ascii="Calibri" w:hAnsi="Calibri"/>
                <w:sz w:val="20"/>
                <w:lang w:val="hr-HR"/>
              </w:rPr>
              <w:lastRenderedPageBreak/>
              <w:t>primjena</w:t>
            </w:r>
          </w:p>
        </w:tc>
        <w:tc>
          <w:tcPr>
            <w:tcW w:w="3525"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lastRenderedPageBreak/>
              <w:t>Nacionalna</w:t>
            </w:r>
          </w:p>
        </w:tc>
      </w:tr>
      <w:tr w:rsidR="00172AA9" w:rsidRPr="00361664" w:rsidTr="00AC55BD">
        <w:trPr>
          <w:trHeight w:val="20"/>
        </w:trPr>
        <w:tc>
          <w:tcPr>
            <w:tcW w:w="653" w:type="pct"/>
            <w:vMerge w:val="restart"/>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lastRenderedPageBreak/>
              <w:t>Informacije o  provedbi</w:t>
            </w:r>
          </w:p>
        </w:tc>
        <w:tc>
          <w:tcPr>
            <w:tcW w:w="822" w:type="pct"/>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Popis i opis aktivnosti za provođenje mjere </w:t>
            </w:r>
          </w:p>
        </w:tc>
        <w:tc>
          <w:tcPr>
            <w:tcW w:w="3525" w:type="pct"/>
            <w:tcBorders>
              <w:top w:val="single" w:sz="4" w:space="0" w:color="auto"/>
              <w:left w:val="single" w:sz="4" w:space="0" w:color="auto"/>
              <w:bottom w:val="single" w:sz="4" w:space="0" w:color="auto"/>
              <w:right w:val="single" w:sz="4" w:space="0" w:color="auto"/>
            </w:tcBorders>
            <w:vAlign w:val="center"/>
          </w:tcPr>
          <w:p w:rsidR="00172AA9" w:rsidRPr="00361664" w:rsidRDefault="00172AA9" w:rsidP="00172AA9">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Fond će uspostaviti sheme za sufinanciranje i kupnju vozila u skladu s definiranim ciljem.</w:t>
            </w:r>
          </w:p>
        </w:tc>
      </w:tr>
      <w:tr w:rsidR="008F2560"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Financijska sredstva i izvori financiranja</w:t>
            </w:r>
          </w:p>
        </w:tc>
        <w:tc>
          <w:tcPr>
            <w:tcW w:w="3525" w:type="pct"/>
            <w:tcBorders>
              <w:top w:val="single" w:sz="4" w:space="0" w:color="auto"/>
              <w:left w:val="single" w:sz="4" w:space="0" w:color="auto"/>
              <w:bottom w:val="single" w:sz="4" w:space="0" w:color="auto"/>
              <w:right w:val="single" w:sz="4" w:space="0" w:color="auto"/>
            </w:tcBorders>
            <w:vAlign w:val="center"/>
          </w:tcPr>
          <w:p w:rsidR="008F2560" w:rsidRPr="00361664" w:rsidRDefault="008F2560" w:rsidP="00AC55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FZOEU - financiranje sredstvima stečenim od prodaje emisijskih jedinica putem dražbe na sustavu trgovanja emisijskim jedinicama EU-a temeljem Zakona o zaštiti zraka (</w:t>
            </w:r>
            <w:r w:rsidR="00C44613" w:rsidRPr="00361664">
              <w:rPr>
                <w:rFonts w:asciiTheme="minorHAnsi" w:hAnsiTheme="minorHAnsi"/>
                <w:sz w:val="20"/>
                <w:lang w:val="hr-HR"/>
              </w:rPr>
              <w:t>NN 130/11, 47/14, 61/17</w:t>
            </w:r>
            <w:r w:rsidRPr="00361664">
              <w:rPr>
                <w:rFonts w:asciiTheme="minorHAnsi" w:hAnsiTheme="minorHAnsi"/>
                <w:sz w:val="20"/>
                <w:lang w:val="hr-HR"/>
              </w:rPr>
              <w:t>)</w:t>
            </w:r>
            <w:r w:rsidR="00606A3C" w:rsidRPr="00361664">
              <w:rPr>
                <w:rFonts w:asciiTheme="minorHAnsi" w:hAnsiTheme="minorHAnsi"/>
                <w:sz w:val="20"/>
                <w:lang w:val="hr-HR"/>
              </w:rPr>
              <w:t xml:space="preserve"> u ukupnom iznosu 17.386.200,00 kn </w:t>
            </w:r>
            <w:r w:rsidRPr="00361664">
              <w:rPr>
                <w:rFonts w:asciiTheme="minorHAnsi" w:hAnsiTheme="minorHAnsi"/>
                <w:sz w:val="20"/>
                <w:lang w:val="hr-HR"/>
              </w:rPr>
              <w:t xml:space="preserve"> </w:t>
            </w:r>
            <w:r w:rsidR="00606A3C" w:rsidRPr="00361664">
              <w:rPr>
                <w:rFonts w:asciiTheme="minorHAnsi" w:hAnsiTheme="minorHAnsi"/>
                <w:sz w:val="20"/>
                <w:lang w:val="hr-HR"/>
              </w:rPr>
              <w:t>do kraja 2019.</w:t>
            </w:r>
          </w:p>
          <w:p w:rsidR="008F2560" w:rsidRPr="00361664" w:rsidRDefault="008F2560" w:rsidP="00AC55BD">
            <w:pPr>
              <w:pStyle w:val="Tabletext"/>
              <w:tabs>
                <w:tab w:val="left" w:pos="1440"/>
                <w:tab w:val="left" w:pos="5040"/>
              </w:tabs>
              <w:spacing w:before="0" w:after="0" w:line="240" w:lineRule="auto"/>
              <w:rPr>
                <w:rFonts w:asciiTheme="minorHAnsi" w:hAnsiTheme="minorHAnsi"/>
                <w:sz w:val="20"/>
                <w:lang w:val="hr-HR"/>
              </w:rPr>
            </w:pPr>
            <w:r w:rsidRPr="00361664">
              <w:rPr>
                <w:rFonts w:asciiTheme="minorHAnsi" w:hAnsiTheme="minorHAnsi"/>
                <w:sz w:val="20"/>
                <w:lang w:val="hr-HR"/>
              </w:rPr>
              <w:t>Ostatak financiranja: vlastita sredstva korisnika</w:t>
            </w:r>
          </w:p>
        </w:tc>
      </w:tr>
      <w:tr w:rsidR="008F2560"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Izvršno  tijelo</w:t>
            </w:r>
          </w:p>
        </w:tc>
        <w:tc>
          <w:tcPr>
            <w:tcW w:w="3525"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p>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FZOEU (sufinanciranje i raspisivanje natječaja)</w:t>
            </w:r>
          </w:p>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p>
        </w:tc>
      </w:tr>
      <w:tr w:rsidR="008F2560"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Tijelo za praćenje, mjerenje i verifikaciju ušteda </w:t>
            </w:r>
          </w:p>
        </w:tc>
        <w:tc>
          <w:tcPr>
            <w:tcW w:w="3525"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NKT </w:t>
            </w:r>
          </w:p>
        </w:tc>
      </w:tr>
      <w:tr w:rsidR="008F2560" w:rsidRPr="00361664" w:rsidTr="00AC55BD">
        <w:trPr>
          <w:trHeight w:val="20"/>
        </w:trPr>
        <w:tc>
          <w:tcPr>
            <w:tcW w:w="653" w:type="pct"/>
            <w:vMerge w:val="restart"/>
            <w:tcBorders>
              <w:top w:val="single" w:sz="4" w:space="0" w:color="auto"/>
              <w:left w:val="single" w:sz="4" w:space="0" w:color="auto"/>
              <w:bottom w:val="single" w:sz="4" w:space="0" w:color="auto"/>
              <w:right w:val="single" w:sz="4" w:space="0" w:color="auto"/>
            </w:tcBorders>
            <w:vAlign w:val="center"/>
          </w:tcPr>
          <w:p w:rsidR="008F2560" w:rsidRPr="00361664" w:rsidRDefault="008F2560" w:rsidP="00AC55BD">
            <w:pPr>
              <w:pStyle w:val="Tabletext"/>
              <w:tabs>
                <w:tab w:val="left" w:pos="1440"/>
                <w:tab w:val="left" w:pos="5040"/>
              </w:tabs>
              <w:spacing w:before="0" w:after="0" w:line="240" w:lineRule="auto"/>
              <w:rPr>
                <w:rFonts w:ascii="Calibri" w:hAnsi="Calibri"/>
                <w:color w:val="FF0000"/>
                <w:sz w:val="20"/>
                <w:lang w:val="hr-HR"/>
              </w:rPr>
            </w:pPr>
            <w:r w:rsidRPr="00361664">
              <w:rPr>
                <w:rFonts w:ascii="Calibri" w:hAnsi="Calibri"/>
                <w:sz w:val="20"/>
                <w:lang w:val="hr-HR"/>
              </w:rPr>
              <w:t>Uštede energije</w:t>
            </w:r>
          </w:p>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Metoda praćenja / mjerenja ušteda energije</w:t>
            </w:r>
          </w:p>
        </w:tc>
        <w:tc>
          <w:tcPr>
            <w:tcW w:w="3525" w:type="pct"/>
            <w:tcBorders>
              <w:top w:val="single" w:sz="4" w:space="0" w:color="auto"/>
              <w:left w:val="single" w:sz="4" w:space="0" w:color="auto"/>
              <w:bottom w:val="single" w:sz="4" w:space="0" w:color="auto"/>
              <w:right w:val="single" w:sz="4" w:space="0" w:color="auto"/>
            </w:tcBorders>
            <w:vAlign w:val="center"/>
          </w:tcPr>
          <w:p w:rsidR="008F2560" w:rsidRPr="00361664" w:rsidRDefault="008F2560" w:rsidP="00AC55BD">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Ova mjera će se pratiti metodom procijene pomoću Sustava za praćenje, mjerenje i verifikaciju ušteda energije (SMIV).</w:t>
            </w:r>
          </w:p>
        </w:tc>
      </w:tr>
      <w:tr w:rsidR="00224926"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4926" w:rsidRPr="00361664" w:rsidRDefault="00224926" w:rsidP="00224926">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224926" w:rsidRPr="00361664" w:rsidRDefault="00224926" w:rsidP="00224926">
            <w:pPr>
              <w:pStyle w:val="Tabletext"/>
              <w:tabs>
                <w:tab w:val="left" w:pos="1440"/>
                <w:tab w:val="left" w:pos="5040"/>
              </w:tabs>
              <w:spacing w:before="0" w:after="0" w:line="240" w:lineRule="auto"/>
              <w:rPr>
                <w:rFonts w:ascii="Calibri" w:hAnsi="Calibri"/>
                <w:color w:val="FF0000"/>
                <w:sz w:val="20"/>
                <w:lang w:val="hr-HR"/>
              </w:rPr>
            </w:pPr>
            <w:r w:rsidRPr="00361664">
              <w:rPr>
                <w:rFonts w:ascii="Calibri" w:hAnsi="Calibri"/>
                <w:sz w:val="20"/>
                <w:lang w:val="hr-HR"/>
              </w:rPr>
              <w:t>Očekivane uštede energije do kraja 2019.</w:t>
            </w:r>
          </w:p>
        </w:tc>
        <w:tc>
          <w:tcPr>
            <w:tcW w:w="3525" w:type="pct"/>
            <w:tcBorders>
              <w:top w:val="single" w:sz="4" w:space="0" w:color="auto"/>
              <w:left w:val="single" w:sz="4" w:space="0" w:color="auto"/>
              <w:bottom w:val="single" w:sz="4" w:space="0" w:color="auto"/>
              <w:right w:val="single" w:sz="4" w:space="0" w:color="auto"/>
            </w:tcBorders>
            <w:vAlign w:val="center"/>
          </w:tcPr>
          <w:p w:rsidR="00224926" w:rsidRPr="00361664" w:rsidRDefault="00224926" w:rsidP="00224926">
            <w:pPr>
              <w:pStyle w:val="Tabletext"/>
              <w:tabs>
                <w:tab w:val="left" w:pos="661"/>
                <w:tab w:val="left" w:pos="5040"/>
              </w:tabs>
              <w:spacing w:before="0" w:after="0" w:line="240" w:lineRule="auto"/>
              <w:rPr>
                <w:rFonts w:ascii="Calibri" w:hAnsi="Calibri"/>
                <w:sz w:val="20"/>
                <w:lang w:val="hr-HR"/>
              </w:rPr>
            </w:pPr>
            <w:r w:rsidRPr="00361664">
              <w:rPr>
                <w:rFonts w:ascii="Calibri" w:hAnsi="Calibri"/>
                <w:sz w:val="20"/>
                <w:lang w:val="hr-HR"/>
              </w:rPr>
              <w:t>7.71 TJ</w:t>
            </w:r>
          </w:p>
        </w:tc>
      </w:tr>
      <w:tr w:rsidR="00224926"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4926" w:rsidRPr="00361664" w:rsidRDefault="00224926" w:rsidP="00224926">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224926" w:rsidRPr="00361664" w:rsidRDefault="00224926" w:rsidP="00224926">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Očekivane uštede energije do kraja 2020.</w:t>
            </w:r>
          </w:p>
        </w:tc>
        <w:tc>
          <w:tcPr>
            <w:tcW w:w="3525" w:type="pct"/>
            <w:tcBorders>
              <w:top w:val="single" w:sz="4" w:space="0" w:color="auto"/>
              <w:left w:val="single" w:sz="4" w:space="0" w:color="auto"/>
              <w:bottom w:val="single" w:sz="4" w:space="0" w:color="auto"/>
              <w:right w:val="single" w:sz="4" w:space="0" w:color="auto"/>
            </w:tcBorders>
            <w:vAlign w:val="center"/>
          </w:tcPr>
          <w:p w:rsidR="00224926" w:rsidRPr="00361664" w:rsidRDefault="00224926" w:rsidP="00224926">
            <w:pPr>
              <w:pStyle w:val="Tabletext"/>
              <w:tabs>
                <w:tab w:val="left" w:pos="661"/>
                <w:tab w:val="left" w:pos="5040"/>
              </w:tabs>
              <w:spacing w:before="0" w:after="0" w:line="240" w:lineRule="auto"/>
              <w:rPr>
                <w:rFonts w:ascii="Calibri" w:hAnsi="Calibri"/>
                <w:sz w:val="20"/>
                <w:lang w:val="hr-HR"/>
              </w:rPr>
            </w:pPr>
            <w:r w:rsidRPr="00361664">
              <w:rPr>
                <w:rFonts w:ascii="Calibri" w:hAnsi="Calibri"/>
                <w:sz w:val="20"/>
                <w:lang w:val="hr-HR"/>
              </w:rPr>
              <w:t>12 TJ</w:t>
            </w:r>
          </w:p>
        </w:tc>
      </w:tr>
      <w:tr w:rsidR="00172AA9"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Pretpostavke</w:t>
            </w:r>
          </w:p>
        </w:tc>
        <w:tc>
          <w:tcPr>
            <w:tcW w:w="3525" w:type="pct"/>
            <w:tcBorders>
              <w:top w:val="single" w:sz="4" w:space="0" w:color="auto"/>
              <w:left w:val="single" w:sz="4" w:space="0" w:color="auto"/>
              <w:bottom w:val="single" w:sz="4" w:space="0" w:color="auto"/>
              <w:right w:val="single" w:sz="4" w:space="0" w:color="auto"/>
            </w:tcBorders>
            <w:vAlign w:val="center"/>
          </w:tcPr>
          <w:p w:rsidR="00172AA9" w:rsidRPr="00361664" w:rsidRDefault="00172AA9" w:rsidP="00172AA9">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 xml:space="preserve">Pretpostavka je da će se sufinanciranjem vozila namijenjenih javnom prijevozu tereta i putnika značajno unaprijediti ušteda energije u sektoru prometa u odnosu na trend iz razdoblja 3. NAPEnU uz drastične promijene, odnosno da će se realizirati značajnije uštede u odnosu na prethodno razdoblje. Značajniji napredak se temelji kroz veći postotak sufinanciranja vozila namijenjenih za obavljanje javnog prijevoza putnika i tereta gdje određene podkategorije vozila u prosjeku prelaze više od 100.000 km/god. Konačni učinak ove mjere će se utvrditi nakon provedbe mjere sukladno uspostavljenim shemama za </w:t>
            </w:r>
            <w:r w:rsidR="00D0277A" w:rsidRPr="00361664">
              <w:rPr>
                <w:rFonts w:ascii="Calibri" w:hAnsi="Calibri"/>
                <w:sz w:val="20"/>
                <w:lang w:val="hr-HR"/>
              </w:rPr>
              <w:t>sufinanciranje</w:t>
            </w:r>
          </w:p>
        </w:tc>
      </w:tr>
      <w:tr w:rsidR="00172AA9" w:rsidRPr="00361664" w:rsidTr="00AC5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spacing w:after="0" w:line="240" w:lineRule="auto"/>
              <w:jc w:val="both"/>
              <w:rPr>
                <w:sz w:val="20"/>
                <w:szCs w:val="20"/>
                <w:lang w:eastAsia="de-DE"/>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pStyle w:val="Tabletext"/>
              <w:tabs>
                <w:tab w:val="left" w:pos="1440"/>
                <w:tab w:val="left" w:pos="5040"/>
              </w:tabs>
              <w:spacing w:before="0" w:after="0" w:line="240" w:lineRule="auto"/>
              <w:rPr>
                <w:rFonts w:ascii="Calibri" w:hAnsi="Calibri"/>
                <w:sz w:val="20"/>
                <w:lang w:val="hr-HR"/>
              </w:rPr>
            </w:pPr>
            <w:r w:rsidRPr="00361664">
              <w:rPr>
                <w:rFonts w:ascii="Calibri" w:hAnsi="Calibri"/>
                <w:sz w:val="20"/>
                <w:lang w:val="hr-HR"/>
              </w:rPr>
              <w:t>Preklapanja, efekt množenja, sinergija</w:t>
            </w:r>
          </w:p>
        </w:tc>
        <w:tc>
          <w:tcPr>
            <w:tcW w:w="3525" w:type="pct"/>
            <w:tcBorders>
              <w:top w:val="single" w:sz="4" w:space="0" w:color="auto"/>
              <w:left w:val="single" w:sz="4" w:space="0" w:color="auto"/>
              <w:bottom w:val="single" w:sz="4" w:space="0" w:color="auto"/>
              <w:right w:val="single" w:sz="4" w:space="0" w:color="auto"/>
            </w:tcBorders>
            <w:vAlign w:val="center"/>
            <w:hideMark/>
          </w:tcPr>
          <w:p w:rsidR="00172AA9" w:rsidRPr="00361664" w:rsidRDefault="00172AA9" w:rsidP="00172AA9">
            <w:pPr>
              <w:tabs>
                <w:tab w:val="left" w:pos="1440"/>
                <w:tab w:val="left" w:pos="5040"/>
              </w:tabs>
              <w:spacing w:after="0" w:line="240" w:lineRule="auto"/>
              <w:jc w:val="both"/>
              <w:rPr>
                <w:sz w:val="20"/>
                <w:szCs w:val="20"/>
              </w:rPr>
            </w:pPr>
            <w:r w:rsidRPr="00361664">
              <w:rPr>
                <w:sz w:val="20"/>
                <w:szCs w:val="20"/>
              </w:rPr>
              <w:t>/</w:t>
            </w:r>
          </w:p>
        </w:tc>
      </w:tr>
    </w:tbl>
    <w:p w:rsidR="008F2560" w:rsidRPr="00361664" w:rsidRDefault="008F2560" w:rsidP="00651BCA">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568"/>
        <w:gridCol w:w="6478"/>
      </w:tblGrid>
      <w:tr w:rsidR="00F60742" w:rsidRPr="00361664" w:rsidTr="00F60742">
        <w:trPr>
          <w:trHeight w:val="20"/>
        </w:trPr>
        <w:tc>
          <w:tcPr>
            <w:tcW w:w="1514" w:type="pct"/>
            <w:gridSpan w:val="2"/>
            <w:shd w:val="clear" w:color="auto" w:fill="CCFFCC"/>
          </w:tcPr>
          <w:p w:rsidR="00F60742" w:rsidRPr="00361664" w:rsidRDefault="00F60742" w:rsidP="00F60742">
            <w:pPr>
              <w:tabs>
                <w:tab w:val="left" w:pos="1440"/>
                <w:tab w:val="left" w:pos="5040"/>
                <w:tab w:val="right" w:pos="8504"/>
              </w:tabs>
              <w:spacing w:after="0" w:line="240" w:lineRule="auto"/>
              <w:jc w:val="both"/>
              <w:rPr>
                <w:b/>
                <w:sz w:val="20"/>
                <w:szCs w:val="20"/>
                <w:lang w:eastAsia="de-DE"/>
              </w:rPr>
            </w:pPr>
            <w:r w:rsidRPr="00361664">
              <w:rPr>
                <w:b/>
                <w:sz w:val="20"/>
                <w:szCs w:val="20"/>
                <w:lang w:eastAsia="de-DE"/>
              </w:rPr>
              <w:t xml:space="preserve">Naziv mjere </w:t>
            </w:r>
          </w:p>
        </w:tc>
        <w:tc>
          <w:tcPr>
            <w:tcW w:w="3486" w:type="pct"/>
            <w:shd w:val="clear" w:color="auto" w:fill="CCFFCC"/>
          </w:tcPr>
          <w:p w:rsidR="00F60742" w:rsidRPr="00361664" w:rsidRDefault="00F60742" w:rsidP="00F60742">
            <w:pPr>
              <w:tabs>
                <w:tab w:val="left" w:pos="1440"/>
                <w:tab w:val="left" w:pos="5040"/>
                <w:tab w:val="right" w:pos="8504"/>
              </w:tabs>
              <w:spacing w:after="0" w:line="240" w:lineRule="auto"/>
              <w:jc w:val="both"/>
              <w:rPr>
                <w:b/>
                <w:sz w:val="20"/>
                <w:szCs w:val="20"/>
                <w:lang w:eastAsia="de-DE"/>
              </w:rPr>
            </w:pPr>
            <w:r w:rsidRPr="00361664">
              <w:rPr>
                <w:b/>
                <w:color w:val="000000"/>
                <w:sz w:val="20"/>
                <w:szCs w:val="20"/>
                <w:lang w:eastAsia="de-DE"/>
              </w:rPr>
              <w:t xml:space="preserve">Razvoj infrastrukture za alternativna goriva </w:t>
            </w:r>
          </w:p>
        </w:tc>
      </w:tr>
      <w:tr w:rsidR="00F60742" w:rsidRPr="00361664" w:rsidTr="00F60742">
        <w:trPr>
          <w:trHeight w:val="20"/>
        </w:trPr>
        <w:tc>
          <w:tcPr>
            <w:tcW w:w="1514" w:type="pct"/>
            <w:gridSpan w:val="2"/>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Indeks mjere</w:t>
            </w:r>
          </w:p>
        </w:tc>
        <w:tc>
          <w:tcPr>
            <w:tcW w:w="3486" w:type="pct"/>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T.5</w:t>
            </w:r>
          </w:p>
        </w:tc>
      </w:tr>
      <w:tr w:rsidR="00F60742" w:rsidRPr="00361664" w:rsidTr="00F60742">
        <w:trPr>
          <w:trHeight w:val="20"/>
        </w:trPr>
        <w:tc>
          <w:tcPr>
            <w:tcW w:w="670" w:type="pct"/>
            <w:vMerge w:val="restar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Opis</w:t>
            </w: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Kategorija</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Infrastruktura, strateško planiranje</w:t>
            </w: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Vremenski okvir</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Početak: 2014.</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Kraj: 2030. </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Predviđene veće promjene, dopune, poboljšanja: </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Mjera je nastavljena iz 3. NAPEnU.</w:t>
            </w: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Cilj / kratak opis</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Cilj ove mjere je olakšati prihvaćanje alternativnih goriva od strane korisnika/potrošača jačanjem infrastrukture za distribuciju alternativnih goriva i provedbom zajedničkih tehničkih specifikacija za ovu infrastrukturu. </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Mjera prati Direktivu o uspostavi infrastrukture za alternativna goriva, Zakon </w:t>
            </w:r>
            <w:r w:rsidRPr="00361664">
              <w:rPr>
                <w:sz w:val="20"/>
                <w:szCs w:val="20"/>
                <w:lang w:eastAsia="de-DE"/>
              </w:rPr>
              <w:lastRenderedPageBreak/>
              <w:t xml:space="preserve">o uspostavi infrastrukture za alternativna goriva i nacrt Nacionalnog okvira politike (NOP) te potiče izgradnju punionica u skladu s navedenim dokumentima. </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Ovom infrastrukturnom mjerom se neće direktno utjecati na smanjenje potrošnje goriva u prometu, no svakako je razvoj infrastrukture nužan preduvjet razvoju tržišta vozila koja koriste električnu energiju, SPP I UPP u Hrvatskoj. </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Ciljna neposredna potrošnja</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Cestovna vozila, plovila u unutarnjoj plovidbi, pomorski brodovi</w:t>
            </w: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Ciljna skupina</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Regionalna primjena</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Nacionalna</w:t>
            </w:r>
          </w:p>
        </w:tc>
      </w:tr>
      <w:tr w:rsidR="00F60742" w:rsidRPr="00361664" w:rsidTr="00F60742">
        <w:trPr>
          <w:trHeight w:val="20"/>
        </w:trPr>
        <w:tc>
          <w:tcPr>
            <w:tcW w:w="670" w:type="pct"/>
            <w:vMerge w:val="restar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Informacije o  provedbi</w:t>
            </w: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Popis i opis aktivnosti za provođenje mjere </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Prema nacrtu Nacionalnog okvira politike (razvijenom u skladu s Direktivom) postavljeni su ciljevi:</w:t>
            </w:r>
          </w:p>
          <w:p w:rsidR="00F60742" w:rsidRPr="00361664" w:rsidRDefault="00F60742" w:rsidP="00F60742">
            <w:pPr>
              <w:numPr>
                <w:ilvl w:val="0"/>
                <w:numId w:val="43"/>
              </w:numPr>
              <w:tabs>
                <w:tab w:val="left" w:pos="1440"/>
                <w:tab w:val="left" w:pos="5040"/>
                <w:tab w:val="right" w:pos="8504"/>
              </w:tabs>
              <w:spacing w:after="0" w:line="240" w:lineRule="auto"/>
              <w:jc w:val="both"/>
              <w:rPr>
                <w:sz w:val="20"/>
                <w:szCs w:val="20"/>
                <w:lang w:eastAsia="de-DE"/>
              </w:rPr>
            </w:pPr>
            <w:r w:rsidRPr="00361664">
              <w:rPr>
                <w:sz w:val="20"/>
                <w:szCs w:val="20"/>
                <w:lang w:eastAsia="de-DE"/>
              </w:rPr>
              <w:t>Električna energija</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U 2016. godini u RH je registrirano 856 vozila koja koriste napajanje električnom energijom, od čeka 299 osobnih vozila, 55 teretnih automobila, 250 mopeda, 183 motocikla, 3 autobusa, 66 traktora i ne cestovnih vozila. Bilježi se 126 javno dostupnih punionica.</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t>U cilju pokrivanja minimalnih potreba za funkcioniranje elektromobilnosti, prijedlog o broju punionica i utičnih mjesta zasnovan je na scenariju niskog udjela prijenosa energije na mreži javnih punionica. Adekvatno prateći rast tržišta EV-a, do 2020 nužno je osigurati minimalno 296 utičnih mjesta (222 AC minimalne snage 22/(11)kW, 74 DC minimalne snage 50kW) na 164 punionice</w:t>
            </w:r>
          </w:p>
          <w:p w:rsidR="00F60742" w:rsidRPr="00361664" w:rsidRDefault="00F60742" w:rsidP="00F60742">
            <w:pPr>
              <w:widowControl w:val="0"/>
              <w:numPr>
                <w:ilvl w:val="0"/>
                <w:numId w:val="43"/>
              </w:numPr>
              <w:autoSpaceDE w:val="0"/>
              <w:autoSpaceDN w:val="0"/>
              <w:adjustRightInd w:val="0"/>
              <w:spacing w:after="0" w:line="243" w:lineRule="exact"/>
              <w:contextualSpacing/>
              <w:jc w:val="both"/>
              <w:rPr>
                <w:sz w:val="20"/>
                <w:szCs w:val="20"/>
                <w:lang w:eastAsia="de-DE"/>
              </w:rPr>
            </w:pPr>
            <w:r w:rsidRPr="00361664">
              <w:rPr>
                <w:sz w:val="20"/>
                <w:szCs w:val="20"/>
                <w:lang w:eastAsia="de-DE"/>
              </w:rPr>
              <w:t>Ukapljeni prirodni plin (UPP)</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t>U Republici Hrvatskoj ne postoji infrastruktura za UPP, te nije registrirano niti jedno vozilo ili plovilo koje koristi ovaj energent.</w:t>
            </w:r>
          </w:p>
          <w:p w:rsidR="00F60742" w:rsidRPr="00361664" w:rsidRDefault="00F60742" w:rsidP="00F60742">
            <w:pPr>
              <w:widowControl w:val="0"/>
              <w:numPr>
                <w:ilvl w:val="1"/>
                <w:numId w:val="44"/>
              </w:numPr>
              <w:autoSpaceDE w:val="0"/>
              <w:autoSpaceDN w:val="0"/>
              <w:adjustRightInd w:val="0"/>
              <w:spacing w:after="0" w:line="243" w:lineRule="exact"/>
              <w:contextualSpacing/>
              <w:jc w:val="both"/>
              <w:rPr>
                <w:sz w:val="20"/>
                <w:szCs w:val="20"/>
                <w:lang w:eastAsia="de-DE"/>
              </w:rPr>
            </w:pPr>
            <w:r w:rsidRPr="00361664">
              <w:rPr>
                <w:sz w:val="20"/>
                <w:szCs w:val="20"/>
                <w:lang w:eastAsia="de-DE"/>
              </w:rPr>
              <w:t>UPP u pomorskoj plovidbi</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t xml:space="preserve">U skladu s izrađenom </w:t>
            </w:r>
            <w:r w:rsidR="00D0277A" w:rsidRPr="00361664">
              <w:rPr>
                <w:sz w:val="20"/>
                <w:szCs w:val="20"/>
                <w:lang w:eastAsia="de-DE"/>
              </w:rPr>
              <w:t>preliminarnom</w:t>
            </w:r>
            <w:r w:rsidRPr="00361664">
              <w:rPr>
                <w:sz w:val="20"/>
                <w:szCs w:val="20"/>
                <w:lang w:eastAsia="de-DE"/>
              </w:rPr>
              <w:t xml:space="preserve"> analizom mogućih ekonomsko isplativih lokacija za uspostavu UPP infrastrukture te uzimajući u obzir nepouzdanost predviđanja o razvoju tržišta predviđena je potreba izgradnje infrastrukture za prekrcaj i opskrbu UPP-a u Rijeci do 2025. godine te Puli, Zadru, Šibeniku, Splitu, Pločama i Dubrovniku do 2030. </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br/>
              <w:t>U razmatranom razdoblju 4. NAPEnU, nije planirana izgradnja infrastrukture za UPP u pomorskom prometu.</w:t>
            </w:r>
          </w:p>
          <w:p w:rsidR="00F60742" w:rsidRPr="00361664" w:rsidRDefault="00F60742" w:rsidP="00F60742">
            <w:pPr>
              <w:widowControl w:val="0"/>
              <w:numPr>
                <w:ilvl w:val="1"/>
                <w:numId w:val="44"/>
              </w:numPr>
              <w:autoSpaceDE w:val="0"/>
              <w:autoSpaceDN w:val="0"/>
              <w:adjustRightInd w:val="0"/>
              <w:spacing w:after="0" w:line="243" w:lineRule="exact"/>
              <w:contextualSpacing/>
              <w:jc w:val="both"/>
              <w:rPr>
                <w:sz w:val="20"/>
                <w:szCs w:val="20"/>
                <w:lang w:eastAsia="de-DE"/>
              </w:rPr>
            </w:pPr>
            <w:r w:rsidRPr="00361664">
              <w:rPr>
                <w:sz w:val="20"/>
                <w:szCs w:val="20"/>
                <w:lang w:eastAsia="de-DE"/>
              </w:rPr>
              <w:t xml:space="preserve">UPP u unutarnjoj plovidbi </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t>Nije moguće pouzdano predvidjeti broj plovila na UPP u unutarnjoj plovidbi u idućem desetljeću.</w:t>
            </w:r>
          </w:p>
          <w:p w:rsidR="00F60742" w:rsidRPr="00361664" w:rsidRDefault="00F60742" w:rsidP="00F60742">
            <w:pPr>
              <w:widowControl w:val="0"/>
              <w:numPr>
                <w:ilvl w:val="1"/>
                <w:numId w:val="44"/>
              </w:numPr>
              <w:autoSpaceDE w:val="0"/>
              <w:autoSpaceDN w:val="0"/>
              <w:adjustRightInd w:val="0"/>
              <w:spacing w:after="0" w:line="243" w:lineRule="exact"/>
              <w:contextualSpacing/>
              <w:jc w:val="both"/>
              <w:rPr>
                <w:sz w:val="20"/>
                <w:szCs w:val="20"/>
                <w:lang w:eastAsia="de-DE"/>
              </w:rPr>
            </w:pPr>
            <w:r w:rsidRPr="00361664">
              <w:rPr>
                <w:sz w:val="20"/>
                <w:szCs w:val="20"/>
                <w:lang w:eastAsia="de-DE"/>
              </w:rPr>
              <w:t>UPP u cestovnom prometu</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t xml:space="preserve">Procjenjuje se potreba instalacije punionica na rubnim dijelovima gradova Zagreba i Rijeke do 2025. godine, te na rubnim dijelovima gradova Zadra, Splita, Ploča, Slavonskog broda i Osijeka do 2030. godine. </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t>U razmatranom razdoblju 4. NAPEnU, nije planirana izgradnja infrastrukture za UPP u cestovnom prometu</w:t>
            </w:r>
          </w:p>
          <w:p w:rsidR="00F60742" w:rsidRPr="00361664" w:rsidRDefault="00F60742" w:rsidP="00F60742">
            <w:pPr>
              <w:widowControl w:val="0"/>
              <w:numPr>
                <w:ilvl w:val="0"/>
                <w:numId w:val="43"/>
              </w:numPr>
              <w:autoSpaceDE w:val="0"/>
              <w:autoSpaceDN w:val="0"/>
              <w:adjustRightInd w:val="0"/>
              <w:spacing w:after="0" w:line="243" w:lineRule="exact"/>
              <w:contextualSpacing/>
              <w:jc w:val="both"/>
              <w:rPr>
                <w:sz w:val="20"/>
                <w:szCs w:val="20"/>
                <w:lang w:eastAsia="de-DE"/>
              </w:rPr>
            </w:pPr>
            <w:r w:rsidRPr="00361664">
              <w:rPr>
                <w:sz w:val="20"/>
                <w:szCs w:val="20"/>
                <w:lang w:eastAsia="de-DE"/>
              </w:rPr>
              <w:t>Stlačeni prirodni plin (SPP)</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t>U Republici Hrvatskoj u 2016. godine bilo je registrirano 208 osobnih vozila, 84 teretnih automobile, 10 mopeda, 6 motocikala, 108 autobusa te 11 traktora s pogonom na SPP. U Hrvatskoj trenutno postoje 2 javno dostupne punionice za SPP (u Zagrebu i Rijeci).</w:t>
            </w:r>
          </w:p>
          <w:p w:rsidR="00F60742" w:rsidRPr="00361664" w:rsidRDefault="00F60742" w:rsidP="00F60742">
            <w:pPr>
              <w:widowControl w:val="0"/>
              <w:autoSpaceDE w:val="0"/>
              <w:autoSpaceDN w:val="0"/>
              <w:adjustRightInd w:val="0"/>
              <w:spacing w:after="0" w:line="243" w:lineRule="exact"/>
              <w:jc w:val="both"/>
              <w:rPr>
                <w:sz w:val="20"/>
                <w:szCs w:val="20"/>
                <w:lang w:eastAsia="de-DE"/>
              </w:rPr>
            </w:pPr>
            <w:r w:rsidRPr="00361664">
              <w:rPr>
                <w:sz w:val="20"/>
                <w:szCs w:val="20"/>
                <w:lang w:eastAsia="de-DE"/>
              </w:rPr>
              <w:t xml:space="preserve">Do 2020. godine prema nacrtu NOP-a predviđeno je otvaranje punionica na 11 lokacija i to u Puli, Zadru, Šibeniku, Splitu, Dubrovniku, Karlovcu, Sisku, </w:t>
            </w:r>
            <w:r w:rsidRPr="00361664">
              <w:rPr>
                <w:sz w:val="20"/>
                <w:szCs w:val="20"/>
                <w:lang w:eastAsia="de-DE"/>
              </w:rPr>
              <w:lastRenderedPageBreak/>
              <w:t>Osijeku, Varaždinu, Čakovcu i Zagrebu. Pretpostavka je da će se u razdoblju 4. NAPEnU izgraditi 9 punionica. Osim toga, predviđeno je da se u 2017. godini naprave studijske analize za sve gradove u kojima je predviđeno postavljanje punionica.</w:t>
            </w:r>
          </w:p>
        </w:tc>
      </w:tr>
      <w:tr w:rsidR="00F60742" w:rsidRPr="00361664" w:rsidTr="00F60742">
        <w:trPr>
          <w:trHeight w:val="745"/>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Financijska sredstva i izvori financiranja</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rFonts w:asciiTheme="minorHAnsi" w:hAnsiTheme="minorHAnsi"/>
                <w:sz w:val="20"/>
                <w:szCs w:val="20"/>
                <w:lang w:eastAsia="de-DE"/>
              </w:rPr>
              <w:t>FZOEU - financiranje sredstvima stečenim od prodaje emisijskih jedinica putem dražbe na sustavu trgovanja emisijskim jedinicama EU-a temeljem Zakona o zaštiti zraka (</w:t>
            </w:r>
            <w:r w:rsidR="00C44613" w:rsidRPr="00361664">
              <w:rPr>
                <w:rFonts w:asciiTheme="minorHAnsi" w:hAnsiTheme="minorHAnsi"/>
                <w:sz w:val="20"/>
                <w:szCs w:val="20"/>
                <w:lang w:eastAsia="de-DE"/>
              </w:rPr>
              <w:t>NN 130/11, 47/14, 61/17</w:t>
            </w:r>
            <w:r w:rsidR="004D41FC" w:rsidRPr="00361664">
              <w:rPr>
                <w:rFonts w:asciiTheme="minorHAnsi" w:hAnsiTheme="minorHAnsi"/>
                <w:sz w:val="20"/>
                <w:szCs w:val="20"/>
                <w:lang w:eastAsia="de-DE"/>
              </w:rPr>
              <w:t xml:space="preserve"> u ukupnom iznosu 21.268.900,00 kn do kraja</w:t>
            </w:r>
            <w:r w:rsidR="0067259A" w:rsidRPr="00361664">
              <w:rPr>
                <w:sz w:val="20"/>
              </w:rPr>
              <w:t xml:space="preserve"> 2019. godine.</w:t>
            </w:r>
          </w:p>
          <w:p w:rsidR="00336CB1" w:rsidRPr="00361664" w:rsidRDefault="00336CB1" w:rsidP="00336CB1">
            <w:pPr>
              <w:tabs>
                <w:tab w:val="left" w:pos="1440"/>
                <w:tab w:val="left" w:pos="5040"/>
                <w:tab w:val="right" w:pos="8504"/>
              </w:tabs>
              <w:spacing w:after="0" w:line="240" w:lineRule="auto"/>
              <w:jc w:val="both"/>
              <w:rPr>
                <w:sz w:val="20"/>
                <w:szCs w:val="20"/>
                <w:lang w:eastAsia="de-DE"/>
              </w:rPr>
            </w:pPr>
            <w:r w:rsidRPr="00361664">
              <w:rPr>
                <w:sz w:val="20"/>
                <w:szCs w:val="20"/>
                <w:lang w:eastAsia="de-DE"/>
              </w:rPr>
              <w:t>Uz s</w:t>
            </w:r>
            <w:r w:rsidR="00034741" w:rsidRPr="00361664">
              <w:rPr>
                <w:sz w:val="20"/>
                <w:szCs w:val="20"/>
                <w:lang w:eastAsia="de-DE"/>
              </w:rPr>
              <w:t>redstva iz FZOEU, razvoj infrastrukture za alternativna goriva može se financirati i putem programa CEF - Instrument za povezivanje Europe  (Connecting Europe Facility)</w:t>
            </w: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Izvršno  tijelo</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rFonts w:cs="Calibri"/>
                <w:sz w:val="20"/>
                <w:szCs w:val="20"/>
                <w:lang w:eastAsia="de-DE"/>
              </w:rPr>
            </w:pPr>
            <w:r w:rsidRPr="00361664">
              <w:rPr>
                <w:rFonts w:cs="Calibri"/>
                <w:sz w:val="20"/>
                <w:szCs w:val="20"/>
                <w:lang w:eastAsia="de-DE"/>
              </w:rPr>
              <w:t>FZOEU (sufinanciranje i raspisivanje natječaja)</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rFonts w:cs="Calibri"/>
                <w:sz w:val="20"/>
                <w:szCs w:val="20"/>
                <w:lang w:eastAsia="de-DE"/>
              </w:rPr>
              <w:t>JLP(R)S</w:t>
            </w: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 xml:space="preserve">Tijelo za praćenje, mjerenje i verifikaciju ušteda </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rFonts w:cs="Calibri"/>
                <w:sz w:val="20"/>
                <w:szCs w:val="20"/>
                <w:lang w:eastAsia="de-DE"/>
              </w:rPr>
              <w:t>NKT</w:t>
            </w:r>
          </w:p>
        </w:tc>
      </w:tr>
      <w:tr w:rsidR="00F60742" w:rsidRPr="00361664" w:rsidTr="00F60742">
        <w:trPr>
          <w:trHeight w:val="20"/>
        </w:trPr>
        <w:tc>
          <w:tcPr>
            <w:tcW w:w="670" w:type="pct"/>
            <w:vMerge w:val="restart"/>
            <w:vAlign w:val="center"/>
          </w:tcPr>
          <w:p w:rsidR="00F60742" w:rsidRPr="00361664" w:rsidRDefault="00F60742" w:rsidP="00F60742">
            <w:pPr>
              <w:tabs>
                <w:tab w:val="left" w:pos="1440"/>
                <w:tab w:val="left" w:pos="5040"/>
                <w:tab w:val="right" w:pos="8504"/>
              </w:tabs>
              <w:spacing w:after="0" w:line="240" w:lineRule="auto"/>
              <w:jc w:val="both"/>
              <w:rPr>
                <w:color w:val="FF0000"/>
                <w:sz w:val="20"/>
                <w:szCs w:val="20"/>
                <w:lang w:eastAsia="de-DE"/>
              </w:rPr>
            </w:pPr>
            <w:r w:rsidRPr="00361664">
              <w:rPr>
                <w:sz w:val="20"/>
                <w:szCs w:val="20"/>
                <w:lang w:eastAsia="de-DE"/>
              </w:rPr>
              <w:t>Uštede energije</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Metoda praćenja / mjerenja ušteda energije</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Naknadno će se odrediti.</w:t>
            </w: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color w:val="FF0000"/>
                <w:sz w:val="20"/>
                <w:szCs w:val="20"/>
                <w:lang w:eastAsia="de-DE"/>
              </w:rPr>
            </w:pPr>
            <w:r w:rsidRPr="00361664">
              <w:rPr>
                <w:sz w:val="20"/>
                <w:szCs w:val="20"/>
                <w:lang w:eastAsia="de-DE"/>
              </w:rPr>
              <w:t>Očekivane uštede energije do kraja 2019.</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rFonts w:asciiTheme="minorHAnsi" w:hAnsiTheme="minorHAnsi"/>
                <w:sz w:val="20"/>
                <w:szCs w:val="20"/>
                <w:lang w:eastAsia="de-DE"/>
              </w:rPr>
              <w:t>Nije procijenjeno</w:t>
            </w: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Očekivane uštede energije do kraja 2020.</w:t>
            </w: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rFonts w:asciiTheme="minorHAnsi" w:hAnsiTheme="minorHAnsi"/>
                <w:sz w:val="20"/>
                <w:szCs w:val="20"/>
                <w:lang w:eastAsia="de-DE"/>
              </w:rPr>
              <w:t>Nije procijenjeno</w:t>
            </w:r>
          </w:p>
        </w:tc>
      </w:tr>
      <w:tr w:rsidR="00F60742" w:rsidRPr="00361664" w:rsidTr="00F60742">
        <w:trPr>
          <w:trHeight w:val="20"/>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color w:val="FF0000"/>
                <w:sz w:val="20"/>
                <w:szCs w:val="20"/>
                <w:lang w:eastAsia="de-DE"/>
              </w:rPr>
            </w:pPr>
            <w:r w:rsidRPr="00361664">
              <w:rPr>
                <w:sz w:val="20"/>
                <w:szCs w:val="20"/>
                <w:lang w:eastAsia="de-DE"/>
              </w:rPr>
              <w:t>Pretpostavke</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rFonts w:cs="Calibri"/>
                <w:sz w:val="20"/>
                <w:szCs w:val="20"/>
                <w:lang w:eastAsia="de-DE"/>
              </w:rPr>
              <w:t>Razvojem infrastrukture potiče se kupnja energetski učinkovitijih vozila i vozila s manjim emisijama stakleničkih plinova</w:t>
            </w:r>
          </w:p>
        </w:tc>
      </w:tr>
      <w:tr w:rsidR="00F60742" w:rsidRPr="00361664" w:rsidTr="00F60742">
        <w:trPr>
          <w:trHeight w:val="595"/>
        </w:trPr>
        <w:tc>
          <w:tcPr>
            <w:tcW w:w="670" w:type="pct"/>
            <w:vMerge/>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844"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Preklapanja, efekt množenja, sinergija</w:t>
            </w:r>
          </w:p>
          <w:p w:rsidR="00F60742" w:rsidRPr="00361664" w:rsidRDefault="00F60742" w:rsidP="00F60742">
            <w:pPr>
              <w:tabs>
                <w:tab w:val="left" w:pos="1440"/>
                <w:tab w:val="left" w:pos="5040"/>
                <w:tab w:val="right" w:pos="8504"/>
              </w:tabs>
              <w:spacing w:after="0" w:line="240" w:lineRule="auto"/>
              <w:jc w:val="both"/>
              <w:rPr>
                <w:sz w:val="20"/>
                <w:szCs w:val="20"/>
                <w:lang w:eastAsia="de-DE"/>
              </w:rPr>
            </w:pPr>
          </w:p>
        </w:tc>
        <w:tc>
          <w:tcPr>
            <w:tcW w:w="3486" w:type="pct"/>
            <w:vAlign w:val="center"/>
          </w:tcPr>
          <w:p w:rsidR="00F60742" w:rsidRPr="00361664" w:rsidRDefault="00F60742" w:rsidP="00F60742">
            <w:pPr>
              <w:tabs>
                <w:tab w:val="left" w:pos="1440"/>
                <w:tab w:val="left" w:pos="5040"/>
                <w:tab w:val="right" w:pos="8504"/>
              </w:tabs>
              <w:spacing w:after="0" w:line="240" w:lineRule="auto"/>
              <w:jc w:val="both"/>
              <w:rPr>
                <w:sz w:val="20"/>
                <w:szCs w:val="20"/>
                <w:lang w:eastAsia="de-DE"/>
              </w:rPr>
            </w:pPr>
            <w:r w:rsidRPr="00361664">
              <w:rPr>
                <w:sz w:val="20"/>
                <w:szCs w:val="20"/>
                <w:lang w:eastAsia="de-DE"/>
              </w:rPr>
              <w:t>Ova mjera ima utjecaja na mnoge industrijske grane/sektore, naknadno će se definirati</w:t>
            </w:r>
          </w:p>
        </w:tc>
      </w:tr>
    </w:tbl>
    <w:p w:rsidR="00651BCA" w:rsidRPr="00361664" w:rsidRDefault="00651BCA" w:rsidP="00651BCA">
      <w:pPr>
        <w:jc w:val="both"/>
      </w:pPr>
    </w:p>
    <w:tbl>
      <w:tblPr>
        <w:tblStyle w:val="TableGrid2"/>
        <w:tblW w:w="9322" w:type="dxa"/>
        <w:tblLook w:val="04A0" w:firstRow="1" w:lastRow="0" w:firstColumn="1" w:lastColumn="0" w:noHBand="0" w:noVBand="1"/>
      </w:tblPr>
      <w:tblGrid>
        <w:gridCol w:w="1271"/>
        <w:gridCol w:w="1606"/>
        <w:gridCol w:w="6445"/>
      </w:tblGrid>
      <w:tr w:rsidR="00F60742" w:rsidRPr="00361664" w:rsidTr="00FD4783">
        <w:trPr>
          <w:trHeight w:val="315"/>
        </w:trPr>
        <w:tc>
          <w:tcPr>
            <w:tcW w:w="2877" w:type="dxa"/>
            <w:gridSpan w:val="2"/>
            <w:shd w:val="clear" w:color="auto" w:fill="CCFFCC"/>
            <w:vAlign w:val="center"/>
            <w:hideMark/>
          </w:tcPr>
          <w:p w:rsidR="00F60742" w:rsidRPr="00361664" w:rsidRDefault="00F60742" w:rsidP="00F60742">
            <w:pPr>
              <w:jc w:val="both"/>
              <w:rPr>
                <w:rFonts w:asciiTheme="minorHAnsi" w:hAnsiTheme="minorHAnsi"/>
                <w:b/>
                <w:iCs/>
              </w:rPr>
            </w:pPr>
            <w:r w:rsidRPr="00361664">
              <w:rPr>
                <w:rFonts w:asciiTheme="minorHAnsi" w:hAnsiTheme="minorHAnsi"/>
                <w:b/>
                <w:iCs/>
              </w:rPr>
              <w:t xml:space="preserve">Naziv mjere </w:t>
            </w:r>
          </w:p>
        </w:tc>
        <w:tc>
          <w:tcPr>
            <w:tcW w:w="6445" w:type="dxa"/>
            <w:shd w:val="clear" w:color="auto" w:fill="CCFFCC"/>
            <w:vAlign w:val="center"/>
            <w:hideMark/>
          </w:tcPr>
          <w:p w:rsidR="00F60742" w:rsidRPr="00361664" w:rsidRDefault="00F60742" w:rsidP="00F60742">
            <w:pPr>
              <w:jc w:val="both"/>
              <w:rPr>
                <w:rFonts w:asciiTheme="minorHAnsi" w:hAnsiTheme="minorHAnsi"/>
                <w:b/>
                <w:bCs/>
                <w:iCs/>
              </w:rPr>
            </w:pPr>
            <w:r w:rsidRPr="00361664">
              <w:rPr>
                <w:rFonts w:asciiTheme="minorHAnsi" w:hAnsiTheme="minorHAnsi"/>
                <w:b/>
                <w:bCs/>
                <w:iCs/>
              </w:rPr>
              <w:t>Uspostava posebnog poreza na motorna vozila na temelju emisija CO</w:t>
            </w:r>
            <w:r w:rsidRPr="00361664">
              <w:rPr>
                <w:rFonts w:asciiTheme="minorHAnsi" w:hAnsiTheme="minorHAnsi"/>
                <w:b/>
                <w:bCs/>
                <w:iCs/>
                <w:vertAlign w:val="subscript"/>
              </w:rPr>
              <w:t>2</w:t>
            </w:r>
          </w:p>
        </w:tc>
      </w:tr>
      <w:tr w:rsidR="00F60742" w:rsidRPr="00361664" w:rsidTr="00FD4783">
        <w:trPr>
          <w:trHeight w:val="315"/>
        </w:trPr>
        <w:tc>
          <w:tcPr>
            <w:tcW w:w="2877" w:type="dxa"/>
            <w:gridSpan w:val="2"/>
            <w:hideMark/>
          </w:tcPr>
          <w:p w:rsidR="00F60742" w:rsidRPr="00361664" w:rsidRDefault="00F60742" w:rsidP="00F60742">
            <w:pPr>
              <w:jc w:val="both"/>
              <w:rPr>
                <w:rFonts w:asciiTheme="minorHAnsi" w:hAnsiTheme="minorHAnsi"/>
                <w:iCs/>
              </w:rPr>
            </w:pPr>
            <w:r w:rsidRPr="00361664">
              <w:rPr>
                <w:rFonts w:asciiTheme="minorHAnsi" w:hAnsiTheme="minorHAnsi"/>
                <w:iCs/>
              </w:rPr>
              <w:t>Indeks mjere</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T.6</w:t>
            </w:r>
          </w:p>
        </w:tc>
      </w:tr>
      <w:tr w:rsidR="00F60742" w:rsidRPr="00361664" w:rsidTr="00FD4783">
        <w:trPr>
          <w:trHeight w:val="315"/>
        </w:trPr>
        <w:tc>
          <w:tcPr>
            <w:tcW w:w="1271" w:type="dxa"/>
            <w:vMerge w:val="restart"/>
            <w:hideMark/>
          </w:tcPr>
          <w:p w:rsidR="00F60742" w:rsidRPr="00361664" w:rsidRDefault="00F60742" w:rsidP="00F60742">
            <w:pPr>
              <w:jc w:val="both"/>
              <w:rPr>
                <w:rFonts w:asciiTheme="minorHAnsi" w:hAnsiTheme="minorHAnsi"/>
              </w:rPr>
            </w:pPr>
            <w:r w:rsidRPr="00361664">
              <w:rPr>
                <w:rFonts w:asciiTheme="minorHAnsi" w:hAnsiTheme="minorHAnsi"/>
              </w:rPr>
              <w:t>Opis</w:t>
            </w: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Kategorija</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Financijski instrumenti</w:t>
            </w:r>
          </w:p>
        </w:tc>
      </w:tr>
      <w:tr w:rsidR="00F60742" w:rsidRPr="00361664" w:rsidTr="00FD4783">
        <w:trPr>
          <w:trHeight w:val="93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Vremenski okvir</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Početak: 2014.</w:t>
            </w:r>
          </w:p>
          <w:p w:rsidR="00F60742" w:rsidRPr="00361664" w:rsidRDefault="00F60742" w:rsidP="00F60742">
            <w:pPr>
              <w:jc w:val="both"/>
              <w:rPr>
                <w:rFonts w:asciiTheme="minorHAnsi" w:hAnsiTheme="minorHAnsi"/>
                <w:iCs/>
              </w:rPr>
            </w:pPr>
            <w:r w:rsidRPr="00361664">
              <w:rPr>
                <w:rFonts w:asciiTheme="minorHAnsi" w:hAnsiTheme="minorHAnsi"/>
                <w:iCs/>
              </w:rPr>
              <w:t>Kraj: 2020.</w:t>
            </w:r>
          </w:p>
          <w:p w:rsidR="00F60742" w:rsidRPr="00361664" w:rsidRDefault="00F60742" w:rsidP="00F60742">
            <w:pPr>
              <w:jc w:val="both"/>
              <w:rPr>
                <w:rFonts w:asciiTheme="minorHAnsi" w:hAnsiTheme="minorHAnsi"/>
                <w:iCs/>
              </w:rPr>
            </w:pPr>
            <w:r w:rsidRPr="00361664">
              <w:rPr>
                <w:rFonts w:asciiTheme="minorHAnsi" w:hAnsiTheme="minorHAnsi"/>
                <w:iCs/>
              </w:rPr>
              <w:t>Mjera je nastavljena iz 3. NAPEnU</w:t>
            </w:r>
          </w:p>
        </w:tc>
      </w:tr>
      <w:tr w:rsidR="00F60742" w:rsidRPr="00361664" w:rsidTr="00FD4783">
        <w:trPr>
          <w:trHeight w:val="450"/>
        </w:trPr>
        <w:tc>
          <w:tcPr>
            <w:tcW w:w="1271" w:type="dxa"/>
            <w:vMerge/>
            <w:hideMark/>
          </w:tcPr>
          <w:p w:rsidR="00F60742" w:rsidRPr="00361664" w:rsidRDefault="00F60742" w:rsidP="00F60742">
            <w:pPr>
              <w:jc w:val="both"/>
              <w:rPr>
                <w:rFonts w:asciiTheme="minorHAnsi" w:hAnsiTheme="minorHAnsi"/>
              </w:rPr>
            </w:pPr>
          </w:p>
        </w:tc>
        <w:tc>
          <w:tcPr>
            <w:tcW w:w="1606" w:type="dxa"/>
            <w:vMerge w:val="restart"/>
            <w:hideMark/>
          </w:tcPr>
          <w:p w:rsidR="00F60742" w:rsidRPr="00361664" w:rsidRDefault="00F60742" w:rsidP="00F60742">
            <w:pPr>
              <w:jc w:val="both"/>
              <w:rPr>
                <w:rFonts w:asciiTheme="minorHAnsi" w:hAnsiTheme="minorHAnsi"/>
              </w:rPr>
            </w:pPr>
            <w:r w:rsidRPr="00361664">
              <w:rPr>
                <w:rFonts w:asciiTheme="minorHAnsi" w:hAnsiTheme="minorHAnsi"/>
              </w:rPr>
              <w:t>Cilj / kratak opis</w:t>
            </w:r>
          </w:p>
        </w:tc>
        <w:tc>
          <w:tcPr>
            <w:tcW w:w="6445" w:type="dxa"/>
            <w:tcBorders>
              <w:top w:val="single" w:sz="2" w:space="0" w:color="auto"/>
              <w:left w:val="single" w:sz="2" w:space="0" w:color="auto"/>
              <w:bottom w:val="nil"/>
              <w:right w:val="single" w:sz="2" w:space="0" w:color="auto"/>
            </w:tcBorders>
          </w:tcPr>
          <w:p w:rsidR="00F60742" w:rsidRPr="00361664" w:rsidRDefault="00F60742" w:rsidP="00F60742">
            <w:pPr>
              <w:jc w:val="both"/>
              <w:rPr>
                <w:rFonts w:asciiTheme="minorHAnsi" w:hAnsiTheme="minorHAnsi"/>
                <w:iCs/>
              </w:rPr>
            </w:pPr>
            <w:r w:rsidRPr="00361664">
              <w:rPr>
                <w:rFonts w:asciiTheme="minorHAnsi" w:hAnsiTheme="minorHAnsi"/>
                <w:iCs/>
              </w:rPr>
              <w:t>U cilju smanjenja emisija iz prometa kao mjera za ostvarenje ovog cilja je uspostava posebnog poreza na motorna vozila. Bazirajući se na načelu „onečišćivač plaća“, model se obračunava s obzirom na emisije  CO</w:t>
            </w:r>
            <w:r w:rsidRPr="00361664">
              <w:rPr>
                <w:rFonts w:asciiTheme="minorHAnsi" w:hAnsiTheme="minorHAnsi"/>
                <w:iCs/>
                <w:vertAlign w:val="subscript"/>
              </w:rPr>
              <w:t>2</w:t>
            </w:r>
            <w:r w:rsidRPr="00361664">
              <w:rPr>
                <w:rFonts w:asciiTheme="minorHAnsi" w:hAnsiTheme="minorHAnsi"/>
                <w:iCs/>
              </w:rPr>
              <w:t xml:space="preserve"> u zrak iz motornih vozila. </w:t>
            </w:r>
          </w:p>
        </w:tc>
      </w:tr>
      <w:tr w:rsidR="00F60742" w:rsidRPr="00361664" w:rsidTr="00FD4783">
        <w:trPr>
          <w:trHeight w:val="450"/>
        </w:trPr>
        <w:tc>
          <w:tcPr>
            <w:tcW w:w="1271" w:type="dxa"/>
            <w:vMerge/>
            <w:hideMark/>
          </w:tcPr>
          <w:p w:rsidR="00F60742" w:rsidRPr="00361664" w:rsidRDefault="00F60742" w:rsidP="00F60742">
            <w:pPr>
              <w:jc w:val="both"/>
              <w:rPr>
                <w:rFonts w:asciiTheme="minorHAnsi" w:hAnsiTheme="minorHAnsi"/>
              </w:rPr>
            </w:pPr>
          </w:p>
        </w:tc>
        <w:tc>
          <w:tcPr>
            <w:tcW w:w="1606" w:type="dxa"/>
            <w:vMerge/>
            <w:hideMark/>
          </w:tcPr>
          <w:p w:rsidR="00F60742" w:rsidRPr="00361664" w:rsidRDefault="00F60742" w:rsidP="00F60742">
            <w:pPr>
              <w:jc w:val="both"/>
              <w:rPr>
                <w:rFonts w:asciiTheme="minorHAnsi" w:hAnsiTheme="minorHAnsi"/>
              </w:rPr>
            </w:pPr>
          </w:p>
        </w:tc>
        <w:tc>
          <w:tcPr>
            <w:tcW w:w="6445" w:type="dxa"/>
            <w:tcBorders>
              <w:top w:val="nil"/>
              <w:left w:val="single" w:sz="2" w:space="0" w:color="auto"/>
              <w:bottom w:val="nil"/>
              <w:right w:val="single" w:sz="2" w:space="0" w:color="auto"/>
            </w:tcBorders>
          </w:tcPr>
          <w:p w:rsidR="00F60742" w:rsidRPr="00361664" w:rsidRDefault="00F60742" w:rsidP="00F60742">
            <w:pPr>
              <w:jc w:val="both"/>
              <w:rPr>
                <w:rFonts w:asciiTheme="minorHAnsi" w:hAnsiTheme="minorHAnsi"/>
                <w:iCs/>
              </w:rPr>
            </w:pPr>
            <w:r w:rsidRPr="00361664">
              <w:rPr>
                <w:rFonts w:asciiTheme="minorHAnsi" w:hAnsiTheme="minorHAnsi"/>
                <w:iCs/>
              </w:rPr>
              <w:t>Posebni porez utvrđuje se na temelju prodajne, odnosno tržišne cijene motornog vozila, emisije CO</w:t>
            </w:r>
            <w:r w:rsidRPr="00361664">
              <w:rPr>
                <w:rFonts w:asciiTheme="minorHAnsi" w:hAnsiTheme="minorHAnsi"/>
                <w:iCs/>
                <w:vertAlign w:val="subscript"/>
              </w:rPr>
              <w:t>2</w:t>
            </w:r>
            <w:r w:rsidRPr="00361664">
              <w:rPr>
                <w:rFonts w:asciiTheme="minorHAnsi" w:hAnsiTheme="minorHAnsi"/>
                <w:iCs/>
              </w:rPr>
              <w:t xml:space="preserve"> izražene u gramima po kilometru, obujmu motora u kubičnim centimetrima i razini emisije stakleničkih plinova.</w:t>
            </w:r>
          </w:p>
        </w:tc>
      </w:tr>
      <w:tr w:rsidR="00F60742" w:rsidRPr="00361664" w:rsidTr="00FD4783">
        <w:trPr>
          <w:trHeight w:val="450"/>
        </w:trPr>
        <w:tc>
          <w:tcPr>
            <w:tcW w:w="1271" w:type="dxa"/>
            <w:vMerge/>
            <w:hideMark/>
          </w:tcPr>
          <w:p w:rsidR="00F60742" w:rsidRPr="00361664" w:rsidRDefault="00F60742" w:rsidP="00F60742">
            <w:pPr>
              <w:jc w:val="both"/>
              <w:rPr>
                <w:rFonts w:asciiTheme="minorHAnsi" w:hAnsiTheme="minorHAnsi"/>
              </w:rPr>
            </w:pPr>
          </w:p>
        </w:tc>
        <w:tc>
          <w:tcPr>
            <w:tcW w:w="1606" w:type="dxa"/>
            <w:vMerge/>
            <w:hideMark/>
          </w:tcPr>
          <w:p w:rsidR="00F60742" w:rsidRPr="00361664" w:rsidRDefault="00F60742" w:rsidP="00F60742">
            <w:pPr>
              <w:jc w:val="both"/>
              <w:rPr>
                <w:rFonts w:asciiTheme="minorHAnsi" w:hAnsiTheme="minorHAnsi"/>
              </w:rPr>
            </w:pPr>
          </w:p>
        </w:tc>
        <w:tc>
          <w:tcPr>
            <w:tcW w:w="6445" w:type="dxa"/>
            <w:tcBorders>
              <w:top w:val="nil"/>
              <w:left w:val="single" w:sz="2" w:space="0" w:color="auto"/>
              <w:bottom w:val="nil"/>
              <w:right w:val="single" w:sz="2" w:space="0" w:color="auto"/>
            </w:tcBorders>
          </w:tcPr>
          <w:p w:rsidR="00F60742" w:rsidRPr="00361664" w:rsidRDefault="00F60742" w:rsidP="00F60742">
            <w:pPr>
              <w:jc w:val="both"/>
              <w:rPr>
                <w:rFonts w:asciiTheme="minorHAnsi" w:hAnsiTheme="minorHAnsi"/>
                <w:iCs/>
              </w:rPr>
            </w:pPr>
            <w:r w:rsidRPr="00361664">
              <w:rPr>
                <w:rFonts w:asciiTheme="minorHAnsi" w:hAnsiTheme="minorHAnsi"/>
                <w:iCs/>
              </w:rPr>
              <w:t>Motorna vozila koja se isključivo pokreću na električni pogon nisu predmet ovog oporezivanja, a za "plug-in" hibridna električna vozila iznos posebnog poreza umanjuje se za postotni iznos koji odgovara dosegu vozila u potpuno električnom načinu rada.</w:t>
            </w:r>
          </w:p>
        </w:tc>
      </w:tr>
      <w:tr w:rsidR="00F60742" w:rsidRPr="00361664" w:rsidTr="00FD4783">
        <w:trPr>
          <w:trHeight w:val="315"/>
        </w:trPr>
        <w:tc>
          <w:tcPr>
            <w:tcW w:w="1271" w:type="dxa"/>
            <w:vMerge/>
            <w:hideMark/>
          </w:tcPr>
          <w:p w:rsidR="00F60742" w:rsidRPr="00361664" w:rsidRDefault="00F60742" w:rsidP="00F60742">
            <w:pPr>
              <w:jc w:val="both"/>
              <w:rPr>
                <w:rFonts w:asciiTheme="minorHAnsi" w:hAnsiTheme="minorHAnsi"/>
              </w:rPr>
            </w:pPr>
          </w:p>
        </w:tc>
        <w:tc>
          <w:tcPr>
            <w:tcW w:w="1606" w:type="dxa"/>
            <w:vMerge/>
            <w:hideMark/>
          </w:tcPr>
          <w:p w:rsidR="00F60742" w:rsidRPr="00361664" w:rsidRDefault="00F60742" w:rsidP="00F60742">
            <w:pPr>
              <w:jc w:val="both"/>
              <w:rPr>
                <w:rFonts w:asciiTheme="minorHAnsi" w:hAnsiTheme="minorHAnsi"/>
              </w:rPr>
            </w:pPr>
          </w:p>
        </w:tc>
        <w:tc>
          <w:tcPr>
            <w:tcW w:w="6445" w:type="dxa"/>
            <w:tcBorders>
              <w:top w:val="nil"/>
              <w:left w:val="single" w:sz="2" w:space="0" w:color="auto"/>
              <w:bottom w:val="single" w:sz="2" w:space="0" w:color="auto"/>
              <w:right w:val="single" w:sz="2" w:space="0" w:color="auto"/>
            </w:tcBorders>
          </w:tcPr>
          <w:p w:rsidR="00F60742" w:rsidRPr="00361664" w:rsidRDefault="00F60742" w:rsidP="00F60742">
            <w:pPr>
              <w:jc w:val="both"/>
              <w:rPr>
                <w:rFonts w:asciiTheme="minorHAnsi" w:hAnsiTheme="minorHAnsi"/>
                <w:iCs/>
              </w:rPr>
            </w:pPr>
            <w:r w:rsidRPr="00361664">
              <w:rPr>
                <w:rFonts w:asciiTheme="minorHAnsi" w:hAnsiTheme="minorHAnsi"/>
                <w:iCs/>
              </w:rPr>
              <w:t>Ovim posebnim porezom potiče se kupovina učinkovitih vozila i vozila s manjim emisijama stakleničkih plinova.</w:t>
            </w:r>
          </w:p>
          <w:p w:rsidR="00F60742" w:rsidRPr="00361664" w:rsidRDefault="00F60742" w:rsidP="00F60742">
            <w:pPr>
              <w:jc w:val="both"/>
              <w:rPr>
                <w:rFonts w:asciiTheme="minorHAnsi" w:hAnsiTheme="minorHAnsi"/>
                <w:iCs/>
              </w:rPr>
            </w:pPr>
            <w:r w:rsidRPr="00361664">
              <w:rPr>
                <w:rFonts w:asciiTheme="minorHAnsi" w:hAnsiTheme="minorHAnsi"/>
                <w:iCs/>
              </w:rPr>
              <w:t>Za određivanje ostvarenih i reviziju očekivanih budućih ušteda provest će se istraživanje utjecaja posebnog poreza na ponašanje potrošača prilikom kupovine vozila.</w:t>
            </w:r>
          </w:p>
        </w:tc>
      </w:tr>
      <w:tr w:rsidR="00F60742" w:rsidRPr="00361664" w:rsidTr="00FD4783">
        <w:trPr>
          <w:trHeight w:val="31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Ciljna neposredna potrošnja</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Motorna vozila</w:t>
            </w:r>
          </w:p>
        </w:tc>
      </w:tr>
      <w:tr w:rsidR="00F60742" w:rsidRPr="00361664" w:rsidTr="00FD4783">
        <w:trPr>
          <w:trHeight w:val="31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Ciljna skupina</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Kupci vozila</w:t>
            </w:r>
          </w:p>
        </w:tc>
      </w:tr>
      <w:tr w:rsidR="00F60742" w:rsidRPr="00361664" w:rsidTr="00FD4783">
        <w:trPr>
          <w:trHeight w:val="31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Regionalna primjena</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Nacionalna</w:t>
            </w:r>
          </w:p>
        </w:tc>
      </w:tr>
      <w:tr w:rsidR="00F60742" w:rsidRPr="00361664" w:rsidTr="00FD4783">
        <w:trPr>
          <w:trHeight w:val="465"/>
        </w:trPr>
        <w:tc>
          <w:tcPr>
            <w:tcW w:w="1271" w:type="dxa"/>
            <w:vMerge w:val="restart"/>
            <w:hideMark/>
          </w:tcPr>
          <w:p w:rsidR="00F60742" w:rsidRPr="00361664" w:rsidRDefault="00F60742" w:rsidP="00F60742">
            <w:pPr>
              <w:jc w:val="both"/>
              <w:rPr>
                <w:rFonts w:asciiTheme="minorHAnsi" w:hAnsiTheme="minorHAnsi"/>
              </w:rPr>
            </w:pPr>
            <w:r w:rsidRPr="00361664">
              <w:rPr>
                <w:rFonts w:asciiTheme="minorHAnsi" w:hAnsiTheme="minorHAnsi"/>
              </w:rPr>
              <w:t>Informacije o  provedbi</w:t>
            </w: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 xml:space="preserve">Popis i opis aktivnosti za provođenje mjere </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Donošenjem Zakona o posebnom porezu na motorna vozila (NN 15/13, 108/13, 115/16) osigurana je primjena i provođenje mjere</w:t>
            </w:r>
          </w:p>
        </w:tc>
      </w:tr>
      <w:tr w:rsidR="00F60742" w:rsidRPr="00361664" w:rsidTr="00FD4783">
        <w:trPr>
          <w:trHeight w:val="46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Financijska sredstva i izvori financiranja</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Kupci vozila</w:t>
            </w:r>
          </w:p>
        </w:tc>
      </w:tr>
      <w:tr w:rsidR="00F60742" w:rsidRPr="00361664" w:rsidTr="00FD4783">
        <w:trPr>
          <w:trHeight w:val="31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Izvršno  tijelo</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Ministarstvo financija</w:t>
            </w:r>
          </w:p>
        </w:tc>
      </w:tr>
      <w:tr w:rsidR="00F60742" w:rsidRPr="00361664" w:rsidTr="00FD4783">
        <w:trPr>
          <w:trHeight w:val="31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 xml:space="preserve">Tijelo za praćenje, mjerenje i verifikaciju ušteda </w:t>
            </w:r>
          </w:p>
        </w:tc>
        <w:tc>
          <w:tcPr>
            <w:tcW w:w="6445" w:type="dxa"/>
          </w:tcPr>
          <w:p w:rsidR="00F60742" w:rsidRPr="00361664" w:rsidRDefault="00F60742" w:rsidP="00F60742">
            <w:pPr>
              <w:jc w:val="both"/>
              <w:rPr>
                <w:rFonts w:asciiTheme="minorHAnsi" w:hAnsiTheme="minorHAnsi"/>
                <w:iCs/>
              </w:rPr>
            </w:pPr>
            <w:r w:rsidRPr="00361664">
              <w:rPr>
                <w:rFonts w:asciiTheme="minorHAnsi" w:hAnsiTheme="minorHAnsi"/>
                <w:iCs/>
              </w:rPr>
              <w:t xml:space="preserve">NKT </w:t>
            </w:r>
          </w:p>
        </w:tc>
      </w:tr>
      <w:tr w:rsidR="00F60742" w:rsidRPr="00361664" w:rsidTr="00FD4783">
        <w:trPr>
          <w:trHeight w:val="465"/>
        </w:trPr>
        <w:tc>
          <w:tcPr>
            <w:tcW w:w="1271" w:type="dxa"/>
            <w:vMerge w:val="restart"/>
            <w:hideMark/>
          </w:tcPr>
          <w:p w:rsidR="00F60742" w:rsidRPr="00361664" w:rsidRDefault="00F60742" w:rsidP="00F60742">
            <w:pPr>
              <w:jc w:val="both"/>
              <w:rPr>
                <w:rFonts w:asciiTheme="minorHAnsi" w:hAnsiTheme="minorHAnsi"/>
              </w:rPr>
            </w:pPr>
            <w:r w:rsidRPr="00361664">
              <w:rPr>
                <w:rFonts w:asciiTheme="minorHAnsi" w:hAnsiTheme="minorHAnsi"/>
              </w:rPr>
              <w:t>Uštede energije</w:t>
            </w: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Metoda praćenja / mjerenja ušteda energije</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rPr>
              <w:t xml:space="preserve">Ova mjera će se pratiti metodom istraživanja; </w:t>
            </w:r>
            <w:r w:rsidRPr="00361664">
              <w:rPr>
                <w:rFonts w:asciiTheme="minorHAnsi" w:hAnsiTheme="minorHAnsi"/>
                <w:iCs/>
              </w:rPr>
              <w:t>Upitnici provedeni među kupcima vozila</w:t>
            </w:r>
          </w:p>
        </w:tc>
      </w:tr>
      <w:tr w:rsidR="00F60742" w:rsidRPr="00361664" w:rsidTr="00FD4783">
        <w:trPr>
          <w:trHeight w:val="46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Očekivane uštede energije do kraja 2019.</w:t>
            </w:r>
          </w:p>
        </w:tc>
        <w:tc>
          <w:tcPr>
            <w:tcW w:w="6445" w:type="dxa"/>
            <w:vAlign w:val="center"/>
            <w:hideMark/>
          </w:tcPr>
          <w:p w:rsidR="00F60742" w:rsidRPr="00361664" w:rsidRDefault="00F60742" w:rsidP="00F60742">
            <w:pPr>
              <w:jc w:val="both"/>
              <w:rPr>
                <w:rFonts w:asciiTheme="minorHAnsi" w:hAnsiTheme="minorHAnsi"/>
                <w:iCs/>
              </w:rPr>
            </w:pPr>
            <w:r w:rsidRPr="00361664">
              <w:rPr>
                <w:rFonts w:asciiTheme="minorHAnsi" w:hAnsiTheme="minorHAnsi"/>
                <w:iCs/>
              </w:rPr>
              <w:t>132 TJ</w:t>
            </w:r>
          </w:p>
        </w:tc>
      </w:tr>
      <w:tr w:rsidR="00F60742" w:rsidRPr="00361664" w:rsidTr="00FD4783">
        <w:trPr>
          <w:trHeight w:val="46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Očekivane uštede energije do kraja 2020.</w:t>
            </w:r>
          </w:p>
        </w:tc>
        <w:tc>
          <w:tcPr>
            <w:tcW w:w="6445" w:type="dxa"/>
            <w:vAlign w:val="center"/>
            <w:hideMark/>
          </w:tcPr>
          <w:p w:rsidR="00F60742" w:rsidRPr="00361664" w:rsidRDefault="00F60742" w:rsidP="00F60742">
            <w:pPr>
              <w:jc w:val="both"/>
              <w:rPr>
                <w:rFonts w:asciiTheme="minorHAnsi" w:hAnsiTheme="minorHAnsi"/>
                <w:iCs/>
              </w:rPr>
            </w:pPr>
            <w:r w:rsidRPr="00361664">
              <w:rPr>
                <w:rFonts w:asciiTheme="minorHAnsi" w:hAnsiTheme="minorHAnsi"/>
                <w:iCs/>
              </w:rPr>
              <w:t>176 TJ</w:t>
            </w:r>
          </w:p>
        </w:tc>
      </w:tr>
      <w:tr w:rsidR="00F60742" w:rsidRPr="00361664" w:rsidTr="00FD4783">
        <w:trPr>
          <w:trHeight w:val="1140"/>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Pretpostavke</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Uvođenjem poreza potiče se kupnja energetski učinkovitijih vozila i vozila s manjim emisijama stakleničkih plinova. Korištene pretpostavke su: kupnja 40.000 osobnih vozila te 2.500 motocikala godišnje s stopom porasta od 5% godišnje, prosječni prevaljen put po osobnom vozilu od 12.000 km/god, po motociklu 5.000 km/god, pretpostavlja se kako će 50% kupljenih osobnih vozila obuhvaćenih ovim zakonom biti na dizelsko gorivo, a 50% na benzin. Pretpostavka je kako će 20% kupaca odabrati vozila s emisijama od 10 gCO</w:t>
            </w:r>
            <w:r w:rsidRPr="00361664">
              <w:rPr>
                <w:rFonts w:asciiTheme="minorHAnsi" w:hAnsiTheme="minorHAnsi"/>
                <w:vertAlign w:val="subscript"/>
              </w:rPr>
              <w:t>2</w:t>
            </w:r>
            <w:r w:rsidRPr="00361664">
              <w:rPr>
                <w:rFonts w:asciiTheme="minorHAnsi" w:hAnsiTheme="minorHAnsi"/>
                <w:iCs/>
              </w:rPr>
              <w:t>/km manjim, a 20% kupaca vozila s 20 gCO</w:t>
            </w:r>
            <w:r w:rsidRPr="00361664">
              <w:rPr>
                <w:rFonts w:asciiTheme="minorHAnsi" w:hAnsiTheme="minorHAnsi"/>
                <w:vertAlign w:val="subscript"/>
              </w:rPr>
              <w:t>2</w:t>
            </w:r>
            <w:r w:rsidRPr="00361664">
              <w:rPr>
                <w:rFonts w:asciiTheme="minorHAnsi" w:hAnsiTheme="minorHAnsi"/>
                <w:iCs/>
              </w:rPr>
              <w:t>/km manjim od onih koje bi odabrali da nije uspostavljen poseban porez. Vrijeme trajanja mjere je na 8 godina.</w:t>
            </w:r>
          </w:p>
        </w:tc>
      </w:tr>
      <w:tr w:rsidR="00F60742" w:rsidRPr="00361664" w:rsidTr="00FD4783">
        <w:trPr>
          <w:trHeight w:val="465"/>
        </w:trPr>
        <w:tc>
          <w:tcPr>
            <w:tcW w:w="1271" w:type="dxa"/>
            <w:vMerge/>
            <w:hideMark/>
          </w:tcPr>
          <w:p w:rsidR="00F60742" w:rsidRPr="00361664" w:rsidRDefault="00F60742" w:rsidP="00F60742">
            <w:pPr>
              <w:jc w:val="both"/>
              <w:rPr>
                <w:rFonts w:asciiTheme="minorHAnsi" w:hAnsiTheme="minorHAnsi"/>
              </w:rPr>
            </w:pPr>
          </w:p>
        </w:tc>
        <w:tc>
          <w:tcPr>
            <w:tcW w:w="1606" w:type="dxa"/>
            <w:hideMark/>
          </w:tcPr>
          <w:p w:rsidR="00F60742" w:rsidRPr="00361664" w:rsidRDefault="00F60742" w:rsidP="00F60742">
            <w:pPr>
              <w:jc w:val="both"/>
              <w:rPr>
                <w:rFonts w:asciiTheme="minorHAnsi" w:hAnsiTheme="minorHAnsi"/>
              </w:rPr>
            </w:pPr>
            <w:r w:rsidRPr="00361664">
              <w:rPr>
                <w:rFonts w:asciiTheme="minorHAnsi" w:hAnsiTheme="minorHAnsi"/>
              </w:rPr>
              <w:t>Preklapanja, efekt množenja, sinergija</w:t>
            </w:r>
          </w:p>
        </w:tc>
        <w:tc>
          <w:tcPr>
            <w:tcW w:w="6445" w:type="dxa"/>
            <w:hideMark/>
          </w:tcPr>
          <w:p w:rsidR="00F60742" w:rsidRPr="00361664" w:rsidRDefault="00F60742" w:rsidP="00F60742">
            <w:pPr>
              <w:jc w:val="both"/>
              <w:rPr>
                <w:rFonts w:asciiTheme="minorHAnsi" w:hAnsiTheme="minorHAnsi"/>
                <w:iCs/>
              </w:rPr>
            </w:pPr>
            <w:r w:rsidRPr="00361664">
              <w:rPr>
                <w:rFonts w:asciiTheme="minorHAnsi" w:hAnsiTheme="minorHAnsi"/>
                <w:iCs/>
              </w:rPr>
              <w:t>Poticanje kupnje ekoloških vozila ima za posljedicu smanjenje emisija iz osobnih vozila a samim time i ukupnih emisija iz sektora promet. Ova mjera povezana je s mjerom poticanja nabave energetski učinkovitih vozila kojom se dodatno potiče nabava električnih i hibridnih vozila.</w:t>
            </w:r>
          </w:p>
        </w:tc>
      </w:tr>
    </w:tbl>
    <w:p w:rsidR="00F60742" w:rsidRPr="00361664" w:rsidRDefault="00F60742" w:rsidP="00651BCA">
      <w:pPr>
        <w:jc w:val="both"/>
      </w:pPr>
    </w:p>
    <w:p w:rsidR="00BC287B" w:rsidRPr="00361664" w:rsidRDefault="007871C0" w:rsidP="001D7C28">
      <w:pPr>
        <w:pStyle w:val="Naslov3"/>
        <w:numPr>
          <w:ilvl w:val="0"/>
          <w:numId w:val="0"/>
        </w:numPr>
        <w:spacing w:before="0" w:after="0" w:line="480" w:lineRule="auto"/>
        <w:ind w:left="720" w:right="57" w:hanging="720"/>
        <w:rPr>
          <w:rStyle w:val="Jakoisticanje"/>
          <w:rFonts w:eastAsia="Calibri"/>
          <w:i/>
          <w:iCs w:val="0"/>
          <w:smallCaps/>
          <w:color w:val="365F91"/>
          <w:sz w:val="20"/>
          <w:szCs w:val="28"/>
          <w:lang w:val="hr-HR"/>
        </w:rPr>
      </w:pPr>
      <w:r w:rsidRPr="00361664">
        <w:rPr>
          <w:rStyle w:val="Jakoisticanje"/>
          <w:b/>
          <w:iCs w:val="0"/>
          <w:color w:val="365F91"/>
          <w:lang w:val="hr-HR"/>
        </w:rPr>
        <w:tab/>
      </w:r>
    </w:p>
    <w:sectPr w:rsidR="00BC287B" w:rsidRPr="00361664" w:rsidSect="008016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12" w:rsidRDefault="00F87012" w:rsidP="000B4470">
      <w:pPr>
        <w:spacing w:after="0" w:line="240" w:lineRule="auto"/>
      </w:pPr>
      <w:r>
        <w:separator/>
      </w:r>
    </w:p>
  </w:endnote>
  <w:endnote w:type="continuationSeparator" w:id="0">
    <w:p w:rsidR="00F87012" w:rsidRDefault="00F87012" w:rsidP="000B4470">
      <w:pPr>
        <w:spacing w:after="0" w:line="240" w:lineRule="auto"/>
      </w:pPr>
      <w:r>
        <w:continuationSeparator/>
      </w:r>
    </w:p>
  </w:endnote>
  <w:endnote w:type="continuationNotice" w:id="1">
    <w:p w:rsidR="00F87012" w:rsidRDefault="00F87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UniCredit Ligh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846277"/>
      <w:docPartObj>
        <w:docPartGallery w:val="Page Numbers (Bottom of Page)"/>
        <w:docPartUnique/>
      </w:docPartObj>
    </w:sdtPr>
    <w:sdtEndPr/>
    <w:sdtContent>
      <w:p w:rsidR="00361036" w:rsidRDefault="00361036">
        <w:pPr>
          <w:pStyle w:val="Podnoje"/>
          <w:jc w:val="center"/>
        </w:pPr>
        <w:r>
          <w:fldChar w:fldCharType="begin"/>
        </w:r>
        <w:r>
          <w:instrText>PAGE   \* MERGEFORMAT</w:instrText>
        </w:r>
        <w:r>
          <w:fldChar w:fldCharType="separate"/>
        </w:r>
        <w:r w:rsidR="00946271">
          <w:rPr>
            <w:noProof/>
          </w:rPr>
          <w:t>6</w:t>
        </w:r>
        <w:r>
          <w:fldChar w:fldCharType="end"/>
        </w:r>
      </w:p>
    </w:sdtContent>
  </w:sdt>
  <w:p w:rsidR="00361036" w:rsidRDefault="00361036" w:rsidP="00227C6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36" w:rsidRDefault="00361036" w:rsidP="00981F92">
    <w:pPr>
      <w:pStyle w:val="Podnoje"/>
      <w:jc w:val="center"/>
    </w:pPr>
  </w:p>
  <w:p w:rsidR="00361036" w:rsidRDefault="00361036" w:rsidP="00F876FA">
    <w:pPr>
      <w:pStyle w:val="Podnoje"/>
      <w:jc w:val="center"/>
    </w:pPr>
  </w:p>
  <w:p w:rsidR="00361036" w:rsidRDefault="0036103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12" w:rsidRDefault="00F87012" w:rsidP="000B4470">
      <w:pPr>
        <w:spacing w:after="0" w:line="240" w:lineRule="auto"/>
      </w:pPr>
      <w:r>
        <w:separator/>
      </w:r>
    </w:p>
  </w:footnote>
  <w:footnote w:type="continuationSeparator" w:id="0">
    <w:p w:rsidR="00F87012" w:rsidRDefault="00F87012" w:rsidP="000B4470">
      <w:pPr>
        <w:spacing w:after="0" w:line="240" w:lineRule="auto"/>
      </w:pPr>
      <w:r>
        <w:continuationSeparator/>
      </w:r>
    </w:p>
  </w:footnote>
  <w:footnote w:type="continuationNotice" w:id="1">
    <w:p w:rsidR="00F87012" w:rsidRDefault="00F87012">
      <w:pPr>
        <w:spacing w:after="0" w:line="240" w:lineRule="auto"/>
      </w:pPr>
    </w:p>
  </w:footnote>
  <w:footnote w:id="2">
    <w:p w:rsidR="00361036" w:rsidRDefault="00361036">
      <w:pPr>
        <w:pStyle w:val="Tekstfusnote"/>
      </w:pPr>
      <w:r>
        <w:rPr>
          <w:rStyle w:val="Referencafusnote"/>
        </w:rPr>
        <w:footnoteRef/>
      </w:r>
      <w:r w:rsidRPr="004C3801">
        <w:rPr>
          <w:sz w:val="18"/>
        </w:rPr>
        <w:t>Ministarstvo zaštite okoliša i energetike, Energija u Hrvatskoj 2015.</w:t>
      </w:r>
    </w:p>
  </w:footnote>
  <w:footnote w:id="3">
    <w:p w:rsidR="00361036" w:rsidRDefault="00361036" w:rsidP="005A5031">
      <w:pPr>
        <w:pStyle w:val="Tekstfusnote"/>
      </w:pPr>
      <w:r>
        <w:rPr>
          <w:rStyle w:val="Referencafusnote"/>
        </w:rPr>
        <w:footnoteRef/>
      </w:r>
      <w:r>
        <w:t xml:space="preserve"> Projekcije su izrađene uz korištenje projekcija minimalnih pokazatelja, a ne preferiranih.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83"/>
    </w:tblGrid>
    <w:tr w:rsidR="00361036" w:rsidTr="007871C0">
      <w:trPr>
        <w:trHeight w:val="288"/>
      </w:trPr>
      <w:tc>
        <w:tcPr>
          <w:tcW w:w="9302" w:type="dxa"/>
        </w:tcPr>
        <w:p w:rsidR="00361036" w:rsidRDefault="00361036" w:rsidP="00A9294A">
          <w:pPr>
            <w:pStyle w:val="Zaglavlje"/>
            <w:jc w:val="center"/>
            <w:rPr>
              <w:rFonts w:ascii="Cambria" w:hAnsi="Cambria"/>
              <w:b/>
              <w:bCs/>
              <w:color w:val="4F81BD"/>
              <w:sz w:val="36"/>
              <w:szCs w:val="36"/>
            </w:rPr>
          </w:pPr>
          <w:r>
            <w:rPr>
              <w:rFonts w:ascii="Cambria" w:hAnsi="Cambria"/>
              <w:b/>
              <w:bCs/>
              <w:color w:val="4F81BD"/>
              <w:sz w:val="20"/>
              <w:szCs w:val="20"/>
            </w:rPr>
            <w:t>Četvrti nacionalni akcijski plan</w:t>
          </w:r>
          <w:r w:rsidRPr="004E7AFA">
            <w:rPr>
              <w:rFonts w:ascii="Cambria" w:hAnsi="Cambria"/>
              <w:b/>
              <w:bCs/>
              <w:color w:val="4F81BD"/>
              <w:sz w:val="20"/>
              <w:szCs w:val="20"/>
            </w:rPr>
            <w:t xml:space="preserve"> energetske učinkovitosti </w:t>
          </w:r>
          <w:r>
            <w:rPr>
              <w:rFonts w:ascii="Cambria" w:hAnsi="Cambria"/>
              <w:b/>
              <w:bCs/>
              <w:color w:val="4F81BD"/>
              <w:sz w:val="20"/>
              <w:szCs w:val="20"/>
            </w:rPr>
            <w:t>za razdoblje do kraja 2019</w:t>
          </w:r>
          <w:r w:rsidRPr="004E7AFA">
            <w:rPr>
              <w:rFonts w:ascii="Cambria" w:hAnsi="Cambria"/>
              <w:b/>
              <w:bCs/>
              <w:color w:val="4F81BD"/>
              <w:sz w:val="20"/>
              <w:szCs w:val="20"/>
            </w:rPr>
            <w:t>.</w:t>
          </w:r>
          <w:r>
            <w:rPr>
              <w:rFonts w:ascii="Cambria" w:hAnsi="Cambria"/>
              <w:b/>
              <w:bCs/>
              <w:color w:val="4F81BD"/>
              <w:sz w:val="20"/>
              <w:szCs w:val="20"/>
            </w:rPr>
            <w:t xml:space="preserve"> godine</w:t>
          </w:r>
        </w:p>
      </w:tc>
    </w:tr>
  </w:tbl>
  <w:p w:rsidR="00361036" w:rsidRDefault="003610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83"/>
    </w:tblGrid>
    <w:tr w:rsidR="00361036" w:rsidTr="005D20FD">
      <w:trPr>
        <w:trHeight w:val="288"/>
      </w:trPr>
      <w:tc>
        <w:tcPr>
          <w:tcW w:w="9302" w:type="dxa"/>
        </w:tcPr>
        <w:p w:rsidR="00361036" w:rsidRDefault="00361036" w:rsidP="00D6686F">
          <w:pPr>
            <w:pStyle w:val="Zaglavlje"/>
            <w:jc w:val="center"/>
            <w:rPr>
              <w:rFonts w:ascii="Cambria" w:hAnsi="Cambria"/>
              <w:b/>
              <w:bCs/>
              <w:color w:val="4F81BD"/>
              <w:sz w:val="36"/>
              <w:szCs w:val="36"/>
            </w:rPr>
          </w:pPr>
          <w:r>
            <w:rPr>
              <w:rFonts w:ascii="Cambria" w:hAnsi="Cambria"/>
              <w:b/>
              <w:bCs/>
              <w:color w:val="4F81BD"/>
              <w:sz w:val="20"/>
              <w:szCs w:val="20"/>
            </w:rPr>
            <w:t>Četvrti nacionalni akcijski plan</w:t>
          </w:r>
          <w:r w:rsidRPr="004E7AFA">
            <w:rPr>
              <w:rFonts w:ascii="Cambria" w:hAnsi="Cambria"/>
              <w:b/>
              <w:bCs/>
              <w:color w:val="4F81BD"/>
              <w:sz w:val="20"/>
              <w:szCs w:val="20"/>
            </w:rPr>
            <w:t xml:space="preserve"> energetske učinkovitosti </w:t>
          </w:r>
          <w:r>
            <w:rPr>
              <w:rFonts w:ascii="Cambria" w:hAnsi="Cambria"/>
              <w:b/>
              <w:bCs/>
              <w:color w:val="4F81BD"/>
              <w:sz w:val="20"/>
              <w:szCs w:val="20"/>
            </w:rPr>
            <w:t>za razdoblje do kraja 2019</w:t>
          </w:r>
          <w:r w:rsidRPr="004E7AFA">
            <w:rPr>
              <w:rFonts w:ascii="Cambria" w:hAnsi="Cambria"/>
              <w:b/>
              <w:bCs/>
              <w:color w:val="4F81BD"/>
              <w:sz w:val="20"/>
              <w:szCs w:val="20"/>
            </w:rPr>
            <w:t>.</w:t>
          </w:r>
          <w:r>
            <w:rPr>
              <w:rFonts w:ascii="Cambria" w:hAnsi="Cambria"/>
              <w:b/>
              <w:bCs/>
              <w:color w:val="4F81BD"/>
              <w:sz w:val="20"/>
              <w:szCs w:val="20"/>
            </w:rPr>
            <w:t xml:space="preserve"> godine</w:t>
          </w:r>
        </w:p>
      </w:tc>
    </w:tr>
  </w:tbl>
  <w:p w:rsidR="00361036" w:rsidRDefault="00361036" w:rsidP="00D6686F">
    <w:pPr>
      <w:pStyle w:val="Zaglavlje"/>
    </w:pPr>
  </w:p>
  <w:p w:rsidR="00361036" w:rsidRPr="00D6686F" w:rsidRDefault="00361036" w:rsidP="00D6686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Calibri" w:hAnsi="Calibri" w:cs="Times New Roman"/>
        <w:sz w:val="22"/>
      </w:rPr>
    </w:lvl>
  </w:abstractNum>
  <w:abstractNum w:abstractNumId="1">
    <w:nsid w:val="07741910"/>
    <w:multiLevelType w:val="multilevel"/>
    <w:tmpl w:val="73A060BC"/>
    <w:lvl w:ilvl="0">
      <w:start w:val="1"/>
      <w:numFmt w:val="decimal"/>
      <w:pStyle w:val="Naslov1"/>
      <w:lvlText w:val="%1"/>
      <w:lvlJc w:val="left"/>
      <w:pPr>
        <w:tabs>
          <w:tab w:val="num" w:pos="432"/>
        </w:tabs>
        <w:ind w:left="432" w:hanging="432"/>
      </w:pPr>
      <w:rPr>
        <w:rFonts w:cs="Times New Roman" w:hint="default"/>
      </w:rPr>
    </w:lvl>
    <w:lvl w:ilvl="1">
      <w:start w:val="1"/>
      <w:numFmt w:val="decimal"/>
      <w:pStyle w:val="Naslov2"/>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b/>
        <w:specVanish w:val="0"/>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2">
    <w:nsid w:val="08166E6B"/>
    <w:multiLevelType w:val="hybridMultilevel"/>
    <w:tmpl w:val="8EB66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1D1D0D"/>
    <w:multiLevelType w:val="hybridMultilevel"/>
    <w:tmpl w:val="EA324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AAC10C3"/>
    <w:multiLevelType w:val="hybridMultilevel"/>
    <w:tmpl w:val="9DAA3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2C343F"/>
    <w:multiLevelType w:val="hybridMultilevel"/>
    <w:tmpl w:val="6E46E84A"/>
    <w:lvl w:ilvl="0" w:tplc="5956C0B4">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E237F0"/>
    <w:multiLevelType w:val="hybridMultilevel"/>
    <w:tmpl w:val="3EE8B4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F2C2DCF"/>
    <w:multiLevelType w:val="hybridMultilevel"/>
    <w:tmpl w:val="1422D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2126C52"/>
    <w:multiLevelType w:val="hybridMultilevel"/>
    <w:tmpl w:val="BDACE62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13612206"/>
    <w:multiLevelType w:val="hybridMultilevel"/>
    <w:tmpl w:val="0D56E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8940A93"/>
    <w:multiLevelType w:val="hybridMultilevel"/>
    <w:tmpl w:val="A6A8E38C"/>
    <w:lvl w:ilvl="0" w:tplc="E564F0B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18E7195E"/>
    <w:multiLevelType w:val="hybridMultilevel"/>
    <w:tmpl w:val="A6BACF38"/>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62C4F"/>
    <w:multiLevelType w:val="hybridMultilevel"/>
    <w:tmpl w:val="0CD82CF2"/>
    <w:lvl w:ilvl="0" w:tplc="041A0017">
      <w:start w:val="1"/>
      <w:numFmt w:val="lowerLetter"/>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1D335A1A"/>
    <w:multiLevelType w:val="hybridMultilevel"/>
    <w:tmpl w:val="756C143C"/>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21671BD8"/>
    <w:multiLevelType w:val="hybridMultilevel"/>
    <w:tmpl w:val="5642B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2710407"/>
    <w:multiLevelType w:val="hybridMultilevel"/>
    <w:tmpl w:val="9B48A138"/>
    <w:lvl w:ilvl="0" w:tplc="3BBCF2AE">
      <w:start w:val="1"/>
      <w:numFmt w:val="bullet"/>
      <w:pStyle w:val="Bullet1"/>
      <w:lvlText w:val=""/>
      <w:lvlJc w:val="left"/>
      <w:pPr>
        <w:ind w:left="720" w:hanging="360"/>
      </w:pPr>
      <w:rPr>
        <w:rFonts w:ascii="Wingdings" w:hAnsi="Wingdings" w:hint="default"/>
        <w:color w:val="E2001A"/>
        <w:sz w:val="32"/>
        <w:szCs w:val="3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23163437"/>
    <w:multiLevelType w:val="hybridMultilevel"/>
    <w:tmpl w:val="3A0071B2"/>
    <w:lvl w:ilvl="0" w:tplc="031A3B96">
      <w:start w:val="1"/>
      <w:numFmt w:val="decimal"/>
      <w:lvlText w:val="%1."/>
      <w:lvlJc w:val="left"/>
      <w:pPr>
        <w:ind w:left="592" w:hanging="360"/>
      </w:pPr>
      <w:rPr>
        <w:rFonts w:hint="default"/>
        <w:b/>
      </w:rPr>
    </w:lvl>
    <w:lvl w:ilvl="1" w:tplc="041A0019" w:tentative="1">
      <w:start w:val="1"/>
      <w:numFmt w:val="lowerLetter"/>
      <w:lvlText w:val="%2."/>
      <w:lvlJc w:val="left"/>
      <w:pPr>
        <w:ind w:left="1312" w:hanging="360"/>
      </w:pPr>
    </w:lvl>
    <w:lvl w:ilvl="2" w:tplc="041A001B" w:tentative="1">
      <w:start w:val="1"/>
      <w:numFmt w:val="lowerRoman"/>
      <w:lvlText w:val="%3."/>
      <w:lvlJc w:val="right"/>
      <w:pPr>
        <w:ind w:left="2032" w:hanging="180"/>
      </w:pPr>
    </w:lvl>
    <w:lvl w:ilvl="3" w:tplc="041A000F" w:tentative="1">
      <w:start w:val="1"/>
      <w:numFmt w:val="decimal"/>
      <w:lvlText w:val="%4."/>
      <w:lvlJc w:val="left"/>
      <w:pPr>
        <w:ind w:left="2752" w:hanging="360"/>
      </w:pPr>
    </w:lvl>
    <w:lvl w:ilvl="4" w:tplc="041A0019" w:tentative="1">
      <w:start w:val="1"/>
      <w:numFmt w:val="lowerLetter"/>
      <w:lvlText w:val="%5."/>
      <w:lvlJc w:val="left"/>
      <w:pPr>
        <w:ind w:left="3472" w:hanging="360"/>
      </w:pPr>
    </w:lvl>
    <w:lvl w:ilvl="5" w:tplc="041A001B" w:tentative="1">
      <w:start w:val="1"/>
      <w:numFmt w:val="lowerRoman"/>
      <w:lvlText w:val="%6."/>
      <w:lvlJc w:val="right"/>
      <w:pPr>
        <w:ind w:left="4192" w:hanging="180"/>
      </w:pPr>
    </w:lvl>
    <w:lvl w:ilvl="6" w:tplc="041A000F" w:tentative="1">
      <w:start w:val="1"/>
      <w:numFmt w:val="decimal"/>
      <w:lvlText w:val="%7."/>
      <w:lvlJc w:val="left"/>
      <w:pPr>
        <w:ind w:left="4912" w:hanging="360"/>
      </w:pPr>
    </w:lvl>
    <w:lvl w:ilvl="7" w:tplc="041A0019" w:tentative="1">
      <w:start w:val="1"/>
      <w:numFmt w:val="lowerLetter"/>
      <w:lvlText w:val="%8."/>
      <w:lvlJc w:val="left"/>
      <w:pPr>
        <w:ind w:left="5632" w:hanging="360"/>
      </w:pPr>
    </w:lvl>
    <w:lvl w:ilvl="8" w:tplc="041A001B" w:tentative="1">
      <w:start w:val="1"/>
      <w:numFmt w:val="lowerRoman"/>
      <w:lvlText w:val="%9."/>
      <w:lvlJc w:val="right"/>
      <w:pPr>
        <w:ind w:left="6352" w:hanging="180"/>
      </w:pPr>
    </w:lvl>
  </w:abstractNum>
  <w:abstractNum w:abstractNumId="17">
    <w:nsid w:val="26011F45"/>
    <w:multiLevelType w:val="hybridMultilevel"/>
    <w:tmpl w:val="B0D420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B6501E"/>
    <w:multiLevelType w:val="hybridMultilevel"/>
    <w:tmpl w:val="CDC8F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056D05"/>
    <w:multiLevelType w:val="hybridMultilevel"/>
    <w:tmpl w:val="55923A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9E452FD"/>
    <w:multiLevelType w:val="hybridMultilevel"/>
    <w:tmpl w:val="D084E0E2"/>
    <w:lvl w:ilvl="0" w:tplc="2C4CA806">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A251B4F"/>
    <w:multiLevelType w:val="hybridMultilevel"/>
    <w:tmpl w:val="72B85D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B272E5D"/>
    <w:multiLevelType w:val="hybridMultilevel"/>
    <w:tmpl w:val="E77C28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D084FD5"/>
    <w:multiLevelType w:val="hybridMultilevel"/>
    <w:tmpl w:val="2F30ACFA"/>
    <w:lvl w:ilvl="0" w:tplc="84B8FC7A">
      <w:start w:val="7"/>
      <w:numFmt w:val="bullet"/>
      <w:lvlText w:val="-"/>
      <w:lvlJc w:val="left"/>
      <w:pPr>
        <w:ind w:left="360" w:hanging="360"/>
      </w:pPr>
      <w:rPr>
        <w:rFonts w:ascii="Calibri" w:eastAsia="Times New Roman" w:hAnsi="Calibri" w:hint="default"/>
      </w:rPr>
    </w:lvl>
    <w:lvl w:ilvl="1" w:tplc="04090017">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cs="Wingdings" w:hint="default"/>
      </w:rPr>
    </w:lvl>
    <w:lvl w:ilvl="3" w:tplc="0409000F">
      <w:start w:val="1"/>
      <w:numFmt w:val="bullet"/>
      <w:lvlText w:val=""/>
      <w:lvlJc w:val="left"/>
      <w:pPr>
        <w:ind w:left="2520" w:hanging="360"/>
      </w:pPr>
      <w:rPr>
        <w:rFonts w:ascii="Symbol" w:hAnsi="Symbol" w:cs="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cs="Wingdings" w:hint="default"/>
      </w:rPr>
    </w:lvl>
    <w:lvl w:ilvl="6" w:tplc="0409000F">
      <w:start w:val="1"/>
      <w:numFmt w:val="bullet"/>
      <w:lvlText w:val=""/>
      <w:lvlJc w:val="left"/>
      <w:pPr>
        <w:ind w:left="4680" w:hanging="360"/>
      </w:pPr>
      <w:rPr>
        <w:rFonts w:ascii="Symbol" w:hAnsi="Symbol" w:cs="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cs="Wingdings" w:hint="default"/>
      </w:rPr>
    </w:lvl>
  </w:abstractNum>
  <w:abstractNum w:abstractNumId="24">
    <w:nsid w:val="2D514356"/>
    <w:multiLevelType w:val="hybridMultilevel"/>
    <w:tmpl w:val="4FDC39A2"/>
    <w:lvl w:ilvl="0" w:tplc="85AEC986">
      <w:start w:val="1"/>
      <w:numFmt w:val="decimal"/>
      <w:lvlText w:val="%1."/>
      <w:lvlJc w:val="left"/>
      <w:pPr>
        <w:ind w:left="592"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2441852"/>
    <w:multiLevelType w:val="hybridMultilevel"/>
    <w:tmpl w:val="89A863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31A3879"/>
    <w:multiLevelType w:val="hybridMultilevel"/>
    <w:tmpl w:val="61DE1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57C1D80"/>
    <w:multiLevelType w:val="hybridMultilevel"/>
    <w:tmpl w:val="38522C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6D67B20"/>
    <w:multiLevelType w:val="hybridMultilevel"/>
    <w:tmpl w:val="86FA9F02"/>
    <w:lvl w:ilvl="0" w:tplc="C0864CD0">
      <w:start w:val="1"/>
      <w:numFmt w:val="decimal"/>
      <w:lvlText w:val="%1."/>
      <w:lvlJc w:val="left"/>
      <w:pPr>
        <w:ind w:left="592"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7D533E4"/>
    <w:multiLevelType w:val="hybridMultilevel"/>
    <w:tmpl w:val="E67E042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FBE0AE5"/>
    <w:multiLevelType w:val="hybridMultilevel"/>
    <w:tmpl w:val="7B2CB3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03B6804"/>
    <w:multiLevelType w:val="hybridMultilevel"/>
    <w:tmpl w:val="22241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19246BB"/>
    <w:multiLevelType w:val="hybridMultilevel"/>
    <w:tmpl w:val="963034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44000CF"/>
    <w:multiLevelType w:val="hybridMultilevel"/>
    <w:tmpl w:val="8746E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6D2340C"/>
    <w:multiLevelType w:val="hybridMultilevel"/>
    <w:tmpl w:val="F5741CB8"/>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2F3F81"/>
    <w:multiLevelType w:val="hybridMultilevel"/>
    <w:tmpl w:val="0E88CFC8"/>
    <w:lvl w:ilvl="0" w:tplc="2C4CA806">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AD919D3"/>
    <w:multiLevelType w:val="hybridMultilevel"/>
    <w:tmpl w:val="DE60A6F8"/>
    <w:lvl w:ilvl="0" w:tplc="041A0003">
      <w:start w:val="1"/>
      <w:numFmt w:val="bullet"/>
      <w:lvlText w:val="o"/>
      <w:lvlJc w:val="left"/>
      <w:pPr>
        <w:ind w:left="1617" w:hanging="360"/>
      </w:pPr>
      <w:rPr>
        <w:rFonts w:ascii="Courier New" w:hAnsi="Courier New" w:cs="Courier New" w:hint="default"/>
      </w:rPr>
    </w:lvl>
    <w:lvl w:ilvl="1" w:tplc="041A0003" w:tentative="1">
      <w:start w:val="1"/>
      <w:numFmt w:val="bullet"/>
      <w:lvlText w:val="o"/>
      <w:lvlJc w:val="left"/>
      <w:pPr>
        <w:ind w:left="2337" w:hanging="360"/>
      </w:pPr>
      <w:rPr>
        <w:rFonts w:ascii="Courier New" w:hAnsi="Courier New" w:cs="Courier New" w:hint="default"/>
      </w:rPr>
    </w:lvl>
    <w:lvl w:ilvl="2" w:tplc="041A0005" w:tentative="1">
      <w:start w:val="1"/>
      <w:numFmt w:val="bullet"/>
      <w:lvlText w:val=""/>
      <w:lvlJc w:val="left"/>
      <w:pPr>
        <w:ind w:left="3057" w:hanging="360"/>
      </w:pPr>
      <w:rPr>
        <w:rFonts w:ascii="Wingdings" w:hAnsi="Wingdings" w:hint="default"/>
      </w:rPr>
    </w:lvl>
    <w:lvl w:ilvl="3" w:tplc="041A0001" w:tentative="1">
      <w:start w:val="1"/>
      <w:numFmt w:val="bullet"/>
      <w:lvlText w:val=""/>
      <w:lvlJc w:val="left"/>
      <w:pPr>
        <w:ind w:left="3777" w:hanging="360"/>
      </w:pPr>
      <w:rPr>
        <w:rFonts w:ascii="Symbol" w:hAnsi="Symbol" w:hint="default"/>
      </w:rPr>
    </w:lvl>
    <w:lvl w:ilvl="4" w:tplc="041A0003" w:tentative="1">
      <w:start w:val="1"/>
      <w:numFmt w:val="bullet"/>
      <w:lvlText w:val="o"/>
      <w:lvlJc w:val="left"/>
      <w:pPr>
        <w:ind w:left="4497" w:hanging="360"/>
      </w:pPr>
      <w:rPr>
        <w:rFonts w:ascii="Courier New" w:hAnsi="Courier New" w:cs="Courier New" w:hint="default"/>
      </w:rPr>
    </w:lvl>
    <w:lvl w:ilvl="5" w:tplc="041A0005" w:tentative="1">
      <w:start w:val="1"/>
      <w:numFmt w:val="bullet"/>
      <w:lvlText w:val=""/>
      <w:lvlJc w:val="left"/>
      <w:pPr>
        <w:ind w:left="5217" w:hanging="360"/>
      </w:pPr>
      <w:rPr>
        <w:rFonts w:ascii="Wingdings" w:hAnsi="Wingdings" w:hint="default"/>
      </w:rPr>
    </w:lvl>
    <w:lvl w:ilvl="6" w:tplc="041A0001" w:tentative="1">
      <w:start w:val="1"/>
      <w:numFmt w:val="bullet"/>
      <w:lvlText w:val=""/>
      <w:lvlJc w:val="left"/>
      <w:pPr>
        <w:ind w:left="5937" w:hanging="360"/>
      </w:pPr>
      <w:rPr>
        <w:rFonts w:ascii="Symbol" w:hAnsi="Symbol" w:hint="default"/>
      </w:rPr>
    </w:lvl>
    <w:lvl w:ilvl="7" w:tplc="041A0003" w:tentative="1">
      <w:start w:val="1"/>
      <w:numFmt w:val="bullet"/>
      <w:lvlText w:val="o"/>
      <w:lvlJc w:val="left"/>
      <w:pPr>
        <w:ind w:left="6657" w:hanging="360"/>
      </w:pPr>
      <w:rPr>
        <w:rFonts w:ascii="Courier New" w:hAnsi="Courier New" w:cs="Courier New" w:hint="default"/>
      </w:rPr>
    </w:lvl>
    <w:lvl w:ilvl="8" w:tplc="041A0005" w:tentative="1">
      <w:start w:val="1"/>
      <w:numFmt w:val="bullet"/>
      <w:lvlText w:val=""/>
      <w:lvlJc w:val="left"/>
      <w:pPr>
        <w:ind w:left="7377" w:hanging="360"/>
      </w:pPr>
      <w:rPr>
        <w:rFonts w:ascii="Wingdings" w:hAnsi="Wingdings" w:hint="default"/>
      </w:rPr>
    </w:lvl>
  </w:abstractNum>
  <w:abstractNum w:abstractNumId="37">
    <w:nsid w:val="4C53547C"/>
    <w:multiLevelType w:val="hybridMultilevel"/>
    <w:tmpl w:val="CCC8A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E682AEE"/>
    <w:multiLevelType w:val="hybridMultilevel"/>
    <w:tmpl w:val="A1B666E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nsid w:val="52014720"/>
    <w:multiLevelType w:val="hybridMultilevel"/>
    <w:tmpl w:val="52C6DF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29D0D1C"/>
    <w:multiLevelType w:val="hybridMultilevel"/>
    <w:tmpl w:val="5A2CAA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nsid w:val="531350E1"/>
    <w:multiLevelType w:val="hybridMultilevel"/>
    <w:tmpl w:val="3BE059DE"/>
    <w:lvl w:ilvl="0" w:tplc="84B8FC7A">
      <w:start w:val="7"/>
      <w:numFmt w:val="bullet"/>
      <w:lvlText w:val="-"/>
      <w:lvlJc w:val="left"/>
      <w:pPr>
        <w:ind w:left="1068" w:hanging="360"/>
      </w:pPr>
      <w:rPr>
        <w:rFonts w:ascii="Calibri" w:eastAsia="Times New Roman" w:hAnsi="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42">
    <w:nsid w:val="574C34AB"/>
    <w:multiLevelType w:val="hybridMultilevel"/>
    <w:tmpl w:val="8A72B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780172A"/>
    <w:multiLevelType w:val="hybridMultilevel"/>
    <w:tmpl w:val="A76A1E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57B335FB"/>
    <w:multiLevelType w:val="hybridMultilevel"/>
    <w:tmpl w:val="134A5ED0"/>
    <w:lvl w:ilvl="0" w:tplc="2C4CA806">
      <w:start w:val="2"/>
      <w:numFmt w:val="bullet"/>
      <w:lvlText w:val="-"/>
      <w:lvlJc w:val="left"/>
      <w:pPr>
        <w:ind w:left="720" w:hanging="360"/>
      </w:pPr>
      <w:rPr>
        <w:rFonts w:ascii="Calibri" w:eastAsia="Times New Roman"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57B637B0"/>
    <w:multiLevelType w:val="hybridMultilevel"/>
    <w:tmpl w:val="C98A51F0"/>
    <w:lvl w:ilvl="0" w:tplc="92F2B39A">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58271214"/>
    <w:multiLevelType w:val="hybridMultilevel"/>
    <w:tmpl w:val="5B3A55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nsid w:val="5EE948FE"/>
    <w:multiLevelType w:val="hybridMultilevel"/>
    <w:tmpl w:val="199A93C0"/>
    <w:lvl w:ilvl="0" w:tplc="05784AA2">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64EC7B14"/>
    <w:multiLevelType w:val="hybridMultilevel"/>
    <w:tmpl w:val="E3B2C728"/>
    <w:lvl w:ilvl="0" w:tplc="C722F48A">
      <w:start w:val="1"/>
      <w:numFmt w:val="decimal"/>
      <w:suff w:val="space"/>
      <w:lvlText w:val="%1."/>
      <w:lvlJc w:val="left"/>
      <w:pPr>
        <w:ind w:left="0" w:firstLine="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9">
    <w:nsid w:val="65467692"/>
    <w:multiLevelType w:val="hybridMultilevel"/>
    <w:tmpl w:val="23B88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65815C3F"/>
    <w:multiLevelType w:val="hybridMultilevel"/>
    <w:tmpl w:val="3A5668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65CD24D0"/>
    <w:multiLevelType w:val="hybridMultilevel"/>
    <w:tmpl w:val="DA908814"/>
    <w:lvl w:ilvl="0" w:tplc="39CA7714">
      <w:start w:val="1"/>
      <w:numFmt w:val="decimal"/>
      <w:lvlText w:val="%1."/>
      <w:lvlJc w:val="left"/>
      <w:pPr>
        <w:ind w:left="592"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66D24D55"/>
    <w:multiLevelType w:val="hybridMultilevel"/>
    <w:tmpl w:val="7A904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68710F95"/>
    <w:multiLevelType w:val="hybridMultilevel"/>
    <w:tmpl w:val="FB9660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69C02C50"/>
    <w:multiLevelType w:val="hybridMultilevel"/>
    <w:tmpl w:val="6CC2A9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69D84C02"/>
    <w:multiLevelType w:val="hybridMultilevel"/>
    <w:tmpl w:val="51BC2DA8"/>
    <w:lvl w:ilvl="0" w:tplc="2C4CA806">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6AB15878"/>
    <w:multiLevelType w:val="hybridMultilevel"/>
    <w:tmpl w:val="61F0A29C"/>
    <w:lvl w:ilvl="0" w:tplc="1C0411E4">
      <w:start w:val="1"/>
      <w:numFmt w:val="decimal"/>
      <w:lvlText w:val="%1."/>
      <w:lvlJc w:val="left"/>
      <w:pPr>
        <w:ind w:left="1440" w:hanging="144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nsid w:val="6B55594F"/>
    <w:multiLevelType w:val="hybridMultilevel"/>
    <w:tmpl w:val="28769B2A"/>
    <w:lvl w:ilvl="0" w:tplc="C0864CD0">
      <w:start w:val="1"/>
      <w:numFmt w:val="decimal"/>
      <w:lvlText w:val="%1."/>
      <w:lvlJc w:val="left"/>
      <w:pPr>
        <w:ind w:left="592" w:hanging="360"/>
      </w:pPr>
      <w:rPr>
        <w:rFonts w:hint="default"/>
        <w:b w:val="0"/>
      </w:rPr>
    </w:lvl>
    <w:lvl w:ilvl="1" w:tplc="041A0019" w:tentative="1">
      <w:start w:val="1"/>
      <w:numFmt w:val="lowerLetter"/>
      <w:lvlText w:val="%2."/>
      <w:lvlJc w:val="left"/>
      <w:pPr>
        <w:ind w:left="1312" w:hanging="360"/>
      </w:pPr>
    </w:lvl>
    <w:lvl w:ilvl="2" w:tplc="041A001B" w:tentative="1">
      <w:start w:val="1"/>
      <w:numFmt w:val="lowerRoman"/>
      <w:lvlText w:val="%3."/>
      <w:lvlJc w:val="right"/>
      <w:pPr>
        <w:ind w:left="2032" w:hanging="180"/>
      </w:pPr>
    </w:lvl>
    <w:lvl w:ilvl="3" w:tplc="041A000F" w:tentative="1">
      <w:start w:val="1"/>
      <w:numFmt w:val="decimal"/>
      <w:lvlText w:val="%4."/>
      <w:lvlJc w:val="left"/>
      <w:pPr>
        <w:ind w:left="2752" w:hanging="360"/>
      </w:pPr>
    </w:lvl>
    <w:lvl w:ilvl="4" w:tplc="041A0019" w:tentative="1">
      <w:start w:val="1"/>
      <w:numFmt w:val="lowerLetter"/>
      <w:lvlText w:val="%5."/>
      <w:lvlJc w:val="left"/>
      <w:pPr>
        <w:ind w:left="3472" w:hanging="360"/>
      </w:pPr>
    </w:lvl>
    <w:lvl w:ilvl="5" w:tplc="041A001B" w:tentative="1">
      <w:start w:val="1"/>
      <w:numFmt w:val="lowerRoman"/>
      <w:lvlText w:val="%6."/>
      <w:lvlJc w:val="right"/>
      <w:pPr>
        <w:ind w:left="4192" w:hanging="180"/>
      </w:pPr>
    </w:lvl>
    <w:lvl w:ilvl="6" w:tplc="041A000F" w:tentative="1">
      <w:start w:val="1"/>
      <w:numFmt w:val="decimal"/>
      <w:lvlText w:val="%7."/>
      <w:lvlJc w:val="left"/>
      <w:pPr>
        <w:ind w:left="4912" w:hanging="360"/>
      </w:pPr>
    </w:lvl>
    <w:lvl w:ilvl="7" w:tplc="041A0019" w:tentative="1">
      <w:start w:val="1"/>
      <w:numFmt w:val="lowerLetter"/>
      <w:lvlText w:val="%8."/>
      <w:lvlJc w:val="left"/>
      <w:pPr>
        <w:ind w:left="5632" w:hanging="360"/>
      </w:pPr>
    </w:lvl>
    <w:lvl w:ilvl="8" w:tplc="041A001B" w:tentative="1">
      <w:start w:val="1"/>
      <w:numFmt w:val="lowerRoman"/>
      <w:lvlText w:val="%9."/>
      <w:lvlJc w:val="right"/>
      <w:pPr>
        <w:ind w:left="6352" w:hanging="180"/>
      </w:pPr>
    </w:lvl>
  </w:abstractNum>
  <w:abstractNum w:abstractNumId="58">
    <w:nsid w:val="6C0C5540"/>
    <w:multiLevelType w:val="hybridMultilevel"/>
    <w:tmpl w:val="9A042E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6D2318E7"/>
    <w:multiLevelType w:val="hybridMultilevel"/>
    <w:tmpl w:val="5C92B5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97B0AE30">
      <w:numFmt w:val="bullet"/>
      <w:lvlText w:val="–"/>
      <w:lvlJc w:val="left"/>
      <w:pPr>
        <w:ind w:left="2880" w:hanging="360"/>
      </w:pPr>
      <w:rPr>
        <w:rFonts w:ascii="Calibri" w:eastAsia="Times New Roman" w:hAnsi="Calibri" w:cs="Times New Roman"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F7A7448"/>
    <w:multiLevelType w:val="hybridMultilevel"/>
    <w:tmpl w:val="22241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71935ADD"/>
    <w:multiLevelType w:val="hybridMultilevel"/>
    <w:tmpl w:val="28F836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736F4181"/>
    <w:multiLevelType w:val="hybridMultilevel"/>
    <w:tmpl w:val="50C610D8"/>
    <w:lvl w:ilvl="0" w:tplc="2C4CA806">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6B00850"/>
    <w:multiLevelType w:val="hybridMultilevel"/>
    <w:tmpl w:val="BFF827E2"/>
    <w:lvl w:ilvl="0" w:tplc="4D4CE09E">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79C84CB5"/>
    <w:multiLevelType w:val="hybridMultilevel"/>
    <w:tmpl w:val="88BC21AC"/>
    <w:lvl w:ilvl="0" w:tplc="C6FAEFE6">
      <w:start w:val="1"/>
      <w:numFmt w:val="bullet"/>
      <w:pStyle w:val="Lista1"/>
      <w:lvlText w:val=""/>
      <w:lvlJc w:val="left"/>
      <w:pPr>
        <w:tabs>
          <w:tab w:val="num" w:pos="714"/>
        </w:tabs>
        <w:ind w:left="2340" w:hanging="1983"/>
      </w:pPr>
      <w:rPr>
        <w:rFonts w:ascii="Symbol" w:hAnsi="Symbol" w:hint="default"/>
        <w:caps w:val="0"/>
        <w:strike w:val="0"/>
        <w:dstrike w:val="0"/>
        <w:vanish w:val="0"/>
        <w:color w:val="808000"/>
        <w:vertAlign w:val="baseline"/>
      </w:rPr>
    </w:lvl>
    <w:lvl w:ilvl="1" w:tplc="041A0019" w:tentative="1">
      <w:start w:val="1"/>
      <w:numFmt w:val="bullet"/>
      <w:lvlText w:val="o"/>
      <w:lvlJc w:val="left"/>
      <w:pPr>
        <w:tabs>
          <w:tab w:val="num" w:pos="1440"/>
        </w:tabs>
        <w:ind w:left="1440" w:hanging="360"/>
      </w:pPr>
      <w:rPr>
        <w:rFonts w:ascii="Courier New" w:hAnsi="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65">
    <w:nsid w:val="7CBE6550"/>
    <w:multiLevelType w:val="hybridMultilevel"/>
    <w:tmpl w:val="19B23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7D834D31"/>
    <w:multiLevelType w:val="hybridMultilevel"/>
    <w:tmpl w:val="28769B2A"/>
    <w:lvl w:ilvl="0" w:tplc="C0864CD0">
      <w:start w:val="1"/>
      <w:numFmt w:val="decimal"/>
      <w:lvlText w:val="%1."/>
      <w:lvlJc w:val="left"/>
      <w:pPr>
        <w:ind w:left="592" w:hanging="360"/>
      </w:pPr>
      <w:rPr>
        <w:rFonts w:hint="default"/>
        <w:b w:val="0"/>
      </w:rPr>
    </w:lvl>
    <w:lvl w:ilvl="1" w:tplc="041A0019" w:tentative="1">
      <w:start w:val="1"/>
      <w:numFmt w:val="lowerLetter"/>
      <w:lvlText w:val="%2."/>
      <w:lvlJc w:val="left"/>
      <w:pPr>
        <w:ind w:left="1312" w:hanging="360"/>
      </w:pPr>
    </w:lvl>
    <w:lvl w:ilvl="2" w:tplc="041A001B" w:tentative="1">
      <w:start w:val="1"/>
      <w:numFmt w:val="lowerRoman"/>
      <w:lvlText w:val="%3."/>
      <w:lvlJc w:val="right"/>
      <w:pPr>
        <w:ind w:left="2032" w:hanging="180"/>
      </w:pPr>
    </w:lvl>
    <w:lvl w:ilvl="3" w:tplc="041A000F" w:tentative="1">
      <w:start w:val="1"/>
      <w:numFmt w:val="decimal"/>
      <w:lvlText w:val="%4."/>
      <w:lvlJc w:val="left"/>
      <w:pPr>
        <w:ind w:left="2752" w:hanging="360"/>
      </w:pPr>
    </w:lvl>
    <w:lvl w:ilvl="4" w:tplc="041A0019" w:tentative="1">
      <w:start w:val="1"/>
      <w:numFmt w:val="lowerLetter"/>
      <w:lvlText w:val="%5."/>
      <w:lvlJc w:val="left"/>
      <w:pPr>
        <w:ind w:left="3472" w:hanging="360"/>
      </w:pPr>
    </w:lvl>
    <w:lvl w:ilvl="5" w:tplc="041A001B" w:tentative="1">
      <w:start w:val="1"/>
      <w:numFmt w:val="lowerRoman"/>
      <w:lvlText w:val="%6."/>
      <w:lvlJc w:val="right"/>
      <w:pPr>
        <w:ind w:left="4192" w:hanging="180"/>
      </w:pPr>
    </w:lvl>
    <w:lvl w:ilvl="6" w:tplc="041A000F" w:tentative="1">
      <w:start w:val="1"/>
      <w:numFmt w:val="decimal"/>
      <w:lvlText w:val="%7."/>
      <w:lvlJc w:val="left"/>
      <w:pPr>
        <w:ind w:left="4912" w:hanging="360"/>
      </w:pPr>
    </w:lvl>
    <w:lvl w:ilvl="7" w:tplc="041A0019" w:tentative="1">
      <w:start w:val="1"/>
      <w:numFmt w:val="lowerLetter"/>
      <w:lvlText w:val="%8."/>
      <w:lvlJc w:val="left"/>
      <w:pPr>
        <w:ind w:left="5632" w:hanging="360"/>
      </w:pPr>
    </w:lvl>
    <w:lvl w:ilvl="8" w:tplc="041A001B" w:tentative="1">
      <w:start w:val="1"/>
      <w:numFmt w:val="lowerRoman"/>
      <w:lvlText w:val="%9."/>
      <w:lvlJc w:val="right"/>
      <w:pPr>
        <w:ind w:left="6352" w:hanging="180"/>
      </w:pPr>
    </w:lvl>
  </w:abstractNum>
  <w:abstractNum w:abstractNumId="67">
    <w:nsid w:val="7EF55278"/>
    <w:multiLevelType w:val="hybridMultilevel"/>
    <w:tmpl w:val="FB94FD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num>
  <w:num w:numId="5">
    <w:abstractNumId w:val="10"/>
  </w:num>
  <w:num w:numId="6">
    <w:abstractNumId w:val="39"/>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44"/>
  </w:num>
  <w:num w:numId="10">
    <w:abstractNumId w:val="42"/>
  </w:num>
  <w:num w:numId="11">
    <w:abstractNumId w:val="16"/>
  </w:num>
  <w:num w:numId="12">
    <w:abstractNumId w:val="32"/>
  </w:num>
  <w:num w:numId="13">
    <w:abstractNumId w:val="26"/>
  </w:num>
  <w:num w:numId="14">
    <w:abstractNumId w:val="38"/>
  </w:num>
  <w:num w:numId="15">
    <w:abstractNumId w:val="7"/>
  </w:num>
  <w:num w:numId="16">
    <w:abstractNumId w:val="13"/>
  </w:num>
  <w:num w:numId="17">
    <w:abstractNumId w:val="23"/>
  </w:num>
  <w:num w:numId="18">
    <w:abstractNumId w:val="63"/>
  </w:num>
  <w:num w:numId="19">
    <w:abstractNumId w:val="20"/>
  </w:num>
  <w:num w:numId="20">
    <w:abstractNumId w:val="24"/>
  </w:num>
  <w:num w:numId="21">
    <w:abstractNumId w:val="22"/>
  </w:num>
  <w:num w:numId="22">
    <w:abstractNumId w:val="6"/>
  </w:num>
  <w:num w:numId="23">
    <w:abstractNumId w:val="57"/>
  </w:num>
  <w:num w:numId="24">
    <w:abstractNumId w:val="66"/>
  </w:num>
  <w:num w:numId="25">
    <w:abstractNumId w:val="28"/>
  </w:num>
  <w:num w:numId="26">
    <w:abstractNumId w:val="55"/>
  </w:num>
  <w:num w:numId="27">
    <w:abstractNumId w:val="62"/>
  </w:num>
  <w:num w:numId="28">
    <w:abstractNumId w:val="35"/>
  </w:num>
  <w:num w:numId="29">
    <w:abstractNumId w:val="67"/>
  </w:num>
  <w:num w:numId="30">
    <w:abstractNumId w:val="2"/>
  </w:num>
  <w:num w:numId="31">
    <w:abstractNumId w:val="14"/>
  </w:num>
  <w:num w:numId="32">
    <w:abstractNumId w:val="25"/>
  </w:num>
  <w:num w:numId="33">
    <w:abstractNumId w:val="43"/>
  </w:num>
  <w:num w:numId="34">
    <w:abstractNumId w:val="34"/>
  </w:num>
  <w:num w:numId="35">
    <w:abstractNumId w:val="11"/>
  </w:num>
  <w:num w:numId="36">
    <w:abstractNumId w:val="52"/>
  </w:num>
  <w:num w:numId="37">
    <w:abstractNumId w:val="49"/>
  </w:num>
  <w:num w:numId="38">
    <w:abstractNumId w:val="3"/>
  </w:num>
  <w:num w:numId="39">
    <w:abstractNumId w:val="9"/>
  </w:num>
  <w:num w:numId="40">
    <w:abstractNumId w:val="27"/>
  </w:num>
  <w:num w:numId="41">
    <w:abstractNumId w:val="36"/>
  </w:num>
  <w:num w:numId="42">
    <w:abstractNumId w:val="19"/>
  </w:num>
  <w:num w:numId="43">
    <w:abstractNumId w:val="30"/>
  </w:num>
  <w:num w:numId="44">
    <w:abstractNumId w:val="29"/>
  </w:num>
  <w:num w:numId="45">
    <w:abstractNumId w:val="53"/>
  </w:num>
  <w:num w:numId="46">
    <w:abstractNumId w:val="37"/>
  </w:num>
  <w:num w:numId="47">
    <w:abstractNumId w:val="8"/>
  </w:num>
  <w:num w:numId="48">
    <w:abstractNumId w:val="46"/>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lvl w:ilvl="0" w:tplc="C722F48A">
        <w:start w:val="1"/>
        <w:numFmt w:val="decimal"/>
        <w:suff w:val="nothing"/>
        <w:lvlText w:val="%1."/>
        <w:lvlJc w:val="left"/>
        <w:pPr>
          <w:ind w:left="0" w:firstLine="0"/>
        </w:pPr>
      </w:lvl>
    </w:lvlOverride>
    <w:lvlOverride w:ilvl="1">
      <w:lvl w:ilvl="1" w:tplc="041A0019">
        <w:start w:val="1"/>
        <w:numFmt w:val="lowerLetter"/>
        <w:lvlText w:val="%2."/>
        <w:lvlJc w:val="left"/>
        <w:pPr>
          <w:ind w:left="1080" w:hanging="360"/>
        </w:pPr>
      </w:lvl>
    </w:lvlOverride>
    <w:lvlOverride w:ilvl="2">
      <w:lvl w:ilvl="2" w:tplc="041A001B">
        <w:start w:val="1"/>
        <w:numFmt w:val="lowerRoman"/>
        <w:lvlText w:val="%3."/>
        <w:lvlJc w:val="right"/>
        <w:pPr>
          <w:ind w:left="1800" w:hanging="180"/>
        </w:pPr>
      </w:lvl>
    </w:lvlOverride>
    <w:lvlOverride w:ilvl="3">
      <w:lvl w:ilvl="3" w:tplc="041A000F">
        <w:start w:val="1"/>
        <w:numFmt w:val="decimal"/>
        <w:lvlText w:val="%4."/>
        <w:lvlJc w:val="left"/>
        <w:pPr>
          <w:ind w:left="2520" w:hanging="360"/>
        </w:pPr>
      </w:lvl>
    </w:lvlOverride>
    <w:lvlOverride w:ilvl="4">
      <w:lvl w:ilvl="4" w:tplc="041A0019">
        <w:start w:val="1"/>
        <w:numFmt w:val="lowerLetter"/>
        <w:lvlText w:val="%5."/>
        <w:lvlJc w:val="left"/>
        <w:pPr>
          <w:ind w:left="3240" w:hanging="360"/>
        </w:pPr>
      </w:lvl>
    </w:lvlOverride>
    <w:lvlOverride w:ilvl="5">
      <w:lvl w:ilvl="5" w:tplc="041A001B">
        <w:start w:val="1"/>
        <w:numFmt w:val="lowerRoman"/>
        <w:lvlText w:val="%6."/>
        <w:lvlJc w:val="right"/>
        <w:pPr>
          <w:ind w:left="3960" w:hanging="180"/>
        </w:pPr>
      </w:lvl>
    </w:lvlOverride>
    <w:lvlOverride w:ilvl="6">
      <w:lvl w:ilvl="6" w:tplc="041A000F">
        <w:start w:val="1"/>
        <w:numFmt w:val="decimal"/>
        <w:lvlText w:val="%7."/>
        <w:lvlJc w:val="left"/>
        <w:pPr>
          <w:ind w:left="4680" w:hanging="360"/>
        </w:pPr>
      </w:lvl>
    </w:lvlOverride>
    <w:lvlOverride w:ilvl="7">
      <w:lvl w:ilvl="7" w:tplc="041A0019">
        <w:start w:val="1"/>
        <w:numFmt w:val="lowerLetter"/>
        <w:lvlText w:val="%8."/>
        <w:lvlJc w:val="left"/>
        <w:pPr>
          <w:ind w:left="5400" w:hanging="360"/>
        </w:pPr>
      </w:lvl>
    </w:lvlOverride>
    <w:lvlOverride w:ilvl="8">
      <w:lvl w:ilvl="8" w:tplc="041A001B">
        <w:start w:val="1"/>
        <w:numFmt w:val="lowerRoman"/>
        <w:lvlText w:val="%9."/>
        <w:lvlJc w:val="right"/>
        <w:pPr>
          <w:ind w:left="6120" w:hanging="180"/>
        </w:pPr>
      </w:lvl>
    </w:lvlOverride>
  </w:num>
  <w:num w:numId="51">
    <w:abstractNumId w:val="21"/>
  </w:num>
  <w:num w:numId="52">
    <w:abstractNumId w:val="12"/>
    <w:lvlOverride w:ilvl="0">
      <w:startOverride w:val="1"/>
    </w:lvlOverride>
    <w:lvlOverride w:ilvl="1"/>
    <w:lvlOverride w:ilvl="2"/>
    <w:lvlOverride w:ilvl="3"/>
    <w:lvlOverride w:ilvl="4"/>
    <w:lvlOverride w:ilvl="5"/>
    <w:lvlOverride w:ilvl="6"/>
    <w:lvlOverride w:ilvl="7"/>
    <w:lvlOverride w:ilvl="8"/>
  </w:num>
  <w:num w:numId="53">
    <w:abstractNumId w:val="40"/>
  </w:num>
  <w:num w:numId="54">
    <w:abstractNumId w:val="61"/>
  </w:num>
  <w:num w:numId="55">
    <w:abstractNumId w:val="5"/>
  </w:num>
  <w:num w:numId="56">
    <w:abstractNumId w:val="51"/>
  </w:num>
  <w:num w:numId="57">
    <w:abstractNumId w:val="47"/>
  </w:num>
  <w:num w:numId="58">
    <w:abstractNumId w:val="33"/>
  </w:num>
  <w:num w:numId="59">
    <w:abstractNumId w:val="4"/>
  </w:num>
  <w:num w:numId="60">
    <w:abstractNumId w:val="65"/>
  </w:num>
  <w:num w:numId="61">
    <w:abstractNumId w:val="12"/>
  </w:num>
  <w:num w:numId="62">
    <w:abstractNumId w:val="17"/>
  </w:num>
  <w:num w:numId="63">
    <w:abstractNumId w:val="45"/>
  </w:num>
  <w:num w:numId="64">
    <w:abstractNumId w:val="18"/>
  </w:num>
  <w:num w:numId="65">
    <w:abstractNumId w:val="41"/>
  </w:num>
  <w:num w:numId="66">
    <w:abstractNumId w:val="50"/>
  </w:num>
  <w:num w:numId="67">
    <w:abstractNumId w:val="60"/>
  </w:num>
  <w:num w:numId="68">
    <w:abstractNumId w:val="31"/>
  </w:num>
  <w:num w:numId="69">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60"/>
    <w:rsid w:val="00000767"/>
    <w:rsid w:val="00000F77"/>
    <w:rsid w:val="0000134E"/>
    <w:rsid w:val="0000440A"/>
    <w:rsid w:val="0000541E"/>
    <w:rsid w:val="00006F93"/>
    <w:rsid w:val="00007311"/>
    <w:rsid w:val="00007434"/>
    <w:rsid w:val="000079BC"/>
    <w:rsid w:val="000108DD"/>
    <w:rsid w:val="00011345"/>
    <w:rsid w:val="00011F2C"/>
    <w:rsid w:val="000137BC"/>
    <w:rsid w:val="00013C85"/>
    <w:rsid w:val="00014428"/>
    <w:rsid w:val="0001495B"/>
    <w:rsid w:val="00014DE8"/>
    <w:rsid w:val="00015585"/>
    <w:rsid w:val="000171A4"/>
    <w:rsid w:val="00017AE9"/>
    <w:rsid w:val="00017D78"/>
    <w:rsid w:val="00020252"/>
    <w:rsid w:val="0002360D"/>
    <w:rsid w:val="00023EF1"/>
    <w:rsid w:val="00025758"/>
    <w:rsid w:val="00031110"/>
    <w:rsid w:val="000338BA"/>
    <w:rsid w:val="0003472E"/>
    <w:rsid w:val="00034741"/>
    <w:rsid w:val="00035BA5"/>
    <w:rsid w:val="00036CA4"/>
    <w:rsid w:val="00037031"/>
    <w:rsid w:val="0003720C"/>
    <w:rsid w:val="000378BA"/>
    <w:rsid w:val="00040A22"/>
    <w:rsid w:val="00042C4E"/>
    <w:rsid w:val="000469EB"/>
    <w:rsid w:val="0004715D"/>
    <w:rsid w:val="000472ED"/>
    <w:rsid w:val="00047871"/>
    <w:rsid w:val="00052F2F"/>
    <w:rsid w:val="000538A5"/>
    <w:rsid w:val="00054975"/>
    <w:rsid w:val="00055481"/>
    <w:rsid w:val="0005555E"/>
    <w:rsid w:val="00055EBD"/>
    <w:rsid w:val="0006156E"/>
    <w:rsid w:val="00061E30"/>
    <w:rsid w:val="0006435E"/>
    <w:rsid w:val="00067486"/>
    <w:rsid w:val="00070682"/>
    <w:rsid w:val="0007089B"/>
    <w:rsid w:val="00071B61"/>
    <w:rsid w:val="000757E6"/>
    <w:rsid w:val="00075C0A"/>
    <w:rsid w:val="00077A8B"/>
    <w:rsid w:val="00080223"/>
    <w:rsid w:val="00086369"/>
    <w:rsid w:val="00086D17"/>
    <w:rsid w:val="00087C74"/>
    <w:rsid w:val="0009018D"/>
    <w:rsid w:val="000922FF"/>
    <w:rsid w:val="00093588"/>
    <w:rsid w:val="00095C3F"/>
    <w:rsid w:val="00095DFF"/>
    <w:rsid w:val="00096126"/>
    <w:rsid w:val="000977DC"/>
    <w:rsid w:val="000A1D30"/>
    <w:rsid w:val="000A28CC"/>
    <w:rsid w:val="000A2AAF"/>
    <w:rsid w:val="000A2AF1"/>
    <w:rsid w:val="000A2C50"/>
    <w:rsid w:val="000A38ED"/>
    <w:rsid w:val="000A3C8A"/>
    <w:rsid w:val="000A56B8"/>
    <w:rsid w:val="000B1166"/>
    <w:rsid w:val="000B152F"/>
    <w:rsid w:val="000B35FD"/>
    <w:rsid w:val="000B3EFE"/>
    <w:rsid w:val="000B43FE"/>
    <w:rsid w:val="000B4470"/>
    <w:rsid w:val="000B4FF7"/>
    <w:rsid w:val="000B5893"/>
    <w:rsid w:val="000B6897"/>
    <w:rsid w:val="000B7D6B"/>
    <w:rsid w:val="000C2A49"/>
    <w:rsid w:val="000C38C5"/>
    <w:rsid w:val="000C41C2"/>
    <w:rsid w:val="000C49C5"/>
    <w:rsid w:val="000C5426"/>
    <w:rsid w:val="000C5A5E"/>
    <w:rsid w:val="000C5AA5"/>
    <w:rsid w:val="000C5ED3"/>
    <w:rsid w:val="000C604F"/>
    <w:rsid w:val="000C76A8"/>
    <w:rsid w:val="000D0D88"/>
    <w:rsid w:val="000D19BF"/>
    <w:rsid w:val="000D2E8B"/>
    <w:rsid w:val="000D3755"/>
    <w:rsid w:val="000D45EB"/>
    <w:rsid w:val="000D4D97"/>
    <w:rsid w:val="000D5209"/>
    <w:rsid w:val="000D5D7E"/>
    <w:rsid w:val="000D6B40"/>
    <w:rsid w:val="000D6B91"/>
    <w:rsid w:val="000E086C"/>
    <w:rsid w:val="000E09F2"/>
    <w:rsid w:val="000E150B"/>
    <w:rsid w:val="000E17C3"/>
    <w:rsid w:val="000E46B5"/>
    <w:rsid w:val="000E4E39"/>
    <w:rsid w:val="000E7F04"/>
    <w:rsid w:val="000F1335"/>
    <w:rsid w:val="000F1C84"/>
    <w:rsid w:val="000F2660"/>
    <w:rsid w:val="000F4620"/>
    <w:rsid w:val="000F5BA0"/>
    <w:rsid w:val="000F77C1"/>
    <w:rsid w:val="001001E5"/>
    <w:rsid w:val="00100390"/>
    <w:rsid w:val="0010074E"/>
    <w:rsid w:val="001008FE"/>
    <w:rsid w:val="00101BC2"/>
    <w:rsid w:val="001021DD"/>
    <w:rsid w:val="001038B1"/>
    <w:rsid w:val="00103DCB"/>
    <w:rsid w:val="001066AB"/>
    <w:rsid w:val="00107425"/>
    <w:rsid w:val="0011003F"/>
    <w:rsid w:val="001102DF"/>
    <w:rsid w:val="00110CD9"/>
    <w:rsid w:val="001136DD"/>
    <w:rsid w:val="001136FE"/>
    <w:rsid w:val="00114CD0"/>
    <w:rsid w:val="001159DC"/>
    <w:rsid w:val="00116146"/>
    <w:rsid w:val="0012081B"/>
    <w:rsid w:val="00122576"/>
    <w:rsid w:val="001234F6"/>
    <w:rsid w:val="0012466E"/>
    <w:rsid w:val="00124FCB"/>
    <w:rsid w:val="00125C22"/>
    <w:rsid w:val="00126137"/>
    <w:rsid w:val="00127F0B"/>
    <w:rsid w:val="00132126"/>
    <w:rsid w:val="001349E2"/>
    <w:rsid w:val="001361A9"/>
    <w:rsid w:val="00141287"/>
    <w:rsid w:val="0014167E"/>
    <w:rsid w:val="00142864"/>
    <w:rsid w:val="001436C8"/>
    <w:rsid w:val="00145A1F"/>
    <w:rsid w:val="00146EFB"/>
    <w:rsid w:val="001478B5"/>
    <w:rsid w:val="001507CF"/>
    <w:rsid w:val="00150DBE"/>
    <w:rsid w:val="00151DC5"/>
    <w:rsid w:val="00154732"/>
    <w:rsid w:val="00154EC2"/>
    <w:rsid w:val="00155C03"/>
    <w:rsid w:val="00155D97"/>
    <w:rsid w:val="00155FE8"/>
    <w:rsid w:val="0015799D"/>
    <w:rsid w:val="0016130A"/>
    <w:rsid w:val="00161324"/>
    <w:rsid w:val="00161A87"/>
    <w:rsid w:val="00162941"/>
    <w:rsid w:val="00162ADA"/>
    <w:rsid w:val="00164483"/>
    <w:rsid w:val="00164974"/>
    <w:rsid w:val="00166631"/>
    <w:rsid w:val="001710BD"/>
    <w:rsid w:val="001716D5"/>
    <w:rsid w:val="00171883"/>
    <w:rsid w:val="001728A2"/>
    <w:rsid w:val="00172AA9"/>
    <w:rsid w:val="00175A82"/>
    <w:rsid w:val="00181B67"/>
    <w:rsid w:val="00182F7F"/>
    <w:rsid w:val="001838B5"/>
    <w:rsid w:val="00187CE4"/>
    <w:rsid w:val="00187F00"/>
    <w:rsid w:val="0019064A"/>
    <w:rsid w:val="0019066F"/>
    <w:rsid w:val="00191AA2"/>
    <w:rsid w:val="00191C51"/>
    <w:rsid w:val="0019218C"/>
    <w:rsid w:val="00192232"/>
    <w:rsid w:val="00192C57"/>
    <w:rsid w:val="0019462D"/>
    <w:rsid w:val="00194ED3"/>
    <w:rsid w:val="00195AC4"/>
    <w:rsid w:val="00197CD5"/>
    <w:rsid w:val="001A1712"/>
    <w:rsid w:val="001A1FC1"/>
    <w:rsid w:val="001A2BE3"/>
    <w:rsid w:val="001A322E"/>
    <w:rsid w:val="001A4DA2"/>
    <w:rsid w:val="001A4EB5"/>
    <w:rsid w:val="001A5168"/>
    <w:rsid w:val="001A55EB"/>
    <w:rsid w:val="001A5DAD"/>
    <w:rsid w:val="001B03FA"/>
    <w:rsid w:val="001B0E25"/>
    <w:rsid w:val="001B146A"/>
    <w:rsid w:val="001B15E7"/>
    <w:rsid w:val="001B3518"/>
    <w:rsid w:val="001B3F7E"/>
    <w:rsid w:val="001B4E6E"/>
    <w:rsid w:val="001C0A61"/>
    <w:rsid w:val="001C11A4"/>
    <w:rsid w:val="001C12D1"/>
    <w:rsid w:val="001C2E37"/>
    <w:rsid w:val="001C3505"/>
    <w:rsid w:val="001C3870"/>
    <w:rsid w:val="001C4BF5"/>
    <w:rsid w:val="001C5CB1"/>
    <w:rsid w:val="001C62F0"/>
    <w:rsid w:val="001D1EB4"/>
    <w:rsid w:val="001D3671"/>
    <w:rsid w:val="001D3ADD"/>
    <w:rsid w:val="001D5B34"/>
    <w:rsid w:val="001D6278"/>
    <w:rsid w:val="001D7C28"/>
    <w:rsid w:val="001E0502"/>
    <w:rsid w:val="001E0E42"/>
    <w:rsid w:val="001E243B"/>
    <w:rsid w:val="001E40B7"/>
    <w:rsid w:val="001E4B01"/>
    <w:rsid w:val="001E59F9"/>
    <w:rsid w:val="001E7501"/>
    <w:rsid w:val="001E7631"/>
    <w:rsid w:val="001F0942"/>
    <w:rsid w:val="001F0D80"/>
    <w:rsid w:val="001F1716"/>
    <w:rsid w:val="001F2780"/>
    <w:rsid w:val="001F549B"/>
    <w:rsid w:val="001F79D6"/>
    <w:rsid w:val="00201329"/>
    <w:rsid w:val="00201905"/>
    <w:rsid w:val="00201EC9"/>
    <w:rsid w:val="00202C32"/>
    <w:rsid w:val="002127C1"/>
    <w:rsid w:val="00213A1A"/>
    <w:rsid w:val="002150E3"/>
    <w:rsid w:val="002155B8"/>
    <w:rsid w:val="002176E6"/>
    <w:rsid w:val="00221056"/>
    <w:rsid w:val="0022125F"/>
    <w:rsid w:val="002224DE"/>
    <w:rsid w:val="00224926"/>
    <w:rsid w:val="00226160"/>
    <w:rsid w:val="002274CF"/>
    <w:rsid w:val="00227C66"/>
    <w:rsid w:val="00231F9A"/>
    <w:rsid w:val="00233C12"/>
    <w:rsid w:val="00235922"/>
    <w:rsid w:val="00237807"/>
    <w:rsid w:val="00240B68"/>
    <w:rsid w:val="00243C15"/>
    <w:rsid w:val="00245582"/>
    <w:rsid w:val="00247973"/>
    <w:rsid w:val="00247E30"/>
    <w:rsid w:val="00250CC2"/>
    <w:rsid w:val="00251702"/>
    <w:rsid w:val="00251CB4"/>
    <w:rsid w:val="002526E6"/>
    <w:rsid w:val="00252C09"/>
    <w:rsid w:val="0025393C"/>
    <w:rsid w:val="00254E64"/>
    <w:rsid w:val="00255244"/>
    <w:rsid w:val="00256570"/>
    <w:rsid w:val="0025742B"/>
    <w:rsid w:val="00257C50"/>
    <w:rsid w:val="002622B6"/>
    <w:rsid w:val="002663AD"/>
    <w:rsid w:val="002669B8"/>
    <w:rsid w:val="00267020"/>
    <w:rsid w:val="002708ED"/>
    <w:rsid w:val="00273460"/>
    <w:rsid w:val="00274B27"/>
    <w:rsid w:val="002759E4"/>
    <w:rsid w:val="00275DDE"/>
    <w:rsid w:val="00275F4E"/>
    <w:rsid w:val="00280BD6"/>
    <w:rsid w:val="00286424"/>
    <w:rsid w:val="00286490"/>
    <w:rsid w:val="002866DA"/>
    <w:rsid w:val="0028686F"/>
    <w:rsid w:val="00286A29"/>
    <w:rsid w:val="00290BA5"/>
    <w:rsid w:val="0029183C"/>
    <w:rsid w:val="00291A2C"/>
    <w:rsid w:val="00291E78"/>
    <w:rsid w:val="002920BC"/>
    <w:rsid w:val="002948A4"/>
    <w:rsid w:val="002960F5"/>
    <w:rsid w:val="00296B06"/>
    <w:rsid w:val="002A0422"/>
    <w:rsid w:val="002A36F8"/>
    <w:rsid w:val="002A3905"/>
    <w:rsid w:val="002A48A9"/>
    <w:rsid w:val="002A4C3A"/>
    <w:rsid w:val="002A4CE1"/>
    <w:rsid w:val="002A4EFD"/>
    <w:rsid w:val="002A7F96"/>
    <w:rsid w:val="002B15A5"/>
    <w:rsid w:val="002B255C"/>
    <w:rsid w:val="002B3E9B"/>
    <w:rsid w:val="002B4068"/>
    <w:rsid w:val="002C16AC"/>
    <w:rsid w:val="002C19C4"/>
    <w:rsid w:val="002C4817"/>
    <w:rsid w:val="002C5C5C"/>
    <w:rsid w:val="002D0D95"/>
    <w:rsid w:val="002D0F6A"/>
    <w:rsid w:val="002D1037"/>
    <w:rsid w:val="002D2A61"/>
    <w:rsid w:val="002D34D6"/>
    <w:rsid w:val="002D5AA4"/>
    <w:rsid w:val="002D66C6"/>
    <w:rsid w:val="002E161A"/>
    <w:rsid w:val="002E253E"/>
    <w:rsid w:val="002E348B"/>
    <w:rsid w:val="002E400A"/>
    <w:rsid w:val="002E497D"/>
    <w:rsid w:val="002E6655"/>
    <w:rsid w:val="002E6754"/>
    <w:rsid w:val="002E7B11"/>
    <w:rsid w:val="002F0075"/>
    <w:rsid w:val="002F09FE"/>
    <w:rsid w:val="002F1460"/>
    <w:rsid w:val="002F2ADF"/>
    <w:rsid w:val="002F2F43"/>
    <w:rsid w:val="002F351D"/>
    <w:rsid w:val="002F56B2"/>
    <w:rsid w:val="002F6CDC"/>
    <w:rsid w:val="002F7AB2"/>
    <w:rsid w:val="00300ED0"/>
    <w:rsid w:val="00303316"/>
    <w:rsid w:val="003038CC"/>
    <w:rsid w:val="003042C8"/>
    <w:rsid w:val="00304790"/>
    <w:rsid w:val="003060C1"/>
    <w:rsid w:val="00310FB6"/>
    <w:rsid w:val="003119CF"/>
    <w:rsid w:val="003123E7"/>
    <w:rsid w:val="00313553"/>
    <w:rsid w:val="00314189"/>
    <w:rsid w:val="003165DA"/>
    <w:rsid w:val="00321EFB"/>
    <w:rsid w:val="00324A5A"/>
    <w:rsid w:val="0032515E"/>
    <w:rsid w:val="00327C08"/>
    <w:rsid w:val="003306E2"/>
    <w:rsid w:val="00331D53"/>
    <w:rsid w:val="0033350E"/>
    <w:rsid w:val="00333A23"/>
    <w:rsid w:val="003343A1"/>
    <w:rsid w:val="00336CB1"/>
    <w:rsid w:val="00340B8C"/>
    <w:rsid w:val="003412CD"/>
    <w:rsid w:val="003428F9"/>
    <w:rsid w:val="003436A0"/>
    <w:rsid w:val="00346BF8"/>
    <w:rsid w:val="00350212"/>
    <w:rsid w:val="003539C9"/>
    <w:rsid w:val="00353CED"/>
    <w:rsid w:val="00354366"/>
    <w:rsid w:val="003549A6"/>
    <w:rsid w:val="00361036"/>
    <w:rsid w:val="00361664"/>
    <w:rsid w:val="00361B54"/>
    <w:rsid w:val="00361FC7"/>
    <w:rsid w:val="00362059"/>
    <w:rsid w:val="0036273F"/>
    <w:rsid w:val="00363C0B"/>
    <w:rsid w:val="00364102"/>
    <w:rsid w:val="00364D81"/>
    <w:rsid w:val="00364F5C"/>
    <w:rsid w:val="0036505C"/>
    <w:rsid w:val="003664C6"/>
    <w:rsid w:val="00367F1A"/>
    <w:rsid w:val="003701FD"/>
    <w:rsid w:val="00370C2B"/>
    <w:rsid w:val="00371EAF"/>
    <w:rsid w:val="0037328D"/>
    <w:rsid w:val="003741BB"/>
    <w:rsid w:val="00375C62"/>
    <w:rsid w:val="00376B4C"/>
    <w:rsid w:val="00383999"/>
    <w:rsid w:val="00384EB8"/>
    <w:rsid w:val="0038512E"/>
    <w:rsid w:val="00385C51"/>
    <w:rsid w:val="00385E6F"/>
    <w:rsid w:val="003909B6"/>
    <w:rsid w:val="00391B48"/>
    <w:rsid w:val="00394BA9"/>
    <w:rsid w:val="003978CA"/>
    <w:rsid w:val="003A0E97"/>
    <w:rsid w:val="003A1F2D"/>
    <w:rsid w:val="003A2CB7"/>
    <w:rsid w:val="003A61DF"/>
    <w:rsid w:val="003A714B"/>
    <w:rsid w:val="003A7EAC"/>
    <w:rsid w:val="003A7F11"/>
    <w:rsid w:val="003B2843"/>
    <w:rsid w:val="003B3225"/>
    <w:rsid w:val="003B3C91"/>
    <w:rsid w:val="003B4999"/>
    <w:rsid w:val="003B4EAB"/>
    <w:rsid w:val="003B4FCB"/>
    <w:rsid w:val="003B688C"/>
    <w:rsid w:val="003B7D52"/>
    <w:rsid w:val="003C05B6"/>
    <w:rsid w:val="003C2427"/>
    <w:rsid w:val="003C3349"/>
    <w:rsid w:val="003C4B4E"/>
    <w:rsid w:val="003C4D6C"/>
    <w:rsid w:val="003C6365"/>
    <w:rsid w:val="003C6A5C"/>
    <w:rsid w:val="003C78FA"/>
    <w:rsid w:val="003D1D6B"/>
    <w:rsid w:val="003D3C1B"/>
    <w:rsid w:val="003D3D0D"/>
    <w:rsid w:val="003D56D4"/>
    <w:rsid w:val="003D5875"/>
    <w:rsid w:val="003D72CE"/>
    <w:rsid w:val="003D7356"/>
    <w:rsid w:val="003D7ED0"/>
    <w:rsid w:val="003E17DE"/>
    <w:rsid w:val="003E19AC"/>
    <w:rsid w:val="003E2081"/>
    <w:rsid w:val="003E2572"/>
    <w:rsid w:val="003E5312"/>
    <w:rsid w:val="003E59E7"/>
    <w:rsid w:val="003E6FE0"/>
    <w:rsid w:val="003F0EB9"/>
    <w:rsid w:val="003F1526"/>
    <w:rsid w:val="003F1FD3"/>
    <w:rsid w:val="003F7345"/>
    <w:rsid w:val="003F7AE2"/>
    <w:rsid w:val="004010F9"/>
    <w:rsid w:val="0040487B"/>
    <w:rsid w:val="0040548F"/>
    <w:rsid w:val="004056DF"/>
    <w:rsid w:val="00405FAE"/>
    <w:rsid w:val="004065C2"/>
    <w:rsid w:val="004066EB"/>
    <w:rsid w:val="00411708"/>
    <w:rsid w:val="00411795"/>
    <w:rsid w:val="0041204A"/>
    <w:rsid w:val="004129B3"/>
    <w:rsid w:val="00413261"/>
    <w:rsid w:val="0041643F"/>
    <w:rsid w:val="00417281"/>
    <w:rsid w:val="00417671"/>
    <w:rsid w:val="00417A9D"/>
    <w:rsid w:val="00421408"/>
    <w:rsid w:val="00424013"/>
    <w:rsid w:val="00424B5C"/>
    <w:rsid w:val="00425F38"/>
    <w:rsid w:val="00426D2F"/>
    <w:rsid w:val="004307F4"/>
    <w:rsid w:val="00430D54"/>
    <w:rsid w:val="00430D84"/>
    <w:rsid w:val="00431EBD"/>
    <w:rsid w:val="00432239"/>
    <w:rsid w:val="00432300"/>
    <w:rsid w:val="00434443"/>
    <w:rsid w:val="0043503F"/>
    <w:rsid w:val="00437BD6"/>
    <w:rsid w:val="004409EA"/>
    <w:rsid w:val="004414F6"/>
    <w:rsid w:val="004420A4"/>
    <w:rsid w:val="004423CB"/>
    <w:rsid w:val="004437D8"/>
    <w:rsid w:val="004447D9"/>
    <w:rsid w:val="0044608A"/>
    <w:rsid w:val="004470BC"/>
    <w:rsid w:val="004476AD"/>
    <w:rsid w:val="004504BF"/>
    <w:rsid w:val="00453CBE"/>
    <w:rsid w:val="00454375"/>
    <w:rsid w:val="004556C3"/>
    <w:rsid w:val="004600ED"/>
    <w:rsid w:val="00460349"/>
    <w:rsid w:val="004605E2"/>
    <w:rsid w:val="00463B4E"/>
    <w:rsid w:val="00464B67"/>
    <w:rsid w:val="004669D7"/>
    <w:rsid w:val="00466A3A"/>
    <w:rsid w:val="004701D9"/>
    <w:rsid w:val="00470B76"/>
    <w:rsid w:val="00471664"/>
    <w:rsid w:val="004724DF"/>
    <w:rsid w:val="00480C42"/>
    <w:rsid w:val="00481C44"/>
    <w:rsid w:val="00481C8E"/>
    <w:rsid w:val="004831DF"/>
    <w:rsid w:val="004839BF"/>
    <w:rsid w:val="00483AAE"/>
    <w:rsid w:val="004841B5"/>
    <w:rsid w:val="00484FA1"/>
    <w:rsid w:val="0048645C"/>
    <w:rsid w:val="00491731"/>
    <w:rsid w:val="0049222F"/>
    <w:rsid w:val="004925FF"/>
    <w:rsid w:val="00493AEE"/>
    <w:rsid w:val="00495911"/>
    <w:rsid w:val="004961C6"/>
    <w:rsid w:val="004A126F"/>
    <w:rsid w:val="004A5178"/>
    <w:rsid w:val="004A5460"/>
    <w:rsid w:val="004A6283"/>
    <w:rsid w:val="004B0215"/>
    <w:rsid w:val="004B0948"/>
    <w:rsid w:val="004B0951"/>
    <w:rsid w:val="004B187E"/>
    <w:rsid w:val="004B1C0A"/>
    <w:rsid w:val="004B237D"/>
    <w:rsid w:val="004B445F"/>
    <w:rsid w:val="004B55DB"/>
    <w:rsid w:val="004B5D3B"/>
    <w:rsid w:val="004B7242"/>
    <w:rsid w:val="004C0952"/>
    <w:rsid w:val="004C269B"/>
    <w:rsid w:val="004C3801"/>
    <w:rsid w:val="004C4D81"/>
    <w:rsid w:val="004C51BA"/>
    <w:rsid w:val="004C5D29"/>
    <w:rsid w:val="004C67D5"/>
    <w:rsid w:val="004C686D"/>
    <w:rsid w:val="004D0AD0"/>
    <w:rsid w:val="004D0D87"/>
    <w:rsid w:val="004D15EA"/>
    <w:rsid w:val="004D1A52"/>
    <w:rsid w:val="004D21B8"/>
    <w:rsid w:val="004D293C"/>
    <w:rsid w:val="004D3A97"/>
    <w:rsid w:val="004D3B8E"/>
    <w:rsid w:val="004D41FC"/>
    <w:rsid w:val="004D608F"/>
    <w:rsid w:val="004D649C"/>
    <w:rsid w:val="004D66AB"/>
    <w:rsid w:val="004D69A7"/>
    <w:rsid w:val="004D75AC"/>
    <w:rsid w:val="004D7E30"/>
    <w:rsid w:val="004E1071"/>
    <w:rsid w:val="004E30E5"/>
    <w:rsid w:val="004E33D4"/>
    <w:rsid w:val="004E4418"/>
    <w:rsid w:val="004E5668"/>
    <w:rsid w:val="004E750D"/>
    <w:rsid w:val="004F6D4F"/>
    <w:rsid w:val="00501E68"/>
    <w:rsid w:val="005024BF"/>
    <w:rsid w:val="00503E54"/>
    <w:rsid w:val="00512468"/>
    <w:rsid w:val="005145C9"/>
    <w:rsid w:val="00516275"/>
    <w:rsid w:val="00516771"/>
    <w:rsid w:val="0051723E"/>
    <w:rsid w:val="00517B4C"/>
    <w:rsid w:val="0052066E"/>
    <w:rsid w:val="00523522"/>
    <w:rsid w:val="00523B9C"/>
    <w:rsid w:val="00524EAD"/>
    <w:rsid w:val="00525163"/>
    <w:rsid w:val="005251F2"/>
    <w:rsid w:val="005257B9"/>
    <w:rsid w:val="00525968"/>
    <w:rsid w:val="00531C33"/>
    <w:rsid w:val="00533B73"/>
    <w:rsid w:val="0053405D"/>
    <w:rsid w:val="0053632C"/>
    <w:rsid w:val="00540715"/>
    <w:rsid w:val="005409A8"/>
    <w:rsid w:val="00541192"/>
    <w:rsid w:val="00541BD5"/>
    <w:rsid w:val="00542597"/>
    <w:rsid w:val="00544134"/>
    <w:rsid w:val="00544667"/>
    <w:rsid w:val="005462AB"/>
    <w:rsid w:val="0054653D"/>
    <w:rsid w:val="00554140"/>
    <w:rsid w:val="005545CE"/>
    <w:rsid w:val="00554724"/>
    <w:rsid w:val="005561EF"/>
    <w:rsid w:val="00556AAC"/>
    <w:rsid w:val="00560839"/>
    <w:rsid w:val="0056279C"/>
    <w:rsid w:val="00562904"/>
    <w:rsid w:val="00563234"/>
    <w:rsid w:val="00563397"/>
    <w:rsid w:val="005652ED"/>
    <w:rsid w:val="00567AAE"/>
    <w:rsid w:val="00570201"/>
    <w:rsid w:val="00571930"/>
    <w:rsid w:val="00571A65"/>
    <w:rsid w:val="005721AF"/>
    <w:rsid w:val="005725B9"/>
    <w:rsid w:val="005733E0"/>
    <w:rsid w:val="00573B8E"/>
    <w:rsid w:val="00575304"/>
    <w:rsid w:val="00577AC6"/>
    <w:rsid w:val="00581565"/>
    <w:rsid w:val="005837AB"/>
    <w:rsid w:val="00583990"/>
    <w:rsid w:val="00583A87"/>
    <w:rsid w:val="00583C5B"/>
    <w:rsid w:val="005855E9"/>
    <w:rsid w:val="0059005C"/>
    <w:rsid w:val="005908C4"/>
    <w:rsid w:val="005908F3"/>
    <w:rsid w:val="005917BC"/>
    <w:rsid w:val="005952C5"/>
    <w:rsid w:val="005968E5"/>
    <w:rsid w:val="005968EE"/>
    <w:rsid w:val="005971A5"/>
    <w:rsid w:val="005974E1"/>
    <w:rsid w:val="005A0B1E"/>
    <w:rsid w:val="005A22DE"/>
    <w:rsid w:val="005A32B8"/>
    <w:rsid w:val="005A3F84"/>
    <w:rsid w:val="005A5031"/>
    <w:rsid w:val="005A5366"/>
    <w:rsid w:val="005A7484"/>
    <w:rsid w:val="005B1AD3"/>
    <w:rsid w:val="005B48B2"/>
    <w:rsid w:val="005C03DC"/>
    <w:rsid w:val="005C1AA7"/>
    <w:rsid w:val="005C21FE"/>
    <w:rsid w:val="005C30E6"/>
    <w:rsid w:val="005C4F12"/>
    <w:rsid w:val="005C7220"/>
    <w:rsid w:val="005C7E7E"/>
    <w:rsid w:val="005D20FD"/>
    <w:rsid w:val="005D3027"/>
    <w:rsid w:val="005D46C5"/>
    <w:rsid w:val="005D519E"/>
    <w:rsid w:val="005D7B50"/>
    <w:rsid w:val="005E37E4"/>
    <w:rsid w:val="005E3F34"/>
    <w:rsid w:val="005E41BF"/>
    <w:rsid w:val="005E6F15"/>
    <w:rsid w:val="005F09BE"/>
    <w:rsid w:val="005F248B"/>
    <w:rsid w:val="005F27AE"/>
    <w:rsid w:val="005F38A3"/>
    <w:rsid w:val="005F6D57"/>
    <w:rsid w:val="005F7BBA"/>
    <w:rsid w:val="00600A76"/>
    <w:rsid w:val="00601012"/>
    <w:rsid w:val="006012A0"/>
    <w:rsid w:val="006023A9"/>
    <w:rsid w:val="00603533"/>
    <w:rsid w:val="00603A10"/>
    <w:rsid w:val="0060413A"/>
    <w:rsid w:val="006046CC"/>
    <w:rsid w:val="0060474F"/>
    <w:rsid w:val="00604968"/>
    <w:rsid w:val="00604FC6"/>
    <w:rsid w:val="00605607"/>
    <w:rsid w:val="006068E3"/>
    <w:rsid w:val="00606A3C"/>
    <w:rsid w:val="0060762B"/>
    <w:rsid w:val="00611F2B"/>
    <w:rsid w:val="006153CD"/>
    <w:rsid w:val="006178EC"/>
    <w:rsid w:val="00617A4D"/>
    <w:rsid w:val="00620555"/>
    <w:rsid w:val="006205D3"/>
    <w:rsid w:val="0062247E"/>
    <w:rsid w:val="00627684"/>
    <w:rsid w:val="00633107"/>
    <w:rsid w:val="00633CB9"/>
    <w:rsid w:val="00634D83"/>
    <w:rsid w:val="00635086"/>
    <w:rsid w:val="00635AD7"/>
    <w:rsid w:val="00636595"/>
    <w:rsid w:val="00636825"/>
    <w:rsid w:val="006369DC"/>
    <w:rsid w:val="00636C84"/>
    <w:rsid w:val="0063774E"/>
    <w:rsid w:val="00640041"/>
    <w:rsid w:val="00640C0B"/>
    <w:rsid w:val="00643922"/>
    <w:rsid w:val="00644456"/>
    <w:rsid w:val="00644F6B"/>
    <w:rsid w:val="00645A9F"/>
    <w:rsid w:val="00645FA5"/>
    <w:rsid w:val="006500EA"/>
    <w:rsid w:val="00650504"/>
    <w:rsid w:val="00650C8E"/>
    <w:rsid w:val="00651BCA"/>
    <w:rsid w:val="006521C3"/>
    <w:rsid w:val="006525F2"/>
    <w:rsid w:val="00653177"/>
    <w:rsid w:val="00654223"/>
    <w:rsid w:val="00655BD6"/>
    <w:rsid w:val="00656556"/>
    <w:rsid w:val="006569E5"/>
    <w:rsid w:val="00663BAF"/>
    <w:rsid w:val="00666C3B"/>
    <w:rsid w:val="00667F8E"/>
    <w:rsid w:val="0067001A"/>
    <w:rsid w:val="006713CA"/>
    <w:rsid w:val="0067259A"/>
    <w:rsid w:val="006745E8"/>
    <w:rsid w:val="006757B8"/>
    <w:rsid w:val="00675C22"/>
    <w:rsid w:val="0067764B"/>
    <w:rsid w:val="006805E4"/>
    <w:rsid w:val="00681162"/>
    <w:rsid w:val="00681380"/>
    <w:rsid w:val="00681DCC"/>
    <w:rsid w:val="006823A0"/>
    <w:rsid w:val="0068482D"/>
    <w:rsid w:val="00685475"/>
    <w:rsid w:val="00686644"/>
    <w:rsid w:val="006874D6"/>
    <w:rsid w:val="00687844"/>
    <w:rsid w:val="006965A9"/>
    <w:rsid w:val="006971FF"/>
    <w:rsid w:val="006A025C"/>
    <w:rsid w:val="006A0310"/>
    <w:rsid w:val="006A06DD"/>
    <w:rsid w:val="006A2727"/>
    <w:rsid w:val="006A3397"/>
    <w:rsid w:val="006A5507"/>
    <w:rsid w:val="006A5AA3"/>
    <w:rsid w:val="006B1CB1"/>
    <w:rsid w:val="006B2700"/>
    <w:rsid w:val="006B3BA2"/>
    <w:rsid w:val="006B45FD"/>
    <w:rsid w:val="006B4A6D"/>
    <w:rsid w:val="006B77ED"/>
    <w:rsid w:val="006C38E7"/>
    <w:rsid w:val="006C3D49"/>
    <w:rsid w:val="006C478C"/>
    <w:rsid w:val="006C5A2C"/>
    <w:rsid w:val="006C74DC"/>
    <w:rsid w:val="006D0896"/>
    <w:rsid w:val="006D0E8E"/>
    <w:rsid w:val="006D21CE"/>
    <w:rsid w:val="006D23DE"/>
    <w:rsid w:val="006D29F7"/>
    <w:rsid w:val="006D609C"/>
    <w:rsid w:val="006E29A4"/>
    <w:rsid w:val="006E430E"/>
    <w:rsid w:val="006E4602"/>
    <w:rsid w:val="006F1403"/>
    <w:rsid w:val="006F3AD9"/>
    <w:rsid w:val="006F5509"/>
    <w:rsid w:val="006F622F"/>
    <w:rsid w:val="006F62BE"/>
    <w:rsid w:val="006F6BD1"/>
    <w:rsid w:val="007009DC"/>
    <w:rsid w:val="007026BD"/>
    <w:rsid w:val="00704165"/>
    <w:rsid w:val="0070465E"/>
    <w:rsid w:val="00705DC0"/>
    <w:rsid w:val="00706148"/>
    <w:rsid w:val="00707EFC"/>
    <w:rsid w:val="00710852"/>
    <w:rsid w:val="007116EB"/>
    <w:rsid w:val="00711E33"/>
    <w:rsid w:val="007127F6"/>
    <w:rsid w:val="00713B18"/>
    <w:rsid w:val="007149A5"/>
    <w:rsid w:val="00715586"/>
    <w:rsid w:val="0071583C"/>
    <w:rsid w:val="00715AD0"/>
    <w:rsid w:val="00716037"/>
    <w:rsid w:val="00716D5A"/>
    <w:rsid w:val="00717071"/>
    <w:rsid w:val="007176C9"/>
    <w:rsid w:val="00721066"/>
    <w:rsid w:val="0072148A"/>
    <w:rsid w:val="0072190D"/>
    <w:rsid w:val="00722402"/>
    <w:rsid w:val="00722ADC"/>
    <w:rsid w:val="00723794"/>
    <w:rsid w:val="007238D1"/>
    <w:rsid w:val="00724E75"/>
    <w:rsid w:val="00725EA6"/>
    <w:rsid w:val="00726C67"/>
    <w:rsid w:val="00727750"/>
    <w:rsid w:val="00730107"/>
    <w:rsid w:val="00731A65"/>
    <w:rsid w:val="00731BF0"/>
    <w:rsid w:val="00732B1D"/>
    <w:rsid w:val="00732E21"/>
    <w:rsid w:val="00734627"/>
    <w:rsid w:val="007356F1"/>
    <w:rsid w:val="00737253"/>
    <w:rsid w:val="00741227"/>
    <w:rsid w:val="00741348"/>
    <w:rsid w:val="00742652"/>
    <w:rsid w:val="00743A38"/>
    <w:rsid w:val="00743D83"/>
    <w:rsid w:val="00746183"/>
    <w:rsid w:val="00746D1B"/>
    <w:rsid w:val="00751344"/>
    <w:rsid w:val="00751A89"/>
    <w:rsid w:val="007524EB"/>
    <w:rsid w:val="00752EFC"/>
    <w:rsid w:val="00753565"/>
    <w:rsid w:val="007535D3"/>
    <w:rsid w:val="0075678C"/>
    <w:rsid w:val="00756C66"/>
    <w:rsid w:val="00760AC7"/>
    <w:rsid w:val="0076539D"/>
    <w:rsid w:val="007654A9"/>
    <w:rsid w:val="00767103"/>
    <w:rsid w:val="00770108"/>
    <w:rsid w:val="0077145C"/>
    <w:rsid w:val="007720CC"/>
    <w:rsid w:val="007728C7"/>
    <w:rsid w:val="007751B5"/>
    <w:rsid w:val="007752BF"/>
    <w:rsid w:val="0077568C"/>
    <w:rsid w:val="0077616A"/>
    <w:rsid w:val="00776DD5"/>
    <w:rsid w:val="00776DE5"/>
    <w:rsid w:val="00776FF7"/>
    <w:rsid w:val="00777A80"/>
    <w:rsid w:val="0078023B"/>
    <w:rsid w:val="0078437F"/>
    <w:rsid w:val="007843CB"/>
    <w:rsid w:val="007863ED"/>
    <w:rsid w:val="00787158"/>
    <w:rsid w:val="007871C0"/>
    <w:rsid w:val="007905E4"/>
    <w:rsid w:val="00790D8A"/>
    <w:rsid w:val="00792B12"/>
    <w:rsid w:val="00792BFE"/>
    <w:rsid w:val="007933E9"/>
    <w:rsid w:val="007942DE"/>
    <w:rsid w:val="0079487E"/>
    <w:rsid w:val="0079524F"/>
    <w:rsid w:val="00797632"/>
    <w:rsid w:val="007A030A"/>
    <w:rsid w:val="007A2097"/>
    <w:rsid w:val="007A2B20"/>
    <w:rsid w:val="007A3D6C"/>
    <w:rsid w:val="007A525E"/>
    <w:rsid w:val="007A5CB3"/>
    <w:rsid w:val="007B11F3"/>
    <w:rsid w:val="007B213F"/>
    <w:rsid w:val="007B23E3"/>
    <w:rsid w:val="007B2608"/>
    <w:rsid w:val="007B3ED8"/>
    <w:rsid w:val="007B46C0"/>
    <w:rsid w:val="007B5368"/>
    <w:rsid w:val="007C01F4"/>
    <w:rsid w:val="007C0841"/>
    <w:rsid w:val="007C319F"/>
    <w:rsid w:val="007C5B8A"/>
    <w:rsid w:val="007C6CF5"/>
    <w:rsid w:val="007C7776"/>
    <w:rsid w:val="007C79FA"/>
    <w:rsid w:val="007D19B2"/>
    <w:rsid w:val="007D2AED"/>
    <w:rsid w:val="007D2BDD"/>
    <w:rsid w:val="007D41DB"/>
    <w:rsid w:val="007D720D"/>
    <w:rsid w:val="007E10CD"/>
    <w:rsid w:val="007E1218"/>
    <w:rsid w:val="007E242E"/>
    <w:rsid w:val="007E25A1"/>
    <w:rsid w:val="007E54E1"/>
    <w:rsid w:val="007E564E"/>
    <w:rsid w:val="007E5E05"/>
    <w:rsid w:val="007E74D4"/>
    <w:rsid w:val="007E79C0"/>
    <w:rsid w:val="007F0350"/>
    <w:rsid w:val="007F0777"/>
    <w:rsid w:val="007F112E"/>
    <w:rsid w:val="007F2B1A"/>
    <w:rsid w:val="007F6876"/>
    <w:rsid w:val="007F6C3D"/>
    <w:rsid w:val="007F7700"/>
    <w:rsid w:val="007F7E96"/>
    <w:rsid w:val="00801672"/>
    <w:rsid w:val="008025BA"/>
    <w:rsid w:val="0080323A"/>
    <w:rsid w:val="008043F9"/>
    <w:rsid w:val="00806284"/>
    <w:rsid w:val="00806611"/>
    <w:rsid w:val="00806D5B"/>
    <w:rsid w:val="00807B45"/>
    <w:rsid w:val="00811305"/>
    <w:rsid w:val="00814538"/>
    <w:rsid w:val="008150ED"/>
    <w:rsid w:val="0081520E"/>
    <w:rsid w:val="00815323"/>
    <w:rsid w:val="00815D45"/>
    <w:rsid w:val="008164FC"/>
    <w:rsid w:val="00816D4E"/>
    <w:rsid w:val="0082012C"/>
    <w:rsid w:val="00820480"/>
    <w:rsid w:val="008226ED"/>
    <w:rsid w:val="0082314F"/>
    <w:rsid w:val="0082414D"/>
    <w:rsid w:val="008257C8"/>
    <w:rsid w:val="00827AD5"/>
    <w:rsid w:val="008314D6"/>
    <w:rsid w:val="0083203E"/>
    <w:rsid w:val="0083207B"/>
    <w:rsid w:val="00832600"/>
    <w:rsid w:val="00833400"/>
    <w:rsid w:val="0083484B"/>
    <w:rsid w:val="008359A3"/>
    <w:rsid w:val="008359CE"/>
    <w:rsid w:val="00835F07"/>
    <w:rsid w:val="00840395"/>
    <w:rsid w:val="008403E3"/>
    <w:rsid w:val="00840596"/>
    <w:rsid w:val="00840685"/>
    <w:rsid w:val="008423CA"/>
    <w:rsid w:val="00842D58"/>
    <w:rsid w:val="00843160"/>
    <w:rsid w:val="00843996"/>
    <w:rsid w:val="0084444B"/>
    <w:rsid w:val="00844DE6"/>
    <w:rsid w:val="0084529E"/>
    <w:rsid w:val="0084556C"/>
    <w:rsid w:val="00846723"/>
    <w:rsid w:val="008473BD"/>
    <w:rsid w:val="00850368"/>
    <w:rsid w:val="00850A49"/>
    <w:rsid w:val="00851225"/>
    <w:rsid w:val="00852D68"/>
    <w:rsid w:val="00854F83"/>
    <w:rsid w:val="0085687B"/>
    <w:rsid w:val="00856B09"/>
    <w:rsid w:val="0085726C"/>
    <w:rsid w:val="0086239D"/>
    <w:rsid w:val="00863493"/>
    <w:rsid w:val="00866778"/>
    <w:rsid w:val="00866E91"/>
    <w:rsid w:val="00867917"/>
    <w:rsid w:val="00867BFE"/>
    <w:rsid w:val="00870134"/>
    <w:rsid w:val="008701ED"/>
    <w:rsid w:val="008725C8"/>
    <w:rsid w:val="00872D1A"/>
    <w:rsid w:val="0087363C"/>
    <w:rsid w:val="008738C8"/>
    <w:rsid w:val="008743AA"/>
    <w:rsid w:val="00875908"/>
    <w:rsid w:val="0087734F"/>
    <w:rsid w:val="00877B8C"/>
    <w:rsid w:val="008818C1"/>
    <w:rsid w:val="00882317"/>
    <w:rsid w:val="00883C7D"/>
    <w:rsid w:val="00884501"/>
    <w:rsid w:val="00884B6A"/>
    <w:rsid w:val="00886961"/>
    <w:rsid w:val="00887D51"/>
    <w:rsid w:val="00890460"/>
    <w:rsid w:val="00890709"/>
    <w:rsid w:val="00892820"/>
    <w:rsid w:val="00893542"/>
    <w:rsid w:val="0089685C"/>
    <w:rsid w:val="00896AD4"/>
    <w:rsid w:val="008A02C8"/>
    <w:rsid w:val="008A145D"/>
    <w:rsid w:val="008A17DD"/>
    <w:rsid w:val="008A21EB"/>
    <w:rsid w:val="008A2A06"/>
    <w:rsid w:val="008A480C"/>
    <w:rsid w:val="008A4E53"/>
    <w:rsid w:val="008A6158"/>
    <w:rsid w:val="008A6671"/>
    <w:rsid w:val="008A686C"/>
    <w:rsid w:val="008A7BBB"/>
    <w:rsid w:val="008B01E0"/>
    <w:rsid w:val="008B4D15"/>
    <w:rsid w:val="008B5B1E"/>
    <w:rsid w:val="008B659B"/>
    <w:rsid w:val="008C0DE2"/>
    <w:rsid w:val="008C44BB"/>
    <w:rsid w:val="008C688B"/>
    <w:rsid w:val="008D023C"/>
    <w:rsid w:val="008D12B0"/>
    <w:rsid w:val="008D2CEF"/>
    <w:rsid w:val="008D3B3F"/>
    <w:rsid w:val="008D441F"/>
    <w:rsid w:val="008D4470"/>
    <w:rsid w:val="008D6636"/>
    <w:rsid w:val="008D759E"/>
    <w:rsid w:val="008D7871"/>
    <w:rsid w:val="008E0136"/>
    <w:rsid w:val="008E354F"/>
    <w:rsid w:val="008E3878"/>
    <w:rsid w:val="008E699F"/>
    <w:rsid w:val="008E7CC6"/>
    <w:rsid w:val="008F16D2"/>
    <w:rsid w:val="008F2560"/>
    <w:rsid w:val="008F2B11"/>
    <w:rsid w:val="008F4653"/>
    <w:rsid w:val="009010AE"/>
    <w:rsid w:val="0090146C"/>
    <w:rsid w:val="009028EE"/>
    <w:rsid w:val="00903CA5"/>
    <w:rsid w:val="009040A7"/>
    <w:rsid w:val="009059D1"/>
    <w:rsid w:val="00905CEA"/>
    <w:rsid w:val="00910AED"/>
    <w:rsid w:val="0091248B"/>
    <w:rsid w:val="00913BF5"/>
    <w:rsid w:val="00917DB2"/>
    <w:rsid w:val="00922575"/>
    <w:rsid w:val="009226B9"/>
    <w:rsid w:val="00923232"/>
    <w:rsid w:val="00924340"/>
    <w:rsid w:val="009245E5"/>
    <w:rsid w:val="00925A3D"/>
    <w:rsid w:val="00930A13"/>
    <w:rsid w:val="00931E47"/>
    <w:rsid w:val="00932E24"/>
    <w:rsid w:val="00936A2A"/>
    <w:rsid w:val="00941AFF"/>
    <w:rsid w:val="009426F9"/>
    <w:rsid w:val="009433DA"/>
    <w:rsid w:val="00944985"/>
    <w:rsid w:val="00944F9E"/>
    <w:rsid w:val="009455A3"/>
    <w:rsid w:val="00946271"/>
    <w:rsid w:val="00946F81"/>
    <w:rsid w:val="00947BCA"/>
    <w:rsid w:val="00950382"/>
    <w:rsid w:val="00951414"/>
    <w:rsid w:val="009534D1"/>
    <w:rsid w:val="00953B65"/>
    <w:rsid w:val="009562E4"/>
    <w:rsid w:val="00956A25"/>
    <w:rsid w:val="00956E57"/>
    <w:rsid w:val="00960B0E"/>
    <w:rsid w:val="00961A34"/>
    <w:rsid w:val="0096210A"/>
    <w:rsid w:val="0096401E"/>
    <w:rsid w:val="00966A6A"/>
    <w:rsid w:val="009671A4"/>
    <w:rsid w:val="00967F31"/>
    <w:rsid w:val="00971AE1"/>
    <w:rsid w:val="00974AE4"/>
    <w:rsid w:val="00974D08"/>
    <w:rsid w:val="00975CC4"/>
    <w:rsid w:val="0097634A"/>
    <w:rsid w:val="00976781"/>
    <w:rsid w:val="00977260"/>
    <w:rsid w:val="009802EF"/>
    <w:rsid w:val="009816FE"/>
    <w:rsid w:val="00981F92"/>
    <w:rsid w:val="009832EC"/>
    <w:rsid w:val="00984279"/>
    <w:rsid w:val="00984A05"/>
    <w:rsid w:val="0098528A"/>
    <w:rsid w:val="00987CB8"/>
    <w:rsid w:val="00990682"/>
    <w:rsid w:val="0099081A"/>
    <w:rsid w:val="0099083C"/>
    <w:rsid w:val="00990A95"/>
    <w:rsid w:val="00990AAA"/>
    <w:rsid w:val="00993355"/>
    <w:rsid w:val="009937BE"/>
    <w:rsid w:val="009937D7"/>
    <w:rsid w:val="00994391"/>
    <w:rsid w:val="0099449F"/>
    <w:rsid w:val="00996B3E"/>
    <w:rsid w:val="009A1996"/>
    <w:rsid w:val="009A3E46"/>
    <w:rsid w:val="009A3E4E"/>
    <w:rsid w:val="009A3FDE"/>
    <w:rsid w:val="009A4196"/>
    <w:rsid w:val="009A56F0"/>
    <w:rsid w:val="009A7365"/>
    <w:rsid w:val="009B13AB"/>
    <w:rsid w:val="009B20BD"/>
    <w:rsid w:val="009B2342"/>
    <w:rsid w:val="009B6A31"/>
    <w:rsid w:val="009B74C1"/>
    <w:rsid w:val="009B78D5"/>
    <w:rsid w:val="009B79AD"/>
    <w:rsid w:val="009B7D5B"/>
    <w:rsid w:val="009B7EF3"/>
    <w:rsid w:val="009C3BFA"/>
    <w:rsid w:val="009C4141"/>
    <w:rsid w:val="009C7CC7"/>
    <w:rsid w:val="009D1311"/>
    <w:rsid w:val="009D3CA0"/>
    <w:rsid w:val="009D55B8"/>
    <w:rsid w:val="009D6894"/>
    <w:rsid w:val="009D6D16"/>
    <w:rsid w:val="009D7246"/>
    <w:rsid w:val="009D77F4"/>
    <w:rsid w:val="009D786F"/>
    <w:rsid w:val="009E0747"/>
    <w:rsid w:val="009E27E8"/>
    <w:rsid w:val="009E3003"/>
    <w:rsid w:val="009E3D78"/>
    <w:rsid w:val="009E45E5"/>
    <w:rsid w:val="009E557D"/>
    <w:rsid w:val="009E6130"/>
    <w:rsid w:val="009E7498"/>
    <w:rsid w:val="009E7A88"/>
    <w:rsid w:val="009F0B25"/>
    <w:rsid w:val="009F1E28"/>
    <w:rsid w:val="009F32D9"/>
    <w:rsid w:val="009F4E58"/>
    <w:rsid w:val="009F622E"/>
    <w:rsid w:val="009F6928"/>
    <w:rsid w:val="00A00162"/>
    <w:rsid w:val="00A008DF"/>
    <w:rsid w:val="00A03F6F"/>
    <w:rsid w:val="00A04B24"/>
    <w:rsid w:val="00A04CD0"/>
    <w:rsid w:val="00A05C8C"/>
    <w:rsid w:val="00A061BE"/>
    <w:rsid w:val="00A071D7"/>
    <w:rsid w:val="00A124B8"/>
    <w:rsid w:val="00A12893"/>
    <w:rsid w:val="00A15B1E"/>
    <w:rsid w:val="00A16695"/>
    <w:rsid w:val="00A2474C"/>
    <w:rsid w:val="00A248A9"/>
    <w:rsid w:val="00A24E55"/>
    <w:rsid w:val="00A24FCB"/>
    <w:rsid w:val="00A30850"/>
    <w:rsid w:val="00A328B5"/>
    <w:rsid w:val="00A334C8"/>
    <w:rsid w:val="00A336FD"/>
    <w:rsid w:val="00A3451A"/>
    <w:rsid w:val="00A34BB0"/>
    <w:rsid w:val="00A369FB"/>
    <w:rsid w:val="00A37B37"/>
    <w:rsid w:val="00A50B4D"/>
    <w:rsid w:val="00A50ED1"/>
    <w:rsid w:val="00A526B6"/>
    <w:rsid w:val="00A53052"/>
    <w:rsid w:val="00A53201"/>
    <w:rsid w:val="00A55CA8"/>
    <w:rsid w:val="00A56031"/>
    <w:rsid w:val="00A56FD9"/>
    <w:rsid w:val="00A57F3D"/>
    <w:rsid w:val="00A6173B"/>
    <w:rsid w:val="00A6422B"/>
    <w:rsid w:val="00A64640"/>
    <w:rsid w:val="00A66FEC"/>
    <w:rsid w:val="00A679AD"/>
    <w:rsid w:val="00A67C00"/>
    <w:rsid w:val="00A67E53"/>
    <w:rsid w:val="00A67EAC"/>
    <w:rsid w:val="00A71FF1"/>
    <w:rsid w:val="00A7369D"/>
    <w:rsid w:val="00A737A3"/>
    <w:rsid w:val="00A73A81"/>
    <w:rsid w:val="00A7726C"/>
    <w:rsid w:val="00A82815"/>
    <w:rsid w:val="00A8440F"/>
    <w:rsid w:val="00A845B4"/>
    <w:rsid w:val="00A850B6"/>
    <w:rsid w:val="00A850D4"/>
    <w:rsid w:val="00A85309"/>
    <w:rsid w:val="00A86006"/>
    <w:rsid w:val="00A86906"/>
    <w:rsid w:val="00A8755A"/>
    <w:rsid w:val="00A905BF"/>
    <w:rsid w:val="00A90616"/>
    <w:rsid w:val="00A9135D"/>
    <w:rsid w:val="00A91844"/>
    <w:rsid w:val="00A9238B"/>
    <w:rsid w:val="00A9294A"/>
    <w:rsid w:val="00A94FB7"/>
    <w:rsid w:val="00A9517A"/>
    <w:rsid w:val="00A954F1"/>
    <w:rsid w:val="00A95916"/>
    <w:rsid w:val="00A972EA"/>
    <w:rsid w:val="00A97508"/>
    <w:rsid w:val="00AA0B07"/>
    <w:rsid w:val="00AA1850"/>
    <w:rsid w:val="00AA3EFD"/>
    <w:rsid w:val="00AA59AD"/>
    <w:rsid w:val="00AA5AFF"/>
    <w:rsid w:val="00AA69FF"/>
    <w:rsid w:val="00AA7899"/>
    <w:rsid w:val="00AB0096"/>
    <w:rsid w:val="00AB0F3B"/>
    <w:rsid w:val="00AB329B"/>
    <w:rsid w:val="00AB3FDA"/>
    <w:rsid w:val="00AC06C6"/>
    <w:rsid w:val="00AC08F5"/>
    <w:rsid w:val="00AC0B2C"/>
    <w:rsid w:val="00AC15F1"/>
    <w:rsid w:val="00AC3DF4"/>
    <w:rsid w:val="00AC46B0"/>
    <w:rsid w:val="00AC55BD"/>
    <w:rsid w:val="00AC5B09"/>
    <w:rsid w:val="00AC683D"/>
    <w:rsid w:val="00AC7EB3"/>
    <w:rsid w:val="00AD115A"/>
    <w:rsid w:val="00AD34A8"/>
    <w:rsid w:val="00AD36B2"/>
    <w:rsid w:val="00AD4FC2"/>
    <w:rsid w:val="00AD5570"/>
    <w:rsid w:val="00AD67B8"/>
    <w:rsid w:val="00AD703C"/>
    <w:rsid w:val="00AD7A06"/>
    <w:rsid w:val="00AD7F64"/>
    <w:rsid w:val="00AE04AD"/>
    <w:rsid w:val="00AE05E0"/>
    <w:rsid w:val="00AE23E4"/>
    <w:rsid w:val="00AE41EF"/>
    <w:rsid w:val="00AE5140"/>
    <w:rsid w:val="00AF03AE"/>
    <w:rsid w:val="00AF0A7B"/>
    <w:rsid w:val="00AF11FE"/>
    <w:rsid w:val="00AF13BB"/>
    <w:rsid w:val="00AF1A47"/>
    <w:rsid w:val="00AF3797"/>
    <w:rsid w:val="00AF40D8"/>
    <w:rsid w:val="00AF4AD7"/>
    <w:rsid w:val="00AF588B"/>
    <w:rsid w:val="00AF5EF0"/>
    <w:rsid w:val="00AF6490"/>
    <w:rsid w:val="00B040D6"/>
    <w:rsid w:val="00B04851"/>
    <w:rsid w:val="00B072FB"/>
    <w:rsid w:val="00B10109"/>
    <w:rsid w:val="00B103F4"/>
    <w:rsid w:val="00B11243"/>
    <w:rsid w:val="00B129C2"/>
    <w:rsid w:val="00B162ED"/>
    <w:rsid w:val="00B16CB2"/>
    <w:rsid w:val="00B2140B"/>
    <w:rsid w:val="00B22780"/>
    <w:rsid w:val="00B22A7A"/>
    <w:rsid w:val="00B23652"/>
    <w:rsid w:val="00B2406D"/>
    <w:rsid w:val="00B258F2"/>
    <w:rsid w:val="00B2629D"/>
    <w:rsid w:val="00B31EE2"/>
    <w:rsid w:val="00B323AE"/>
    <w:rsid w:val="00B333EB"/>
    <w:rsid w:val="00B33B40"/>
    <w:rsid w:val="00B33E88"/>
    <w:rsid w:val="00B3431F"/>
    <w:rsid w:val="00B34CA2"/>
    <w:rsid w:val="00B34EC9"/>
    <w:rsid w:val="00B35BCD"/>
    <w:rsid w:val="00B35D42"/>
    <w:rsid w:val="00B36317"/>
    <w:rsid w:val="00B366A4"/>
    <w:rsid w:val="00B36A78"/>
    <w:rsid w:val="00B3711E"/>
    <w:rsid w:val="00B37267"/>
    <w:rsid w:val="00B37A22"/>
    <w:rsid w:val="00B40AD8"/>
    <w:rsid w:val="00B41E65"/>
    <w:rsid w:val="00B425F3"/>
    <w:rsid w:val="00B43179"/>
    <w:rsid w:val="00B43ED7"/>
    <w:rsid w:val="00B506A0"/>
    <w:rsid w:val="00B50A84"/>
    <w:rsid w:val="00B51B6C"/>
    <w:rsid w:val="00B51D74"/>
    <w:rsid w:val="00B53A92"/>
    <w:rsid w:val="00B54AC7"/>
    <w:rsid w:val="00B569A0"/>
    <w:rsid w:val="00B64512"/>
    <w:rsid w:val="00B66479"/>
    <w:rsid w:val="00B67169"/>
    <w:rsid w:val="00B7022A"/>
    <w:rsid w:val="00B703DA"/>
    <w:rsid w:val="00B74332"/>
    <w:rsid w:val="00B747E0"/>
    <w:rsid w:val="00B74DA4"/>
    <w:rsid w:val="00B805B7"/>
    <w:rsid w:val="00B80773"/>
    <w:rsid w:val="00B808A5"/>
    <w:rsid w:val="00B81A17"/>
    <w:rsid w:val="00B87210"/>
    <w:rsid w:val="00B87D00"/>
    <w:rsid w:val="00B90528"/>
    <w:rsid w:val="00B90ED0"/>
    <w:rsid w:val="00B91BC3"/>
    <w:rsid w:val="00B91E97"/>
    <w:rsid w:val="00B941EF"/>
    <w:rsid w:val="00B942A0"/>
    <w:rsid w:val="00B95B98"/>
    <w:rsid w:val="00BA0F6C"/>
    <w:rsid w:val="00BA1C70"/>
    <w:rsid w:val="00BA1D7D"/>
    <w:rsid w:val="00BA231B"/>
    <w:rsid w:val="00BA3A73"/>
    <w:rsid w:val="00BA3EAC"/>
    <w:rsid w:val="00BA520A"/>
    <w:rsid w:val="00BA539F"/>
    <w:rsid w:val="00BA5F3A"/>
    <w:rsid w:val="00BA5F52"/>
    <w:rsid w:val="00BA692E"/>
    <w:rsid w:val="00BB3382"/>
    <w:rsid w:val="00BB40E9"/>
    <w:rsid w:val="00BB6366"/>
    <w:rsid w:val="00BC1C76"/>
    <w:rsid w:val="00BC1EFB"/>
    <w:rsid w:val="00BC1FF5"/>
    <w:rsid w:val="00BC287B"/>
    <w:rsid w:val="00BC3807"/>
    <w:rsid w:val="00BC5026"/>
    <w:rsid w:val="00BC6CD8"/>
    <w:rsid w:val="00BC6F57"/>
    <w:rsid w:val="00BC7D95"/>
    <w:rsid w:val="00BD000F"/>
    <w:rsid w:val="00BD3959"/>
    <w:rsid w:val="00BD3B1A"/>
    <w:rsid w:val="00BD4461"/>
    <w:rsid w:val="00BD509E"/>
    <w:rsid w:val="00BD631D"/>
    <w:rsid w:val="00BD7B91"/>
    <w:rsid w:val="00BD7D95"/>
    <w:rsid w:val="00BE1518"/>
    <w:rsid w:val="00BE271A"/>
    <w:rsid w:val="00BE4600"/>
    <w:rsid w:val="00BF1C2F"/>
    <w:rsid w:val="00BF255F"/>
    <w:rsid w:val="00BF3BD6"/>
    <w:rsid w:val="00BF5720"/>
    <w:rsid w:val="00BF6EDE"/>
    <w:rsid w:val="00BF7907"/>
    <w:rsid w:val="00C01479"/>
    <w:rsid w:val="00C0217E"/>
    <w:rsid w:val="00C023CF"/>
    <w:rsid w:val="00C03BFA"/>
    <w:rsid w:val="00C05EF4"/>
    <w:rsid w:val="00C063AC"/>
    <w:rsid w:val="00C124F3"/>
    <w:rsid w:val="00C1304F"/>
    <w:rsid w:val="00C13252"/>
    <w:rsid w:val="00C1532E"/>
    <w:rsid w:val="00C1574E"/>
    <w:rsid w:val="00C16C69"/>
    <w:rsid w:val="00C16E81"/>
    <w:rsid w:val="00C1783D"/>
    <w:rsid w:val="00C2170B"/>
    <w:rsid w:val="00C21C8D"/>
    <w:rsid w:val="00C22037"/>
    <w:rsid w:val="00C224A1"/>
    <w:rsid w:val="00C23537"/>
    <w:rsid w:val="00C23D46"/>
    <w:rsid w:val="00C24C72"/>
    <w:rsid w:val="00C26FC6"/>
    <w:rsid w:val="00C306B3"/>
    <w:rsid w:val="00C31D0D"/>
    <w:rsid w:val="00C32DC8"/>
    <w:rsid w:val="00C359A6"/>
    <w:rsid w:val="00C4204F"/>
    <w:rsid w:val="00C44613"/>
    <w:rsid w:val="00C447F1"/>
    <w:rsid w:val="00C44B0C"/>
    <w:rsid w:val="00C456A3"/>
    <w:rsid w:val="00C4577B"/>
    <w:rsid w:val="00C502FE"/>
    <w:rsid w:val="00C508F2"/>
    <w:rsid w:val="00C50A74"/>
    <w:rsid w:val="00C51C3D"/>
    <w:rsid w:val="00C5235E"/>
    <w:rsid w:val="00C53D36"/>
    <w:rsid w:val="00C53FF9"/>
    <w:rsid w:val="00C549C7"/>
    <w:rsid w:val="00C57707"/>
    <w:rsid w:val="00C60A8B"/>
    <w:rsid w:val="00C639A3"/>
    <w:rsid w:val="00C6596C"/>
    <w:rsid w:val="00C6626B"/>
    <w:rsid w:val="00C67602"/>
    <w:rsid w:val="00C67711"/>
    <w:rsid w:val="00C67A2D"/>
    <w:rsid w:val="00C7042A"/>
    <w:rsid w:val="00C71DBE"/>
    <w:rsid w:val="00C720A4"/>
    <w:rsid w:val="00C72883"/>
    <w:rsid w:val="00C73579"/>
    <w:rsid w:val="00C745B5"/>
    <w:rsid w:val="00C74E29"/>
    <w:rsid w:val="00C7623D"/>
    <w:rsid w:val="00C774BA"/>
    <w:rsid w:val="00C81B93"/>
    <w:rsid w:val="00C82848"/>
    <w:rsid w:val="00C833AA"/>
    <w:rsid w:val="00C84DC5"/>
    <w:rsid w:val="00C85A53"/>
    <w:rsid w:val="00C85E9C"/>
    <w:rsid w:val="00C86819"/>
    <w:rsid w:val="00C901FA"/>
    <w:rsid w:val="00C90776"/>
    <w:rsid w:val="00C90F3A"/>
    <w:rsid w:val="00C91264"/>
    <w:rsid w:val="00C9421B"/>
    <w:rsid w:val="00CA28CE"/>
    <w:rsid w:val="00CA3600"/>
    <w:rsid w:val="00CA3743"/>
    <w:rsid w:val="00CA3DEC"/>
    <w:rsid w:val="00CA4CE1"/>
    <w:rsid w:val="00CA6B15"/>
    <w:rsid w:val="00CA7422"/>
    <w:rsid w:val="00CB0FC2"/>
    <w:rsid w:val="00CC17C1"/>
    <w:rsid w:val="00CC2022"/>
    <w:rsid w:val="00CC5598"/>
    <w:rsid w:val="00CD00FF"/>
    <w:rsid w:val="00CD0859"/>
    <w:rsid w:val="00CD0DA8"/>
    <w:rsid w:val="00CD1045"/>
    <w:rsid w:val="00CD1E17"/>
    <w:rsid w:val="00CD40A6"/>
    <w:rsid w:val="00CD56E7"/>
    <w:rsid w:val="00CD770B"/>
    <w:rsid w:val="00CE07A7"/>
    <w:rsid w:val="00CE08DD"/>
    <w:rsid w:val="00CE2C07"/>
    <w:rsid w:val="00CE3C90"/>
    <w:rsid w:val="00CE4A14"/>
    <w:rsid w:val="00CE5253"/>
    <w:rsid w:val="00CE7F3A"/>
    <w:rsid w:val="00CE7F93"/>
    <w:rsid w:val="00CF2016"/>
    <w:rsid w:val="00CF4690"/>
    <w:rsid w:val="00CF5A43"/>
    <w:rsid w:val="00CF5C33"/>
    <w:rsid w:val="00CF7B5A"/>
    <w:rsid w:val="00CF7D05"/>
    <w:rsid w:val="00D00ADE"/>
    <w:rsid w:val="00D00D95"/>
    <w:rsid w:val="00D010E2"/>
    <w:rsid w:val="00D0277A"/>
    <w:rsid w:val="00D04678"/>
    <w:rsid w:val="00D0518A"/>
    <w:rsid w:val="00D11211"/>
    <w:rsid w:val="00D118DD"/>
    <w:rsid w:val="00D1190D"/>
    <w:rsid w:val="00D1212A"/>
    <w:rsid w:val="00D12474"/>
    <w:rsid w:val="00D16848"/>
    <w:rsid w:val="00D208C4"/>
    <w:rsid w:val="00D22D8A"/>
    <w:rsid w:val="00D22F5C"/>
    <w:rsid w:val="00D2597E"/>
    <w:rsid w:val="00D30765"/>
    <w:rsid w:val="00D30B58"/>
    <w:rsid w:val="00D30FF6"/>
    <w:rsid w:val="00D3332A"/>
    <w:rsid w:val="00D33B98"/>
    <w:rsid w:val="00D33F8A"/>
    <w:rsid w:val="00D35587"/>
    <w:rsid w:val="00D36D6F"/>
    <w:rsid w:val="00D40586"/>
    <w:rsid w:val="00D40C7C"/>
    <w:rsid w:val="00D4742D"/>
    <w:rsid w:val="00D47737"/>
    <w:rsid w:val="00D510A3"/>
    <w:rsid w:val="00D52173"/>
    <w:rsid w:val="00D53C9F"/>
    <w:rsid w:val="00D544A1"/>
    <w:rsid w:val="00D55C71"/>
    <w:rsid w:val="00D5767E"/>
    <w:rsid w:val="00D57FE8"/>
    <w:rsid w:val="00D60531"/>
    <w:rsid w:val="00D611C6"/>
    <w:rsid w:val="00D63319"/>
    <w:rsid w:val="00D63E19"/>
    <w:rsid w:val="00D64C5C"/>
    <w:rsid w:val="00D6686F"/>
    <w:rsid w:val="00D67F57"/>
    <w:rsid w:val="00D71037"/>
    <w:rsid w:val="00D7469F"/>
    <w:rsid w:val="00D756C8"/>
    <w:rsid w:val="00D76DBE"/>
    <w:rsid w:val="00D76F3C"/>
    <w:rsid w:val="00D80A6D"/>
    <w:rsid w:val="00D823AD"/>
    <w:rsid w:val="00D82882"/>
    <w:rsid w:val="00D82E59"/>
    <w:rsid w:val="00D83EE8"/>
    <w:rsid w:val="00D84122"/>
    <w:rsid w:val="00D85379"/>
    <w:rsid w:val="00D86BC0"/>
    <w:rsid w:val="00D86D0A"/>
    <w:rsid w:val="00D878C2"/>
    <w:rsid w:val="00D90E03"/>
    <w:rsid w:val="00D91A99"/>
    <w:rsid w:val="00D91BF1"/>
    <w:rsid w:val="00D92088"/>
    <w:rsid w:val="00D9289D"/>
    <w:rsid w:val="00D93DBD"/>
    <w:rsid w:val="00D947E4"/>
    <w:rsid w:val="00D95880"/>
    <w:rsid w:val="00D97771"/>
    <w:rsid w:val="00DA3EF1"/>
    <w:rsid w:val="00DA6C78"/>
    <w:rsid w:val="00DB1D9E"/>
    <w:rsid w:val="00DB39AD"/>
    <w:rsid w:val="00DB3AFF"/>
    <w:rsid w:val="00DB45A8"/>
    <w:rsid w:val="00DB5BDF"/>
    <w:rsid w:val="00DB6123"/>
    <w:rsid w:val="00DB6CC3"/>
    <w:rsid w:val="00DB6D79"/>
    <w:rsid w:val="00DC0698"/>
    <w:rsid w:val="00DC13BB"/>
    <w:rsid w:val="00DC1503"/>
    <w:rsid w:val="00DC2037"/>
    <w:rsid w:val="00DC3DA4"/>
    <w:rsid w:val="00DC5307"/>
    <w:rsid w:val="00DC5980"/>
    <w:rsid w:val="00DC5C62"/>
    <w:rsid w:val="00DC5E3F"/>
    <w:rsid w:val="00DC62CA"/>
    <w:rsid w:val="00DC7042"/>
    <w:rsid w:val="00DC7812"/>
    <w:rsid w:val="00DC7CDB"/>
    <w:rsid w:val="00DD106D"/>
    <w:rsid w:val="00DD2EAC"/>
    <w:rsid w:val="00DD4164"/>
    <w:rsid w:val="00DD439B"/>
    <w:rsid w:val="00DD4B7C"/>
    <w:rsid w:val="00DD5459"/>
    <w:rsid w:val="00DD5E92"/>
    <w:rsid w:val="00DD7858"/>
    <w:rsid w:val="00DE13FF"/>
    <w:rsid w:val="00DE3DAA"/>
    <w:rsid w:val="00DE6C4B"/>
    <w:rsid w:val="00DE6E1F"/>
    <w:rsid w:val="00DF1C27"/>
    <w:rsid w:val="00DF3568"/>
    <w:rsid w:val="00DF48C4"/>
    <w:rsid w:val="00DF4918"/>
    <w:rsid w:val="00DF5D31"/>
    <w:rsid w:val="00E01F72"/>
    <w:rsid w:val="00E03185"/>
    <w:rsid w:val="00E06666"/>
    <w:rsid w:val="00E06A62"/>
    <w:rsid w:val="00E076B8"/>
    <w:rsid w:val="00E1252B"/>
    <w:rsid w:val="00E12882"/>
    <w:rsid w:val="00E12960"/>
    <w:rsid w:val="00E144A9"/>
    <w:rsid w:val="00E15443"/>
    <w:rsid w:val="00E166C9"/>
    <w:rsid w:val="00E169B5"/>
    <w:rsid w:val="00E16ADE"/>
    <w:rsid w:val="00E17813"/>
    <w:rsid w:val="00E2035B"/>
    <w:rsid w:val="00E20BC1"/>
    <w:rsid w:val="00E225AE"/>
    <w:rsid w:val="00E235E5"/>
    <w:rsid w:val="00E27049"/>
    <w:rsid w:val="00E27121"/>
    <w:rsid w:val="00E30297"/>
    <w:rsid w:val="00E308E8"/>
    <w:rsid w:val="00E30E63"/>
    <w:rsid w:val="00E3333C"/>
    <w:rsid w:val="00E3351E"/>
    <w:rsid w:val="00E37AF4"/>
    <w:rsid w:val="00E424F0"/>
    <w:rsid w:val="00E433DD"/>
    <w:rsid w:val="00E45D6A"/>
    <w:rsid w:val="00E50EDC"/>
    <w:rsid w:val="00E50FFA"/>
    <w:rsid w:val="00E51C51"/>
    <w:rsid w:val="00E52C77"/>
    <w:rsid w:val="00E53A14"/>
    <w:rsid w:val="00E550DF"/>
    <w:rsid w:val="00E56334"/>
    <w:rsid w:val="00E608CD"/>
    <w:rsid w:val="00E61190"/>
    <w:rsid w:val="00E625F5"/>
    <w:rsid w:val="00E63800"/>
    <w:rsid w:val="00E64C97"/>
    <w:rsid w:val="00E67030"/>
    <w:rsid w:val="00E67403"/>
    <w:rsid w:val="00E77381"/>
    <w:rsid w:val="00E80ABE"/>
    <w:rsid w:val="00E81D6F"/>
    <w:rsid w:val="00E83BFD"/>
    <w:rsid w:val="00E85060"/>
    <w:rsid w:val="00E864ED"/>
    <w:rsid w:val="00E902CD"/>
    <w:rsid w:val="00E90BF2"/>
    <w:rsid w:val="00E90E30"/>
    <w:rsid w:val="00E913D7"/>
    <w:rsid w:val="00E92626"/>
    <w:rsid w:val="00E9351A"/>
    <w:rsid w:val="00E93EB8"/>
    <w:rsid w:val="00E944C5"/>
    <w:rsid w:val="00E946A6"/>
    <w:rsid w:val="00E94716"/>
    <w:rsid w:val="00E96EA5"/>
    <w:rsid w:val="00E97430"/>
    <w:rsid w:val="00E97F1B"/>
    <w:rsid w:val="00EA0424"/>
    <w:rsid w:val="00EA16A4"/>
    <w:rsid w:val="00EA23D9"/>
    <w:rsid w:val="00EA24ED"/>
    <w:rsid w:val="00EA252A"/>
    <w:rsid w:val="00EA5866"/>
    <w:rsid w:val="00EA69DF"/>
    <w:rsid w:val="00EB0B9D"/>
    <w:rsid w:val="00EB0E75"/>
    <w:rsid w:val="00EB3696"/>
    <w:rsid w:val="00EB50E9"/>
    <w:rsid w:val="00EB54B9"/>
    <w:rsid w:val="00EB6791"/>
    <w:rsid w:val="00EB6A39"/>
    <w:rsid w:val="00EB7689"/>
    <w:rsid w:val="00EB78C5"/>
    <w:rsid w:val="00EC3827"/>
    <w:rsid w:val="00EC4D31"/>
    <w:rsid w:val="00EC5566"/>
    <w:rsid w:val="00EC6C69"/>
    <w:rsid w:val="00EC74C4"/>
    <w:rsid w:val="00ED0B08"/>
    <w:rsid w:val="00ED2C5F"/>
    <w:rsid w:val="00ED3B7A"/>
    <w:rsid w:val="00ED690F"/>
    <w:rsid w:val="00ED7348"/>
    <w:rsid w:val="00EE027F"/>
    <w:rsid w:val="00EE29F9"/>
    <w:rsid w:val="00EE42F2"/>
    <w:rsid w:val="00EE5BC8"/>
    <w:rsid w:val="00EE5DAA"/>
    <w:rsid w:val="00EE6131"/>
    <w:rsid w:val="00EE6A0A"/>
    <w:rsid w:val="00EF0B8E"/>
    <w:rsid w:val="00EF16F4"/>
    <w:rsid w:val="00EF2391"/>
    <w:rsid w:val="00EF38F5"/>
    <w:rsid w:val="00F00BD1"/>
    <w:rsid w:val="00F01985"/>
    <w:rsid w:val="00F01C05"/>
    <w:rsid w:val="00F01C4C"/>
    <w:rsid w:val="00F03400"/>
    <w:rsid w:val="00F03B83"/>
    <w:rsid w:val="00F0521D"/>
    <w:rsid w:val="00F055AD"/>
    <w:rsid w:val="00F160D1"/>
    <w:rsid w:val="00F1792A"/>
    <w:rsid w:val="00F21664"/>
    <w:rsid w:val="00F21E22"/>
    <w:rsid w:val="00F221A9"/>
    <w:rsid w:val="00F22938"/>
    <w:rsid w:val="00F23E36"/>
    <w:rsid w:val="00F26136"/>
    <w:rsid w:val="00F26ED2"/>
    <w:rsid w:val="00F27CD0"/>
    <w:rsid w:val="00F302EF"/>
    <w:rsid w:val="00F31870"/>
    <w:rsid w:val="00F339D7"/>
    <w:rsid w:val="00F33E6C"/>
    <w:rsid w:val="00F343C5"/>
    <w:rsid w:val="00F34870"/>
    <w:rsid w:val="00F3498F"/>
    <w:rsid w:val="00F3629E"/>
    <w:rsid w:val="00F37458"/>
    <w:rsid w:val="00F439AB"/>
    <w:rsid w:val="00F472CD"/>
    <w:rsid w:val="00F50169"/>
    <w:rsid w:val="00F5232B"/>
    <w:rsid w:val="00F53F98"/>
    <w:rsid w:val="00F556A5"/>
    <w:rsid w:val="00F60742"/>
    <w:rsid w:val="00F61842"/>
    <w:rsid w:val="00F622B1"/>
    <w:rsid w:val="00F63845"/>
    <w:rsid w:val="00F64023"/>
    <w:rsid w:val="00F66519"/>
    <w:rsid w:val="00F66B12"/>
    <w:rsid w:val="00F70281"/>
    <w:rsid w:val="00F70CD4"/>
    <w:rsid w:val="00F71440"/>
    <w:rsid w:val="00F73671"/>
    <w:rsid w:val="00F74A91"/>
    <w:rsid w:val="00F753D7"/>
    <w:rsid w:val="00F760E6"/>
    <w:rsid w:val="00F7665D"/>
    <w:rsid w:val="00F7797D"/>
    <w:rsid w:val="00F83154"/>
    <w:rsid w:val="00F8315E"/>
    <w:rsid w:val="00F83568"/>
    <w:rsid w:val="00F83A42"/>
    <w:rsid w:val="00F85879"/>
    <w:rsid w:val="00F85B59"/>
    <w:rsid w:val="00F87012"/>
    <w:rsid w:val="00F876FA"/>
    <w:rsid w:val="00F91CBC"/>
    <w:rsid w:val="00F92F0C"/>
    <w:rsid w:val="00F9498F"/>
    <w:rsid w:val="00F958EE"/>
    <w:rsid w:val="00F964D1"/>
    <w:rsid w:val="00F97477"/>
    <w:rsid w:val="00FA14B0"/>
    <w:rsid w:val="00FA346C"/>
    <w:rsid w:val="00FA4858"/>
    <w:rsid w:val="00FA7A80"/>
    <w:rsid w:val="00FB2BB0"/>
    <w:rsid w:val="00FB2FAB"/>
    <w:rsid w:val="00FC183E"/>
    <w:rsid w:val="00FC2211"/>
    <w:rsid w:val="00FC5EE2"/>
    <w:rsid w:val="00FC64A4"/>
    <w:rsid w:val="00FC7FA9"/>
    <w:rsid w:val="00FD031D"/>
    <w:rsid w:val="00FD292A"/>
    <w:rsid w:val="00FD29EC"/>
    <w:rsid w:val="00FD2B7D"/>
    <w:rsid w:val="00FD4783"/>
    <w:rsid w:val="00FD6388"/>
    <w:rsid w:val="00FE1AA2"/>
    <w:rsid w:val="00FE5D30"/>
    <w:rsid w:val="00FE7702"/>
    <w:rsid w:val="00FF1DA9"/>
    <w:rsid w:val="00FF2417"/>
    <w:rsid w:val="00FF31B1"/>
    <w:rsid w:val="00FF5967"/>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6F"/>
    <w:rPr>
      <w:rFonts w:ascii="Calibri" w:eastAsia="Times New Roman" w:hAnsi="Calibri" w:cs="Times New Roman"/>
    </w:rPr>
  </w:style>
  <w:style w:type="paragraph" w:styleId="Naslov1">
    <w:name w:val="heading 1"/>
    <w:aliases w:val="E Ü 1,Title 1"/>
    <w:basedOn w:val="Normal"/>
    <w:next w:val="Normal"/>
    <w:link w:val="Naslov1Char"/>
    <w:uiPriority w:val="1"/>
    <w:qFormat/>
    <w:rsid w:val="00275F4E"/>
    <w:pPr>
      <w:keepNext/>
      <w:keepLines/>
      <w:numPr>
        <w:numId w:val="1"/>
      </w:numPr>
      <w:spacing w:before="480" w:after="0"/>
      <w:outlineLvl w:val="0"/>
    </w:pPr>
    <w:rPr>
      <w:rFonts w:ascii="Cambria" w:eastAsia="Calibri" w:hAnsi="Cambria"/>
      <w:b/>
      <w:bCs/>
      <w:smallCaps/>
      <w:color w:val="365F91"/>
      <w:sz w:val="24"/>
      <w:szCs w:val="28"/>
      <w:lang w:val="en-GB"/>
    </w:rPr>
  </w:style>
  <w:style w:type="paragraph" w:styleId="Naslov2">
    <w:name w:val="heading 2"/>
    <w:aliases w:val="E Ü 2,Title 2"/>
    <w:basedOn w:val="Normal"/>
    <w:next w:val="Normal"/>
    <w:link w:val="Naslov2Char"/>
    <w:uiPriority w:val="1"/>
    <w:qFormat/>
    <w:rsid w:val="00275F4E"/>
    <w:pPr>
      <w:keepNext/>
      <w:numPr>
        <w:ilvl w:val="1"/>
        <w:numId w:val="1"/>
      </w:numPr>
      <w:spacing w:before="240" w:after="60"/>
      <w:outlineLvl w:val="1"/>
    </w:pPr>
    <w:rPr>
      <w:rFonts w:ascii="Cambria" w:hAnsi="Cambria" w:cs="Arial"/>
      <w:b/>
      <w:bCs/>
      <w:i/>
      <w:iCs/>
      <w:color w:val="375F91"/>
      <w:szCs w:val="28"/>
    </w:rPr>
  </w:style>
  <w:style w:type="paragraph" w:styleId="Naslov3">
    <w:name w:val="heading 3"/>
    <w:aliases w:val="E Ü 3,Title 3"/>
    <w:basedOn w:val="Naslov2"/>
    <w:next w:val="Normal"/>
    <w:link w:val="Naslov3Char"/>
    <w:uiPriority w:val="1"/>
    <w:qFormat/>
    <w:rsid w:val="00944F9E"/>
    <w:pPr>
      <w:keepLines/>
      <w:numPr>
        <w:ilvl w:val="2"/>
      </w:numPr>
      <w:tabs>
        <w:tab w:val="right" w:pos="8504"/>
      </w:tabs>
      <w:spacing w:before="120" w:after="120" w:line="280" w:lineRule="exact"/>
      <w:jc w:val="both"/>
      <w:outlineLvl w:val="2"/>
    </w:pPr>
    <w:rPr>
      <w:rFonts w:cs="Times New Roman"/>
      <w:bCs w:val="0"/>
      <w:iCs w:val="0"/>
      <w:szCs w:val="20"/>
      <w:lang w:val="en-GB" w:eastAsia="de-DE"/>
    </w:rPr>
  </w:style>
  <w:style w:type="paragraph" w:styleId="Naslov4">
    <w:name w:val="heading 4"/>
    <w:basedOn w:val="Normal"/>
    <w:next w:val="Normal"/>
    <w:link w:val="Naslov4Char"/>
    <w:uiPriority w:val="1"/>
    <w:qFormat/>
    <w:rsid w:val="00944F9E"/>
    <w:pPr>
      <w:keepNext/>
      <w:numPr>
        <w:ilvl w:val="3"/>
        <w:numId w:val="1"/>
      </w:numPr>
      <w:spacing w:before="120" w:after="120"/>
      <w:outlineLvl w:val="3"/>
    </w:pPr>
    <w:rPr>
      <w:rFonts w:ascii="Cambria" w:hAnsi="Cambria"/>
      <w:bCs/>
      <w:i/>
      <w:color w:val="375F91"/>
      <w:sz w:val="20"/>
      <w:szCs w:val="28"/>
      <w:u w:val="single"/>
    </w:rPr>
  </w:style>
  <w:style w:type="paragraph" w:styleId="Naslov5">
    <w:name w:val="heading 5"/>
    <w:basedOn w:val="Normal"/>
    <w:next w:val="Normal"/>
    <w:link w:val="Naslov5Char"/>
    <w:uiPriority w:val="1"/>
    <w:qFormat/>
    <w:rsid w:val="00944F9E"/>
    <w:pPr>
      <w:numPr>
        <w:ilvl w:val="4"/>
        <w:numId w:val="1"/>
      </w:numPr>
      <w:spacing w:before="240" w:after="60"/>
      <w:outlineLvl w:val="4"/>
    </w:pPr>
    <w:rPr>
      <w:b/>
      <w:bCs/>
      <w:i/>
      <w:iCs/>
      <w:sz w:val="26"/>
      <w:szCs w:val="26"/>
    </w:rPr>
  </w:style>
  <w:style w:type="paragraph" w:styleId="Naslov6">
    <w:name w:val="heading 6"/>
    <w:basedOn w:val="Normal"/>
    <w:next w:val="Normal"/>
    <w:link w:val="Naslov6Char"/>
    <w:uiPriority w:val="1"/>
    <w:qFormat/>
    <w:rsid w:val="00944F9E"/>
    <w:pPr>
      <w:numPr>
        <w:ilvl w:val="5"/>
        <w:numId w:val="1"/>
      </w:numPr>
      <w:spacing w:before="240" w:after="60"/>
      <w:outlineLvl w:val="5"/>
    </w:pPr>
    <w:rPr>
      <w:rFonts w:ascii="Times New Roman" w:hAnsi="Times New Roman"/>
      <w:b/>
      <w:bCs/>
    </w:rPr>
  </w:style>
  <w:style w:type="paragraph" w:styleId="Naslov7">
    <w:name w:val="heading 7"/>
    <w:basedOn w:val="Normal"/>
    <w:next w:val="Normal"/>
    <w:link w:val="Naslov7Char"/>
    <w:uiPriority w:val="1"/>
    <w:qFormat/>
    <w:rsid w:val="00944F9E"/>
    <w:pPr>
      <w:numPr>
        <w:ilvl w:val="6"/>
        <w:numId w:val="1"/>
      </w:numPr>
      <w:spacing w:before="240" w:after="60"/>
      <w:outlineLvl w:val="6"/>
    </w:pPr>
    <w:rPr>
      <w:rFonts w:ascii="Times New Roman" w:hAnsi="Times New Roman"/>
      <w:sz w:val="24"/>
      <w:szCs w:val="24"/>
    </w:rPr>
  </w:style>
  <w:style w:type="paragraph" w:styleId="Naslov8">
    <w:name w:val="heading 8"/>
    <w:basedOn w:val="Normal"/>
    <w:next w:val="Normal"/>
    <w:link w:val="Naslov8Char"/>
    <w:uiPriority w:val="99"/>
    <w:qFormat/>
    <w:rsid w:val="00944F9E"/>
    <w:pPr>
      <w:numPr>
        <w:ilvl w:val="7"/>
        <w:numId w:val="1"/>
      </w:numPr>
      <w:spacing w:before="240" w:after="60"/>
      <w:outlineLvl w:val="7"/>
    </w:pPr>
    <w:rPr>
      <w:rFonts w:ascii="Times New Roman" w:hAnsi="Times New Roman"/>
      <w:i/>
      <w:iCs/>
      <w:sz w:val="24"/>
      <w:szCs w:val="24"/>
    </w:rPr>
  </w:style>
  <w:style w:type="paragraph" w:styleId="Naslov9">
    <w:name w:val="heading 9"/>
    <w:basedOn w:val="Normal"/>
    <w:next w:val="Normal"/>
    <w:link w:val="Naslov9Char"/>
    <w:uiPriority w:val="99"/>
    <w:qFormat/>
    <w:rsid w:val="00944F9E"/>
    <w:pPr>
      <w:numPr>
        <w:ilvl w:val="8"/>
        <w:numId w:val="1"/>
      </w:numPr>
      <w:spacing w:before="240" w:after="60"/>
      <w:outlineLvl w:val="8"/>
    </w:pPr>
    <w:rPr>
      <w:rFonts w:ascii="Arial"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E Ü 1 Char,Title 1 Char"/>
    <w:basedOn w:val="Zadanifontodlomka"/>
    <w:link w:val="Naslov1"/>
    <w:uiPriority w:val="1"/>
    <w:rsid w:val="00275F4E"/>
    <w:rPr>
      <w:rFonts w:ascii="Cambria" w:eastAsia="Calibri" w:hAnsi="Cambria" w:cs="Times New Roman"/>
      <w:b/>
      <w:bCs/>
      <w:smallCaps/>
      <w:color w:val="365F91"/>
      <w:sz w:val="24"/>
      <w:szCs w:val="28"/>
      <w:lang w:val="en-GB"/>
    </w:rPr>
  </w:style>
  <w:style w:type="character" w:customStyle="1" w:styleId="Naslov2Char">
    <w:name w:val="Naslov 2 Char"/>
    <w:aliases w:val="E Ü 2 Char,Title 2 Char"/>
    <w:basedOn w:val="Zadanifontodlomka"/>
    <w:link w:val="Naslov2"/>
    <w:uiPriority w:val="1"/>
    <w:rsid w:val="00275F4E"/>
    <w:rPr>
      <w:rFonts w:ascii="Cambria" w:eastAsia="Times New Roman" w:hAnsi="Cambria" w:cs="Arial"/>
      <w:b/>
      <w:bCs/>
      <w:i/>
      <w:iCs/>
      <w:color w:val="375F91"/>
      <w:szCs w:val="28"/>
    </w:rPr>
  </w:style>
  <w:style w:type="character" w:customStyle="1" w:styleId="Naslov3Char">
    <w:name w:val="Naslov 3 Char"/>
    <w:aliases w:val="E Ü 3 Char,Title 3 Char"/>
    <w:basedOn w:val="Zadanifontodlomka"/>
    <w:link w:val="Naslov3"/>
    <w:uiPriority w:val="1"/>
    <w:rsid w:val="00944F9E"/>
    <w:rPr>
      <w:rFonts w:ascii="Cambria" w:eastAsia="Times New Roman" w:hAnsi="Cambria" w:cs="Times New Roman"/>
      <w:b/>
      <w:i/>
      <w:color w:val="375F91"/>
      <w:szCs w:val="20"/>
      <w:lang w:val="en-GB" w:eastAsia="de-DE"/>
    </w:rPr>
  </w:style>
  <w:style w:type="character" w:customStyle="1" w:styleId="Naslov4Char">
    <w:name w:val="Naslov 4 Char"/>
    <w:basedOn w:val="Zadanifontodlomka"/>
    <w:link w:val="Naslov4"/>
    <w:uiPriority w:val="1"/>
    <w:rsid w:val="00944F9E"/>
    <w:rPr>
      <w:rFonts w:ascii="Cambria" w:eastAsia="Times New Roman" w:hAnsi="Cambria" w:cs="Times New Roman"/>
      <w:bCs/>
      <w:i/>
      <w:color w:val="375F91"/>
      <w:sz w:val="20"/>
      <w:szCs w:val="28"/>
      <w:u w:val="single"/>
    </w:rPr>
  </w:style>
  <w:style w:type="character" w:customStyle="1" w:styleId="Naslov5Char">
    <w:name w:val="Naslov 5 Char"/>
    <w:basedOn w:val="Zadanifontodlomka"/>
    <w:link w:val="Naslov5"/>
    <w:uiPriority w:val="1"/>
    <w:rsid w:val="00944F9E"/>
    <w:rPr>
      <w:rFonts w:ascii="Calibri" w:eastAsia="Times New Roman" w:hAnsi="Calibri" w:cs="Times New Roman"/>
      <w:b/>
      <w:bCs/>
      <w:i/>
      <w:iCs/>
      <w:sz w:val="26"/>
      <w:szCs w:val="26"/>
    </w:rPr>
  </w:style>
  <w:style w:type="character" w:customStyle="1" w:styleId="Naslov6Char">
    <w:name w:val="Naslov 6 Char"/>
    <w:basedOn w:val="Zadanifontodlomka"/>
    <w:link w:val="Naslov6"/>
    <w:uiPriority w:val="1"/>
    <w:rsid w:val="00944F9E"/>
    <w:rPr>
      <w:rFonts w:ascii="Times New Roman" w:eastAsia="Times New Roman" w:hAnsi="Times New Roman" w:cs="Times New Roman"/>
      <w:b/>
      <w:bCs/>
    </w:rPr>
  </w:style>
  <w:style w:type="character" w:customStyle="1" w:styleId="Naslov7Char">
    <w:name w:val="Naslov 7 Char"/>
    <w:basedOn w:val="Zadanifontodlomka"/>
    <w:link w:val="Naslov7"/>
    <w:uiPriority w:val="1"/>
    <w:rsid w:val="00944F9E"/>
    <w:rPr>
      <w:rFonts w:ascii="Times New Roman" w:eastAsia="Times New Roman" w:hAnsi="Times New Roman" w:cs="Times New Roman"/>
      <w:sz w:val="24"/>
      <w:szCs w:val="24"/>
    </w:rPr>
  </w:style>
  <w:style w:type="character" w:customStyle="1" w:styleId="Naslov8Char">
    <w:name w:val="Naslov 8 Char"/>
    <w:basedOn w:val="Zadanifontodlomka"/>
    <w:link w:val="Naslov8"/>
    <w:uiPriority w:val="99"/>
    <w:rsid w:val="00944F9E"/>
    <w:rPr>
      <w:rFonts w:ascii="Times New Roman" w:eastAsia="Times New Roman" w:hAnsi="Times New Roman" w:cs="Times New Roman"/>
      <w:i/>
      <w:iCs/>
      <w:sz w:val="24"/>
      <w:szCs w:val="24"/>
    </w:rPr>
  </w:style>
  <w:style w:type="character" w:customStyle="1" w:styleId="Naslov9Char">
    <w:name w:val="Naslov 9 Char"/>
    <w:basedOn w:val="Zadanifontodlomka"/>
    <w:link w:val="Naslov9"/>
    <w:uiPriority w:val="99"/>
    <w:rsid w:val="00944F9E"/>
    <w:rPr>
      <w:rFonts w:ascii="Arial" w:eastAsia="Times New Roman" w:hAnsi="Arial" w:cs="Arial"/>
    </w:rPr>
  </w:style>
  <w:style w:type="paragraph" w:styleId="Opisslike">
    <w:name w:val="caption"/>
    <w:aliases w:val="Map"/>
    <w:basedOn w:val="Normal"/>
    <w:next w:val="Normal"/>
    <w:uiPriority w:val="99"/>
    <w:qFormat/>
    <w:rsid w:val="00944F9E"/>
    <w:rPr>
      <w:b/>
      <w:bCs/>
      <w:sz w:val="20"/>
      <w:szCs w:val="20"/>
    </w:rPr>
  </w:style>
  <w:style w:type="paragraph" w:styleId="Tekstbalonia">
    <w:name w:val="Balloon Text"/>
    <w:basedOn w:val="Normal"/>
    <w:link w:val="TekstbaloniaChar"/>
    <w:uiPriority w:val="99"/>
    <w:semiHidden/>
    <w:unhideWhenUsed/>
    <w:rsid w:val="00944F9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4F9E"/>
    <w:rPr>
      <w:rFonts w:ascii="Tahoma" w:eastAsia="Times New Roman" w:hAnsi="Tahoma" w:cs="Tahoma"/>
      <w:sz w:val="16"/>
      <w:szCs w:val="16"/>
      <w:lang w:val="en-US"/>
    </w:rPr>
  </w:style>
  <w:style w:type="character" w:styleId="Referencakomentara">
    <w:name w:val="annotation reference"/>
    <w:basedOn w:val="Zadanifontodlomka"/>
    <w:uiPriority w:val="99"/>
    <w:semiHidden/>
    <w:unhideWhenUsed/>
    <w:rsid w:val="00944F9E"/>
    <w:rPr>
      <w:sz w:val="16"/>
      <w:szCs w:val="16"/>
    </w:rPr>
  </w:style>
  <w:style w:type="paragraph" w:styleId="Tekstkomentara">
    <w:name w:val="annotation text"/>
    <w:basedOn w:val="Normal"/>
    <w:link w:val="TekstkomentaraChar"/>
    <w:uiPriority w:val="99"/>
    <w:unhideWhenUsed/>
    <w:rsid w:val="00944F9E"/>
    <w:pPr>
      <w:spacing w:line="240" w:lineRule="auto"/>
    </w:pPr>
    <w:rPr>
      <w:sz w:val="20"/>
      <w:szCs w:val="20"/>
    </w:rPr>
  </w:style>
  <w:style w:type="character" w:customStyle="1" w:styleId="TekstkomentaraChar">
    <w:name w:val="Tekst komentara Char"/>
    <w:basedOn w:val="Zadanifontodlomka"/>
    <w:link w:val="Tekstkomentara"/>
    <w:uiPriority w:val="99"/>
    <w:rsid w:val="00944F9E"/>
    <w:rPr>
      <w:rFonts w:ascii="Calibri" w:eastAsia="Times New Roman" w:hAnsi="Calibri" w:cs="Times New Roman"/>
      <w:sz w:val="20"/>
      <w:szCs w:val="20"/>
      <w:lang w:val="en-US"/>
    </w:rPr>
  </w:style>
  <w:style w:type="table" w:styleId="Reetkatablice">
    <w:name w:val="Table Grid"/>
    <w:basedOn w:val="Obinatablica"/>
    <w:uiPriority w:val="59"/>
    <w:rsid w:val="00944F9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 Footnote,Footnote Char Char Char,Footnote Char Char,Footnote Char"/>
    <w:basedOn w:val="Normal"/>
    <w:link w:val="TekstfusnoteChar"/>
    <w:uiPriority w:val="99"/>
    <w:semiHidden/>
    <w:unhideWhenUsed/>
    <w:rsid w:val="00944F9E"/>
    <w:pPr>
      <w:spacing w:after="0" w:line="240" w:lineRule="auto"/>
    </w:pPr>
    <w:rPr>
      <w:rFonts w:eastAsia="Calibri"/>
      <w:sz w:val="20"/>
      <w:szCs w:val="20"/>
    </w:rPr>
  </w:style>
  <w:style w:type="character" w:customStyle="1" w:styleId="TekstfusnoteChar">
    <w:name w:val="Tekst fusnote Char"/>
    <w:aliases w:val=" Footnote Char,Footnote Char Char Char Char,Footnote Char Char Char1,Footnote Char Char1"/>
    <w:basedOn w:val="Zadanifontodlomka"/>
    <w:link w:val="Tekstfusnote"/>
    <w:uiPriority w:val="99"/>
    <w:semiHidden/>
    <w:rsid w:val="00944F9E"/>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944F9E"/>
    <w:rPr>
      <w:vertAlign w:val="superscript"/>
    </w:rPr>
  </w:style>
  <w:style w:type="character" w:styleId="Hiperveza">
    <w:name w:val="Hyperlink"/>
    <w:basedOn w:val="Zadanifontodlomka"/>
    <w:uiPriority w:val="99"/>
    <w:unhideWhenUsed/>
    <w:rsid w:val="00944F9E"/>
    <w:rPr>
      <w:color w:val="0000FF"/>
      <w:u w:val="single"/>
    </w:rPr>
  </w:style>
  <w:style w:type="paragraph" w:styleId="Odlomakpopisa">
    <w:name w:val="List Paragraph"/>
    <w:basedOn w:val="Normal"/>
    <w:uiPriority w:val="34"/>
    <w:qFormat/>
    <w:rsid w:val="00944F9E"/>
    <w:pPr>
      <w:ind w:left="720"/>
      <w:contextualSpacing/>
    </w:pPr>
    <w:rPr>
      <w:rFonts w:eastAsia="Calibri"/>
    </w:rPr>
  </w:style>
  <w:style w:type="paragraph" w:styleId="Sadraj1">
    <w:name w:val="toc 1"/>
    <w:basedOn w:val="Normal"/>
    <w:next w:val="Normal"/>
    <w:autoRedefine/>
    <w:uiPriority w:val="39"/>
    <w:unhideWhenUsed/>
    <w:qFormat/>
    <w:rsid w:val="00966A6A"/>
    <w:pPr>
      <w:tabs>
        <w:tab w:val="left" w:pos="442"/>
        <w:tab w:val="right" w:leader="dot" w:pos="9343"/>
      </w:tabs>
      <w:spacing w:after="0"/>
    </w:pPr>
    <w:rPr>
      <w:rFonts w:cs="Arial"/>
      <w:b/>
      <w:noProof/>
      <w:sz w:val="20"/>
      <w:szCs w:val="20"/>
      <w:lang w:val="de-DE" w:eastAsia="de-DE"/>
    </w:rPr>
  </w:style>
  <w:style w:type="paragraph" w:styleId="Zaglavlje">
    <w:name w:val="header"/>
    <w:basedOn w:val="Normal"/>
    <w:link w:val="ZaglavljeChar"/>
    <w:uiPriority w:val="99"/>
    <w:unhideWhenUsed/>
    <w:rsid w:val="00944F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4F9E"/>
    <w:rPr>
      <w:rFonts w:ascii="Calibri" w:eastAsia="Times New Roman" w:hAnsi="Calibri" w:cs="Times New Roman"/>
      <w:lang w:val="en-US"/>
    </w:rPr>
  </w:style>
  <w:style w:type="paragraph" w:styleId="Podnoje">
    <w:name w:val="footer"/>
    <w:basedOn w:val="Normal"/>
    <w:link w:val="PodnojeChar"/>
    <w:uiPriority w:val="99"/>
    <w:unhideWhenUsed/>
    <w:rsid w:val="00944F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4F9E"/>
    <w:rPr>
      <w:rFonts w:ascii="Calibri" w:eastAsia="Times New Roman" w:hAnsi="Calibri" w:cs="Times New Roman"/>
      <w:lang w:val="en-US"/>
    </w:rPr>
  </w:style>
  <w:style w:type="paragraph" w:customStyle="1" w:styleId="Tabletext">
    <w:name w:val="Table text"/>
    <w:basedOn w:val="Normal"/>
    <w:uiPriority w:val="99"/>
    <w:rsid w:val="00944F9E"/>
    <w:pPr>
      <w:tabs>
        <w:tab w:val="right" w:pos="8504"/>
      </w:tabs>
      <w:spacing w:before="40" w:after="40" w:line="288" w:lineRule="auto"/>
      <w:jc w:val="both"/>
    </w:pPr>
    <w:rPr>
      <w:rFonts w:ascii="Arial" w:hAnsi="Arial"/>
      <w:sz w:val="18"/>
      <w:szCs w:val="20"/>
      <w:lang w:val="de-DE" w:eastAsia="de-DE"/>
    </w:rPr>
  </w:style>
  <w:style w:type="paragraph" w:styleId="Predmetkomentara">
    <w:name w:val="annotation subject"/>
    <w:basedOn w:val="Tekstkomentara"/>
    <w:next w:val="Tekstkomentara"/>
    <w:link w:val="PredmetkomentaraChar"/>
    <w:uiPriority w:val="99"/>
    <w:semiHidden/>
    <w:unhideWhenUsed/>
    <w:rsid w:val="00944F9E"/>
    <w:rPr>
      <w:b/>
      <w:bCs/>
    </w:rPr>
  </w:style>
  <w:style w:type="character" w:customStyle="1" w:styleId="PredmetkomentaraChar">
    <w:name w:val="Predmet komentara Char"/>
    <w:basedOn w:val="TekstkomentaraChar"/>
    <w:link w:val="Predmetkomentara"/>
    <w:uiPriority w:val="99"/>
    <w:semiHidden/>
    <w:rsid w:val="00944F9E"/>
    <w:rPr>
      <w:rFonts w:ascii="Calibri" w:eastAsia="Times New Roman" w:hAnsi="Calibri" w:cs="Times New Roman"/>
      <w:b/>
      <w:bCs/>
      <w:sz w:val="20"/>
      <w:szCs w:val="20"/>
      <w:lang w:val="en-US"/>
    </w:rPr>
  </w:style>
  <w:style w:type="paragraph" w:styleId="Podnaslov">
    <w:name w:val="Subtitle"/>
    <w:basedOn w:val="Normal"/>
    <w:next w:val="Normal"/>
    <w:link w:val="PodnaslovChar"/>
    <w:uiPriority w:val="99"/>
    <w:qFormat/>
    <w:rsid w:val="00944F9E"/>
    <w:pPr>
      <w:numPr>
        <w:ilvl w:val="1"/>
      </w:numPr>
    </w:pPr>
    <w:rPr>
      <w:rFonts w:ascii="Cambria" w:hAnsi="Cambria"/>
      <w:i/>
      <w:iCs/>
      <w:color w:val="4F81BD"/>
      <w:spacing w:val="15"/>
      <w:sz w:val="24"/>
      <w:szCs w:val="24"/>
    </w:rPr>
  </w:style>
  <w:style w:type="character" w:customStyle="1" w:styleId="PodnaslovChar">
    <w:name w:val="Podnaslov Char"/>
    <w:basedOn w:val="Zadanifontodlomka"/>
    <w:link w:val="Podnaslov"/>
    <w:uiPriority w:val="99"/>
    <w:rsid w:val="00944F9E"/>
    <w:rPr>
      <w:rFonts w:ascii="Cambria" w:eastAsia="Times New Roman" w:hAnsi="Cambria" w:cs="Times New Roman"/>
      <w:i/>
      <w:iCs/>
      <w:color w:val="4F81BD"/>
      <w:spacing w:val="15"/>
      <w:sz w:val="24"/>
      <w:szCs w:val="24"/>
      <w:lang w:val="en-US"/>
    </w:rPr>
  </w:style>
  <w:style w:type="paragraph" w:customStyle="1" w:styleId="CIREDNORMAL">
    <w:name w:val="CIRED_NORMAL"/>
    <w:basedOn w:val="Normal"/>
    <w:link w:val="CIREDNORMALChar"/>
    <w:uiPriority w:val="99"/>
    <w:qFormat/>
    <w:rsid w:val="00944F9E"/>
    <w:pPr>
      <w:spacing w:after="0" w:line="240" w:lineRule="auto"/>
      <w:ind w:firstLine="709"/>
      <w:jc w:val="both"/>
    </w:pPr>
    <w:rPr>
      <w:rFonts w:ascii="Arial" w:hAnsi="Arial"/>
      <w:sz w:val="20"/>
      <w:szCs w:val="20"/>
    </w:rPr>
  </w:style>
  <w:style w:type="character" w:customStyle="1" w:styleId="CIREDNORMALChar">
    <w:name w:val="CIRED_NORMAL Char"/>
    <w:basedOn w:val="Zadanifontodlomka"/>
    <w:link w:val="CIREDNORMAL"/>
    <w:uiPriority w:val="99"/>
    <w:rsid w:val="00944F9E"/>
    <w:rPr>
      <w:rFonts w:ascii="Arial" w:eastAsia="Times New Roman" w:hAnsi="Arial" w:cs="Times New Roman"/>
      <w:sz w:val="20"/>
      <w:szCs w:val="20"/>
    </w:rPr>
  </w:style>
  <w:style w:type="character" w:styleId="Istaknuto">
    <w:name w:val="Emphasis"/>
    <w:basedOn w:val="Zadanifontodlomka"/>
    <w:uiPriority w:val="20"/>
    <w:qFormat/>
    <w:rsid w:val="00944F9E"/>
    <w:rPr>
      <w:i/>
      <w:iCs/>
    </w:rPr>
  </w:style>
  <w:style w:type="character" w:styleId="Naglaeno">
    <w:name w:val="Strong"/>
    <w:basedOn w:val="Zadanifontodlomka"/>
    <w:uiPriority w:val="22"/>
    <w:qFormat/>
    <w:rsid w:val="00944F9E"/>
    <w:rPr>
      <w:b/>
      <w:bCs/>
    </w:rPr>
  </w:style>
  <w:style w:type="paragraph" w:customStyle="1" w:styleId="t-9-8">
    <w:name w:val="t-9-8"/>
    <w:basedOn w:val="Normal"/>
    <w:rsid w:val="00944F9E"/>
    <w:pPr>
      <w:spacing w:before="100" w:beforeAutospacing="1" w:after="100" w:afterAutospacing="1" w:line="240" w:lineRule="auto"/>
    </w:pPr>
    <w:rPr>
      <w:rFonts w:ascii="Times New Roman" w:hAnsi="Times New Roman"/>
      <w:sz w:val="24"/>
      <w:szCs w:val="24"/>
      <w:lang w:eastAsia="hr-HR"/>
    </w:rPr>
  </w:style>
  <w:style w:type="paragraph" w:styleId="StandardWeb">
    <w:name w:val="Normal (Web)"/>
    <w:basedOn w:val="Normal"/>
    <w:uiPriority w:val="99"/>
    <w:semiHidden/>
    <w:rsid w:val="00944F9E"/>
    <w:pPr>
      <w:spacing w:before="100" w:beforeAutospacing="1" w:after="100" w:afterAutospacing="1" w:line="240" w:lineRule="auto"/>
    </w:pPr>
    <w:rPr>
      <w:rFonts w:ascii="Times New Roman" w:hAnsi="Times New Roman"/>
      <w:sz w:val="24"/>
      <w:szCs w:val="24"/>
      <w:lang w:eastAsia="hr-HR"/>
    </w:rPr>
  </w:style>
  <w:style w:type="paragraph" w:customStyle="1" w:styleId="t-98bezuvl">
    <w:name w:val="t-98bezuvl"/>
    <w:basedOn w:val="Normal"/>
    <w:uiPriority w:val="99"/>
    <w:rsid w:val="00944F9E"/>
    <w:pPr>
      <w:spacing w:before="100" w:beforeAutospacing="1" w:after="100" w:afterAutospacing="1" w:line="240" w:lineRule="auto"/>
    </w:pPr>
    <w:rPr>
      <w:rFonts w:ascii="Times New Roman" w:hAnsi="Times New Roman"/>
      <w:sz w:val="24"/>
      <w:szCs w:val="24"/>
      <w:lang w:eastAsia="hr-HR"/>
    </w:rPr>
  </w:style>
  <w:style w:type="character" w:customStyle="1" w:styleId="podnaslov1">
    <w:name w:val="podnaslov1"/>
    <w:basedOn w:val="Zadanifontodlomka"/>
    <w:uiPriority w:val="99"/>
    <w:rsid w:val="00944F9E"/>
    <w:rPr>
      <w:rFonts w:cs="Times New Roman"/>
      <w:b/>
      <w:bCs/>
      <w:color w:val="F84F24"/>
    </w:rPr>
  </w:style>
  <w:style w:type="paragraph" w:customStyle="1" w:styleId="Lista1">
    <w:name w:val="Lista 1"/>
    <w:basedOn w:val="Tijeloteksta"/>
    <w:uiPriority w:val="99"/>
    <w:rsid w:val="00944F9E"/>
    <w:pPr>
      <w:numPr>
        <w:numId w:val="2"/>
      </w:numPr>
      <w:tabs>
        <w:tab w:val="clear" w:pos="714"/>
      </w:tabs>
      <w:ind w:left="0" w:firstLine="0"/>
    </w:pPr>
  </w:style>
  <w:style w:type="paragraph" w:customStyle="1" w:styleId="Tekststudije">
    <w:name w:val="Tekst studije"/>
    <w:basedOn w:val="Tijeloteksta"/>
    <w:link w:val="TekststudijeChar"/>
    <w:uiPriority w:val="99"/>
    <w:rsid w:val="00944F9E"/>
  </w:style>
  <w:style w:type="character" w:customStyle="1" w:styleId="TekststudijeChar">
    <w:name w:val="Tekst studije Char"/>
    <w:basedOn w:val="Zadanifontodlomka"/>
    <w:link w:val="Tekststudije"/>
    <w:uiPriority w:val="99"/>
    <w:locked/>
    <w:rsid w:val="00944F9E"/>
    <w:rPr>
      <w:rFonts w:ascii="Calibri" w:eastAsia="Calibri" w:hAnsi="Calibri" w:cs="Times New Roman"/>
    </w:rPr>
  </w:style>
  <w:style w:type="paragraph" w:styleId="Tijeloteksta">
    <w:name w:val="Body Text"/>
    <w:basedOn w:val="Normal"/>
    <w:link w:val="TijelotekstaChar"/>
    <w:uiPriority w:val="1"/>
    <w:qFormat/>
    <w:rsid w:val="00944F9E"/>
    <w:pPr>
      <w:spacing w:after="120"/>
    </w:pPr>
    <w:rPr>
      <w:rFonts w:eastAsia="Calibri"/>
    </w:rPr>
  </w:style>
  <w:style w:type="character" w:customStyle="1" w:styleId="TijelotekstaChar">
    <w:name w:val="Tijelo teksta Char"/>
    <w:basedOn w:val="Zadanifontodlomka"/>
    <w:link w:val="Tijeloteksta"/>
    <w:uiPriority w:val="1"/>
    <w:rsid w:val="00944F9E"/>
    <w:rPr>
      <w:rFonts w:ascii="Calibri" w:eastAsia="Calibri" w:hAnsi="Calibri" w:cs="Times New Roman"/>
    </w:rPr>
  </w:style>
  <w:style w:type="paragraph" w:styleId="Naslov">
    <w:name w:val="Title"/>
    <w:basedOn w:val="Normal"/>
    <w:next w:val="Normal"/>
    <w:link w:val="NaslovChar"/>
    <w:uiPriority w:val="99"/>
    <w:qFormat/>
    <w:rsid w:val="00944F9E"/>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NaslovChar">
    <w:name w:val="Naslov Char"/>
    <w:basedOn w:val="Zadanifontodlomka"/>
    <w:link w:val="Naslov"/>
    <w:uiPriority w:val="99"/>
    <w:rsid w:val="00944F9E"/>
    <w:rPr>
      <w:rFonts w:ascii="Cambria" w:eastAsia="Calibri" w:hAnsi="Cambria" w:cs="Times New Roman"/>
      <w:color w:val="17365D"/>
      <w:spacing w:val="5"/>
      <w:kern w:val="28"/>
      <w:sz w:val="52"/>
      <w:szCs w:val="52"/>
      <w:lang w:val="en-US"/>
    </w:rPr>
  </w:style>
  <w:style w:type="paragraph" w:styleId="Bezproreda">
    <w:name w:val="No Spacing"/>
    <w:link w:val="BezproredaChar"/>
    <w:uiPriority w:val="1"/>
    <w:qFormat/>
    <w:rsid w:val="00944F9E"/>
    <w:pPr>
      <w:spacing w:after="0" w:line="240" w:lineRule="auto"/>
    </w:pPr>
    <w:rPr>
      <w:rFonts w:ascii="Calibri" w:eastAsia="Times New Roman" w:hAnsi="Calibri" w:cs="Times New Roman"/>
      <w:lang w:val="en-US"/>
    </w:rPr>
  </w:style>
  <w:style w:type="character" w:customStyle="1" w:styleId="BezproredaChar">
    <w:name w:val="Bez proreda Char"/>
    <w:basedOn w:val="Zadanifontodlomka"/>
    <w:link w:val="Bezproreda"/>
    <w:uiPriority w:val="1"/>
    <w:rsid w:val="00944F9E"/>
    <w:rPr>
      <w:rFonts w:ascii="Calibri" w:eastAsia="Times New Roman" w:hAnsi="Calibri" w:cs="Times New Roman"/>
      <w:lang w:val="en-US"/>
    </w:rPr>
  </w:style>
  <w:style w:type="paragraph" w:styleId="TOCNaslov">
    <w:name w:val="TOC Heading"/>
    <w:basedOn w:val="Naslov1"/>
    <w:next w:val="Normal"/>
    <w:link w:val="TOCNaslovChar"/>
    <w:uiPriority w:val="39"/>
    <w:qFormat/>
    <w:rsid w:val="00944F9E"/>
    <w:pPr>
      <w:numPr>
        <w:numId w:val="0"/>
      </w:numPr>
      <w:outlineLvl w:val="9"/>
    </w:pPr>
    <w:rPr>
      <w:rFonts w:eastAsia="Times New Roman"/>
      <w:smallCaps w:val="0"/>
      <w:sz w:val="28"/>
      <w:lang w:val="en-US"/>
    </w:rPr>
  </w:style>
  <w:style w:type="paragraph" w:styleId="Sadraj2">
    <w:name w:val="toc 2"/>
    <w:basedOn w:val="Normal"/>
    <w:next w:val="Normal"/>
    <w:autoRedefine/>
    <w:uiPriority w:val="39"/>
    <w:unhideWhenUsed/>
    <w:rsid w:val="00966A6A"/>
    <w:pPr>
      <w:tabs>
        <w:tab w:val="left" w:pos="879"/>
        <w:tab w:val="right" w:leader="dot" w:pos="9343"/>
      </w:tabs>
      <w:spacing w:after="0"/>
      <w:ind w:left="221"/>
    </w:pPr>
    <w:rPr>
      <w:b/>
      <w:noProof/>
      <w:sz w:val="20"/>
    </w:rPr>
  </w:style>
  <w:style w:type="paragraph" w:styleId="Sadraj3">
    <w:name w:val="toc 3"/>
    <w:basedOn w:val="Normal"/>
    <w:next w:val="Normal"/>
    <w:autoRedefine/>
    <w:uiPriority w:val="39"/>
    <w:unhideWhenUsed/>
    <w:rsid w:val="00944F9E"/>
    <w:pPr>
      <w:tabs>
        <w:tab w:val="left" w:pos="1100"/>
        <w:tab w:val="right" w:leader="dot" w:pos="9062"/>
      </w:tabs>
      <w:spacing w:after="0"/>
      <w:ind w:left="442"/>
    </w:pPr>
    <w:rPr>
      <w:sz w:val="20"/>
    </w:rPr>
  </w:style>
  <w:style w:type="paragraph" w:styleId="Sadraj4">
    <w:name w:val="toc 4"/>
    <w:basedOn w:val="Normal"/>
    <w:next w:val="Normal"/>
    <w:autoRedefine/>
    <w:uiPriority w:val="39"/>
    <w:unhideWhenUsed/>
    <w:rsid w:val="00944F9E"/>
    <w:pPr>
      <w:spacing w:after="0"/>
      <w:ind w:left="658"/>
    </w:pPr>
    <w:rPr>
      <w:sz w:val="20"/>
    </w:rPr>
  </w:style>
  <w:style w:type="paragraph" w:styleId="Sadraj5">
    <w:name w:val="toc 5"/>
    <w:basedOn w:val="Normal"/>
    <w:next w:val="Normal"/>
    <w:autoRedefine/>
    <w:uiPriority w:val="39"/>
    <w:unhideWhenUsed/>
    <w:rsid w:val="00944F9E"/>
    <w:pPr>
      <w:spacing w:after="0"/>
      <w:ind w:left="879"/>
    </w:pPr>
    <w:rPr>
      <w:sz w:val="20"/>
    </w:rPr>
  </w:style>
  <w:style w:type="paragraph" w:styleId="Tablicaslika">
    <w:name w:val="table of figures"/>
    <w:basedOn w:val="Normal"/>
    <w:next w:val="Normal"/>
    <w:uiPriority w:val="99"/>
    <w:unhideWhenUsed/>
    <w:rsid w:val="00944F9E"/>
    <w:pPr>
      <w:spacing w:after="0"/>
    </w:pPr>
    <w:rPr>
      <w:sz w:val="20"/>
    </w:rPr>
  </w:style>
  <w:style w:type="character" w:styleId="Jakoisticanje">
    <w:name w:val="Intense Emphasis"/>
    <w:basedOn w:val="Zadanifontodlomka"/>
    <w:uiPriority w:val="21"/>
    <w:qFormat/>
    <w:rsid w:val="00944F9E"/>
    <w:rPr>
      <w:b/>
      <w:bCs/>
      <w:i/>
      <w:iCs/>
      <w:color w:val="4F81BD"/>
    </w:rPr>
  </w:style>
  <w:style w:type="paragraph" w:customStyle="1" w:styleId="BodyText1">
    <w:name w:val="Body Text1"/>
    <w:rsid w:val="00944F9E"/>
    <w:pPr>
      <w:spacing w:after="120" w:line="360" w:lineRule="auto"/>
    </w:pPr>
    <w:rPr>
      <w:rFonts w:ascii="Times New Roman" w:eastAsia="Times New Roman" w:hAnsi="Times New Roman" w:cs="Times New Roman"/>
      <w:szCs w:val="20"/>
      <w:lang w:val="en-GB"/>
    </w:rPr>
  </w:style>
  <w:style w:type="paragraph" w:styleId="Naglaencitat">
    <w:name w:val="Intense Quote"/>
    <w:basedOn w:val="Normal"/>
    <w:next w:val="Normal"/>
    <w:link w:val="NaglaencitatChar"/>
    <w:uiPriority w:val="30"/>
    <w:qFormat/>
    <w:rsid w:val="00944F9E"/>
    <w:pPr>
      <w:pBdr>
        <w:bottom w:val="single" w:sz="4" w:space="4" w:color="4F81BD"/>
      </w:pBdr>
      <w:spacing w:before="200" w:after="280"/>
      <w:ind w:left="936" w:right="936"/>
    </w:pPr>
    <w:rPr>
      <w:b/>
      <w:bCs/>
      <w:i/>
      <w:iCs/>
      <w:color w:val="4F81BD"/>
    </w:rPr>
  </w:style>
  <w:style w:type="character" w:customStyle="1" w:styleId="NaglaencitatChar">
    <w:name w:val="Naglašen citat Char"/>
    <w:basedOn w:val="Zadanifontodlomka"/>
    <w:link w:val="Naglaencitat"/>
    <w:uiPriority w:val="30"/>
    <w:rsid w:val="00944F9E"/>
    <w:rPr>
      <w:rFonts w:ascii="Calibri" w:eastAsia="Times New Roman" w:hAnsi="Calibri" w:cs="Times New Roman"/>
      <w:b/>
      <w:bCs/>
      <w:i/>
      <w:iCs/>
      <w:color w:val="4F81BD"/>
      <w:lang w:val="en-US"/>
    </w:rPr>
  </w:style>
  <w:style w:type="paragraph" w:customStyle="1" w:styleId="1">
    <w:name w:val="1"/>
    <w:basedOn w:val="Normal"/>
    <w:uiPriority w:val="99"/>
    <w:rsid w:val="00944F9E"/>
    <w:pPr>
      <w:spacing w:after="160" w:line="240" w:lineRule="exact"/>
    </w:pPr>
    <w:rPr>
      <w:rFonts w:ascii="Tahoma" w:eastAsia="Calibri" w:hAnsi="Tahoma"/>
      <w:sz w:val="20"/>
      <w:szCs w:val="20"/>
    </w:rPr>
  </w:style>
  <w:style w:type="paragraph" w:customStyle="1" w:styleId="Naslovslikaitablica">
    <w:name w:val="Naslov slika i tablica"/>
    <w:basedOn w:val="Naslov"/>
    <w:next w:val="Tijeloteksta"/>
    <w:link w:val="NaslovslikaitablicaChar"/>
    <w:uiPriority w:val="99"/>
    <w:rsid w:val="00944F9E"/>
    <w:pPr>
      <w:pBdr>
        <w:bottom w:val="none" w:sz="0" w:space="0" w:color="auto"/>
      </w:pBdr>
      <w:spacing w:before="120" w:after="120"/>
      <w:contextualSpacing w:val="0"/>
      <w:jc w:val="center"/>
      <w:outlineLvl w:val="0"/>
    </w:pPr>
    <w:rPr>
      <w:rFonts w:ascii="Arial" w:hAnsi="Arial" w:cs="Arial"/>
      <w:b/>
      <w:bCs/>
      <w:i/>
      <w:color w:val="auto"/>
      <w:spacing w:val="0"/>
      <w:sz w:val="20"/>
      <w:szCs w:val="22"/>
      <w:lang w:eastAsia="hr-HR"/>
    </w:rPr>
  </w:style>
  <w:style w:type="character" w:customStyle="1" w:styleId="NaslovslikaitablicaChar">
    <w:name w:val="Naslov slika i tablica Char"/>
    <w:basedOn w:val="Zadanifontodlomka"/>
    <w:link w:val="Naslovslikaitablica"/>
    <w:uiPriority w:val="99"/>
    <w:locked/>
    <w:rsid w:val="00944F9E"/>
    <w:rPr>
      <w:rFonts w:ascii="Arial" w:eastAsia="Calibri" w:hAnsi="Arial" w:cs="Arial"/>
      <w:b/>
      <w:bCs/>
      <w:i/>
      <w:kern w:val="28"/>
      <w:sz w:val="20"/>
      <w:lang w:eastAsia="hr-HR"/>
    </w:rPr>
  </w:style>
  <w:style w:type="paragraph" w:customStyle="1" w:styleId="Default">
    <w:name w:val="Default"/>
    <w:rsid w:val="00944F9E"/>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table" w:customStyle="1" w:styleId="TableGrid1">
    <w:name w:val="Table Grid1"/>
    <w:basedOn w:val="Obinatablica"/>
    <w:next w:val="Reetkatablice"/>
    <w:uiPriority w:val="59"/>
    <w:rsid w:val="0094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4F9E"/>
    <w:pPr>
      <w:spacing w:after="0" w:line="240" w:lineRule="auto"/>
    </w:pPr>
    <w:rPr>
      <w:rFonts w:ascii="Calibri" w:eastAsia="Times New Roman" w:hAnsi="Calibri" w:cs="Times New Roman"/>
      <w:lang w:val="en-US"/>
    </w:rPr>
  </w:style>
  <w:style w:type="paragraph" w:customStyle="1" w:styleId="t-12-9-fett-s">
    <w:name w:val="t-12-9-fett-s"/>
    <w:basedOn w:val="Normal"/>
    <w:rsid w:val="00944F9E"/>
    <w:pPr>
      <w:spacing w:before="100" w:beforeAutospacing="1" w:after="100" w:afterAutospacing="1" w:line="240" w:lineRule="auto"/>
      <w:jc w:val="center"/>
    </w:pPr>
    <w:rPr>
      <w:rFonts w:ascii="Times New Roman" w:hAnsi="Times New Roman"/>
      <w:b/>
      <w:bCs/>
      <w:sz w:val="28"/>
      <w:szCs w:val="28"/>
      <w:lang w:eastAsia="hr-HR"/>
    </w:rPr>
  </w:style>
  <w:style w:type="paragraph" w:customStyle="1" w:styleId="tb-na16">
    <w:name w:val="tb-na16"/>
    <w:basedOn w:val="Normal"/>
    <w:rsid w:val="00944F9E"/>
    <w:pPr>
      <w:spacing w:before="100" w:beforeAutospacing="1" w:after="100" w:afterAutospacing="1" w:line="240" w:lineRule="auto"/>
      <w:jc w:val="center"/>
    </w:pPr>
    <w:rPr>
      <w:rFonts w:ascii="Times New Roman" w:hAnsi="Times New Roman"/>
      <w:b/>
      <w:bCs/>
      <w:sz w:val="36"/>
      <w:szCs w:val="36"/>
      <w:lang w:eastAsia="hr-HR"/>
    </w:rPr>
  </w:style>
  <w:style w:type="paragraph" w:styleId="HTMLunaprijedoblikovano">
    <w:name w:val="HTML Preformatted"/>
    <w:basedOn w:val="Normal"/>
    <w:link w:val="HTMLunaprijedoblikovanoChar"/>
    <w:uiPriority w:val="99"/>
    <w:unhideWhenUsed/>
    <w:rsid w:val="0094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944F9E"/>
    <w:rPr>
      <w:rFonts w:ascii="Courier New" w:eastAsia="Times New Roman" w:hAnsi="Courier New" w:cs="Courier New"/>
      <w:sz w:val="20"/>
      <w:szCs w:val="20"/>
      <w:lang w:eastAsia="hr-HR"/>
    </w:rPr>
  </w:style>
  <w:style w:type="paragraph" w:styleId="Tekstkrajnjebiljeke">
    <w:name w:val="endnote text"/>
    <w:basedOn w:val="Normal"/>
    <w:link w:val="TekstkrajnjebiljekeChar"/>
    <w:uiPriority w:val="99"/>
    <w:semiHidden/>
    <w:unhideWhenUsed/>
    <w:rsid w:val="00944F9E"/>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44F9E"/>
    <w:rPr>
      <w:rFonts w:ascii="Calibri" w:eastAsia="Times New Roman" w:hAnsi="Calibri" w:cs="Times New Roman"/>
      <w:sz w:val="20"/>
      <w:szCs w:val="20"/>
      <w:lang w:val="en-US"/>
    </w:rPr>
  </w:style>
  <w:style w:type="character" w:styleId="Referencakrajnjebiljeke">
    <w:name w:val="endnote reference"/>
    <w:basedOn w:val="Zadanifontodlomka"/>
    <w:uiPriority w:val="99"/>
    <w:semiHidden/>
    <w:unhideWhenUsed/>
    <w:rsid w:val="00944F9E"/>
    <w:rPr>
      <w:vertAlign w:val="superscript"/>
    </w:rPr>
  </w:style>
  <w:style w:type="paragraph" w:styleId="Obinitekst">
    <w:name w:val="Plain Text"/>
    <w:basedOn w:val="Normal"/>
    <w:link w:val="ObinitekstChar"/>
    <w:uiPriority w:val="99"/>
    <w:semiHidden/>
    <w:unhideWhenUsed/>
    <w:rsid w:val="00944F9E"/>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semiHidden/>
    <w:rsid w:val="00944F9E"/>
    <w:rPr>
      <w:rFonts w:ascii="Consolas" w:eastAsia="Times New Roman" w:hAnsi="Consolas" w:cs="Times New Roman"/>
      <w:sz w:val="21"/>
      <w:szCs w:val="21"/>
      <w:lang w:val="en-US"/>
    </w:rPr>
  </w:style>
  <w:style w:type="character" w:customStyle="1" w:styleId="kurziv">
    <w:name w:val="kurziv"/>
    <w:rsid w:val="00944F9E"/>
  </w:style>
  <w:style w:type="numbering" w:customStyle="1" w:styleId="NoList1">
    <w:name w:val="No List1"/>
    <w:next w:val="Bezpopisa"/>
    <w:semiHidden/>
    <w:unhideWhenUsed/>
    <w:rsid w:val="00944F9E"/>
  </w:style>
  <w:style w:type="character" w:styleId="SlijeenaHiperveza">
    <w:name w:val="FollowedHyperlink"/>
    <w:basedOn w:val="Zadanifontodlomka"/>
    <w:uiPriority w:val="99"/>
    <w:semiHidden/>
    <w:unhideWhenUsed/>
    <w:rsid w:val="00944F9E"/>
    <w:rPr>
      <w:color w:val="800080" w:themeColor="followedHyperlink"/>
      <w:u w:val="single"/>
    </w:rPr>
  </w:style>
  <w:style w:type="table" w:styleId="Svijetlosjenanje">
    <w:name w:val="Light Shading"/>
    <w:basedOn w:val="Obinatablica"/>
    <w:uiPriority w:val="60"/>
    <w:rsid w:val="006049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
    <w:name w:val="bodytext"/>
    <w:basedOn w:val="Normal"/>
    <w:rsid w:val="00604968"/>
    <w:pPr>
      <w:spacing w:before="100" w:beforeAutospacing="1" w:after="100" w:afterAutospacing="1" w:line="240" w:lineRule="auto"/>
    </w:pPr>
    <w:rPr>
      <w:rFonts w:ascii="Times New Roman" w:hAnsi="Times New Roman"/>
      <w:sz w:val="24"/>
      <w:szCs w:val="24"/>
      <w:lang w:eastAsia="hr-HR"/>
    </w:rPr>
  </w:style>
  <w:style w:type="character" w:customStyle="1" w:styleId="apple-converted-space">
    <w:name w:val="apple-converted-space"/>
    <w:basedOn w:val="Zadanifontodlomka"/>
    <w:rsid w:val="00604968"/>
  </w:style>
  <w:style w:type="paragraph" w:customStyle="1" w:styleId="Bullet1">
    <w:name w:val="Bullet_1"/>
    <w:basedOn w:val="Normal"/>
    <w:uiPriority w:val="99"/>
    <w:rsid w:val="00604968"/>
    <w:pPr>
      <w:numPr>
        <w:numId w:val="3"/>
      </w:numPr>
      <w:spacing w:after="0" w:line="240" w:lineRule="auto"/>
      <w:jc w:val="both"/>
    </w:pPr>
    <w:rPr>
      <w:rFonts w:ascii="UniCredit Light" w:eastAsiaTheme="minorHAnsi" w:hAnsi="UniCredit Light"/>
      <w:sz w:val="24"/>
      <w:szCs w:val="24"/>
      <w:lang w:eastAsia="hr-HR"/>
    </w:rPr>
  </w:style>
  <w:style w:type="character" w:customStyle="1" w:styleId="zelenitekstitalicbold">
    <w:name w:val="zeleni_tekst_italic_bold"/>
    <w:basedOn w:val="Zadanifontodlomka"/>
    <w:rsid w:val="00604968"/>
  </w:style>
  <w:style w:type="paragraph" w:customStyle="1" w:styleId="CRNO">
    <w:name w:val="CRNO"/>
    <w:basedOn w:val="Normal"/>
    <w:uiPriority w:val="99"/>
    <w:rsid w:val="00C833AA"/>
    <w:pPr>
      <w:spacing w:after="160" w:line="288" w:lineRule="auto"/>
      <w:jc w:val="both"/>
    </w:pPr>
    <w:rPr>
      <w:rFonts w:ascii="Times New Roman" w:eastAsia="MS Mincho" w:hAnsi="Times New Roman" w:cs="Calibri"/>
      <w:sz w:val="24"/>
    </w:rPr>
  </w:style>
  <w:style w:type="paragraph" w:customStyle="1" w:styleId="CM1">
    <w:name w:val="CM1"/>
    <w:basedOn w:val="Normal"/>
    <w:next w:val="Normal"/>
    <w:uiPriority w:val="99"/>
    <w:rsid w:val="003C6365"/>
    <w:pPr>
      <w:autoSpaceDE w:val="0"/>
      <w:autoSpaceDN w:val="0"/>
      <w:adjustRightInd w:val="0"/>
      <w:spacing w:after="0" w:line="240" w:lineRule="auto"/>
    </w:pPr>
    <w:rPr>
      <w:rFonts w:ascii="EUAlbertina" w:eastAsiaTheme="minorEastAsia" w:hAnsi="EUAlbertina" w:cstheme="minorBidi"/>
      <w:sz w:val="24"/>
      <w:szCs w:val="24"/>
    </w:rPr>
  </w:style>
  <w:style w:type="paragraph" w:customStyle="1" w:styleId="NASLOVPOGLAVLJA">
    <w:name w:val="NASLOV POGLAVLJA"/>
    <w:basedOn w:val="Normal"/>
    <w:rsid w:val="00517B4C"/>
    <w:pPr>
      <w:tabs>
        <w:tab w:val="left" w:pos="426"/>
      </w:tabs>
      <w:spacing w:after="240" w:line="240" w:lineRule="auto"/>
      <w:ind w:left="426" w:hanging="426"/>
      <w:jc w:val="both"/>
    </w:pPr>
    <w:rPr>
      <w:rFonts w:ascii="Arial" w:eastAsia="Arial Unicode MS" w:hAnsi="Arial"/>
      <w:b/>
      <w:sz w:val="28"/>
      <w:szCs w:val="28"/>
      <w:lang w:eastAsia="ja-JP"/>
    </w:rPr>
  </w:style>
  <w:style w:type="paragraph" w:customStyle="1" w:styleId="font5">
    <w:name w:val="font5"/>
    <w:basedOn w:val="Normal"/>
    <w:rsid w:val="003E17DE"/>
    <w:pPr>
      <w:spacing w:before="100" w:beforeAutospacing="1" w:after="100" w:afterAutospacing="1" w:line="240" w:lineRule="auto"/>
    </w:pPr>
    <w:rPr>
      <w:rFonts w:ascii="Tahoma" w:hAnsi="Tahoma" w:cs="Tahoma"/>
      <w:color w:val="000000"/>
      <w:sz w:val="18"/>
      <w:szCs w:val="18"/>
      <w:lang w:eastAsia="hr-HR"/>
    </w:rPr>
  </w:style>
  <w:style w:type="paragraph" w:customStyle="1" w:styleId="font6">
    <w:name w:val="font6"/>
    <w:basedOn w:val="Normal"/>
    <w:rsid w:val="003E17DE"/>
    <w:pPr>
      <w:spacing w:before="100" w:beforeAutospacing="1" w:after="100" w:afterAutospacing="1" w:line="240" w:lineRule="auto"/>
    </w:pPr>
    <w:rPr>
      <w:rFonts w:ascii="Tahoma" w:hAnsi="Tahoma" w:cs="Tahoma"/>
      <w:b/>
      <w:bCs/>
      <w:color w:val="000000"/>
      <w:sz w:val="18"/>
      <w:szCs w:val="18"/>
      <w:lang w:eastAsia="hr-HR"/>
    </w:rPr>
  </w:style>
  <w:style w:type="paragraph" w:customStyle="1" w:styleId="xl63">
    <w:name w:val="xl63"/>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64">
    <w:name w:val="xl64"/>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65">
    <w:name w:val="xl65"/>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66">
    <w:name w:val="xl66"/>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67">
    <w:name w:val="xl67"/>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68">
    <w:name w:val="xl68"/>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69">
    <w:name w:val="xl69"/>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70">
    <w:name w:val="xl70"/>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hr-HR"/>
    </w:rPr>
  </w:style>
  <w:style w:type="paragraph" w:customStyle="1" w:styleId="xl71">
    <w:name w:val="xl71"/>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72">
    <w:name w:val="xl72"/>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73">
    <w:name w:val="xl73"/>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74">
    <w:name w:val="xl74"/>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75">
    <w:name w:val="xl75"/>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76">
    <w:name w:val="xl76"/>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77">
    <w:name w:val="xl77"/>
    <w:basedOn w:val="Normal"/>
    <w:rsid w:val="003E17D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78">
    <w:name w:val="xl78"/>
    <w:basedOn w:val="Normal"/>
    <w:rsid w:val="003E17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79">
    <w:name w:val="xl79"/>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80">
    <w:name w:val="xl80"/>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81">
    <w:name w:val="xl81"/>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82">
    <w:name w:val="xl82"/>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83">
    <w:name w:val="xl83"/>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84">
    <w:name w:val="xl84"/>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85">
    <w:name w:val="xl85"/>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86">
    <w:name w:val="xl86"/>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87">
    <w:name w:val="xl87"/>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88">
    <w:name w:val="xl88"/>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89">
    <w:name w:val="xl89"/>
    <w:basedOn w:val="Normal"/>
    <w:rsid w:val="003E17D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90">
    <w:name w:val="xl90"/>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91">
    <w:name w:val="xl91"/>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92">
    <w:name w:val="xl92"/>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93">
    <w:name w:val="xl93"/>
    <w:basedOn w:val="Normal"/>
    <w:rsid w:val="003E17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94">
    <w:name w:val="xl94"/>
    <w:basedOn w:val="Normal"/>
    <w:rsid w:val="003E17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95">
    <w:name w:val="xl95"/>
    <w:basedOn w:val="Normal"/>
    <w:rsid w:val="003E17DE"/>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xl96">
    <w:name w:val="xl96"/>
    <w:basedOn w:val="Normal"/>
    <w:rsid w:val="003E17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97">
    <w:name w:val="xl97"/>
    <w:basedOn w:val="Normal"/>
    <w:rsid w:val="003E17D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98">
    <w:name w:val="xl98"/>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99">
    <w:name w:val="xl99"/>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00">
    <w:name w:val="xl100"/>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hr-HR"/>
    </w:rPr>
  </w:style>
  <w:style w:type="paragraph" w:customStyle="1" w:styleId="xl101">
    <w:name w:val="xl101"/>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02">
    <w:name w:val="xl102"/>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3">
    <w:name w:val="xl103"/>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04">
    <w:name w:val="xl104"/>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5">
    <w:name w:val="xl105"/>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6">
    <w:name w:val="xl106"/>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7">
    <w:name w:val="xl107"/>
    <w:basedOn w:val="Normal"/>
    <w:rsid w:val="003E17DE"/>
    <w:pPr>
      <w:pBdr>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8">
    <w:name w:val="xl108"/>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09">
    <w:name w:val="xl109"/>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10">
    <w:name w:val="xl110"/>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11">
    <w:name w:val="xl111"/>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12">
    <w:name w:val="xl112"/>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13">
    <w:name w:val="xl113"/>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14">
    <w:name w:val="xl114"/>
    <w:basedOn w:val="Normal"/>
    <w:rsid w:val="003E17DE"/>
    <w:pPr>
      <w:pBdr>
        <w:top w:val="single" w:sz="4" w:space="0" w:color="auto"/>
        <w:bottom w:val="double" w:sz="6" w:space="0" w:color="auto"/>
        <w:right w:val="single" w:sz="4"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xl115">
    <w:name w:val="xl115"/>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16">
    <w:name w:val="xl116"/>
    <w:basedOn w:val="Normal"/>
    <w:rsid w:val="003E17DE"/>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6"/>
      <w:szCs w:val="16"/>
      <w:lang w:eastAsia="hr-HR"/>
    </w:rPr>
  </w:style>
  <w:style w:type="paragraph" w:customStyle="1" w:styleId="xl117">
    <w:name w:val="xl117"/>
    <w:basedOn w:val="Normal"/>
    <w:rsid w:val="003E17DE"/>
    <w:pPr>
      <w:pBdr>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18">
    <w:name w:val="xl118"/>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19">
    <w:name w:val="xl119"/>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20">
    <w:name w:val="xl120"/>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21">
    <w:name w:val="xl121"/>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22">
    <w:name w:val="xl122"/>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23">
    <w:name w:val="xl123"/>
    <w:basedOn w:val="Normal"/>
    <w:rsid w:val="003E17DE"/>
    <w:pPr>
      <w:pBdr>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xl124">
    <w:name w:val="xl124"/>
    <w:basedOn w:val="Normal"/>
    <w:rsid w:val="003E17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25">
    <w:name w:val="xl125"/>
    <w:basedOn w:val="Normal"/>
    <w:rsid w:val="003E17D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26">
    <w:name w:val="xl126"/>
    <w:basedOn w:val="Normal"/>
    <w:rsid w:val="003E17DE"/>
    <w:pPr>
      <w:pBdr>
        <w:top w:val="single" w:sz="4" w:space="0" w:color="auto"/>
        <w:left w:val="single" w:sz="4" w:space="0" w:color="auto"/>
        <w:bottom w:val="double" w:sz="6"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27">
    <w:name w:val="xl127"/>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28">
    <w:name w:val="xl128"/>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29">
    <w:name w:val="xl129"/>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30">
    <w:name w:val="xl130"/>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31">
    <w:name w:val="xl131"/>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32">
    <w:name w:val="xl132"/>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33">
    <w:name w:val="xl133"/>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34">
    <w:name w:val="xl134"/>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35">
    <w:name w:val="xl135"/>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36">
    <w:name w:val="xl136"/>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37">
    <w:name w:val="xl137"/>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38">
    <w:name w:val="xl138"/>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39">
    <w:name w:val="xl139"/>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40">
    <w:name w:val="xl140"/>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41">
    <w:name w:val="xl141"/>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42">
    <w:name w:val="xl142"/>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3">
    <w:name w:val="xl143"/>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4">
    <w:name w:val="xl144"/>
    <w:basedOn w:val="Normal"/>
    <w:rsid w:val="003E17DE"/>
    <w:pPr>
      <w:pBdr>
        <w:top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5">
    <w:name w:val="xl145"/>
    <w:basedOn w:val="Normal"/>
    <w:rsid w:val="003E17DE"/>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6">
    <w:name w:val="xl146"/>
    <w:basedOn w:val="Normal"/>
    <w:rsid w:val="003E17DE"/>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7">
    <w:name w:val="xl147"/>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48">
    <w:name w:val="xl148"/>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49">
    <w:name w:val="xl149"/>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50">
    <w:name w:val="xl150"/>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1">
    <w:name w:val="xl151"/>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2">
    <w:name w:val="xl152"/>
    <w:basedOn w:val="Normal"/>
    <w:rsid w:val="003E17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153">
    <w:name w:val="xl153"/>
    <w:basedOn w:val="Normal"/>
    <w:rsid w:val="003E17DE"/>
    <w:pPr>
      <w:pBdr>
        <w:left w:val="single" w:sz="4" w:space="0" w:color="auto"/>
        <w:bottom w:val="single" w:sz="4" w:space="0" w:color="auto"/>
      </w:pBdr>
      <w:shd w:val="clear" w:color="000000" w:fill="DA9694"/>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4">
    <w:name w:val="xl154"/>
    <w:basedOn w:val="Normal"/>
    <w:rsid w:val="003E17DE"/>
    <w:pPr>
      <w:pBdr>
        <w:top w:val="single" w:sz="4" w:space="0" w:color="auto"/>
        <w:left w:val="single" w:sz="4" w:space="0" w:color="auto"/>
        <w:bottom w:val="single" w:sz="4" w:space="0" w:color="auto"/>
      </w:pBdr>
      <w:shd w:val="clear" w:color="000000" w:fill="DA9694"/>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5">
    <w:name w:val="xl155"/>
    <w:basedOn w:val="Normal"/>
    <w:rsid w:val="003E17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56">
    <w:name w:val="xl156"/>
    <w:basedOn w:val="Normal"/>
    <w:rsid w:val="003E17DE"/>
    <w:pPr>
      <w:pBdr>
        <w:left w:val="single" w:sz="4" w:space="0" w:color="auto"/>
        <w:bottom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57">
    <w:name w:val="xl157"/>
    <w:basedOn w:val="Normal"/>
    <w:rsid w:val="003E17DE"/>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8">
    <w:name w:val="xl158"/>
    <w:basedOn w:val="Normal"/>
    <w:rsid w:val="003E17DE"/>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59">
    <w:name w:val="xl159"/>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0">
    <w:name w:val="xl160"/>
    <w:basedOn w:val="Normal"/>
    <w:rsid w:val="003E17DE"/>
    <w:pPr>
      <w:pBdr>
        <w:left w:val="single" w:sz="4" w:space="0" w:color="auto"/>
        <w:bottom w:val="single" w:sz="4" w:space="0" w:color="auto"/>
        <w:right w:val="double" w:sz="6" w:space="0" w:color="auto"/>
      </w:pBdr>
      <w:shd w:val="clear" w:color="000000" w:fill="DA9694"/>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1">
    <w:name w:val="xl161"/>
    <w:basedOn w:val="Normal"/>
    <w:rsid w:val="003E17DE"/>
    <w:pPr>
      <w:pBdr>
        <w:top w:val="single" w:sz="4" w:space="0" w:color="auto"/>
        <w:left w:val="single" w:sz="4" w:space="0" w:color="auto"/>
        <w:bottom w:val="single" w:sz="4" w:space="0" w:color="auto"/>
        <w:right w:val="double" w:sz="6" w:space="0" w:color="auto"/>
      </w:pBdr>
      <w:shd w:val="clear" w:color="000000" w:fill="DA9694"/>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2">
    <w:name w:val="xl162"/>
    <w:basedOn w:val="Normal"/>
    <w:rsid w:val="003E17DE"/>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63">
    <w:name w:val="xl163"/>
    <w:basedOn w:val="Normal"/>
    <w:rsid w:val="003E17D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4">
    <w:name w:val="xl164"/>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color w:val="000000"/>
      <w:sz w:val="16"/>
      <w:szCs w:val="16"/>
      <w:lang w:eastAsia="hr-HR"/>
    </w:rPr>
  </w:style>
  <w:style w:type="paragraph" w:customStyle="1" w:styleId="xl165">
    <w:name w:val="xl165"/>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color w:val="000000"/>
      <w:sz w:val="16"/>
      <w:szCs w:val="16"/>
      <w:lang w:eastAsia="hr-HR"/>
    </w:rPr>
  </w:style>
  <w:style w:type="paragraph" w:customStyle="1" w:styleId="xl166">
    <w:name w:val="xl166"/>
    <w:basedOn w:val="Normal"/>
    <w:rsid w:val="003E17D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7">
    <w:name w:val="xl167"/>
    <w:basedOn w:val="Normal"/>
    <w:rsid w:val="003E17D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68">
    <w:name w:val="xl168"/>
    <w:basedOn w:val="Normal"/>
    <w:rsid w:val="003E17DE"/>
    <w:pPr>
      <w:pBdr>
        <w:left w:val="double" w:sz="6"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69">
    <w:name w:val="xl169"/>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0">
    <w:name w:val="xl170"/>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1">
    <w:name w:val="xl171"/>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2">
    <w:name w:val="xl172"/>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hr-HR"/>
    </w:rPr>
  </w:style>
  <w:style w:type="paragraph" w:customStyle="1" w:styleId="xl173">
    <w:name w:val="xl173"/>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hr-HR"/>
    </w:rPr>
  </w:style>
  <w:style w:type="paragraph" w:customStyle="1" w:styleId="xl174">
    <w:name w:val="xl174"/>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hAnsi="Times New Roman"/>
      <w:color w:val="000000"/>
      <w:sz w:val="16"/>
      <w:szCs w:val="16"/>
      <w:lang w:eastAsia="hr-HR"/>
    </w:rPr>
  </w:style>
  <w:style w:type="paragraph" w:customStyle="1" w:styleId="xl175">
    <w:name w:val="xl175"/>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6">
    <w:name w:val="xl176"/>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7">
    <w:name w:val="xl177"/>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8">
    <w:name w:val="xl178"/>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79">
    <w:name w:val="xl179"/>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180">
    <w:name w:val="xl180"/>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181">
    <w:name w:val="xl181"/>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182">
    <w:name w:val="xl182"/>
    <w:basedOn w:val="Normal"/>
    <w:rsid w:val="003E17DE"/>
    <w:pPr>
      <w:pBdr>
        <w:top w:val="double" w:sz="6" w:space="0" w:color="auto"/>
        <w:left w:val="single" w:sz="4" w:space="0" w:color="auto"/>
        <w:right w:val="double" w:sz="6"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xl183">
    <w:name w:val="xl183"/>
    <w:basedOn w:val="Normal"/>
    <w:rsid w:val="003E17DE"/>
    <w:pPr>
      <w:pBdr>
        <w:left w:val="single" w:sz="4" w:space="0" w:color="auto"/>
        <w:bottom w:val="single" w:sz="4" w:space="0" w:color="auto"/>
        <w:right w:val="double" w:sz="6"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TableParagraph">
    <w:name w:val="Table Paragraph"/>
    <w:basedOn w:val="Normal"/>
    <w:uiPriority w:val="1"/>
    <w:qFormat/>
    <w:rsid w:val="0053632C"/>
    <w:pPr>
      <w:widowControl w:val="0"/>
      <w:autoSpaceDE w:val="0"/>
      <w:autoSpaceDN w:val="0"/>
      <w:adjustRightInd w:val="0"/>
      <w:spacing w:after="0" w:line="240" w:lineRule="auto"/>
    </w:pPr>
    <w:rPr>
      <w:rFonts w:ascii="Times New Roman" w:eastAsiaTheme="minorEastAsia" w:hAnsi="Times New Roman"/>
      <w:sz w:val="24"/>
      <w:szCs w:val="24"/>
      <w:lang w:eastAsia="hr-HR"/>
    </w:rPr>
  </w:style>
  <w:style w:type="character" w:styleId="Tekstrezerviranogmjesta">
    <w:name w:val="Placeholder Text"/>
    <w:basedOn w:val="Zadanifontodlomka"/>
    <w:uiPriority w:val="99"/>
    <w:semiHidden/>
    <w:rsid w:val="00737253"/>
    <w:rPr>
      <w:color w:val="808080"/>
    </w:rPr>
  </w:style>
  <w:style w:type="paragraph" w:customStyle="1" w:styleId="Style1-Heading1">
    <w:name w:val="Style1- Heading 1"/>
    <w:basedOn w:val="TOCNaslov"/>
    <w:link w:val="Style1-Heading1Char"/>
    <w:rsid w:val="00C32DC8"/>
    <w:rPr>
      <w:lang w:val="hr-HR"/>
    </w:rPr>
  </w:style>
  <w:style w:type="character" w:customStyle="1" w:styleId="st">
    <w:name w:val="st"/>
    <w:basedOn w:val="Zadanifontodlomka"/>
    <w:rsid w:val="00C32DC8"/>
  </w:style>
  <w:style w:type="character" w:customStyle="1" w:styleId="TOCNaslovChar">
    <w:name w:val="TOC Naslov Char"/>
    <w:basedOn w:val="Naslov1Char"/>
    <w:link w:val="TOCNaslov"/>
    <w:uiPriority w:val="39"/>
    <w:rsid w:val="00C32DC8"/>
    <w:rPr>
      <w:rFonts w:ascii="Cambria" w:eastAsia="Times New Roman" w:hAnsi="Cambria" w:cs="Times New Roman"/>
      <w:b/>
      <w:bCs/>
      <w:smallCaps w:val="0"/>
      <w:color w:val="365F91"/>
      <w:sz w:val="28"/>
      <w:szCs w:val="28"/>
      <w:lang w:val="en-US"/>
    </w:rPr>
  </w:style>
  <w:style w:type="character" w:customStyle="1" w:styleId="Style1-Heading1Char">
    <w:name w:val="Style1- Heading 1 Char"/>
    <w:basedOn w:val="TOCNaslovChar"/>
    <w:link w:val="Style1-Heading1"/>
    <w:rsid w:val="00C32DC8"/>
    <w:rPr>
      <w:rFonts w:ascii="Cambria" w:eastAsia="Times New Roman" w:hAnsi="Cambria" w:cs="Times New Roman"/>
      <w:b/>
      <w:bCs/>
      <w:smallCaps w:val="0"/>
      <w:color w:val="365F91"/>
      <w:sz w:val="28"/>
      <w:szCs w:val="28"/>
      <w:lang w:val="en-US"/>
    </w:rPr>
  </w:style>
  <w:style w:type="paragraph" w:customStyle="1" w:styleId="Style1-heading2">
    <w:name w:val="Style1 - heading 2"/>
    <w:basedOn w:val="Naslov2"/>
    <w:link w:val="Style1-heading2Char"/>
    <w:rsid w:val="004D3B8E"/>
    <w:pPr>
      <w:numPr>
        <w:ilvl w:val="0"/>
        <w:numId w:val="0"/>
      </w:numPr>
      <w:spacing w:before="0" w:after="0" w:line="480" w:lineRule="auto"/>
      <w:ind w:right="57"/>
    </w:pPr>
    <w:rPr>
      <w:color w:val="365F91"/>
    </w:rPr>
  </w:style>
  <w:style w:type="paragraph" w:customStyle="1" w:styleId="Style1-heading3">
    <w:name w:val="Style1 - heading 3"/>
    <w:basedOn w:val="Naslov3"/>
    <w:link w:val="Style1-heading3Char"/>
    <w:rsid w:val="001C0A61"/>
    <w:pPr>
      <w:numPr>
        <w:ilvl w:val="0"/>
        <w:numId w:val="0"/>
      </w:numPr>
      <w:spacing w:before="0" w:after="0" w:line="480" w:lineRule="auto"/>
      <w:ind w:left="57" w:right="57"/>
    </w:pPr>
    <w:rPr>
      <w:color w:val="365F91"/>
      <w:lang w:val="hr-HR"/>
    </w:rPr>
  </w:style>
  <w:style w:type="character" w:customStyle="1" w:styleId="Style1-heading2Char">
    <w:name w:val="Style1 - heading 2 Char"/>
    <w:basedOn w:val="Naslov2Char"/>
    <w:link w:val="Style1-heading2"/>
    <w:rsid w:val="004D3B8E"/>
    <w:rPr>
      <w:rFonts w:ascii="Cambria" w:eastAsia="Times New Roman" w:hAnsi="Cambria" w:cs="Arial"/>
      <w:b/>
      <w:bCs/>
      <w:i/>
      <w:iCs/>
      <w:color w:val="365F91"/>
      <w:szCs w:val="28"/>
      <w:lang w:val="en-US"/>
    </w:rPr>
  </w:style>
  <w:style w:type="character" w:styleId="Neupadljivareferenca">
    <w:name w:val="Subtle Reference"/>
    <w:basedOn w:val="Zadanifontodlomka"/>
    <w:uiPriority w:val="31"/>
    <w:qFormat/>
    <w:rsid w:val="00275F4E"/>
    <w:rPr>
      <w:smallCaps/>
      <w:color w:val="5A5A5A" w:themeColor="text1" w:themeTint="A5"/>
    </w:rPr>
  </w:style>
  <w:style w:type="character" w:customStyle="1" w:styleId="Style1-heading3Char">
    <w:name w:val="Style1 - heading 3 Char"/>
    <w:basedOn w:val="Naslov3Char"/>
    <w:link w:val="Style1-heading3"/>
    <w:rsid w:val="001C0A61"/>
    <w:rPr>
      <w:rFonts w:ascii="Cambria" w:eastAsia="Times New Roman" w:hAnsi="Cambria" w:cs="Times New Roman"/>
      <w:b/>
      <w:i/>
      <w:color w:val="365F91"/>
      <w:sz w:val="20"/>
      <w:szCs w:val="20"/>
      <w:lang w:val="en-GB" w:eastAsia="de-DE"/>
    </w:rPr>
  </w:style>
  <w:style w:type="character" w:customStyle="1" w:styleId="Bodytext2">
    <w:name w:val="Body text (2)_"/>
    <w:basedOn w:val="Zadanifontodlomka"/>
    <w:link w:val="Bodytext20"/>
    <w:rsid w:val="001B0E25"/>
    <w:rPr>
      <w:rFonts w:ascii="Calibri" w:eastAsia="Calibri" w:hAnsi="Calibri" w:cs="Calibri"/>
      <w:sz w:val="20"/>
      <w:szCs w:val="20"/>
      <w:shd w:val="clear" w:color="auto" w:fill="FFFFFF"/>
    </w:rPr>
  </w:style>
  <w:style w:type="paragraph" w:customStyle="1" w:styleId="Bodytext20">
    <w:name w:val="Body text (2)"/>
    <w:basedOn w:val="Normal"/>
    <w:link w:val="Bodytext2"/>
    <w:rsid w:val="001B0E25"/>
    <w:pPr>
      <w:widowControl w:val="0"/>
      <w:shd w:val="clear" w:color="auto" w:fill="FFFFFF"/>
      <w:spacing w:before="480" w:after="0" w:line="278" w:lineRule="exact"/>
      <w:ind w:hanging="380"/>
    </w:pPr>
    <w:rPr>
      <w:rFonts w:eastAsia="Calibri" w:cs="Calibri"/>
      <w:sz w:val="20"/>
      <w:szCs w:val="20"/>
    </w:rPr>
  </w:style>
  <w:style w:type="character" w:customStyle="1" w:styleId="Bodytext2Exact">
    <w:name w:val="Body text (2) Exact"/>
    <w:basedOn w:val="Zadanifontodlomka"/>
    <w:rsid w:val="001B0E25"/>
    <w:rPr>
      <w:rFonts w:ascii="Calibri" w:eastAsia="Calibri" w:hAnsi="Calibri" w:cs="Calibri"/>
      <w:b w:val="0"/>
      <w:bCs w:val="0"/>
      <w:i w:val="0"/>
      <w:iCs w:val="0"/>
      <w:smallCaps w:val="0"/>
      <w:strike w:val="0"/>
      <w:sz w:val="20"/>
      <w:szCs w:val="20"/>
      <w:u w:val="none"/>
    </w:rPr>
  </w:style>
  <w:style w:type="paragraph" w:customStyle="1" w:styleId="Points">
    <w:name w:val="Points"/>
    <w:basedOn w:val="Grafikeoznake"/>
    <w:qFormat/>
    <w:rsid w:val="008A02C8"/>
    <w:pPr>
      <w:spacing w:after="0" w:line="240" w:lineRule="auto"/>
      <w:ind w:left="320" w:hanging="320"/>
      <w:jc w:val="both"/>
    </w:pPr>
    <w:rPr>
      <w:sz w:val="24"/>
      <w:szCs w:val="24"/>
      <w:lang w:val="en-GB" w:eastAsia="lt-LT"/>
    </w:rPr>
  </w:style>
  <w:style w:type="paragraph" w:styleId="Grafikeoznake">
    <w:name w:val="List Bullet"/>
    <w:basedOn w:val="Normal"/>
    <w:uiPriority w:val="99"/>
    <w:semiHidden/>
    <w:unhideWhenUsed/>
    <w:rsid w:val="008A02C8"/>
    <w:pPr>
      <w:contextualSpacing/>
    </w:pPr>
  </w:style>
  <w:style w:type="paragraph" w:customStyle="1" w:styleId="CM3">
    <w:name w:val="CM3"/>
    <w:basedOn w:val="Default"/>
    <w:next w:val="Default"/>
    <w:uiPriority w:val="99"/>
    <w:rsid w:val="007D720D"/>
    <w:rPr>
      <w:rFonts w:ascii="EUAlbertina" w:eastAsiaTheme="minorHAnsi" w:hAnsi="EUAlbertina" w:cstheme="minorBidi"/>
      <w:color w:val="auto"/>
      <w:lang w:eastAsia="en-US"/>
    </w:rPr>
  </w:style>
  <w:style w:type="table" w:customStyle="1" w:styleId="TableGrid2">
    <w:name w:val="Table Grid2"/>
    <w:basedOn w:val="Obinatablica"/>
    <w:next w:val="Reetkatablice"/>
    <w:uiPriority w:val="59"/>
    <w:rsid w:val="00F60742"/>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772816718714091977msolistparagraph">
    <w:name w:val="m_3772816718714091977msolistparagraph"/>
    <w:basedOn w:val="Normal"/>
    <w:rsid w:val="00221056"/>
    <w:pPr>
      <w:spacing w:before="100" w:beforeAutospacing="1" w:after="100" w:afterAutospacing="1" w:line="240" w:lineRule="auto"/>
    </w:pPr>
    <w:rPr>
      <w:rFonts w:ascii="Times New Roman" w:hAnsi="Times New Roman"/>
      <w:sz w:val="24"/>
      <w:szCs w:val="24"/>
      <w:lang w:eastAsia="hr-HR"/>
    </w:rPr>
  </w:style>
  <w:style w:type="character" w:customStyle="1" w:styleId="UnresolvedMention1">
    <w:name w:val="Unresolved Mention1"/>
    <w:basedOn w:val="Zadanifontodlomka"/>
    <w:uiPriority w:val="99"/>
    <w:semiHidden/>
    <w:unhideWhenUsed/>
    <w:rsid w:val="00981F9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6F"/>
    <w:rPr>
      <w:rFonts w:ascii="Calibri" w:eastAsia="Times New Roman" w:hAnsi="Calibri" w:cs="Times New Roman"/>
    </w:rPr>
  </w:style>
  <w:style w:type="paragraph" w:styleId="Naslov1">
    <w:name w:val="heading 1"/>
    <w:aliases w:val="E Ü 1,Title 1"/>
    <w:basedOn w:val="Normal"/>
    <w:next w:val="Normal"/>
    <w:link w:val="Naslov1Char"/>
    <w:uiPriority w:val="1"/>
    <w:qFormat/>
    <w:rsid w:val="00275F4E"/>
    <w:pPr>
      <w:keepNext/>
      <w:keepLines/>
      <w:numPr>
        <w:numId w:val="1"/>
      </w:numPr>
      <w:spacing w:before="480" w:after="0"/>
      <w:outlineLvl w:val="0"/>
    </w:pPr>
    <w:rPr>
      <w:rFonts w:ascii="Cambria" w:eastAsia="Calibri" w:hAnsi="Cambria"/>
      <w:b/>
      <w:bCs/>
      <w:smallCaps/>
      <w:color w:val="365F91"/>
      <w:sz w:val="24"/>
      <w:szCs w:val="28"/>
      <w:lang w:val="en-GB"/>
    </w:rPr>
  </w:style>
  <w:style w:type="paragraph" w:styleId="Naslov2">
    <w:name w:val="heading 2"/>
    <w:aliases w:val="E Ü 2,Title 2"/>
    <w:basedOn w:val="Normal"/>
    <w:next w:val="Normal"/>
    <w:link w:val="Naslov2Char"/>
    <w:uiPriority w:val="1"/>
    <w:qFormat/>
    <w:rsid w:val="00275F4E"/>
    <w:pPr>
      <w:keepNext/>
      <w:numPr>
        <w:ilvl w:val="1"/>
        <w:numId w:val="1"/>
      </w:numPr>
      <w:spacing w:before="240" w:after="60"/>
      <w:outlineLvl w:val="1"/>
    </w:pPr>
    <w:rPr>
      <w:rFonts w:ascii="Cambria" w:hAnsi="Cambria" w:cs="Arial"/>
      <w:b/>
      <w:bCs/>
      <w:i/>
      <w:iCs/>
      <w:color w:val="375F91"/>
      <w:szCs w:val="28"/>
    </w:rPr>
  </w:style>
  <w:style w:type="paragraph" w:styleId="Naslov3">
    <w:name w:val="heading 3"/>
    <w:aliases w:val="E Ü 3,Title 3"/>
    <w:basedOn w:val="Naslov2"/>
    <w:next w:val="Normal"/>
    <w:link w:val="Naslov3Char"/>
    <w:uiPriority w:val="1"/>
    <w:qFormat/>
    <w:rsid w:val="00944F9E"/>
    <w:pPr>
      <w:keepLines/>
      <w:numPr>
        <w:ilvl w:val="2"/>
      </w:numPr>
      <w:tabs>
        <w:tab w:val="right" w:pos="8504"/>
      </w:tabs>
      <w:spacing w:before="120" w:after="120" w:line="280" w:lineRule="exact"/>
      <w:jc w:val="both"/>
      <w:outlineLvl w:val="2"/>
    </w:pPr>
    <w:rPr>
      <w:rFonts w:cs="Times New Roman"/>
      <w:bCs w:val="0"/>
      <w:iCs w:val="0"/>
      <w:szCs w:val="20"/>
      <w:lang w:val="en-GB" w:eastAsia="de-DE"/>
    </w:rPr>
  </w:style>
  <w:style w:type="paragraph" w:styleId="Naslov4">
    <w:name w:val="heading 4"/>
    <w:basedOn w:val="Normal"/>
    <w:next w:val="Normal"/>
    <w:link w:val="Naslov4Char"/>
    <w:uiPriority w:val="1"/>
    <w:qFormat/>
    <w:rsid w:val="00944F9E"/>
    <w:pPr>
      <w:keepNext/>
      <w:numPr>
        <w:ilvl w:val="3"/>
        <w:numId w:val="1"/>
      </w:numPr>
      <w:spacing w:before="120" w:after="120"/>
      <w:outlineLvl w:val="3"/>
    </w:pPr>
    <w:rPr>
      <w:rFonts w:ascii="Cambria" w:hAnsi="Cambria"/>
      <w:bCs/>
      <w:i/>
      <w:color w:val="375F91"/>
      <w:sz w:val="20"/>
      <w:szCs w:val="28"/>
      <w:u w:val="single"/>
    </w:rPr>
  </w:style>
  <w:style w:type="paragraph" w:styleId="Naslov5">
    <w:name w:val="heading 5"/>
    <w:basedOn w:val="Normal"/>
    <w:next w:val="Normal"/>
    <w:link w:val="Naslov5Char"/>
    <w:uiPriority w:val="1"/>
    <w:qFormat/>
    <w:rsid w:val="00944F9E"/>
    <w:pPr>
      <w:numPr>
        <w:ilvl w:val="4"/>
        <w:numId w:val="1"/>
      </w:numPr>
      <w:spacing w:before="240" w:after="60"/>
      <w:outlineLvl w:val="4"/>
    </w:pPr>
    <w:rPr>
      <w:b/>
      <w:bCs/>
      <w:i/>
      <w:iCs/>
      <w:sz w:val="26"/>
      <w:szCs w:val="26"/>
    </w:rPr>
  </w:style>
  <w:style w:type="paragraph" w:styleId="Naslov6">
    <w:name w:val="heading 6"/>
    <w:basedOn w:val="Normal"/>
    <w:next w:val="Normal"/>
    <w:link w:val="Naslov6Char"/>
    <w:uiPriority w:val="1"/>
    <w:qFormat/>
    <w:rsid w:val="00944F9E"/>
    <w:pPr>
      <w:numPr>
        <w:ilvl w:val="5"/>
        <w:numId w:val="1"/>
      </w:numPr>
      <w:spacing w:before="240" w:after="60"/>
      <w:outlineLvl w:val="5"/>
    </w:pPr>
    <w:rPr>
      <w:rFonts w:ascii="Times New Roman" w:hAnsi="Times New Roman"/>
      <w:b/>
      <w:bCs/>
    </w:rPr>
  </w:style>
  <w:style w:type="paragraph" w:styleId="Naslov7">
    <w:name w:val="heading 7"/>
    <w:basedOn w:val="Normal"/>
    <w:next w:val="Normal"/>
    <w:link w:val="Naslov7Char"/>
    <w:uiPriority w:val="1"/>
    <w:qFormat/>
    <w:rsid w:val="00944F9E"/>
    <w:pPr>
      <w:numPr>
        <w:ilvl w:val="6"/>
        <w:numId w:val="1"/>
      </w:numPr>
      <w:spacing w:before="240" w:after="60"/>
      <w:outlineLvl w:val="6"/>
    </w:pPr>
    <w:rPr>
      <w:rFonts w:ascii="Times New Roman" w:hAnsi="Times New Roman"/>
      <w:sz w:val="24"/>
      <w:szCs w:val="24"/>
    </w:rPr>
  </w:style>
  <w:style w:type="paragraph" w:styleId="Naslov8">
    <w:name w:val="heading 8"/>
    <w:basedOn w:val="Normal"/>
    <w:next w:val="Normal"/>
    <w:link w:val="Naslov8Char"/>
    <w:uiPriority w:val="99"/>
    <w:qFormat/>
    <w:rsid w:val="00944F9E"/>
    <w:pPr>
      <w:numPr>
        <w:ilvl w:val="7"/>
        <w:numId w:val="1"/>
      </w:numPr>
      <w:spacing w:before="240" w:after="60"/>
      <w:outlineLvl w:val="7"/>
    </w:pPr>
    <w:rPr>
      <w:rFonts w:ascii="Times New Roman" w:hAnsi="Times New Roman"/>
      <w:i/>
      <w:iCs/>
      <w:sz w:val="24"/>
      <w:szCs w:val="24"/>
    </w:rPr>
  </w:style>
  <w:style w:type="paragraph" w:styleId="Naslov9">
    <w:name w:val="heading 9"/>
    <w:basedOn w:val="Normal"/>
    <w:next w:val="Normal"/>
    <w:link w:val="Naslov9Char"/>
    <w:uiPriority w:val="99"/>
    <w:qFormat/>
    <w:rsid w:val="00944F9E"/>
    <w:pPr>
      <w:numPr>
        <w:ilvl w:val="8"/>
        <w:numId w:val="1"/>
      </w:numPr>
      <w:spacing w:before="240" w:after="60"/>
      <w:outlineLvl w:val="8"/>
    </w:pPr>
    <w:rPr>
      <w:rFonts w:ascii="Arial"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E Ü 1 Char,Title 1 Char"/>
    <w:basedOn w:val="Zadanifontodlomka"/>
    <w:link w:val="Naslov1"/>
    <w:uiPriority w:val="1"/>
    <w:rsid w:val="00275F4E"/>
    <w:rPr>
      <w:rFonts w:ascii="Cambria" w:eastAsia="Calibri" w:hAnsi="Cambria" w:cs="Times New Roman"/>
      <w:b/>
      <w:bCs/>
      <w:smallCaps/>
      <w:color w:val="365F91"/>
      <w:sz w:val="24"/>
      <w:szCs w:val="28"/>
      <w:lang w:val="en-GB"/>
    </w:rPr>
  </w:style>
  <w:style w:type="character" w:customStyle="1" w:styleId="Naslov2Char">
    <w:name w:val="Naslov 2 Char"/>
    <w:aliases w:val="E Ü 2 Char,Title 2 Char"/>
    <w:basedOn w:val="Zadanifontodlomka"/>
    <w:link w:val="Naslov2"/>
    <w:uiPriority w:val="1"/>
    <w:rsid w:val="00275F4E"/>
    <w:rPr>
      <w:rFonts w:ascii="Cambria" w:eastAsia="Times New Roman" w:hAnsi="Cambria" w:cs="Arial"/>
      <w:b/>
      <w:bCs/>
      <w:i/>
      <w:iCs/>
      <w:color w:val="375F91"/>
      <w:szCs w:val="28"/>
    </w:rPr>
  </w:style>
  <w:style w:type="character" w:customStyle="1" w:styleId="Naslov3Char">
    <w:name w:val="Naslov 3 Char"/>
    <w:aliases w:val="E Ü 3 Char,Title 3 Char"/>
    <w:basedOn w:val="Zadanifontodlomka"/>
    <w:link w:val="Naslov3"/>
    <w:uiPriority w:val="1"/>
    <w:rsid w:val="00944F9E"/>
    <w:rPr>
      <w:rFonts w:ascii="Cambria" w:eastAsia="Times New Roman" w:hAnsi="Cambria" w:cs="Times New Roman"/>
      <w:b/>
      <w:i/>
      <w:color w:val="375F91"/>
      <w:szCs w:val="20"/>
      <w:lang w:val="en-GB" w:eastAsia="de-DE"/>
    </w:rPr>
  </w:style>
  <w:style w:type="character" w:customStyle="1" w:styleId="Naslov4Char">
    <w:name w:val="Naslov 4 Char"/>
    <w:basedOn w:val="Zadanifontodlomka"/>
    <w:link w:val="Naslov4"/>
    <w:uiPriority w:val="1"/>
    <w:rsid w:val="00944F9E"/>
    <w:rPr>
      <w:rFonts w:ascii="Cambria" w:eastAsia="Times New Roman" w:hAnsi="Cambria" w:cs="Times New Roman"/>
      <w:bCs/>
      <w:i/>
      <w:color w:val="375F91"/>
      <w:sz w:val="20"/>
      <w:szCs w:val="28"/>
      <w:u w:val="single"/>
    </w:rPr>
  </w:style>
  <w:style w:type="character" w:customStyle="1" w:styleId="Naslov5Char">
    <w:name w:val="Naslov 5 Char"/>
    <w:basedOn w:val="Zadanifontodlomka"/>
    <w:link w:val="Naslov5"/>
    <w:uiPriority w:val="1"/>
    <w:rsid w:val="00944F9E"/>
    <w:rPr>
      <w:rFonts w:ascii="Calibri" w:eastAsia="Times New Roman" w:hAnsi="Calibri" w:cs="Times New Roman"/>
      <w:b/>
      <w:bCs/>
      <w:i/>
      <w:iCs/>
      <w:sz w:val="26"/>
      <w:szCs w:val="26"/>
    </w:rPr>
  </w:style>
  <w:style w:type="character" w:customStyle="1" w:styleId="Naslov6Char">
    <w:name w:val="Naslov 6 Char"/>
    <w:basedOn w:val="Zadanifontodlomka"/>
    <w:link w:val="Naslov6"/>
    <w:uiPriority w:val="1"/>
    <w:rsid w:val="00944F9E"/>
    <w:rPr>
      <w:rFonts w:ascii="Times New Roman" w:eastAsia="Times New Roman" w:hAnsi="Times New Roman" w:cs="Times New Roman"/>
      <w:b/>
      <w:bCs/>
    </w:rPr>
  </w:style>
  <w:style w:type="character" w:customStyle="1" w:styleId="Naslov7Char">
    <w:name w:val="Naslov 7 Char"/>
    <w:basedOn w:val="Zadanifontodlomka"/>
    <w:link w:val="Naslov7"/>
    <w:uiPriority w:val="1"/>
    <w:rsid w:val="00944F9E"/>
    <w:rPr>
      <w:rFonts w:ascii="Times New Roman" w:eastAsia="Times New Roman" w:hAnsi="Times New Roman" w:cs="Times New Roman"/>
      <w:sz w:val="24"/>
      <w:szCs w:val="24"/>
    </w:rPr>
  </w:style>
  <w:style w:type="character" w:customStyle="1" w:styleId="Naslov8Char">
    <w:name w:val="Naslov 8 Char"/>
    <w:basedOn w:val="Zadanifontodlomka"/>
    <w:link w:val="Naslov8"/>
    <w:uiPriority w:val="99"/>
    <w:rsid w:val="00944F9E"/>
    <w:rPr>
      <w:rFonts w:ascii="Times New Roman" w:eastAsia="Times New Roman" w:hAnsi="Times New Roman" w:cs="Times New Roman"/>
      <w:i/>
      <w:iCs/>
      <w:sz w:val="24"/>
      <w:szCs w:val="24"/>
    </w:rPr>
  </w:style>
  <w:style w:type="character" w:customStyle="1" w:styleId="Naslov9Char">
    <w:name w:val="Naslov 9 Char"/>
    <w:basedOn w:val="Zadanifontodlomka"/>
    <w:link w:val="Naslov9"/>
    <w:uiPriority w:val="99"/>
    <w:rsid w:val="00944F9E"/>
    <w:rPr>
      <w:rFonts w:ascii="Arial" w:eastAsia="Times New Roman" w:hAnsi="Arial" w:cs="Arial"/>
    </w:rPr>
  </w:style>
  <w:style w:type="paragraph" w:styleId="Opisslike">
    <w:name w:val="caption"/>
    <w:aliases w:val="Map"/>
    <w:basedOn w:val="Normal"/>
    <w:next w:val="Normal"/>
    <w:uiPriority w:val="99"/>
    <w:qFormat/>
    <w:rsid w:val="00944F9E"/>
    <w:rPr>
      <w:b/>
      <w:bCs/>
      <w:sz w:val="20"/>
      <w:szCs w:val="20"/>
    </w:rPr>
  </w:style>
  <w:style w:type="paragraph" w:styleId="Tekstbalonia">
    <w:name w:val="Balloon Text"/>
    <w:basedOn w:val="Normal"/>
    <w:link w:val="TekstbaloniaChar"/>
    <w:uiPriority w:val="99"/>
    <w:semiHidden/>
    <w:unhideWhenUsed/>
    <w:rsid w:val="00944F9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4F9E"/>
    <w:rPr>
      <w:rFonts w:ascii="Tahoma" w:eastAsia="Times New Roman" w:hAnsi="Tahoma" w:cs="Tahoma"/>
      <w:sz w:val="16"/>
      <w:szCs w:val="16"/>
      <w:lang w:val="en-US"/>
    </w:rPr>
  </w:style>
  <w:style w:type="character" w:styleId="Referencakomentara">
    <w:name w:val="annotation reference"/>
    <w:basedOn w:val="Zadanifontodlomka"/>
    <w:uiPriority w:val="99"/>
    <w:semiHidden/>
    <w:unhideWhenUsed/>
    <w:rsid w:val="00944F9E"/>
    <w:rPr>
      <w:sz w:val="16"/>
      <w:szCs w:val="16"/>
    </w:rPr>
  </w:style>
  <w:style w:type="paragraph" w:styleId="Tekstkomentara">
    <w:name w:val="annotation text"/>
    <w:basedOn w:val="Normal"/>
    <w:link w:val="TekstkomentaraChar"/>
    <w:uiPriority w:val="99"/>
    <w:unhideWhenUsed/>
    <w:rsid w:val="00944F9E"/>
    <w:pPr>
      <w:spacing w:line="240" w:lineRule="auto"/>
    </w:pPr>
    <w:rPr>
      <w:sz w:val="20"/>
      <w:szCs w:val="20"/>
    </w:rPr>
  </w:style>
  <w:style w:type="character" w:customStyle="1" w:styleId="TekstkomentaraChar">
    <w:name w:val="Tekst komentara Char"/>
    <w:basedOn w:val="Zadanifontodlomka"/>
    <w:link w:val="Tekstkomentara"/>
    <w:uiPriority w:val="99"/>
    <w:rsid w:val="00944F9E"/>
    <w:rPr>
      <w:rFonts w:ascii="Calibri" w:eastAsia="Times New Roman" w:hAnsi="Calibri" w:cs="Times New Roman"/>
      <w:sz w:val="20"/>
      <w:szCs w:val="20"/>
      <w:lang w:val="en-US"/>
    </w:rPr>
  </w:style>
  <w:style w:type="table" w:styleId="Reetkatablice">
    <w:name w:val="Table Grid"/>
    <w:basedOn w:val="Obinatablica"/>
    <w:uiPriority w:val="59"/>
    <w:rsid w:val="00944F9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 Footnote,Footnote Char Char Char,Footnote Char Char,Footnote Char"/>
    <w:basedOn w:val="Normal"/>
    <w:link w:val="TekstfusnoteChar"/>
    <w:uiPriority w:val="99"/>
    <w:semiHidden/>
    <w:unhideWhenUsed/>
    <w:rsid w:val="00944F9E"/>
    <w:pPr>
      <w:spacing w:after="0" w:line="240" w:lineRule="auto"/>
    </w:pPr>
    <w:rPr>
      <w:rFonts w:eastAsia="Calibri"/>
      <w:sz w:val="20"/>
      <w:szCs w:val="20"/>
    </w:rPr>
  </w:style>
  <w:style w:type="character" w:customStyle="1" w:styleId="TekstfusnoteChar">
    <w:name w:val="Tekst fusnote Char"/>
    <w:aliases w:val=" Footnote Char,Footnote Char Char Char Char,Footnote Char Char Char1,Footnote Char Char1"/>
    <w:basedOn w:val="Zadanifontodlomka"/>
    <w:link w:val="Tekstfusnote"/>
    <w:uiPriority w:val="99"/>
    <w:semiHidden/>
    <w:rsid w:val="00944F9E"/>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944F9E"/>
    <w:rPr>
      <w:vertAlign w:val="superscript"/>
    </w:rPr>
  </w:style>
  <w:style w:type="character" w:styleId="Hiperveza">
    <w:name w:val="Hyperlink"/>
    <w:basedOn w:val="Zadanifontodlomka"/>
    <w:uiPriority w:val="99"/>
    <w:unhideWhenUsed/>
    <w:rsid w:val="00944F9E"/>
    <w:rPr>
      <w:color w:val="0000FF"/>
      <w:u w:val="single"/>
    </w:rPr>
  </w:style>
  <w:style w:type="paragraph" w:styleId="Odlomakpopisa">
    <w:name w:val="List Paragraph"/>
    <w:basedOn w:val="Normal"/>
    <w:uiPriority w:val="34"/>
    <w:qFormat/>
    <w:rsid w:val="00944F9E"/>
    <w:pPr>
      <w:ind w:left="720"/>
      <w:contextualSpacing/>
    </w:pPr>
    <w:rPr>
      <w:rFonts w:eastAsia="Calibri"/>
    </w:rPr>
  </w:style>
  <w:style w:type="paragraph" w:styleId="Sadraj1">
    <w:name w:val="toc 1"/>
    <w:basedOn w:val="Normal"/>
    <w:next w:val="Normal"/>
    <w:autoRedefine/>
    <w:uiPriority w:val="39"/>
    <w:unhideWhenUsed/>
    <w:qFormat/>
    <w:rsid w:val="00966A6A"/>
    <w:pPr>
      <w:tabs>
        <w:tab w:val="left" w:pos="442"/>
        <w:tab w:val="right" w:leader="dot" w:pos="9343"/>
      </w:tabs>
      <w:spacing w:after="0"/>
    </w:pPr>
    <w:rPr>
      <w:rFonts w:cs="Arial"/>
      <w:b/>
      <w:noProof/>
      <w:sz w:val="20"/>
      <w:szCs w:val="20"/>
      <w:lang w:val="de-DE" w:eastAsia="de-DE"/>
    </w:rPr>
  </w:style>
  <w:style w:type="paragraph" w:styleId="Zaglavlje">
    <w:name w:val="header"/>
    <w:basedOn w:val="Normal"/>
    <w:link w:val="ZaglavljeChar"/>
    <w:uiPriority w:val="99"/>
    <w:unhideWhenUsed/>
    <w:rsid w:val="00944F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4F9E"/>
    <w:rPr>
      <w:rFonts w:ascii="Calibri" w:eastAsia="Times New Roman" w:hAnsi="Calibri" w:cs="Times New Roman"/>
      <w:lang w:val="en-US"/>
    </w:rPr>
  </w:style>
  <w:style w:type="paragraph" w:styleId="Podnoje">
    <w:name w:val="footer"/>
    <w:basedOn w:val="Normal"/>
    <w:link w:val="PodnojeChar"/>
    <w:uiPriority w:val="99"/>
    <w:unhideWhenUsed/>
    <w:rsid w:val="00944F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4F9E"/>
    <w:rPr>
      <w:rFonts w:ascii="Calibri" w:eastAsia="Times New Roman" w:hAnsi="Calibri" w:cs="Times New Roman"/>
      <w:lang w:val="en-US"/>
    </w:rPr>
  </w:style>
  <w:style w:type="paragraph" w:customStyle="1" w:styleId="Tabletext">
    <w:name w:val="Table text"/>
    <w:basedOn w:val="Normal"/>
    <w:uiPriority w:val="99"/>
    <w:rsid w:val="00944F9E"/>
    <w:pPr>
      <w:tabs>
        <w:tab w:val="right" w:pos="8504"/>
      </w:tabs>
      <w:spacing w:before="40" w:after="40" w:line="288" w:lineRule="auto"/>
      <w:jc w:val="both"/>
    </w:pPr>
    <w:rPr>
      <w:rFonts w:ascii="Arial" w:hAnsi="Arial"/>
      <w:sz w:val="18"/>
      <w:szCs w:val="20"/>
      <w:lang w:val="de-DE" w:eastAsia="de-DE"/>
    </w:rPr>
  </w:style>
  <w:style w:type="paragraph" w:styleId="Predmetkomentara">
    <w:name w:val="annotation subject"/>
    <w:basedOn w:val="Tekstkomentara"/>
    <w:next w:val="Tekstkomentara"/>
    <w:link w:val="PredmetkomentaraChar"/>
    <w:uiPriority w:val="99"/>
    <w:semiHidden/>
    <w:unhideWhenUsed/>
    <w:rsid w:val="00944F9E"/>
    <w:rPr>
      <w:b/>
      <w:bCs/>
    </w:rPr>
  </w:style>
  <w:style w:type="character" w:customStyle="1" w:styleId="PredmetkomentaraChar">
    <w:name w:val="Predmet komentara Char"/>
    <w:basedOn w:val="TekstkomentaraChar"/>
    <w:link w:val="Predmetkomentara"/>
    <w:uiPriority w:val="99"/>
    <w:semiHidden/>
    <w:rsid w:val="00944F9E"/>
    <w:rPr>
      <w:rFonts w:ascii="Calibri" w:eastAsia="Times New Roman" w:hAnsi="Calibri" w:cs="Times New Roman"/>
      <w:b/>
      <w:bCs/>
      <w:sz w:val="20"/>
      <w:szCs w:val="20"/>
      <w:lang w:val="en-US"/>
    </w:rPr>
  </w:style>
  <w:style w:type="paragraph" w:styleId="Podnaslov">
    <w:name w:val="Subtitle"/>
    <w:basedOn w:val="Normal"/>
    <w:next w:val="Normal"/>
    <w:link w:val="PodnaslovChar"/>
    <w:uiPriority w:val="99"/>
    <w:qFormat/>
    <w:rsid w:val="00944F9E"/>
    <w:pPr>
      <w:numPr>
        <w:ilvl w:val="1"/>
      </w:numPr>
    </w:pPr>
    <w:rPr>
      <w:rFonts w:ascii="Cambria" w:hAnsi="Cambria"/>
      <w:i/>
      <w:iCs/>
      <w:color w:val="4F81BD"/>
      <w:spacing w:val="15"/>
      <w:sz w:val="24"/>
      <w:szCs w:val="24"/>
    </w:rPr>
  </w:style>
  <w:style w:type="character" w:customStyle="1" w:styleId="PodnaslovChar">
    <w:name w:val="Podnaslov Char"/>
    <w:basedOn w:val="Zadanifontodlomka"/>
    <w:link w:val="Podnaslov"/>
    <w:uiPriority w:val="99"/>
    <w:rsid w:val="00944F9E"/>
    <w:rPr>
      <w:rFonts w:ascii="Cambria" w:eastAsia="Times New Roman" w:hAnsi="Cambria" w:cs="Times New Roman"/>
      <w:i/>
      <w:iCs/>
      <w:color w:val="4F81BD"/>
      <w:spacing w:val="15"/>
      <w:sz w:val="24"/>
      <w:szCs w:val="24"/>
      <w:lang w:val="en-US"/>
    </w:rPr>
  </w:style>
  <w:style w:type="paragraph" w:customStyle="1" w:styleId="CIREDNORMAL">
    <w:name w:val="CIRED_NORMAL"/>
    <w:basedOn w:val="Normal"/>
    <w:link w:val="CIREDNORMALChar"/>
    <w:uiPriority w:val="99"/>
    <w:qFormat/>
    <w:rsid w:val="00944F9E"/>
    <w:pPr>
      <w:spacing w:after="0" w:line="240" w:lineRule="auto"/>
      <w:ind w:firstLine="709"/>
      <w:jc w:val="both"/>
    </w:pPr>
    <w:rPr>
      <w:rFonts w:ascii="Arial" w:hAnsi="Arial"/>
      <w:sz w:val="20"/>
      <w:szCs w:val="20"/>
    </w:rPr>
  </w:style>
  <w:style w:type="character" w:customStyle="1" w:styleId="CIREDNORMALChar">
    <w:name w:val="CIRED_NORMAL Char"/>
    <w:basedOn w:val="Zadanifontodlomka"/>
    <w:link w:val="CIREDNORMAL"/>
    <w:uiPriority w:val="99"/>
    <w:rsid w:val="00944F9E"/>
    <w:rPr>
      <w:rFonts w:ascii="Arial" w:eastAsia="Times New Roman" w:hAnsi="Arial" w:cs="Times New Roman"/>
      <w:sz w:val="20"/>
      <w:szCs w:val="20"/>
    </w:rPr>
  </w:style>
  <w:style w:type="character" w:styleId="Istaknuto">
    <w:name w:val="Emphasis"/>
    <w:basedOn w:val="Zadanifontodlomka"/>
    <w:uiPriority w:val="20"/>
    <w:qFormat/>
    <w:rsid w:val="00944F9E"/>
    <w:rPr>
      <w:i/>
      <w:iCs/>
    </w:rPr>
  </w:style>
  <w:style w:type="character" w:styleId="Naglaeno">
    <w:name w:val="Strong"/>
    <w:basedOn w:val="Zadanifontodlomka"/>
    <w:uiPriority w:val="22"/>
    <w:qFormat/>
    <w:rsid w:val="00944F9E"/>
    <w:rPr>
      <w:b/>
      <w:bCs/>
    </w:rPr>
  </w:style>
  <w:style w:type="paragraph" w:customStyle="1" w:styleId="t-9-8">
    <w:name w:val="t-9-8"/>
    <w:basedOn w:val="Normal"/>
    <w:rsid w:val="00944F9E"/>
    <w:pPr>
      <w:spacing w:before="100" w:beforeAutospacing="1" w:after="100" w:afterAutospacing="1" w:line="240" w:lineRule="auto"/>
    </w:pPr>
    <w:rPr>
      <w:rFonts w:ascii="Times New Roman" w:hAnsi="Times New Roman"/>
      <w:sz w:val="24"/>
      <w:szCs w:val="24"/>
      <w:lang w:eastAsia="hr-HR"/>
    </w:rPr>
  </w:style>
  <w:style w:type="paragraph" w:styleId="StandardWeb">
    <w:name w:val="Normal (Web)"/>
    <w:basedOn w:val="Normal"/>
    <w:uiPriority w:val="99"/>
    <w:semiHidden/>
    <w:rsid w:val="00944F9E"/>
    <w:pPr>
      <w:spacing w:before="100" w:beforeAutospacing="1" w:after="100" w:afterAutospacing="1" w:line="240" w:lineRule="auto"/>
    </w:pPr>
    <w:rPr>
      <w:rFonts w:ascii="Times New Roman" w:hAnsi="Times New Roman"/>
      <w:sz w:val="24"/>
      <w:szCs w:val="24"/>
      <w:lang w:eastAsia="hr-HR"/>
    </w:rPr>
  </w:style>
  <w:style w:type="paragraph" w:customStyle="1" w:styleId="t-98bezuvl">
    <w:name w:val="t-98bezuvl"/>
    <w:basedOn w:val="Normal"/>
    <w:uiPriority w:val="99"/>
    <w:rsid w:val="00944F9E"/>
    <w:pPr>
      <w:spacing w:before="100" w:beforeAutospacing="1" w:after="100" w:afterAutospacing="1" w:line="240" w:lineRule="auto"/>
    </w:pPr>
    <w:rPr>
      <w:rFonts w:ascii="Times New Roman" w:hAnsi="Times New Roman"/>
      <w:sz w:val="24"/>
      <w:szCs w:val="24"/>
      <w:lang w:eastAsia="hr-HR"/>
    </w:rPr>
  </w:style>
  <w:style w:type="character" w:customStyle="1" w:styleId="podnaslov1">
    <w:name w:val="podnaslov1"/>
    <w:basedOn w:val="Zadanifontodlomka"/>
    <w:uiPriority w:val="99"/>
    <w:rsid w:val="00944F9E"/>
    <w:rPr>
      <w:rFonts w:cs="Times New Roman"/>
      <w:b/>
      <w:bCs/>
      <w:color w:val="F84F24"/>
    </w:rPr>
  </w:style>
  <w:style w:type="paragraph" w:customStyle="1" w:styleId="Lista1">
    <w:name w:val="Lista 1"/>
    <w:basedOn w:val="Tijeloteksta"/>
    <w:uiPriority w:val="99"/>
    <w:rsid w:val="00944F9E"/>
    <w:pPr>
      <w:numPr>
        <w:numId w:val="2"/>
      </w:numPr>
      <w:tabs>
        <w:tab w:val="clear" w:pos="714"/>
      </w:tabs>
      <w:ind w:left="0" w:firstLine="0"/>
    </w:pPr>
  </w:style>
  <w:style w:type="paragraph" w:customStyle="1" w:styleId="Tekststudije">
    <w:name w:val="Tekst studije"/>
    <w:basedOn w:val="Tijeloteksta"/>
    <w:link w:val="TekststudijeChar"/>
    <w:uiPriority w:val="99"/>
    <w:rsid w:val="00944F9E"/>
  </w:style>
  <w:style w:type="character" w:customStyle="1" w:styleId="TekststudijeChar">
    <w:name w:val="Tekst studije Char"/>
    <w:basedOn w:val="Zadanifontodlomka"/>
    <w:link w:val="Tekststudije"/>
    <w:uiPriority w:val="99"/>
    <w:locked/>
    <w:rsid w:val="00944F9E"/>
    <w:rPr>
      <w:rFonts w:ascii="Calibri" w:eastAsia="Calibri" w:hAnsi="Calibri" w:cs="Times New Roman"/>
    </w:rPr>
  </w:style>
  <w:style w:type="paragraph" w:styleId="Tijeloteksta">
    <w:name w:val="Body Text"/>
    <w:basedOn w:val="Normal"/>
    <w:link w:val="TijelotekstaChar"/>
    <w:uiPriority w:val="1"/>
    <w:qFormat/>
    <w:rsid w:val="00944F9E"/>
    <w:pPr>
      <w:spacing w:after="120"/>
    </w:pPr>
    <w:rPr>
      <w:rFonts w:eastAsia="Calibri"/>
    </w:rPr>
  </w:style>
  <w:style w:type="character" w:customStyle="1" w:styleId="TijelotekstaChar">
    <w:name w:val="Tijelo teksta Char"/>
    <w:basedOn w:val="Zadanifontodlomka"/>
    <w:link w:val="Tijeloteksta"/>
    <w:uiPriority w:val="1"/>
    <w:rsid w:val="00944F9E"/>
    <w:rPr>
      <w:rFonts w:ascii="Calibri" w:eastAsia="Calibri" w:hAnsi="Calibri" w:cs="Times New Roman"/>
    </w:rPr>
  </w:style>
  <w:style w:type="paragraph" w:styleId="Naslov">
    <w:name w:val="Title"/>
    <w:basedOn w:val="Normal"/>
    <w:next w:val="Normal"/>
    <w:link w:val="NaslovChar"/>
    <w:uiPriority w:val="99"/>
    <w:qFormat/>
    <w:rsid w:val="00944F9E"/>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NaslovChar">
    <w:name w:val="Naslov Char"/>
    <w:basedOn w:val="Zadanifontodlomka"/>
    <w:link w:val="Naslov"/>
    <w:uiPriority w:val="99"/>
    <w:rsid w:val="00944F9E"/>
    <w:rPr>
      <w:rFonts w:ascii="Cambria" w:eastAsia="Calibri" w:hAnsi="Cambria" w:cs="Times New Roman"/>
      <w:color w:val="17365D"/>
      <w:spacing w:val="5"/>
      <w:kern w:val="28"/>
      <w:sz w:val="52"/>
      <w:szCs w:val="52"/>
      <w:lang w:val="en-US"/>
    </w:rPr>
  </w:style>
  <w:style w:type="paragraph" w:styleId="Bezproreda">
    <w:name w:val="No Spacing"/>
    <w:link w:val="BezproredaChar"/>
    <w:uiPriority w:val="1"/>
    <w:qFormat/>
    <w:rsid w:val="00944F9E"/>
    <w:pPr>
      <w:spacing w:after="0" w:line="240" w:lineRule="auto"/>
    </w:pPr>
    <w:rPr>
      <w:rFonts w:ascii="Calibri" w:eastAsia="Times New Roman" w:hAnsi="Calibri" w:cs="Times New Roman"/>
      <w:lang w:val="en-US"/>
    </w:rPr>
  </w:style>
  <w:style w:type="character" w:customStyle="1" w:styleId="BezproredaChar">
    <w:name w:val="Bez proreda Char"/>
    <w:basedOn w:val="Zadanifontodlomka"/>
    <w:link w:val="Bezproreda"/>
    <w:uiPriority w:val="1"/>
    <w:rsid w:val="00944F9E"/>
    <w:rPr>
      <w:rFonts w:ascii="Calibri" w:eastAsia="Times New Roman" w:hAnsi="Calibri" w:cs="Times New Roman"/>
      <w:lang w:val="en-US"/>
    </w:rPr>
  </w:style>
  <w:style w:type="paragraph" w:styleId="TOCNaslov">
    <w:name w:val="TOC Heading"/>
    <w:basedOn w:val="Naslov1"/>
    <w:next w:val="Normal"/>
    <w:link w:val="TOCNaslovChar"/>
    <w:uiPriority w:val="39"/>
    <w:qFormat/>
    <w:rsid w:val="00944F9E"/>
    <w:pPr>
      <w:numPr>
        <w:numId w:val="0"/>
      </w:numPr>
      <w:outlineLvl w:val="9"/>
    </w:pPr>
    <w:rPr>
      <w:rFonts w:eastAsia="Times New Roman"/>
      <w:smallCaps w:val="0"/>
      <w:sz w:val="28"/>
      <w:lang w:val="en-US"/>
    </w:rPr>
  </w:style>
  <w:style w:type="paragraph" w:styleId="Sadraj2">
    <w:name w:val="toc 2"/>
    <w:basedOn w:val="Normal"/>
    <w:next w:val="Normal"/>
    <w:autoRedefine/>
    <w:uiPriority w:val="39"/>
    <w:unhideWhenUsed/>
    <w:rsid w:val="00966A6A"/>
    <w:pPr>
      <w:tabs>
        <w:tab w:val="left" w:pos="879"/>
        <w:tab w:val="right" w:leader="dot" w:pos="9343"/>
      </w:tabs>
      <w:spacing w:after="0"/>
      <w:ind w:left="221"/>
    </w:pPr>
    <w:rPr>
      <w:b/>
      <w:noProof/>
      <w:sz w:val="20"/>
    </w:rPr>
  </w:style>
  <w:style w:type="paragraph" w:styleId="Sadraj3">
    <w:name w:val="toc 3"/>
    <w:basedOn w:val="Normal"/>
    <w:next w:val="Normal"/>
    <w:autoRedefine/>
    <w:uiPriority w:val="39"/>
    <w:unhideWhenUsed/>
    <w:rsid w:val="00944F9E"/>
    <w:pPr>
      <w:tabs>
        <w:tab w:val="left" w:pos="1100"/>
        <w:tab w:val="right" w:leader="dot" w:pos="9062"/>
      </w:tabs>
      <w:spacing w:after="0"/>
      <w:ind w:left="442"/>
    </w:pPr>
    <w:rPr>
      <w:sz w:val="20"/>
    </w:rPr>
  </w:style>
  <w:style w:type="paragraph" w:styleId="Sadraj4">
    <w:name w:val="toc 4"/>
    <w:basedOn w:val="Normal"/>
    <w:next w:val="Normal"/>
    <w:autoRedefine/>
    <w:uiPriority w:val="39"/>
    <w:unhideWhenUsed/>
    <w:rsid w:val="00944F9E"/>
    <w:pPr>
      <w:spacing w:after="0"/>
      <w:ind w:left="658"/>
    </w:pPr>
    <w:rPr>
      <w:sz w:val="20"/>
    </w:rPr>
  </w:style>
  <w:style w:type="paragraph" w:styleId="Sadraj5">
    <w:name w:val="toc 5"/>
    <w:basedOn w:val="Normal"/>
    <w:next w:val="Normal"/>
    <w:autoRedefine/>
    <w:uiPriority w:val="39"/>
    <w:unhideWhenUsed/>
    <w:rsid w:val="00944F9E"/>
    <w:pPr>
      <w:spacing w:after="0"/>
      <w:ind w:left="879"/>
    </w:pPr>
    <w:rPr>
      <w:sz w:val="20"/>
    </w:rPr>
  </w:style>
  <w:style w:type="paragraph" w:styleId="Tablicaslika">
    <w:name w:val="table of figures"/>
    <w:basedOn w:val="Normal"/>
    <w:next w:val="Normal"/>
    <w:uiPriority w:val="99"/>
    <w:unhideWhenUsed/>
    <w:rsid w:val="00944F9E"/>
    <w:pPr>
      <w:spacing w:after="0"/>
    </w:pPr>
    <w:rPr>
      <w:sz w:val="20"/>
    </w:rPr>
  </w:style>
  <w:style w:type="character" w:styleId="Jakoisticanje">
    <w:name w:val="Intense Emphasis"/>
    <w:basedOn w:val="Zadanifontodlomka"/>
    <w:uiPriority w:val="21"/>
    <w:qFormat/>
    <w:rsid w:val="00944F9E"/>
    <w:rPr>
      <w:b/>
      <w:bCs/>
      <w:i/>
      <w:iCs/>
      <w:color w:val="4F81BD"/>
    </w:rPr>
  </w:style>
  <w:style w:type="paragraph" w:customStyle="1" w:styleId="BodyText1">
    <w:name w:val="Body Text1"/>
    <w:rsid w:val="00944F9E"/>
    <w:pPr>
      <w:spacing w:after="120" w:line="360" w:lineRule="auto"/>
    </w:pPr>
    <w:rPr>
      <w:rFonts w:ascii="Times New Roman" w:eastAsia="Times New Roman" w:hAnsi="Times New Roman" w:cs="Times New Roman"/>
      <w:szCs w:val="20"/>
      <w:lang w:val="en-GB"/>
    </w:rPr>
  </w:style>
  <w:style w:type="paragraph" w:styleId="Naglaencitat">
    <w:name w:val="Intense Quote"/>
    <w:basedOn w:val="Normal"/>
    <w:next w:val="Normal"/>
    <w:link w:val="NaglaencitatChar"/>
    <w:uiPriority w:val="30"/>
    <w:qFormat/>
    <w:rsid w:val="00944F9E"/>
    <w:pPr>
      <w:pBdr>
        <w:bottom w:val="single" w:sz="4" w:space="4" w:color="4F81BD"/>
      </w:pBdr>
      <w:spacing w:before="200" w:after="280"/>
      <w:ind w:left="936" w:right="936"/>
    </w:pPr>
    <w:rPr>
      <w:b/>
      <w:bCs/>
      <w:i/>
      <w:iCs/>
      <w:color w:val="4F81BD"/>
    </w:rPr>
  </w:style>
  <w:style w:type="character" w:customStyle="1" w:styleId="NaglaencitatChar">
    <w:name w:val="Naglašen citat Char"/>
    <w:basedOn w:val="Zadanifontodlomka"/>
    <w:link w:val="Naglaencitat"/>
    <w:uiPriority w:val="30"/>
    <w:rsid w:val="00944F9E"/>
    <w:rPr>
      <w:rFonts w:ascii="Calibri" w:eastAsia="Times New Roman" w:hAnsi="Calibri" w:cs="Times New Roman"/>
      <w:b/>
      <w:bCs/>
      <w:i/>
      <w:iCs/>
      <w:color w:val="4F81BD"/>
      <w:lang w:val="en-US"/>
    </w:rPr>
  </w:style>
  <w:style w:type="paragraph" w:customStyle="1" w:styleId="1">
    <w:name w:val="1"/>
    <w:basedOn w:val="Normal"/>
    <w:uiPriority w:val="99"/>
    <w:rsid w:val="00944F9E"/>
    <w:pPr>
      <w:spacing w:after="160" w:line="240" w:lineRule="exact"/>
    </w:pPr>
    <w:rPr>
      <w:rFonts w:ascii="Tahoma" w:eastAsia="Calibri" w:hAnsi="Tahoma"/>
      <w:sz w:val="20"/>
      <w:szCs w:val="20"/>
    </w:rPr>
  </w:style>
  <w:style w:type="paragraph" w:customStyle="1" w:styleId="Naslovslikaitablica">
    <w:name w:val="Naslov slika i tablica"/>
    <w:basedOn w:val="Naslov"/>
    <w:next w:val="Tijeloteksta"/>
    <w:link w:val="NaslovslikaitablicaChar"/>
    <w:uiPriority w:val="99"/>
    <w:rsid w:val="00944F9E"/>
    <w:pPr>
      <w:pBdr>
        <w:bottom w:val="none" w:sz="0" w:space="0" w:color="auto"/>
      </w:pBdr>
      <w:spacing w:before="120" w:after="120"/>
      <w:contextualSpacing w:val="0"/>
      <w:jc w:val="center"/>
      <w:outlineLvl w:val="0"/>
    </w:pPr>
    <w:rPr>
      <w:rFonts w:ascii="Arial" w:hAnsi="Arial" w:cs="Arial"/>
      <w:b/>
      <w:bCs/>
      <w:i/>
      <w:color w:val="auto"/>
      <w:spacing w:val="0"/>
      <w:sz w:val="20"/>
      <w:szCs w:val="22"/>
      <w:lang w:eastAsia="hr-HR"/>
    </w:rPr>
  </w:style>
  <w:style w:type="character" w:customStyle="1" w:styleId="NaslovslikaitablicaChar">
    <w:name w:val="Naslov slika i tablica Char"/>
    <w:basedOn w:val="Zadanifontodlomka"/>
    <w:link w:val="Naslovslikaitablica"/>
    <w:uiPriority w:val="99"/>
    <w:locked/>
    <w:rsid w:val="00944F9E"/>
    <w:rPr>
      <w:rFonts w:ascii="Arial" w:eastAsia="Calibri" w:hAnsi="Arial" w:cs="Arial"/>
      <w:b/>
      <w:bCs/>
      <w:i/>
      <w:kern w:val="28"/>
      <w:sz w:val="20"/>
      <w:lang w:eastAsia="hr-HR"/>
    </w:rPr>
  </w:style>
  <w:style w:type="paragraph" w:customStyle="1" w:styleId="Default">
    <w:name w:val="Default"/>
    <w:rsid w:val="00944F9E"/>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table" w:customStyle="1" w:styleId="TableGrid1">
    <w:name w:val="Table Grid1"/>
    <w:basedOn w:val="Obinatablica"/>
    <w:next w:val="Reetkatablice"/>
    <w:uiPriority w:val="59"/>
    <w:rsid w:val="0094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4F9E"/>
    <w:pPr>
      <w:spacing w:after="0" w:line="240" w:lineRule="auto"/>
    </w:pPr>
    <w:rPr>
      <w:rFonts w:ascii="Calibri" w:eastAsia="Times New Roman" w:hAnsi="Calibri" w:cs="Times New Roman"/>
      <w:lang w:val="en-US"/>
    </w:rPr>
  </w:style>
  <w:style w:type="paragraph" w:customStyle="1" w:styleId="t-12-9-fett-s">
    <w:name w:val="t-12-9-fett-s"/>
    <w:basedOn w:val="Normal"/>
    <w:rsid w:val="00944F9E"/>
    <w:pPr>
      <w:spacing w:before="100" w:beforeAutospacing="1" w:after="100" w:afterAutospacing="1" w:line="240" w:lineRule="auto"/>
      <w:jc w:val="center"/>
    </w:pPr>
    <w:rPr>
      <w:rFonts w:ascii="Times New Roman" w:hAnsi="Times New Roman"/>
      <w:b/>
      <w:bCs/>
      <w:sz w:val="28"/>
      <w:szCs w:val="28"/>
      <w:lang w:eastAsia="hr-HR"/>
    </w:rPr>
  </w:style>
  <w:style w:type="paragraph" w:customStyle="1" w:styleId="tb-na16">
    <w:name w:val="tb-na16"/>
    <w:basedOn w:val="Normal"/>
    <w:rsid w:val="00944F9E"/>
    <w:pPr>
      <w:spacing w:before="100" w:beforeAutospacing="1" w:after="100" w:afterAutospacing="1" w:line="240" w:lineRule="auto"/>
      <w:jc w:val="center"/>
    </w:pPr>
    <w:rPr>
      <w:rFonts w:ascii="Times New Roman" w:hAnsi="Times New Roman"/>
      <w:b/>
      <w:bCs/>
      <w:sz w:val="36"/>
      <w:szCs w:val="36"/>
      <w:lang w:eastAsia="hr-HR"/>
    </w:rPr>
  </w:style>
  <w:style w:type="paragraph" w:styleId="HTMLunaprijedoblikovano">
    <w:name w:val="HTML Preformatted"/>
    <w:basedOn w:val="Normal"/>
    <w:link w:val="HTMLunaprijedoblikovanoChar"/>
    <w:uiPriority w:val="99"/>
    <w:unhideWhenUsed/>
    <w:rsid w:val="0094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944F9E"/>
    <w:rPr>
      <w:rFonts w:ascii="Courier New" w:eastAsia="Times New Roman" w:hAnsi="Courier New" w:cs="Courier New"/>
      <w:sz w:val="20"/>
      <w:szCs w:val="20"/>
      <w:lang w:eastAsia="hr-HR"/>
    </w:rPr>
  </w:style>
  <w:style w:type="paragraph" w:styleId="Tekstkrajnjebiljeke">
    <w:name w:val="endnote text"/>
    <w:basedOn w:val="Normal"/>
    <w:link w:val="TekstkrajnjebiljekeChar"/>
    <w:uiPriority w:val="99"/>
    <w:semiHidden/>
    <w:unhideWhenUsed/>
    <w:rsid w:val="00944F9E"/>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44F9E"/>
    <w:rPr>
      <w:rFonts w:ascii="Calibri" w:eastAsia="Times New Roman" w:hAnsi="Calibri" w:cs="Times New Roman"/>
      <w:sz w:val="20"/>
      <w:szCs w:val="20"/>
      <w:lang w:val="en-US"/>
    </w:rPr>
  </w:style>
  <w:style w:type="character" w:styleId="Referencakrajnjebiljeke">
    <w:name w:val="endnote reference"/>
    <w:basedOn w:val="Zadanifontodlomka"/>
    <w:uiPriority w:val="99"/>
    <w:semiHidden/>
    <w:unhideWhenUsed/>
    <w:rsid w:val="00944F9E"/>
    <w:rPr>
      <w:vertAlign w:val="superscript"/>
    </w:rPr>
  </w:style>
  <w:style w:type="paragraph" w:styleId="Obinitekst">
    <w:name w:val="Plain Text"/>
    <w:basedOn w:val="Normal"/>
    <w:link w:val="ObinitekstChar"/>
    <w:uiPriority w:val="99"/>
    <w:semiHidden/>
    <w:unhideWhenUsed/>
    <w:rsid w:val="00944F9E"/>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semiHidden/>
    <w:rsid w:val="00944F9E"/>
    <w:rPr>
      <w:rFonts w:ascii="Consolas" w:eastAsia="Times New Roman" w:hAnsi="Consolas" w:cs="Times New Roman"/>
      <w:sz w:val="21"/>
      <w:szCs w:val="21"/>
      <w:lang w:val="en-US"/>
    </w:rPr>
  </w:style>
  <w:style w:type="character" w:customStyle="1" w:styleId="kurziv">
    <w:name w:val="kurziv"/>
    <w:rsid w:val="00944F9E"/>
  </w:style>
  <w:style w:type="numbering" w:customStyle="1" w:styleId="NoList1">
    <w:name w:val="No List1"/>
    <w:next w:val="Bezpopisa"/>
    <w:semiHidden/>
    <w:unhideWhenUsed/>
    <w:rsid w:val="00944F9E"/>
  </w:style>
  <w:style w:type="character" w:styleId="SlijeenaHiperveza">
    <w:name w:val="FollowedHyperlink"/>
    <w:basedOn w:val="Zadanifontodlomka"/>
    <w:uiPriority w:val="99"/>
    <w:semiHidden/>
    <w:unhideWhenUsed/>
    <w:rsid w:val="00944F9E"/>
    <w:rPr>
      <w:color w:val="800080" w:themeColor="followedHyperlink"/>
      <w:u w:val="single"/>
    </w:rPr>
  </w:style>
  <w:style w:type="table" w:styleId="Svijetlosjenanje">
    <w:name w:val="Light Shading"/>
    <w:basedOn w:val="Obinatablica"/>
    <w:uiPriority w:val="60"/>
    <w:rsid w:val="006049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
    <w:name w:val="bodytext"/>
    <w:basedOn w:val="Normal"/>
    <w:rsid w:val="00604968"/>
    <w:pPr>
      <w:spacing w:before="100" w:beforeAutospacing="1" w:after="100" w:afterAutospacing="1" w:line="240" w:lineRule="auto"/>
    </w:pPr>
    <w:rPr>
      <w:rFonts w:ascii="Times New Roman" w:hAnsi="Times New Roman"/>
      <w:sz w:val="24"/>
      <w:szCs w:val="24"/>
      <w:lang w:eastAsia="hr-HR"/>
    </w:rPr>
  </w:style>
  <w:style w:type="character" w:customStyle="1" w:styleId="apple-converted-space">
    <w:name w:val="apple-converted-space"/>
    <w:basedOn w:val="Zadanifontodlomka"/>
    <w:rsid w:val="00604968"/>
  </w:style>
  <w:style w:type="paragraph" w:customStyle="1" w:styleId="Bullet1">
    <w:name w:val="Bullet_1"/>
    <w:basedOn w:val="Normal"/>
    <w:uiPriority w:val="99"/>
    <w:rsid w:val="00604968"/>
    <w:pPr>
      <w:numPr>
        <w:numId w:val="3"/>
      </w:numPr>
      <w:spacing w:after="0" w:line="240" w:lineRule="auto"/>
      <w:jc w:val="both"/>
    </w:pPr>
    <w:rPr>
      <w:rFonts w:ascii="UniCredit Light" w:eastAsiaTheme="minorHAnsi" w:hAnsi="UniCredit Light"/>
      <w:sz w:val="24"/>
      <w:szCs w:val="24"/>
      <w:lang w:eastAsia="hr-HR"/>
    </w:rPr>
  </w:style>
  <w:style w:type="character" w:customStyle="1" w:styleId="zelenitekstitalicbold">
    <w:name w:val="zeleni_tekst_italic_bold"/>
    <w:basedOn w:val="Zadanifontodlomka"/>
    <w:rsid w:val="00604968"/>
  </w:style>
  <w:style w:type="paragraph" w:customStyle="1" w:styleId="CRNO">
    <w:name w:val="CRNO"/>
    <w:basedOn w:val="Normal"/>
    <w:uiPriority w:val="99"/>
    <w:rsid w:val="00C833AA"/>
    <w:pPr>
      <w:spacing w:after="160" w:line="288" w:lineRule="auto"/>
      <w:jc w:val="both"/>
    </w:pPr>
    <w:rPr>
      <w:rFonts w:ascii="Times New Roman" w:eastAsia="MS Mincho" w:hAnsi="Times New Roman" w:cs="Calibri"/>
      <w:sz w:val="24"/>
    </w:rPr>
  </w:style>
  <w:style w:type="paragraph" w:customStyle="1" w:styleId="CM1">
    <w:name w:val="CM1"/>
    <w:basedOn w:val="Normal"/>
    <w:next w:val="Normal"/>
    <w:uiPriority w:val="99"/>
    <w:rsid w:val="003C6365"/>
    <w:pPr>
      <w:autoSpaceDE w:val="0"/>
      <w:autoSpaceDN w:val="0"/>
      <w:adjustRightInd w:val="0"/>
      <w:spacing w:after="0" w:line="240" w:lineRule="auto"/>
    </w:pPr>
    <w:rPr>
      <w:rFonts w:ascii="EUAlbertina" w:eastAsiaTheme="minorEastAsia" w:hAnsi="EUAlbertina" w:cstheme="minorBidi"/>
      <w:sz w:val="24"/>
      <w:szCs w:val="24"/>
    </w:rPr>
  </w:style>
  <w:style w:type="paragraph" w:customStyle="1" w:styleId="NASLOVPOGLAVLJA">
    <w:name w:val="NASLOV POGLAVLJA"/>
    <w:basedOn w:val="Normal"/>
    <w:rsid w:val="00517B4C"/>
    <w:pPr>
      <w:tabs>
        <w:tab w:val="left" w:pos="426"/>
      </w:tabs>
      <w:spacing w:after="240" w:line="240" w:lineRule="auto"/>
      <w:ind w:left="426" w:hanging="426"/>
      <w:jc w:val="both"/>
    </w:pPr>
    <w:rPr>
      <w:rFonts w:ascii="Arial" w:eastAsia="Arial Unicode MS" w:hAnsi="Arial"/>
      <w:b/>
      <w:sz w:val="28"/>
      <w:szCs w:val="28"/>
      <w:lang w:eastAsia="ja-JP"/>
    </w:rPr>
  </w:style>
  <w:style w:type="paragraph" w:customStyle="1" w:styleId="font5">
    <w:name w:val="font5"/>
    <w:basedOn w:val="Normal"/>
    <w:rsid w:val="003E17DE"/>
    <w:pPr>
      <w:spacing w:before="100" w:beforeAutospacing="1" w:after="100" w:afterAutospacing="1" w:line="240" w:lineRule="auto"/>
    </w:pPr>
    <w:rPr>
      <w:rFonts w:ascii="Tahoma" w:hAnsi="Tahoma" w:cs="Tahoma"/>
      <w:color w:val="000000"/>
      <w:sz w:val="18"/>
      <w:szCs w:val="18"/>
      <w:lang w:eastAsia="hr-HR"/>
    </w:rPr>
  </w:style>
  <w:style w:type="paragraph" w:customStyle="1" w:styleId="font6">
    <w:name w:val="font6"/>
    <w:basedOn w:val="Normal"/>
    <w:rsid w:val="003E17DE"/>
    <w:pPr>
      <w:spacing w:before="100" w:beforeAutospacing="1" w:after="100" w:afterAutospacing="1" w:line="240" w:lineRule="auto"/>
    </w:pPr>
    <w:rPr>
      <w:rFonts w:ascii="Tahoma" w:hAnsi="Tahoma" w:cs="Tahoma"/>
      <w:b/>
      <w:bCs/>
      <w:color w:val="000000"/>
      <w:sz w:val="18"/>
      <w:szCs w:val="18"/>
      <w:lang w:eastAsia="hr-HR"/>
    </w:rPr>
  </w:style>
  <w:style w:type="paragraph" w:customStyle="1" w:styleId="xl63">
    <w:name w:val="xl63"/>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64">
    <w:name w:val="xl64"/>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65">
    <w:name w:val="xl65"/>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66">
    <w:name w:val="xl66"/>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67">
    <w:name w:val="xl67"/>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68">
    <w:name w:val="xl68"/>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69">
    <w:name w:val="xl69"/>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70">
    <w:name w:val="xl70"/>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hr-HR"/>
    </w:rPr>
  </w:style>
  <w:style w:type="paragraph" w:customStyle="1" w:styleId="xl71">
    <w:name w:val="xl71"/>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72">
    <w:name w:val="xl72"/>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73">
    <w:name w:val="xl73"/>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74">
    <w:name w:val="xl74"/>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75">
    <w:name w:val="xl75"/>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76">
    <w:name w:val="xl76"/>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77">
    <w:name w:val="xl77"/>
    <w:basedOn w:val="Normal"/>
    <w:rsid w:val="003E17D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78">
    <w:name w:val="xl78"/>
    <w:basedOn w:val="Normal"/>
    <w:rsid w:val="003E17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79">
    <w:name w:val="xl79"/>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80">
    <w:name w:val="xl80"/>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81">
    <w:name w:val="xl81"/>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82">
    <w:name w:val="xl82"/>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83">
    <w:name w:val="xl83"/>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84">
    <w:name w:val="xl84"/>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85">
    <w:name w:val="xl85"/>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86">
    <w:name w:val="xl86"/>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87">
    <w:name w:val="xl87"/>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88">
    <w:name w:val="xl88"/>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89">
    <w:name w:val="xl89"/>
    <w:basedOn w:val="Normal"/>
    <w:rsid w:val="003E17D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90">
    <w:name w:val="xl90"/>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91">
    <w:name w:val="xl91"/>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92">
    <w:name w:val="xl92"/>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93">
    <w:name w:val="xl93"/>
    <w:basedOn w:val="Normal"/>
    <w:rsid w:val="003E17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94">
    <w:name w:val="xl94"/>
    <w:basedOn w:val="Normal"/>
    <w:rsid w:val="003E17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95">
    <w:name w:val="xl95"/>
    <w:basedOn w:val="Normal"/>
    <w:rsid w:val="003E17DE"/>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xl96">
    <w:name w:val="xl96"/>
    <w:basedOn w:val="Normal"/>
    <w:rsid w:val="003E17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97">
    <w:name w:val="xl97"/>
    <w:basedOn w:val="Normal"/>
    <w:rsid w:val="003E17D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98">
    <w:name w:val="xl98"/>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99">
    <w:name w:val="xl99"/>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00">
    <w:name w:val="xl100"/>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hr-HR"/>
    </w:rPr>
  </w:style>
  <w:style w:type="paragraph" w:customStyle="1" w:styleId="xl101">
    <w:name w:val="xl101"/>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02">
    <w:name w:val="xl102"/>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3">
    <w:name w:val="xl103"/>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04">
    <w:name w:val="xl104"/>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5">
    <w:name w:val="xl105"/>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6">
    <w:name w:val="xl106"/>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7">
    <w:name w:val="xl107"/>
    <w:basedOn w:val="Normal"/>
    <w:rsid w:val="003E17DE"/>
    <w:pPr>
      <w:pBdr>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08">
    <w:name w:val="xl108"/>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09">
    <w:name w:val="xl109"/>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10">
    <w:name w:val="xl110"/>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11">
    <w:name w:val="xl111"/>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12">
    <w:name w:val="xl112"/>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13">
    <w:name w:val="xl113"/>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14">
    <w:name w:val="xl114"/>
    <w:basedOn w:val="Normal"/>
    <w:rsid w:val="003E17DE"/>
    <w:pPr>
      <w:pBdr>
        <w:top w:val="single" w:sz="4" w:space="0" w:color="auto"/>
        <w:bottom w:val="double" w:sz="6" w:space="0" w:color="auto"/>
        <w:right w:val="single" w:sz="4"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xl115">
    <w:name w:val="xl115"/>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16">
    <w:name w:val="xl116"/>
    <w:basedOn w:val="Normal"/>
    <w:rsid w:val="003E17DE"/>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6"/>
      <w:szCs w:val="16"/>
      <w:lang w:eastAsia="hr-HR"/>
    </w:rPr>
  </w:style>
  <w:style w:type="paragraph" w:customStyle="1" w:styleId="xl117">
    <w:name w:val="xl117"/>
    <w:basedOn w:val="Normal"/>
    <w:rsid w:val="003E17DE"/>
    <w:pPr>
      <w:pBdr>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18">
    <w:name w:val="xl118"/>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19">
    <w:name w:val="xl119"/>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20">
    <w:name w:val="xl120"/>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21">
    <w:name w:val="xl121"/>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22">
    <w:name w:val="xl122"/>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23">
    <w:name w:val="xl123"/>
    <w:basedOn w:val="Normal"/>
    <w:rsid w:val="003E17DE"/>
    <w:pPr>
      <w:pBdr>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xl124">
    <w:name w:val="xl124"/>
    <w:basedOn w:val="Normal"/>
    <w:rsid w:val="003E17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25">
    <w:name w:val="xl125"/>
    <w:basedOn w:val="Normal"/>
    <w:rsid w:val="003E17D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26">
    <w:name w:val="xl126"/>
    <w:basedOn w:val="Normal"/>
    <w:rsid w:val="003E17DE"/>
    <w:pPr>
      <w:pBdr>
        <w:top w:val="single" w:sz="4" w:space="0" w:color="auto"/>
        <w:left w:val="single" w:sz="4" w:space="0" w:color="auto"/>
        <w:bottom w:val="double" w:sz="6"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27">
    <w:name w:val="xl127"/>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28">
    <w:name w:val="xl128"/>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29">
    <w:name w:val="xl129"/>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30">
    <w:name w:val="xl130"/>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31">
    <w:name w:val="xl131"/>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32">
    <w:name w:val="xl132"/>
    <w:basedOn w:val="Normal"/>
    <w:rsid w:val="003E17D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hr-HR"/>
    </w:rPr>
  </w:style>
  <w:style w:type="paragraph" w:customStyle="1" w:styleId="xl133">
    <w:name w:val="xl133"/>
    <w:basedOn w:val="Normal"/>
    <w:rsid w:val="003E17DE"/>
    <w:pPr>
      <w:pBdr>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34">
    <w:name w:val="xl134"/>
    <w:basedOn w:val="Normal"/>
    <w:rsid w:val="003E17DE"/>
    <w:pPr>
      <w:pBdr>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hr-HR"/>
    </w:rPr>
  </w:style>
  <w:style w:type="paragraph" w:customStyle="1" w:styleId="xl135">
    <w:name w:val="xl135"/>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36">
    <w:name w:val="xl136"/>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37">
    <w:name w:val="xl137"/>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38">
    <w:name w:val="xl138"/>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hAnsi="Times New Roman"/>
      <w:color w:val="FF0000"/>
      <w:sz w:val="16"/>
      <w:szCs w:val="16"/>
      <w:lang w:eastAsia="hr-HR"/>
    </w:rPr>
  </w:style>
  <w:style w:type="paragraph" w:customStyle="1" w:styleId="xl139">
    <w:name w:val="xl139"/>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40">
    <w:name w:val="xl140"/>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lang w:eastAsia="hr-HR"/>
    </w:rPr>
  </w:style>
  <w:style w:type="paragraph" w:customStyle="1" w:styleId="xl141">
    <w:name w:val="xl141"/>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42">
    <w:name w:val="xl142"/>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3">
    <w:name w:val="xl143"/>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4">
    <w:name w:val="xl144"/>
    <w:basedOn w:val="Normal"/>
    <w:rsid w:val="003E17DE"/>
    <w:pPr>
      <w:pBdr>
        <w:top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5">
    <w:name w:val="xl145"/>
    <w:basedOn w:val="Normal"/>
    <w:rsid w:val="003E17DE"/>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6">
    <w:name w:val="xl146"/>
    <w:basedOn w:val="Normal"/>
    <w:rsid w:val="003E17DE"/>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47">
    <w:name w:val="xl147"/>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48">
    <w:name w:val="xl148"/>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49">
    <w:name w:val="xl149"/>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50">
    <w:name w:val="xl150"/>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1">
    <w:name w:val="xl151"/>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2">
    <w:name w:val="xl152"/>
    <w:basedOn w:val="Normal"/>
    <w:rsid w:val="003E17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153">
    <w:name w:val="xl153"/>
    <w:basedOn w:val="Normal"/>
    <w:rsid w:val="003E17DE"/>
    <w:pPr>
      <w:pBdr>
        <w:left w:val="single" w:sz="4" w:space="0" w:color="auto"/>
        <w:bottom w:val="single" w:sz="4" w:space="0" w:color="auto"/>
      </w:pBdr>
      <w:shd w:val="clear" w:color="000000" w:fill="DA9694"/>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4">
    <w:name w:val="xl154"/>
    <w:basedOn w:val="Normal"/>
    <w:rsid w:val="003E17DE"/>
    <w:pPr>
      <w:pBdr>
        <w:top w:val="single" w:sz="4" w:space="0" w:color="auto"/>
        <w:left w:val="single" w:sz="4" w:space="0" w:color="auto"/>
        <w:bottom w:val="single" w:sz="4" w:space="0" w:color="auto"/>
      </w:pBdr>
      <w:shd w:val="clear" w:color="000000" w:fill="DA9694"/>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5">
    <w:name w:val="xl155"/>
    <w:basedOn w:val="Normal"/>
    <w:rsid w:val="003E17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56">
    <w:name w:val="xl156"/>
    <w:basedOn w:val="Normal"/>
    <w:rsid w:val="003E17DE"/>
    <w:pPr>
      <w:pBdr>
        <w:left w:val="single" w:sz="4" w:space="0" w:color="auto"/>
        <w:bottom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57">
    <w:name w:val="xl157"/>
    <w:basedOn w:val="Normal"/>
    <w:rsid w:val="003E17DE"/>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58">
    <w:name w:val="xl158"/>
    <w:basedOn w:val="Normal"/>
    <w:rsid w:val="003E17DE"/>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59">
    <w:name w:val="xl159"/>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0">
    <w:name w:val="xl160"/>
    <w:basedOn w:val="Normal"/>
    <w:rsid w:val="003E17DE"/>
    <w:pPr>
      <w:pBdr>
        <w:left w:val="single" w:sz="4" w:space="0" w:color="auto"/>
        <w:bottom w:val="single" w:sz="4" w:space="0" w:color="auto"/>
        <w:right w:val="double" w:sz="6" w:space="0" w:color="auto"/>
      </w:pBdr>
      <w:shd w:val="clear" w:color="000000" w:fill="DA9694"/>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1">
    <w:name w:val="xl161"/>
    <w:basedOn w:val="Normal"/>
    <w:rsid w:val="003E17DE"/>
    <w:pPr>
      <w:pBdr>
        <w:top w:val="single" w:sz="4" w:space="0" w:color="auto"/>
        <w:left w:val="single" w:sz="4" w:space="0" w:color="auto"/>
        <w:bottom w:val="single" w:sz="4" w:space="0" w:color="auto"/>
        <w:right w:val="double" w:sz="6" w:space="0" w:color="auto"/>
      </w:pBdr>
      <w:shd w:val="clear" w:color="000000" w:fill="DA9694"/>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2">
    <w:name w:val="xl162"/>
    <w:basedOn w:val="Normal"/>
    <w:rsid w:val="003E17DE"/>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63">
    <w:name w:val="xl163"/>
    <w:basedOn w:val="Normal"/>
    <w:rsid w:val="003E17D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4">
    <w:name w:val="xl164"/>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color w:val="000000"/>
      <w:sz w:val="16"/>
      <w:szCs w:val="16"/>
      <w:lang w:eastAsia="hr-HR"/>
    </w:rPr>
  </w:style>
  <w:style w:type="paragraph" w:customStyle="1" w:styleId="xl165">
    <w:name w:val="xl165"/>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color w:val="000000"/>
      <w:sz w:val="16"/>
      <w:szCs w:val="16"/>
      <w:lang w:eastAsia="hr-HR"/>
    </w:rPr>
  </w:style>
  <w:style w:type="paragraph" w:customStyle="1" w:styleId="xl166">
    <w:name w:val="xl166"/>
    <w:basedOn w:val="Normal"/>
    <w:rsid w:val="003E17D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67">
    <w:name w:val="xl167"/>
    <w:basedOn w:val="Normal"/>
    <w:rsid w:val="003E17D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color w:val="FF0000"/>
      <w:sz w:val="16"/>
      <w:szCs w:val="16"/>
      <w:lang w:eastAsia="hr-HR"/>
    </w:rPr>
  </w:style>
  <w:style w:type="paragraph" w:customStyle="1" w:styleId="xl168">
    <w:name w:val="xl168"/>
    <w:basedOn w:val="Normal"/>
    <w:rsid w:val="003E17DE"/>
    <w:pPr>
      <w:pBdr>
        <w:left w:val="double" w:sz="6"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hAnsi="Times New Roman"/>
      <w:color w:val="FF0000"/>
      <w:sz w:val="16"/>
      <w:szCs w:val="16"/>
      <w:lang w:eastAsia="hr-HR"/>
    </w:rPr>
  </w:style>
  <w:style w:type="paragraph" w:customStyle="1" w:styleId="xl169">
    <w:name w:val="xl169"/>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0">
    <w:name w:val="xl170"/>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1">
    <w:name w:val="xl171"/>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2">
    <w:name w:val="xl172"/>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hr-HR"/>
    </w:rPr>
  </w:style>
  <w:style w:type="paragraph" w:customStyle="1" w:styleId="xl173">
    <w:name w:val="xl173"/>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hr-HR"/>
    </w:rPr>
  </w:style>
  <w:style w:type="paragraph" w:customStyle="1" w:styleId="xl174">
    <w:name w:val="xl174"/>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hAnsi="Times New Roman"/>
      <w:color w:val="000000"/>
      <w:sz w:val="16"/>
      <w:szCs w:val="16"/>
      <w:lang w:eastAsia="hr-HR"/>
    </w:rPr>
  </w:style>
  <w:style w:type="paragraph" w:customStyle="1" w:styleId="xl175">
    <w:name w:val="xl175"/>
    <w:basedOn w:val="Normal"/>
    <w:rsid w:val="003E17DE"/>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6">
    <w:name w:val="xl176"/>
    <w:basedOn w:val="Normal"/>
    <w:rsid w:val="003E17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7">
    <w:name w:val="xl177"/>
    <w:basedOn w:val="Normal"/>
    <w:rsid w:val="003E17DE"/>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hAnsi="Times New Roman"/>
      <w:sz w:val="16"/>
      <w:szCs w:val="16"/>
      <w:lang w:eastAsia="hr-HR"/>
    </w:rPr>
  </w:style>
  <w:style w:type="paragraph" w:customStyle="1" w:styleId="xl178">
    <w:name w:val="xl178"/>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hr-HR"/>
    </w:rPr>
  </w:style>
  <w:style w:type="paragraph" w:customStyle="1" w:styleId="xl179">
    <w:name w:val="xl179"/>
    <w:basedOn w:val="Normal"/>
    <w:rsid w:val="003E17D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180">
    <w:name w:val="xl180"/>
    <w:basedOn w:val="Normal"/>
    <w:rsid w:val="003E1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181">
    <w:name w:val="xl181"/>
    <w:basedOn w:val="Normal"/>
    <w:rsid w:val="003E17D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i/>
      <w:iCs/>
      <w:sz w:val="16"/>
      <w:szCs w:val="16"/>
      <w:lang w:eastAsia="hr-HR"/>
    </w:rPr>
  </w:style>
  <w:style w:type="paragraph" w:customStyle="1" w:styleId="xl182">
    <w:name w:val="xl182"/>
    <w:basedOn w:val="Normal"/>
    <w:rsid w:val="003E17DE"/>
    <w:pPr>
      <w:pBdr>
        <w:top w:val="double" w:sz="6" w:space="0" w:color="auto"/>
        <w:left w:val="single" w:sz="4" w:space="0" w:color="auto"/>
        <w:right w:val="double" w:sz="6"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xl183">
    <w:name w:val="xl183"/>
    <w:basedOn w:val="Normal"/>
    <w:rsid w:val="003E17DE"/>
    <w:pPr>
      <w:pBdr>
        <w:left w:val="single" w:sz="4" w:space="0" w:color="auto"/>
        <w:bottom w:val="single" w:sz="4" w:space="0" w:color="auto"/>
        <w:right w:val="double" w:sz="6" w:space="0" w:color="auto"/>
      </w:pBdr>
      <w:spacing w:before="100" w:beforeAutospacing="1" w:after="100" w:afterAutospacing="1" w:line="240" w:lineRule="auto"/>
    </w:pPr>
    <w:rPr>
      <w:rFonts w:ascii="Times New Roman" w:hAnsi="Times New Roman"/>
      <w:sz w:val="16"/>
      <w:szCs w:val="16"/>
      <w:lang w:eastAsia="hr-HR"/>
    </w:rPr>
  </w:style>
  <w:style w:type="paragraph" w:customStyle="1" w:styleId="TableParagraph">
    <w:name w:val="Table Paragraph"/>
    <w:basedOn w:val="Normal"/>
    <w:uiPriority w:val="1"/>
    <w:qFormat/>
    <w:rsid w:val="0053632C"/>
    <w:pPr>
      <w:widowControl w:val="0"/>
      <w:autoSpaceDE w:val="0"/>
      <w:autoSpaceDN w:val="0"/>
      <w:adjustRightInd w:val="0"/>
      <w:spacing w:after="0" w:line="240" w:lineRule="auto"/>
    </w:pPr>
    <w:rPr>
      <w:rFonts w:ascii="Times New Roman" w:eastAsiaTheme="minorEastAsia" w:hAnsi="Times New Roman"/>
      <w:sz w:val="24"/>
      <w:szCs w:val="24"/>
      <w:lang w:eastAsia="hr-HR"/>
    </w:rPr>
  </w:style>
  <w:style w:type="character" w:styleId="Tekstrezerviranogmjesta">
    <w:name w:val="Placeholder Text"/>
    <w:basedOn w:val="Zadanifontodlomka"/>
    <w:uiPriority w:val="99"/>
    <w:semiHidden/>
    <w:rsid w:val="00737253"/>
    <w:rPr>
      <w:color w:val="808080"/>
    </w:rPr>
  </w:style>
  <w:style w:type="paragraph" w:customStyle="1" w:styleId="Style1-Heading1">
    <w:name w:val="Style1- Heading 1"/>
    <w:basedOn w:val="TOCNaslov"/>
    <w:link w:val="Style1-Heading1Char"/>
    <w:rsid w:val="00C32DC8"/>
    <w:rPr>
      <w:lang w:val="hr-HR"/>
    </w:rPr>
  </w:style>
  <w:style w:type="character" w:customStyle="1" w:styleId="st">
    <w:name w:val="st"/>
    <w:basedOn w:val="Zadanifontodlomka"/>
    <w:rsid w:val="00C32DC8"/>
  </w:style>
  <w:style w:type="character" w:customStyle="1" w:styleId="TOCNaslovChar">
    <w:name w:val="TOC Naslov Char"/>
    <w:basedOn w:val="Naslov1Char"/>
    <w:link w:val="TOCNaslov"/>
    <w:uiPriority w:val="39"/>
    <w:rsid w:val="00C32DC8"/>
    <w:rPr>
      <w:rFonts w:ascii="Cambria" w:eastAsia="Times New Roman" w:hAnsi="Cambria" w:cs="Times New Roman"/>
      <w:b/>
      <w:bCs/>
      <w:smallCaps w:val="0"/>
      <w:color w:val="365F91"/>
      <w:sz w:val="28"/>
      <w:szCs w:val="28"/>
      <w:lang w:val="en-US"/>
    </w:rPr>
  </w:style>
  <w:style w:type="character" w:customStyle="1" w:styleId="Style1-Heading1Char">
    <w:name w:val="Style1- Heading 1 Char"/>
    <w:basedOn w:val="TOCNaslovChar"/>
    <w:link w:val="Style1-Heading1"/>
    <w:rsid w:val="00C32DC8"/>
    <w:rPr>
      <w:rFonts w:ascii="Cambria" w:eastAsia="Times New Roman" w:hAnsi="Cambria" w:cs="Times New Roman"/>
      <w:b/>
      <w:bCs/>
      <w:smallCaps w:val="0"/>
      <w:color w:val="365F91"/>
      <w:sz w:val="28"/>
      <w:szCs w:val="28"/>
      <w:lang w:val="en-US"/>
    </w:rPr>
  </w:style>
  <w:style w:type="paragraph" w:customStyle="1" w:styleId="Style1-heading2">
    <w:name w:val="Style1 - heading 2"/>
    <w:basedOn w:val="Naslov2"/>
    <w:link w:val="Style1-heading2Char"/>
    <w:rsid w:val="004D3B8E"/>
    <w:pPr>
      <w:numPr>
        <w:ilvl w:val="0"/>
        <w:numId w:val="0"/>
      </w:numPr>
      <w:spacing w:before="0" w:after="0" w:line="480" w:lineRule="auto"/>
      <w:ind w:right="57"/>
    </w:pPr>
    <w:rPr>
      <w:color w:val="365F91"/>
    </w:rPr>
  </w:style>
  <w:style w:type="paragraph" w:customStyle="1" w:styleId="Style1-heading3">
    <w:name w:val="Style1 - heading 3"/>
    <w:basedOn w:val="Naslov3"/>
    <w:link w:val="Style1-heading3Char"/>
    <w:rsid w:val="001C0A61"/>
    <w:pPr>
      <w:numPr>
        <w:ilvl w:val="0"/>
        <w:numId w:val="0"/>
      </w:numPr>
      <w:spacing w:before="0" w:after="0" w:line="480" w:lineRule="auto"/>
      <w:ind w:left="57" w:right="57"/>
    </w:pPr>
    <w:rPr>
      <w:color w:val="365F91"/>
      <w:lang w:val="hr-HR"/>
    </w:rPr>
  </w:style>
  <w:style w:type="character" w:customStyle="1" w:styleId="Style1-heading2Char">
    <w:name w:val="Style1 - heading 2 Char"/>
    <w:basedOn w:val="Naslov2Char"/>
    <w:link w:val="Style1-heading2"/>
    <w:rsid w:val="004D3B8E"/>
    <w:rPr>
      <w:rFonts w:ascii="Cambria" w:eastAsia="Times New Roman" w:hAnsi="Cambria" w:cs="Arial"/>
      <w:b/>
      <w:bCs/>
      <w:i/>
      <w:iCs/>
      <w:color w:val="365F91"/>
      <w:szCs w:val="28"/>
      <w:lang w:val="en-US"/>
    </w:rPr>
  </w:style>
  <w:style w:type="character" w:styleId="Neupadljivareferenca">
    <w:name w:val="Subtle Reference"/>
    <w:basedOn w:val="Zadanifontodlomka"/>
    <w:uiPriority w:val="31"/>
    <w:qFormat/>
    <w:rsid w:val="00275F4E"/>
    <w:rPr>
      <w:smallCaps/>
      <w:color w:val="5A5A5A" w:themeColor="text1" w:themeTint="A5"/>
    </w:rPr>
  </w:style>
  <w:style w:type="character" w:customStyle="1" w:styleId="Style1-heading3Char">
    <w:name w:val="Style1 - heading 3 Char"/>
    <w:basedOn w:val="Naslov3Char"/>
    <w:link w:val="Style1-heading3"/>
    <w:rsid w:val="001C0A61"/>
    <w:rPr>
      <w:rFonts w:ascii="Cambria" w:eastAsia="Times New Roman" w:hAnsi="Cambria" w:cs="Times New Roman"/>
      <w:b/>
      <w:i/>
      <w:color w:val="365F91"/>
      <w:sz w:val="20"/>
      <w:szCs w:val="20"/>
      <w:lang w:val="en-GB" w:eastAsia="de-DE"/>
    </w:rPr>
  </w:style>
  <w:style w:type="character" w:customStyle="1" w:styleId="Bodytext2">
    <w:name w:val="Body text (2)_"/>
    <w:basedOn w:val="Zadanifontodlomka"/>
    <w:link w:val="Bodytext20"/>
    <w:rsid w:val="001B0E25"/>
    <w:rPr>
      <w:rFonts w:ascii="Calibri" w:eastAsia="Calibri" w:hAnsi="Calibri" w:cs="Calibri"/>
      <w:sz w:val="20"/>
      <w:szCs w:val="20"/>
      <w:shd w:val="clear" w:color="auto" w:fill="FFFFFF"/>
    </w:rPr>
  </w:style>
  <w:style w:type="paragraph" w:customStyle="1" w:styleId="Bodytext20">
    <w:name w:val="Body text (2)"/>
    <w:basedOn w:val="Normal"/>
    <w:link w:val="Bodytext2"/>
    <w:rsid w:val="001B0E25"/>
    <w:pPr>
      <w:widowControl w:val="0"/>
      <w:shd w:val="clear" w:color="auto" w:fill="FFFFFF"/>
      <w:spacing w:before="480" w:after="0" w:line="278" w:lineRule="exact"/>
      <w:ind w:hanging="380"/>
    </w:pPr>
    <w:rPr>
      <w:rFonts w:eastAsia="Calibri" w:cs="Calibri"/>
      <w:sz w:val="20"/>
      <w:szCs w:val="20"/>
    </w:rPr>
  </w:style>
  <w:style w:type="character" w:customStyle="1" w:styleId="Bodytext2Exact">
    <w:name w:val="Body text (2) Exact"/>
    <w:basedOn w:val="Zadanifontodlomka"/>
    <w:rsid w:val="001B0E25"/>
    <w:rPr>
      <w:rFonts w:ascii="Calibri" w:eastAsia="Calibri" w:hAnsi="Calibri" w:cs="Calibri"/>
      <w:b w:val="0"/>
      <w:bCs w:val="0"/>
      <w:i w:val="0"/>
      <w:iCs w:val="0"/>
      <w:smallCaps w:val="0"/>
      <w:strike w:val="0"/>
      <w:sz w:val="20"/>
      <w:szCs w:val="20"/>
      <w:u w:val="none"/>
    </w:rPr>
  </w:style>
  <w:style w:type="paragraph" w:customStyle="1" w:styleId="Points">
    <w:name w:val="Points"/>
    <w:basedOn w:val="Grafikeoznake"/>
    <w:qFormat/>
    <w:rsid w:val="008A02C8"/>
    <w:pPr>
      <w:spacing w:after="0" w:line="240" w:lineRule="auto"/>
      <w:ind w:left="320" w:hanging="320"/>
      <w:jc w:val="both"/>
    </w:pPr>
    <w:rPr>
      <w:sz w:val="24"/>
      <w:szCs w:val="24"/>
      <w:lang w:val="en-GB" w:eastAsia="lt-LT"/>
    </w:rPr>
  </w:style>
  <w:style w:type="paragraph" w:styleId="Grafikeoznake">
    <w:name w:val="List Bullet"/>
    <w:basedOn w:val="Normal"/>
    <w:uiPriority w:val="99"/>
    <w:semiHidden/>
    <w:unhideWhenUsed/>
    <w:rsid w:val="008A02C8"/>
    <w:pPr>
      <w:contextualSpacing/>
    </w:pPr>
  </w:style>
  <w:style w:type="paragraph" w:customStyle="1" w:styleId="CM3">
    <w:name w:val="CM3"/>
    <w:basedOn w:val="Default"/>
    <w:next w:val="Default"/>
    <w:uiPriority w:val="99"/>
    <w:rsid w:val="007D720D"/>
    <w:rPr>
      <w:rFonts w:ascii="EUAlbertina" w:eastAsiaTheme="minorHAnsi" w:hAnsi="EUAlbertina" w:cstheme="minorBidi"/>
      <w:color w:val="auto"/>
      <w:lang w:eastAsia="en-US"/>
    </w:rPr>
  </w:style>
  <w:style w:type="table" w:customStyle="1" w:styleId="TableGrid2">
    <w:name w:val="Table Grid2"/>
    <w:basedOn w:val="Obinatablica"/>
    <w:next w:val="Reetkatablice"/>
    <w:uiPriority w:val="59"/>
    <w:rsid w:val="00F60742"/>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772816718714091977msolistparagraph">
    <w:name w:val="m_3772816718714091977msolistparagraph"/>
    <w:basedOn w:val="Normal"/>
    <w:rsid w:val="00221056"/>
    <w:pPr>
      <w:spacing w:before="100" w:beforeAutospacing="1" w:after="100" w:afterAutospacing="1" w:line="240" w:lineRule="auto"/>
    </w:pPr>
    <w:rPr>
      <w:rFonts w:ascii="Times New Roman" w:hAnsi="Times New Roman"/>
      <w:sz w:val="24"/>
      <w:szCs w:val="24"/>
      <w:lang w:eastAsia="hr-HR"/>
    </w:rPr>
  </w:style>
  <w:style w:type="character" w:customStyle="1" w:styleId="UnresolvedMention1">
    <w:name w:val="Unresolved Mention1"/>
    <w:basedOn w:val="Zadanifontodlomka"/>
    <w:uiPriority w:val="99"/>
    <w:semiHidden/>
    <w:unhideWhenUsed/>
    <w:rsid w:val="00981F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5698">
      <w:bodyDiv w:val="1"/>
      <w:marLeft w:val="0"/>
      <w:marRight w:val="0"/>
      <w:marTop w:val="0"/>
      <w:marBottom w:val="0"/>
      <w:divBdr>
        <w:top w:val="none" w:sz="0" w:space="0" w:color="auto"/>
        <w:left w:val="none" w:sz="0" w:space="0" w:color="auto"/>
        <w:bottom w:val="none" w:sz="0" w:space="0" w:color="auto"/>
        <w:right w:val="none" w:sz="0" w:space="0" w:color="auto"/>
      </w:divBdr>
    </w:div>
    <w:div w:id="26107018">
      <w:bodyDiv w:val="1"/>
      <w:marLeft w:val="0"/>
      <w:marRight w:val="0"/>
      <w:marTop w:val="0"/>
      <w:marBottom w:val="0"/>
      <w:divBdr>
        <w:top w:val="none" w:sz="0" w:space="0" w:color="auto"/>
        <w:left w:val="none" w:sz="0" w:space="0" w:color="auto"/>
        <w:bottom w:val="none" w:sz="0" w:space="0" w:color="auto"/>
        <w:right w:val="none" w:sz="0" w:space="0" w:color="auto"/>
      </w:divBdr>
    </w:div>
    <w:div w:id="34888166">
      <w:bodyDiv w:val="1"/>
      <w:marLeft w:val="0"/>
      <w:marRight w:val="0"/>
      <w:marTop w:val="0"/>
      <w:marBottom w:val="0"/>
      <w:divBdr>
        <w:top w:val="none" w:sz="0" w:space="0" w:color="auto"/>
        <w:left w:val="none" w:sz="0" w:space="0" w:color="auto"/>
        <w:bottom w:val="none" w:sz="0" w:space="0" w:color="auto"/>
        <w:right w:val="none" w:sz="0" w:space="0" w:color="auto"/>
      </w:divBdr>
    </w:div>
    <w:div w:id="101919783">
      <w:bodyDiv w:val="1"/>
      <w:marLeft w:val="0"/>
      <w:marRight w:val="0"/>
      <w:marTop w:val="0"/>
      <w:marBottom w:val="0"/>
      <w:divBdr>
        <w:top w:val="none" w:sz="0" w:space="0" w:color="auto"/>
        <w:left w:val="none" w:sz="0" w:space="0" w:color="auto"/>
        <w:bottom w:val="none" w:sz="0" w:space="0" w:color="auto"/>
        <w:right w:val="none" w:sz="0" w:space="0" w:color="auto"/>
      </w:divBdr>
    </w:div>
    <w:div w:id="129054850">
      <w:bodyDiv w:val="1"/>
      <w:marLeft w:val="0"/>
      <w:marRight w:val="0"/>
      <w:marTop w:val="0"/>
      <w:marBottom w:val="0"/>
      <w:divBdr>
        <w:top w:val="none" w:sz="0" w:space="0" w:color="auto"/>
        <w:left w:val="none" w:sz="0" w:space="0" w:color="auto"/>
        <w:bottom w:val="none" w:sz="0" w:space="0" w:color="auto"/>
        <w:right w:val="none" w:sz="0" w:space="0" w:color="auto"/>
      </w:divBdr>
    </w:div>
    <w:div w:id="179780341">
      <w:bodyDiv w:val="1"/>
      <w:marLeft w:val="0"/>
      <w:marRight w:val="0"/>
      <w:marTop w:val="0"/>
      <w:marBottom w:val="0"/>
      <w:divBdr>
        <w:top w:val="none" w:sz="0" w:space="0" w:color="auto"/>
        <w:left w:val="none" w:sz="0" w:space="0" w:color="auto"/>
        <w:bottom w:val="none" w:sz="0" w:space="0" w:color="auto"/>
        <w:right w:val="none" w:sz="0" w:space="0" w:color="auto"/>
      </w:divBdr>
    </w:div>
    <w:div w:id="193419759">
      <w:bodyDiv w:val="1"/>
      <w:marLeft w:val="0"/>
      <w:marRight w:val="0"/>
      <w:marTop w:val="0"/>
      <w:marBottom w:val="0"/>
      <w:divBdr>
        <w:top w:val="none" w:sz="0" w:space="0" w:color="auto"/>
        <w:left w:val="none" w:sz="0" w:space="0" w:color="auto"/>
        <w:bottom w:val="none" w:sz="0" w:space="0" w:color="auto"/>
        <w:right w:val="none" w:sz="0" w:space="0" w:color="auto"/>
      </w:divBdr>
    </w:div>
    <w:div w:id="196357032">
      <w:bodyDiv w:val="1"/>
      <w:marLeft w:val="0"/>
      <w:marRight w:val="0"/>
      <w:marTop w:val="0"/>
      <w:marBottom w:val="0"/>
      <w:divBdr>
        <w:top w:val="none" w:sz="0" w:space="0" w:color="auto"/>
        <w:left w:val="none" w:sz="0" w:space="0" w:color="auto"/>
        <w:bottom w:val="none" w:sz="0" w:space="0" w:color="auto"/>
        <w:right w:val="none" w:sz="0" w:space="0" w:color="auto"/>
      </w:divBdr>
    </w:div>
    <w:div w:id="209341019">
      <w:bodyDiv w:val="1"/>
      <w:marLeft w:val="0"/>
      <w:marRight w:val="0"/>
      <w:marTop w:val="0"/>
      <w:marBottom w:val="0"/>
      <w:divBdr>
        <w:top w:val="none" w:sz="0" w:space="0" w:color="auto"/>
        <w:left w:val="none" w:sz="0" w:space="0" w:color="auto"/>
        <w:bottom w:val="none" w:sz="0" w:space="0" w:color="auto"/>
        <w:right w:val="none" w:sz="0" w:space="0" w:color="auto"/>
      </w:divBdr>
    </w:div>
    <w:div w:id="218640455">
      <w:bodyDiv w:val="1"/>
      <w:marLeft w:val="0"/>
      <w:marRight w:val="0"/>
      <w:marTop w:val="0"/>
      <w:marBottom w:val="0"/>
      <w:divBdr>
        <w:top w:val="none" w:sz="0" w:space="0" w:color="auto"/>
        <w:left w:val="none" w:sz="0" w:space="0" w:color="auto"/>
        <w:bottom w:val="none" w:sz="0" w:space="0" w:color="auto"/>
        <w:right w:val="none" w:sz="0" w:space="0" w:color="auto"/>
      </w:divBdr>
    </w:div>
    <w:div w:id="227572543">
      <w:bodyDiv w:val="1"/>
      <w:marLeft w:val="0"/>
      <w:marRight w:val="0"/>
      <w:marTop w:val="0"/>
      <w:marBottom w:val="0"/>
      <w:divBdr>
        <w:top w:val="none" w:sz="0" w:space="0" w:color="auto"/>
        <w:left w:val="none" w:sz="0" w:space="0" w:color="auto"/>
        <w:bottom w:val="none" w:sz="0" w:space="0" w:color="auto"/>
        <w:right w:val="none" w:sz="0" w:space="0" w:color="auto"/>
      </w:divBdr>
    </w:div>
    <w:div w:id="281498982">
      <w:bodyDiv w:val="1"/>
      <w:marLeft w:val="0"/>
      <w:marRight w:val="0"/>
      <w:marTop w:val="0"/>
      <w:marBottom w:val="0"/>
      <w:divBdr>
        <w:top w:val="none" w:sz="0" w:space="0" w:color="auto"/>
        <w:left w:val="none" w:sz="0" w:space="0" w:color="auto"/>
        <w:bottom w:val="none" w:sz="0" w:space="0" w:color="auto"/>
        <w:right w:val="none" w:sz="0" w:space="0" w:color="auto"/>
      </w:divBdr>
    </w:div>
    <w:div w:id="308748348">
      <w:bodyDiv w:val="1"/>
      <w:marLeft w:val="0"/>
      <w:marRight w:val="0"/>
      <w:marTop w:val="0"/>
      <w:marBottom w:val="0"/>
      <w:divBdr>
        <w:top w:val="none" w:sz="0" w:space="0" w:color="auto"/>
        <w:left w:val="none" w:sz="0" w:space="0" w:color="auto"/>
        <w:bottom w:val="none" w:sz="0" w:space="0" w:color="auto"/>
        <w:right w:val="none" w:sz="0" w:space="0" w:color="auto"/>
      </w:divBdr>
    </w:div>
    <w:div w:id="310136053">
      <w:bodyDiv w:val="1"/>
      <w:marLeft w:val="0"/>
      <w:marRight w:val="0"/>
      <w:marTop w:val="0"/>
      <w:marBottom w:val="0"/>
      <w:divBdr>
        <w:top w:val="none" w:sz="0" w:space="0" w:color="auto"/>
        <w:left w:val="none" w:sz="0" w:space="0" w:color="auto"/>
        <w:bottom w:val="none" w:sz="0" w:space="0" w:color="auto"/>
        <w:right w:val="none" w:sz="0" w:space="0" w:color="auto"/>
      </w:divBdr>
    </w:div>
    <w:div w:id="331419036">
      <w:bodyDiv w:val="1"/>
      <w:marLeft w:val="0"/>
      <w:marRight w:val="0"/>
      <w:marTop w:val="0"/>
      <w:marBottom w:val="0"/>
      <w:divBdr>
        <w:top w:val="none" w:sz="0" w:space="0" w:color="auto"/>
        <w:left w:val="none" w:sz="0" w:space="0" w:color="auto"/>
        <w:bottom w:val="none" w:sz="0" w:space="0" w:color="auto"/>
        <w:right w:val="none" w:sz="0" w:space="0" w:color="auto"/>
      </w:divBdr>
    </w:div>
    <w:div w:id="346828231">
      <w:bodyDiv w:val="1"/>
      <w:marLeft w:val="0"/>
      <w:marRight w:val="0"/>
      <w:marTop w:val="0"/>
      <w:marBottom w:val="0"/>
      <w:divBdr>
        <w:top w:val="none" w:sz="0" w:space="0" w:color="auto"/>
        <w:left w:val="none" w:sz="0" w:space="0" w:color="auto"/>
        <w:bottom w:val="none" w:sz="0" w:space="0" w:color="auto"/>
        <w:right w:val="none" w:sz="0" w:space="0" w:color="auto"/>
      </w:divBdr>
    </w:div>
    <w:div w:id="348875544">
      <w:bodyDiv w:val="1"/>
      <w:marLeft w:val="0"/>
      <w:marRight w:val="0"/>
      <w:marTop w:val="0"/>
      <w:marBottom w:val="0"/>
      <w:divBdr>
        <w:top w:val="none" w:sz="0" w:space="0" w:color="auto"/>
        <w:left w:val="none" w:sz="0" w:space="0" w:color="auto"/>
        <w:bottom w:val="none" w:sz="0" w:space="0" w:color="auto"/>
        <w:right w:val="none" w:sz="0" w:space="0" w:color="auto"/>
      </w:divBdr>
    </w:div>
    <w:div w:id="378937950">
      <w:bodyDiv w:val="1"/>
      <w:marLeft w:val="0"/>
      <w:marRight w:val="0"/>
      <w:marTop w:val="0"/>
      <w:marBottom w:val="0"/>
      <w:divBdr>
        <w:top w:val="none" w:sz="0" w:space="0" w:color="auto"/>
        <w:left w:val="none" w:sz="0" w:space="0" w:color="auto"/>
        <w:bottom w:val="none" w:sz="0" w:space="0" w:color="auto"/>
        <w:right w:val="none" w:sz="0" w:space="0" w:color="auto"/>
      </w:divBdr>
    </w:div>
    <w:div w:id="396392785">
      <w:bodyDiv w:val="1"/>
      <w:marLeft w:val="0"/>
      <w:marRight w:val="0"/>
      <w:marTop w:val="0"/>
      <w:marBottom w:val="0"/>
      <w:divBdr>
        <w:top w:val="none" w:sz="0" w:space="0" w:color="auto"/>
        <w:left w:val="none" w:sz="0" w:space="0" w:color="auto"/>
        <w:bottom w:val="none" w:sz="0" w:space="0" w:color="auto"/>
        <w:right w:val="none" w:sz="0" w:space="0" w:color="auto"/>
      </w:divBdr>
    </w:div>
    <w:div w:id="403381002">
      <w:bodyDiv w:val="1"/>
      <w:marLeft w:val="0"/>
      <w:marRight w:val="0"/>
      <w:marTop w:val="0"/>
      <w:marBottom w:val="0"/>
      <w:divBdr>
        <w:top w:val="none" w:sz="0" w:space="0" w:color="auto"/>
        <w:left w:val="none" w:sz="0" w:space="0" w:color="auto"/>
        <w:bottom w:val="none" w:sz="0" w:space="0" w:color="auto"/>
        <w:right w:val="none" w:sz="0" w:space="0" w:color="auto"/>
      </w:divBdr>
    </w:div>
    <w:div w:id="403840695">
      <w:bodyDiv w:val="1"/>
      <w:marLeft w:val="0"/>
      <w:marRight w:val="0"/>
      <w:marTop w:val="0"/>
      <w:marBottom w:val="0"/>
      <w:divBdr>
        <w:top w:val="none" w:sz="0" w:space="0" w:color="auto"/>
        <w:left w:val="none" w:sz="0" w:space="0" w:color="auto"/>
        <w:bottom w:val="none" w:sz="0" w:space="0" w:color="auto"/>
        <w:right w:val="none" w:sz="0" w:space="0" w:color="auto"/>
      </w:divBdr>
    </w:div>
    <w:div w:id="411705293">
      <w:bodyDiv w:val="1"/>
      <w:marLeft w:val="0"/>
      <w:marRight w:val="0"/>
      <w:marTop w:val="0"/>
      <w:marBottom w:val="0"/>
      <w:divBdr>
        <w:top w:val="none" w:sz="0" w:space="0" w:color="auto"/>
        <w:left w:val="none" w:sz="0" w:space="0" w:color="auto"/>
        <w:bottom w:val="none" w:sz="0" w:space="0" w:color="auto"/>
        <w:right w:val="none" w:sz="0" w:space="0" w:color="auto"/>
      </w:divBdr>
    </w:div>
    <w:div w:id="420563039">
      <w:bodyDiv w:val="1"/>
      <w:marLeft w:val="0"/>
      <w:marRight w:val="0"/>
      <w:marTop w:val="0"/>
      <w:marBottom w:val="0"/>
      <w:divBdr>
        <w:top w:val="none" w:sz="0" w:space="0" w:color="auto"/>
        <w:left w:val="none" w:sz="0" w:space="0" w:color="auto"/>
        <w:bottom w:val="none" w:sz="0" w:space="0" w:color="auto"/>
        <w:right w:val="none" w:sz="0" w:space="0" w:color="auto"/>
      </w:divBdr>
    </w:div>
    <w:div w:id="436753979">
      <w:bodyDiv w:val="1"/>
      <w:marLeft w:val="0"/>
      <w:marRight w:val="0"/>
      <w:marTop w:val="0"/>
      <w:marBottom w:val="0"/>
      <w:divBdr>
        <w:top w:val="none" w:sz="0" w:space="0" w:color="auto"/>
        <w:left w:val="none" w:sz="0" w:space="0" w:color="auto"/>
        <w:bottom w:val="none" w:sz="0" w:space="0" w:color="auto"/>
        <w:right w:val="none" w:sz="0" w:space="0" w:color="auto"/>
      </w:divBdr>
    </w:div>
    <w:div w:id="489449956">
      <w:bodyDiv w:val="1"/>
      <w:marLeft w:val="0"/>
      <w:marRight w:val="0"/>
      <w:marTop w:val="0"/>
      <w:marBottom w:val="0"/>
      <w:divBdr>
        <w:top w:val="none" w:sz="0" w:space="0" w:color="auto"/>
        <w:left w:val="none" w:sz="0" w:space="0" w:color="auto"/>
        <w:bottom w:val="none" w:sz="0" w:space="0" w:color="auto"/>
        <w:right w:val="none" w:sz="0" w:space="0" w:color="auto"/>
      </w:divBdr>
    </w:div>
    <w:div w:id="490559897">
      <w:bodyDiv w:val="1"/>
      <w:marLeft w:val="0"/>
      <w:marRight w:val="0"/>
      <w:marTop w:val="0"/>
      <w:marBottom w:val="0"/>
      <w:divBdr>
        <w:top w:val="none" w:sz="0" w:space="0" w:color="auto"/>
        <w:left w:val="none" w:sz="0" w:space="0" w:color="auto"/>
        <w:bottom w:val="none" w:sz="0" w:space="0" w:color="auto"/>
        <w:right w:val="none" w:sz="0" w:space="0" w:color="auto"/>
      </w:divBdr>
    </w:div>
    <w:div w:id="495390054">
      <w:bodyDiv w:val="1"/>
      <w:marLeft w:val="0"/>
      <w:marRight w:val="0"/>
      <w:marTop w:val="0"/>
      <w:marBottom w:val="0"/>
      <w:divBdr>
        <w:top w:val="none" w:sz="0" w:space="0" w:color="auto"/>
        <w:left w:val="none" w:sz="0" w:space="0" w:color="auto"/>
        <w:bottom w:val="none" w:sz="0" w:space="0" w:color="auto"/>
        <w:right w:val="none" w:sz="0" w:space="0" w:color="auto"/>
      </w:divBdr>
    </w:div>
    <w:div w:id="524171520">
      <w:bodyDiv w:val="1"/>
      <w:marLeft w:val="0"/>
      <w:marRight w:val="0"/>
      <w:marTop w:val="0"/>
      <w:marBottom w:val="0"/>
      <w:divBdr>
        <w:top w:val="none" w:sz="0" w:space="0" w:color="auto"/>
        <w:left w:val="none" w:sz="0" w:space="0" w:color="auto"/>
        <w:bottom w:val="none" w:sz="0" w:space="0" w:color="auto"/>
        <w:right w:val="none" w:sz="0" w:space="0" w:color="auto"/>
      </w:divBdr>
    </w:div>
    <w:div w:id="541944680">
      <w:bodyDiv w:val="1"/>
      <w:marLeft w:val="0"/>
      <w:marRight w:val="0"/>
      <w:marTop w:val="0"/>
      <w:marBottom w:val="0"/>
      <w:divBdr>
        <w:top w:val="none" w:sz="0" w:space="0" w:color="auto"/>
        <w:left w:val="none" w:sz="0" w:space="0" w:color="auto"/>
        <w:bottom w:val="none" w:sz="0" w:space="0" w:color="auto"/>
        <w:right w:val="none" w:sz="0" w:space="0" w:color="auto"/>
      </w:divBdr>
    </w:div>
    <w:div w:id="568463804">
      <w:bodyDiv w:val="1"/>
      <w:marLeft w:val="0"/>
      <w:marRight w:val="0"/>
      <w:marTop w:val="0"/>
      <w:marBottom w:val="0"/>
      <w:divBdr>
        <w:top w:val="none" w:sz="0" w:space="0" w:color="auto"/>
        <w:left w:val="none" w:sz="0" w:space="0" w:color="auto"/>
        <w:bottom w:val="none" w:sz="0" w:space="0" w:color="auto"/>
        <w:right w:val="none" w:sz="0" w:space="0" w:color="auto"/>
      </w:divBdr>
    </w:div>
    <w:div w:id="576935279">
      <w:bodyDiv w:val="1"/>
      <w:marLeft w:val="0"/>
      <w:marRight w:val="0"/>
      <w:marTop w:val="0"/>
      <w:marBottom w:val="0"/>
      <w:divBdr>
        <w:top w:val="none" w:sz="0" w:space="0" w:color="auto"/>
        <w:left w:val="none" w:sz="0" w:space="0" w:color="auto"/>
        <w:bottom w:val="none" w:sz="0" w:space="0" w:color="auto"/>
        <w:right w:val="none" w:sz="0" w:space="0" w:color="auto"/>
      </w:divBdr>
    </w:div>
    <w:div w:id="582909691">
      <w:bodyDiv w:val="1"/>
      <w:marLeft w:val="0"/>
      <w:marRight w:val="0"/>
      <w:marTop w:val="0"/>
      <w:marBottom w:val="0"/>
      <w:divBdr>
        <w:top w:val="none" w:sz="0" w:space="0" w:color="auto"/>
        <w:left w:val="none" w:sz="0" w:space="0" w:color="auto"/>
        <w:bottom w:val="none" w:sz="0" w:space="0" w:color="auto"/>
        <w:right w:val="none" w:sz="0" w:space="0" w:color="auto"/>
      </w:divBdr>
    </w:div>
    <w:div w:id="583608638">
      <w:bodyDiv w:val="1"/>
      <w:marLeft w:val="0"/>
      <w:marRight w:val="0"/>
      <w:marTop w:val="0"/>
      <w:marBottom w:val="0"/>
      <w:divBdr>
        <w:top w:val="none" w:sz="0" w:space="0" w:color="auto"/>
        <w:left w:val="none" w:sz="0" w:space="0" w:color="auto"/>
        <w:bottom w:val="none" w:sz="0" w:space="0" w:color="auto"/>
        <w:right w:val="none" w:sz="0" w:space="0" w:color="auto"/>
      </w:divBdr>
    </w:div>
    <w:div w:id="586114432">
      <w:bodyDiv w:val="1"/>
      <w:marLeft w:val="0"/>
      <w:marRight w:val="0"/>
      <w:marTop w:val="0"/>
      <w:marBottom w:val="0"/>
      <w:divBdr>
        <w:top w:val="none" w:sz="0" w:space="0" w:color="auto"/>
        <w:left w:val="none" w:sz="0" w:space="0" w:color="auto"/>
        <w:bottom w:val="none" w:sz="0" w:space="0" w:color="auto"/>
        <w:right w:val="none" w:sz="0" w:space="0" w:color="auto"/>
      </w:divBdr>
    </w:div>
    <w:div w:id="587423193">
      <w:bodyDiv w:val="1"/>
      <w:marLeft w:val="0"/>
      <w:marRight w:val="0"/>
      <w:marTop w:val="0"/>
      <w:marBottom w:val="0"/>
      <w:divBdr>
        <w:top w:val="none" w:sz="0" w:space="0" w:color="auto"/>
        <w:left w:val="none" w:sz="0" w:space="0" w:color="auto"/>
        <w:bottom w:val="none" w:sz="0" w:space="0" w:color="auto"/>
        <w:right w:val="none" w:sz="0" w:space="0" w:color="auto"/>
      </w:divBdr>
    </w:div>
    <w:div w:id="600143746">
      <w:bodyDiv w:val="1"/>
      <w:marLeft w:val="0"/>
      <w:marRight w:val="0"/>
      <w:marTop w:val="0"/>
      <w:marBottom w:val="0"/>
      <w:divBdr>
        <w:top w:val="none" w:sz="0" w:space="0" w:color="auto"/>
        <w:left w:val="none" w:sz="0" w:space="0" w:color="auto"/>
        <w:bottom w:val="none" w:sz="0" w:space="0" w:color="auto"/>
        <w:right w:val="none" w:sz="0" w:space="0" w:color="auto"/>
      </w:divBdr>
    </w:div>
    <w:div w:id="602761304">
      <w:bodyDiv w:val="1"/>
      <w:marLeft w:val="0"/>
      <w:marRight w:val="0"/>
      <w:marTop w:val="0"/>
      <w:marBottom w:val="0"/>
      <w:divBdr>
        <w:top w:val="none" w:sz="0" w:space="0" w:color="auto"/>
        <w:left w:val="none" w:sz="0" w:space="0" w:color="auto"/>
        <w:bottom w:val="none" w:sz="0" w:space="0" w:color="auto"/>
        <w:right w:val="none" w:sz="0" w:space="0" w:color="auto"/>
      </w:divBdr>
    </w:div>
    <w:div w:id="627514771">
      <w:bodyDiv w:val="1"/>
      <w:marLeft w:val="0"/>
      <w:marRight w:val="0"/>
      <w:marTop w:val="0"/>
      <w:marBottom w:val="0"/>
      <w:divBdr>
        <w:top w:val="none" w:sz="0" w:space="0" w:color="auto"/>
        <w:left w:val="none" w:sz="0" w:space="0" w:color="auto"/>
        <w:bottom w:val="none" w:sz="0" w:space="0" w:color="auto"/>
        <w:right w:val="none" w:sz="0" w:space="0" w:color="auto"/>
      </w:divBdr>
    </w:div>
    <w:div w:id="631710066">
      <w:bodyDiv w:val="1"/>
      <w:marLeft w:val="0"/>
      <w:marRight w:val="0"/>
      <w:marTop w:val="0"/>
      <w:marBottom w:val="0"/>
      <w:divBdr>
        <w:top w:val="none" w:sz="0" w:space="0" w:color="auto"/>
        <w:left w:val="none" w:sz="0" w:space="0" w:color="auto"/>
        <w:bottom w:val="none" w:sz="0" w:space="0" w:color="auto"/>
        <w:right w:val="none" w:sz="0" w:space="0" w:color="auto"/>
      </w:divBdr>
    </w:div>
    <w:div w:id="740253441">
      <w:bodyDiv w:val="1"/>
      <w:marLeft w:val="0"/>
      <w:marRight w:val="0"/>
      <w:marTop w:val="0"/>
      <w:marBottom w:val="0"/>
      <w:divBdr>
        <w:top w:val="none" w:sz="0" w:space="0" w:color="auto"/>
        <w:left w:val="none" w:sz="0" w:space="0" w:color="auto"/>
        <w:bottom w:val="none" w:sz="0" w:space="0" w:color="auto"/>
        <w:right w:val="none" w:sz="0" w:space="0" w:color="auto"/>
      </w:divBdr>
    </w:div>
    <w:div w:id="763110091">
      <w:bodyDiv w:val="1"/>
      <w:marLeft w:val="0"/>
      <w:marRight w:val="0"/>
      <w:marTop w:val="0"/>
      <w:marBottom w:val="0"/>
      <w:divBdr>
        <w:top w:val="none" w:sz="0" w:space="0" w:color="auto"/>
        <w:left w:val="none" w:sz="0" w:space="0" w:color="auto"/>
        <w:bottom w:val="none" w:sz="0" w:space="0" w:color="auto"/>
        <w:right w:val="none" w:sz="0" w:space="0" w:color="auto"/>
      </w:divBdr>
    </w:div>
    <w:div w:id="764956727">
      <w:bodyDiv w:val="1"/>
      <w:marLeft w:val="0"/>
      <w:marRight w:val="0"/>
      <w:marTop w:val="0"/>
      <w:marBottom w:val="0"/>
      <w:divBdr>
        <w:top w:val="none" w:sz="0" w:space="0" w:color="auto"/>
        <w:left w:val="none" w:sz="0" w:space="0" w:color="auto"/>
        <w:bottom w:val="none" w:sz="0" w:space="0" w:color="auto"/>
        <w:right w:val="none" w:sz="0" w:space="0" w:color="auto"/>
      </w:divBdr>
    </w:div>
    <w:div w:id="770053258">
      <w:bodyDiv w:val="1"/>
      <w:marLeft w:val="0"/>
      <w:marRight w:val="0"/>
      <w:marTop w:val="0"/>
      <w:marBottom w:val="0"/>
      <w:divBdr>
        <w:top w:val="none" w:sz="0" w:space="0" w:color="auto"/>
        <w:left w:val="none" w:sz="0" w:space="0" w:color="auto"/>
        <w:bottom w:val="none" w:sz="0" w:space="0" w:color="auto"/>
        <w:right w:val="none" w:sz="0" w:space="0" w:color="auto"/>
      </w:divBdr>
    </w:div>
    <w:div w:id="781189784">
      <w:bodyDiv w:val="1"/>
      <w:marLeft w:val="0"/>
      <w:marRight w:val="0"/>
      <w:marTop w:val="0"/>
      <w:marBottom w:val="0"/>
      <w:divBdr>
        <w:top w:val="none" w:sz="0" w:space="0" w:color="auto"/>
        <w:left w:val="none" w:sz="0" w:space="0" w:color="auto"/>
        <w:bottom w:val="none" w:sz="0" w:space="0" w:color="auto"/>
        <w:right w:val="none" w:sz="0" w:space="0" w:color="auto"/>
      </w:divBdr>
    </w:div>
    <w:div w:id="782958965">
      <w:bodyDiv w:val="1"/>
      <w:marLeft w:val="0"/>
      <w:marRight w:val="0"/>
      <w:marTop w:val="0"/>
      <w:marBottom w:val="0"/>
      <w:divBdr>
        <w:top w:val="none" w:sz="0" w:space="0" w:color="auto"/>
        <w:left w:val="none" w:sz="0" w:space="0" w:color="auto"/>
        <w:bottom w:val="none" w:sz="0" w:space="0" w:color="auto"/>
        <w:right w:val="none" w:sz="0" w:space="0" w:color="auto"/>
      </w:divBdr>
    </w:div>
    <w:div w:id="783574852">
      <w:bodyDiv w:val="1"/>
      <w:marLeft w:val="0"/>
      <w:marRight w:val="0"/>
      <w:marTop w:val="0"/>
      <w:marBottom w:val="0"/>
      <w:divBdr>
        <w:top w:val="none" w:sz="0" w:space="0" w:color="auto"/>
        <w:left w:val="none" w:sz="0" w:space="0" w:color="auto"/>
        <w:bottom w:val="none" w:sz="0" w:space="0" w:color="auto"/>
        <w:right w:val="none" w:sz="0" w:space="0" w:color="auto"/>
      </w:divBdr>
    </w:div>
    <w:div w:id="795486066">
      <w:bodyDiv w:val="1"/>
      <w:marLeft w:val="0"/>
      <w:marRight w:val="0"/>
      <w:marTop w:val="0"/>
      <w:marBottom w:val="0"/>
      <w:divBdr>
        <w:top w:val="none" w:sz="0" w:space="0" w:color="auto"/>
        <w:left w:val="none" w:sz="0" w:space="0" w:color="auto"/>
        <w:bottom w:val="none" w:sz="0" w:space="0" w:color="auto"/>
        <w:right w:val="none" w:sz="0" w:space="0" w:color="auto"/>
      </w:divBdr>
    </w:div>
    <w:div w:id="801843435">
      <w:bodyDiv w:val="1"/>
      <w:marLeft w:val="0"/>
      <w:marRight w:val="0"/>
      <w:marTop w:val="0"/>
      <w:marBottom w:val="0"/>
      <w:divBdr>
        <w:top w:val="none" w:sz="0" w:space="0" w:color="auto"/>
        <w:left w:val="none" w:sz="0" w:space="0" w:color="auto"/>
        <w:bottom w:val="none" w:sz="0" w:space="0" w:color="auto"/>
        <w:right w:val="none" w:sz="0" w:space="0" w:color="auto"/>
      </w:divBdr>
    </w:div>
    <w:div w:id="802506831">
      <w:bodyDiv w:val="1"/>
      <w:marLeft w:val="0"/>
      <w:marRight w:val="0"/>
      <w:marTop w:val="0"/>
      <w:marBottom w:val="0"/>
      <w:divBdr>
        <w:top w:val="none" w:sz="0" w:space="0" w:color="auto"/>
        <w:left w:val="none" w:sz="0" w:space="0" w:color="auto"/>
        <w:bottom w:val="none" w:sz="0" w:space="0" w:color="auto"/>
        <w:right w:val="none" w:sz="0" w:space="0" w:color="auto"/>
      </w:divBdr>
    </w:div>
    <w:div w:id="840237951">
      <w:bodyDiv w:val="1"/>
      <w:marLeft w:val="0"/>
      <w:marRight w:val="0"/>
      <w:marTop w:val="0"/>
      <w:marBottom w:val="0"/>
      <w:divBdr>
        <w:top w:val="none" w:sz="0" w:space="0" w:color="auto"/>
        <w:left w:val="none" w:sz="0" w:space="0" w:color="auto"/>
        <w:bottom w:val="none" w:sz="0" w:space="0" w:color="auto"/>
        <w:right w:val="none" w:sz="0" w:space="0" w:color="auto"/>
      </w:divBdr>
    </w:div>
    <w:div w:id="844053914">
      <w:bodyDiv w:val="1"/>
      <w:marLeft w:val="0"/>
      <w:marRight w:val="0"/>
      <w:marTop w:val="0"/>
      <w:marBottom w:val="0"/>
      <w:divBdr>
        <w:top w:val="none" w:sz="0" w:space="0" w:color="auto"/>
        <w:left w:val="none" w:sz="0" w:space="0" w:color="auto"/>
        <w:bottom w:val="none" w:sz="0" w:space="0" w:color="auto"/>
        <w:right w:val="none" w:sz="0" w:space="0" w:color="auto"/>
      </w:divBdr>
    </w:div>
    <w:div w:id="866063908">
      <w:bodyDiv w:val="1"/>
      <w:marLeft w:val="0"/>
      <w:marRight w:val="0"/>
      <w:marTop w:val="0"/>
      <w:marBottom w:val="0"/>
      <w:divBdr>
        <w:top w:val="none" w:sz="0" w:space="0" w:color="auto"/>
        <w:left w:val="none" w:sz="0" w:space="0" w:color="auto"/>
        <w:bottom w:val="none" w:sz="0" w:space="0" w:color="auto"/>
        <w:right w:val="none" w:sz="0" w:space="0" w:color="auto"/>
      </w:divBdr>
    </w:div>
    <w:div w:id="876087821">
      <w:bodyDiv w:val="1"/>
      <w:marLeft w:val="0"/>
      <w:marRight w:val="0"/>
      <w:marTop w:val="0"/>
      <w:marBottom w:val="0"/>
      <w:divBdr>
        <w:top w:val="none" w:sz="0" w:space="0" w:color="auto"/>
        <w:left w:val="none" w:sz="0" w:space="0" w:color="auto"/>
        <w:bottom w:val="none" w:sz="0" w:space="0" w:color="auto"/>
        <w:right w:val="none" w:sz="0" w:space="0" w:color="auto"/>
      </w:divBdr>
    </w:div>
    <w:div w:id="912274055">
      <w:bodyDiv w:val="1"/>
      <w:marLeft w:val="0"/>
      <w:marRight w:val="0"/>
      <w:marTop w:val="0"/>
      <w:marBottom w:val="0"/>
      <w:divBdr>
        <w:top w:val="none" w:sz="0" w:space="0" w:color="auto"/>
        <w:left w:val="none" w:sz="0" w:space="0" w:color="auto"/>
        <w:bottom w:val="none" w:sz="0" w:space="0" w:color="auto"/>
        <w:right w:val="none" w:sz="0" w:space="0" w:color="auto"/>
      </w:divBdr>
    </w:div>
    <w:div w:id="953906369">
      <w:bodyDiv w:val="1"/>
      <w:marLeft w:val="0"/>
      <w:marRight w:val="0"/>
      <w:marTop w:val="0"/>
      <w:marBottom w:val="0"/>
      <w:divBdr>
        <w:top w:val="none" w:sz="0" w:space="0" w:color="auto"/>
        <w:left w:val="none" w:sz="0" w:space="0" w:color="auto"/>
        <w:bottom w:val="none" w:sz="0" w:space="0" w:color="auto"/>
        <w:right w:val="none" w:sz="0" w:space="0" w:color="auto"/>
      </w:divBdr>
    </w:div>
    <w:div w:id="960186672">
      <w:bodyDiv w:val="1"/>
      <w:marLeft w:val="0"/>
      <w:marRight w:val="0"/>
      <w:marTop w:val="0"/>
      <w:marBottom w:val="0"/>
      <w:divBdr>
        <w:top w:val="none" w:sz="0" w:space="0" w:color="auto"/>
        <w:left w:val="none" w:sz="0" w:space="0" w:color="auto"/>
        <w:bottom w:val="none" w:sz="0" w:space="0" w:color="auto"/>
        <w:right w:val="none" w:sz="0" w:space="0" w:color="auto"/>
      </w:divBdr>
    </w:div>
    <w:div w:id="1003245494">
      <w:bodyDiv w:val="1"/>
      <w:marLeft w:val="0"/>
      <w:marRight w:val="0"/>
      <w:marTop w:val="0"/>
      <w:marBottom w:val="0"/>
      <w:divBdr>
        <w:top w:val="none" w:sz="0" w:space="0" w:color="auto"/>
        <w:left w:val="none" w:sz="0" w:space="0" w:color="auto"/>
        <w:bottom w:val="none" w:sz="0" w:space="0" w:color="auto"/>
        <w:right w:val="none" w:sz="0" w:space="0" w:color="auto"/>
      </w:divBdr>
    </w:div>
    <w:div w:id="1005086597">
      <w:bodyDiv w:val="1"/>
      <w:marLeft w:val="0"/>
      <w:marRight w:val="0"/>
      <w:marTop w:val="0"/>
      <w:marBottom w:val="0"/>
      <w:divBdr>
        <w:top w:val="none" w:sz="0" w:space="0" w:color="auto"/>
        <w:left w:val="none" w:sz="0" w:space="0" w:color="auto"/>
        <w:bottom w:val="none" w:sz="0" w:space="0" w:color="auto"/>
        <w:right w:val="none" w:sz="0" w:space="0" w:color="auto"/>
      </w:divBdr>
    </w:div>
    <w:div w:id="1011028097">
      <w:bodyDiv w:val="1"/>
      <w:marLeft w:val="0"/>
      <w:marRight w:val="0"/>
      <w:marTop w:val="0"/>
      <w:marBottom w:val="0"/>
      <w:divBdr>
        <w:top w:val="none" w:sz="0" w:space="0" w:color="auto"/>
        <w:left w:val="none" w:sz="0" w:space="0" w:color="auto"/>
        <w:bottom w:val="none" w:sz="0" w:space="0" w:color="auto"/>
        <w:right w:val="none" w:sz="0" w:space="0" w:color="auto"/>
      </w:divBdr>
    </w:div>
    <w:div w:id="1046754365">
      <w:bodyDiv w:val="1"/>
      <w:marLeft w:val="0"/>
      <w:marRight w:val="0"/>
      <w:marTop w:val="0"/>
      <w:marBottom w:val="0"/>
      <w:divBdr>
        <w:top w:val="none" w:sz="0" w:space="0" w:color="auto"/>
        <w:left w:val="none" w:sz="0" w:space="0" w:color="auto"/>
        <w:bottom w:val="none" w:sz="0" w:space="0" w:color="auto"/>
        <w:right w:val="none" w:sz="0" w:space="0" w:color="auto"/>
      </w:divBdr>
    </w:div>
    <w:div w:id="1054767951">
      <w:bodyDiv w:val="1"/>
      <w:marLeft w:val="0"/>
      <w:marRight w:val="0"/>
      <w:marTop w:val="0"/>
      <w:marBottom w:val="0"/>
      <w:divBdr>
        <w:top w:val="none" w:sz="0" w:space="0" w:color="auto"/>
        <w:left w:val="none" w:sz="0" w:space="0" w:color="auto"/>
        <w:bottom w:val="none" w:sz="0" w:space="0" w:color="auto"/>
        <w:right w:val="none" w:sz="0" w:space="0" w:color="auto"/>
      </w:divBdr>
    </w:div>
    <w:div w:id="1094980637">
      <w:bodyDiv w:val="1"/>
      <w:marLeft w:val="0"/>
      <w:marRight w:val="0"/>
      <w:marTop w:val="0"/>
      <w:marBottom w:val="0"/>
      <w:divBdr>
        <w:top w:val="none" w:sz="0" w:space="0" w:color="auto"/>
        <w:left w:val="none" w:sz="0" w:space="0" w:color="auto"/>
        <w:bottom w:val="none" w:sz="0" w:space="0" w:color="auto"/>
        <w:right w:val="none" w:sz="0" w:space="0" w:color="auto"/>
      </w:divBdr>
    </w:div>
    <w:div w:id="1114667464">
      <w:bodyDiv w:val="1"/>
      <w:marLeft w:val="0"/>
      <w:marRight w:val="0"/>
      <w:marTop w:val="0"/>
      <w:marBottom w:val="0"/>
      <w:divBdr>
        <w:top w:val="none" w:sz="0" w:space="0" w:color="auto"/>
        <w:left w:val="none" w:sz="0" w:space="0" w:color="auto"/>
        <w:bottom w:val="none" w:sz="0" w:space="0" w:color="auto"/>
        <w:right w:val="none" w:sz="0" w:space="0" w:color="auto"/>
      </w:divBdr>
    </w:div>
    <w:div w:id="1141581981">
      <w:bodyDiv w:val="1"/>
      <w:marLeft w:val="0"/>
      <w:marRight w:val="0"/>
      <w:marTop w:val="0"/>
      <w:marBottom w:val="0"/>
      <w:divBdr>
        <w:top w:val="none" w:sz="0" w:space="0" w:color="auto"/>
        <w:left w:val="none" w:sz="0" w:space="0" w:color="auto"/>
        <w:bottom w:val="none" w:sz="0" w:space="0" w:color="auto"/>
        <w:right w:val="none" w:sz="0" w:space="0" w:color="auto"/>
      </w:divBdr>
    </w:div>
    <w:div w:id="1168784640">
      <w:bodyDiv w:val="1"/>
      <w:marLeft w:val="0"/>
      <w:marRight w:val="0"/>
      <w:marTop w:val="0"/>
      <w:marBottom w:val="0"/>
      <w:divBdr>
        <w:top w:val="none" w:sz="0" w:space="0" w:color="auto"/>
        <w:left w:val="none" w:sz="0" w:space="0" w:color="auto"/>
        <w:bottom w:val="none" w:sz="0" w:space="0" w:color="auto"/>
        <w:right w:val="none" w:sz="0" w:space="0" w:color="auto"/>
      </w:divBdr>
    </w:div>
    <w:div w:id="1199508924">
      <w:bodyDiv w:val="1"/>
      <w:marLeft w:val="0"/>
      <w:marRight w:val="0"/>
      <w:marTop w:val="0"/>
      <w:marBottom w:val="0"/>
      <w:divBdr>
        <w:top w:val="none" w:sz="0" w:space="0" w:color="auto"/>
        <w:left w:val="none" w:sz="0" w:space="0" w:color="auto"/>
        <w:bottom w:val="none" w:sz="0" w:space="0" w:color="auto"/>
        <w:right w:val="none" w:sz="0" w:space="0" w:color="auto"/>
      </w:divBdr>
    </w:div>
    <w:div w:id="1200556674">
      <w:bodyDiv w:val="1"/>
      <w:marLeft w:val="0"/>
      <w:marRight w:val="0"/>
      <w:marTop w:val="0"/>
      <w:marBottom w:val="0"/>
      <w:divBdr>
        <w:top w:val="none" w:sz="0" w:space="0" w:color="auto"/>
        <w:left w:val="none" w:sz="0" w:space="0" w:color="auto"/>
        <w:bottom w:val="none" w:sz="0" w:space="0" w:color="auto"/>
        <w:right w:val="none" w:sz="0" w:space="0" w:color="auto"/>
      </w:divBdr>
    </w:div>
    <w:div w:id="1215772802">
      <w:bodyDiv w:val="1"/>
      <w:marLeft w:val="0"/>
      <w:marRight w:val="0"/>
      <w:marTop w:val="0"/>
      <w:marBottom w:val="0"/>
      <w:divBdr>
        <w:top w:val="none" w:sz="0" w:space="0" w:color="auto"/>
        <w:left w:val="none" w:sz="0" w:space="0" w:color="auto"/>
        <w:bottom w:val="none" w:sz="0" w:space="0" w:color="auto"/>
        <w:right w:val="none" w:sz="0" w:space="0" w:color="auto"/>
      </w:divBdr>
    </w:div>
    <w:div w:id="1262451556">
      <w:bodyDiv w:val="1"/>
      <w:marLeft w:val="0"/>
      <w:marRight w:val="0"/>
      <w:marTop w:val="0"/>
      <w:marBottom w:val="0"/>
      <w:divBdr>
        <w:top w:val="none" w:sz="0" w:space="0" w:color="auto"/>
        <w:left w:val="none" w:sz="0" w:space="0" w:color="auto"/>
        <w:bottom w:val="none" w:sz="0" w:space="0" w:color="auto"/>
        <w:right w:val="none" w:sz="0" w:space="0" w:color="auto"/>
      </w:divBdr>
    </w:div>
    <w:div w:id="1280187352">
      <w:bodyDiv w:val="1"/>
      <w:marLeft w:val="0"/>
      <w:marRight w:val="0"/>
      <w:marTop w:val="0"/>
      <w:marBottom w:val="0"/>
      <w:divBdr>
        <w:top w:val="none" w:sz="0" w:space="0" w:color="auto"/>
        <w:left w:val="none" w:sz="0" w:space="0" w:color="auto"/>
        <w:bottom w:val="none" w:sz="0" w:space="0" w:color="auto"/>
        <w:right w:val="none" w:sz="0" w:space="0" w:color="auto"/>
      </w:divBdr>
    </w:div>
    <w:div w:id="1282765467">
      <w:bodyDiv w:val="1"/>
      <w:marLeft w:val="0"/>
      <w:marRight w:val="0"/>
      <w:marTop w:val="0"/>
      <w:marBottom w:val="0"/>
      <w:divBdr>
        <w:top w:val="none" w:sz="0" w:space="0" w:color="auto"/>
        <w:left w:val="none" w:sz="0" w:space="0" w:color="auto"/>
        <w:bottom w:val="none" w:sz="0" w:space="0" w:color="auto"/>
        <w:right w:val="none" w:sz="0" w:space="0" w:color="auto"/>
      </w:divBdr>
    </w:div>
    <w:div w:id="1314524457">
      <w:bodyDiv w:val="1"/>
      <w:marLeft w:val="0"/>
      <w:marRight w:val="0"/>
      <w:marTop w:val="0"/>
      <w:marBottom w:val="0"/>
      <w:divBdr>
        <w:top w:val="none" w:sz="0" w:space="0" w:color="auto"/>
        <w:left w:val="none" w:sz="0" w:space="0" w:color="auto"/>
        <w:bottom w:val="none" w:sz="0" w:space="0" w:color="auto"/>
        <w:right w:val="none" w:sz="0" w:space="0" w:color="auto"/>
      </w:divBdr>
    </w:div>
    <w:div w:id="1316226595">
      <w:bodyDiv w:val="1"/>
      <w:marLeft w:val="0"/>
      <w:marRight w:val="0"/>
      <w:marTop w:val="0"/>
      <w:marBottom w:val="0"/>
      <w:divBdr>
        <w:top w:val="none" w:sz="0" w:space="0" w:color="auto"/>
        <w:left w:val="none" w:sz="0" w:space="0" w:color="auto"/>
        <w:bottom w:val="none" w:sz="0" w:space="0" w:color="auto"/>
        <w:right w:val="none" w:sz="0" w:space="0" w:color="auto"/>
      </w:divBdr>
    </w:div>
    <w:div w:id="1340695936">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72803321">
      <w:bodyDiv w:val="1"/>
      <w:marLeft w:val="0"/>
      <w:marRight w:val="0"/>
      <w:marTop w:val="0"/>
      <w:marBottom w:val="0"/>
      <w:divBdr>
        <w:top w:val="none" w:sz="0" w:space="0" w:color="auto"/>
        <w:left w:val="none" w:sz="0" w:space="0" w:color="auto"/>
        <w:bottom w:val="none" w:sz="0" w:space="0" w:color="auto"/>
        <w:right w:val="none" w:sz="0" w:space="0" w:color="auto"/>
      </w:divBdr>
    </w:div>
    <w:div w:id="1401366334">
      <w:bodyDiv w:val="1"/>
      <w:marLeft w:val="0"/>
      <w:marRight w:val="0"/>
      <w:marTop w:val="0"/>
      <w:marBottom w:val="0"/>
      <w:divBdr>
        <w:top w:val="none" w:sz="0" w:space="0" w:color="auto"/>
        <w:left w:val="none" w:sz="0" w:space="0" w:color="auto"/>
        <w:bottom w:val="none" w:sz="0" w:space="0" w:color="auto"/>
        <w:right w:val="none" w:sz="0" w:space="0" w:color="auto"/>
      </w:divBdr>
    </w:div>
    <w:div w:id="1422678887">
      <w:bodyDiv w:val="1"/>
      <w:marLeft w:val="0"/>
      <w:marRight w:val="0"/>
      <w:marTop w:val="0"/>
      <w:marBottom w:val="0"/>
      <w:divBdr>
        <w:top w:val="none" w:sz="0" w:space="0" w:color="auto"/>
        <w:left w:val="none" w:sz="0" w:space="0" w:color="auto"/>
        <w:bottom w:val="none" w:sz="0" w:space="0" w:color="auto"/>
        <w:right w:val="none" w:sz="0" w:space="0" w:color="auto"/>
      </w:divBdr>
    </w:div>
    <w:div w:id="1440032386">
      <w:bodyDiv w:val="1"/>
      <w:marLeft w:val="0"/>
      <w:marRight w:val="0"/>
      <w:marTop w:val="0"/>
      <w:marBottom w:val="0"/>
      <w:divBdr>
        <w:top w:val="none" w:sz="0" w:space="0" w:color="auto"/>
        <w:left w:val="none" w:sz="0" w:space="0" w:color="auto"/>
        <w:bottom w:val="none" w:sz="0" w:space="0" w:color="auto"/>
        <w:right w:val="none" w:sz="0" w:space="0" w:color="auto"/>
      </w:divBdr>
    </w:div>
    <w:div w:id="1470587035">
      <w:bodyDiv w:val="1"/>
      <w:marLeft w:val="0"/>
      <w:marRight w:val="0"/>
      <w:marTop w:val="0"/>
      <w:marBottom w:val="0"/>
      <w:divBdr>
        <w:top w:val="none" w:sz="0" w:space="0" w:color="auto"/>
        <w:left w:val="none" w:sz="0" w:space="0" w:color="auto"/>
        <w:bottom w:val="none" w:sz="0" w:space="0" w:color="auto"/>
        <w:right w:val="none" w:sz="0" w:space="0" w:color="auto"/>
      </w:divBdr>
    </w:div>
    <w:div w:id="1476601403">
      <w:bodyDiv w:val="1"/>
      <w:marLeft w:val="0"/>
      <w:marRight w:val="0"/>
      <w:marTop w:val="0"/>
      <w:marBottom w:val="0"/>
      <w:divBdr>
        <w:top w:val="none" w:sz="0" w:space="0" w:color="auto"/>
        <w:left w:val="none" w:sz="0" w:space="0" w:color="auto"/>
        <w:bottom w:val="none" w:sz="0" w:space="0" w:color="auto"/>
        <w:right w:val="none" w:sz="0" w:space="0" w:color="auto"/>
      </w:divBdr>
    </w:div>
    <w:div w:id="1503276644">
      <w:bodyDiv w:val="1"/>
      <w:marLeft w:val="0"/>
      <w:marRight w:val="0"/>
      <w:marTop w:val="0"/>
      <w:marBottom w:val="0"/>
      <w:divBdr>
        <w:top w:val="none" w:sz="0" w:space="0" w:color="auto"/>
        <w:left w:val="none" w:sz="0" w:space="0" w:color="auto"/>
        <w:bottom w:val="none" w:sz="0" w:space="0" w:color="auto"/>
        <w:right w:val="none" w:sz="0" w:space="0" w:color="auto"/>
      </w:divBdr>
    </w:div>
    <w:div w:id="1518620775">
      <w:bodyDiv w:val="1"/>
      <w:marLeft w:val="0"/>
      <w:marRight w:val="0"/>
      <w:marTop w:val="0"/>
      <w:marBottom w:val="0"/>
      <w:divBdr>
        <w:top w:val="none" w:sz="0" w:space="0" w:color="auto"/>
        <w:left w:val="none" w:sz="0" w:space="0" w:color="auto"/>
        <w:bottom w:val="none" w:sz="0" w:space="0" w:color="auto"/>
        <w:right w:val="none" w:sz="0" w:space="0" w:color="auto"/>
      </w:divBdr>
    </w:div>
    <w:div w:id="1537544231">
      <w:bodyDiv w:val="1"/>
      <w:marLeft w:val="0"/>
      <w:marRight w:val="0"/>
      <w:marTop w:val="0"/>
      <w:marBottom w:val="0"/>
      <w:divBdr>
        <w:top w:val="none" w:sz="0" w:space="0" w:color="auto"/>
        <w:left w:val="none" w:sz="0" w:space="0" w:color="auto"/>
        <w:bottom w:val="none" w:sz="0" w:space="0" w:color="auto"/>
        <w:right w:val="none" w:sz="0" w:space="0" w:color="auto"/>
      </w:divBdr>
    </w:div>
    <w:div w:id="1563102793">
      <w:bodyDiv w:val="1"/>
      <w:marLeft w:val="0"/>
      <w:marRight w:val="0"/>
      <w:marTop w:val="0"/>
      <w:marBottom w:val="0"/>
      <w:divBdr>
        <w:top w:val="none" w:sz="0" w:space="0" w:color="auto"/>
        <w:left w:val="none" w:sz="0" w:space="0" w:color="auto"/>
        <w:bottom w:val="none" w:sz="0" w:space="0" w:color="auto"/>
        <w:right w:val="none" w:sz="0" w:space="0" w:color="auto"/>
      </w:divBdr>
    </w:div>
    <w:div w:id="1567571352">
      <w:bodyDiv w:val="1"/>
      <w:marLeft w:val="0"/>
      <w:marRight w:val="0"/>
      <w:marTop w:val="0"/>
      <w:marBottom w:val="0"/>
      <w:divBdr>
        <w:top w:val="none" w:sz="0" w:space="0" w:color="auto"/>
        <w:left w:val="none" w:sz="0" w:space="0" w:color="auto"/>
        <w:bottom w:val="none" w:sz="0" w:space="0" w:color="auto"/>
        <w:right w:val="none" w:sz="0" w:space="0" w:color="auto"/>
      </w:divBdr>
    </w:div>
    <w:div w:id="1572305723">
      <w:bodyDiv w:val="1"/>
      <w:marLeft w:val="0"/>
      <w:marRight w:val="0"/>
      <w:marTop w:val="0"/>
      <w:marBottom w:val="0"/>
      <w:divBdr>
        <w:top w:val="none" w:sz="0" w:space="0" w:color="auto"/>
        <w:left w:val="none" w:sz="0" w:space="0" w:color="auto"/>
        <w:bottom w:val="none" w:sz="0" w:space="0" w:color="auto"/>
        <w:right w:val="none" w:sz="0" w:space="0" w:color="auto"/>
      </w:divBdr>
    </w:div>
    <w:div w:id="1576016012">
      <w:bodyDiv w:val="1"/>
      <w:marLeft w:val="0"/>
      <w:marRight w:val="0"/>
      <w:marTop w:val="0"/>
      <w:marBottom w:val="0"/>
      <w:divBdr>
        <w:top w:val="none" w:sz="0" w:space="0" w:color="auto"/>
        <w:left w:val="none" w:sz="0" w:space="0" w:color="auto"/>
        <w:bottom w:val="none" w:sz="0" w:space="0" w:color="auto"/>
        <w:right w:val="none" w:sz="0" w:space="0" w:color="auto"/>
      </w:divBdr>
    </w:div>
    <w:div w:id="1580289875">
      <w:bodyDiv w:val="1"/>
      <w:marLeft w:val="0"/>
      <w:marRight w:val="0"/>
      <w:marTop w:val="0"/>
      <w:marBottom w:val="0"/>
      <w:divBdr>
        <w:top w:val="none" w:sz="0" w:space="0" w:color="auto"/>
        <w:left w:val="none" w:sz="0" w:space="0" w:color="auto"/>
        <w:bottom w:val="none" w:sz="0" w:space="0" w:color="auto"/>
        <w:right w:val="none" w:sz="0" w:space="0" w:color="auto"/>
      </w:divBdr>
    </w:div>
    <w:div w:id="1594437417">
      <w:bodyDiv w:val="1"/>
      <w:marLeft w:val="0"/>
      <w:marRight w:val="0"/>
      <w:marTop w:val="0"/>
      <w:marBottom w:val="0"/>
      <w:divBdr>
        <w:top w:val="none" w:sz="0" w:space="0" w:color="auto"/>
        <w:left w:val="none" w:sz="0" w:space="0" w:color="auto"/>
        <w:bottom w:val="none" w:sz="0" w:space="0" w:color="auto"/>
        <w:right w:val="none" w:sz="0" w:space="0" w:color="auto"/>
      </w:divBdr>
    </w:div>
    <w:div w:id="1606376057">
      <w:bodyDiv w:val="1"/>
      <w:marLeft w:val="0"/>
      <w:marRight w:val="0"/>
      <w:marTop w:val="0"/>
      <w:marBottom w:val="0"/>
      <w:divBdr>
        <w:top w:val="none" w:sz="0" w:space="0" w:color="auto"/>
        <w:left w:val="none" w:sz="0" w:space="0" w:color="auto"/>
        <w:bottom w:val="none" w:sz="0" w:space="0" w:color="auto"/>
        <w:right w:val="none" w:sz="0" w:space="0" w:color="auto"/>
      </w:divBdr>
    </w:div>
    <w:div w:id="1619289695">
      <w:bodyDiv w:val="1"/>
      <w:marLeft w:val="0"/>
      <w:marRight w:val="0"/>
      <w:marTop w:val="0"/>
      <w:marBottom w:val="0"/>
      <w:divBdr>
        <w:top w:val="none" w:sz="0" w:space="0" w:color="auto"/>
        <w:left w:val="none" w:sz="0" w:space="0" w:color="auto"/>
        <w:bottom w:val="none" w:sz="0" w:space="0" w:color="auto"/>
        <w:right w:val="none" w:sz="0" w:space="0" w:color="auto"/>
      </w:divBdr>
    </w:div>
    <w:div w:id="1623732293">
      <w:bodyDiv w:val="1"/>
      <w:marLeft w:val="0"/>
      <w:marRight w:val="0"/>
      <w:marTop w:val="0"/>
      <w:marBottom w:val="0"/>
      <w:divBdr>
        <w:top w:val="none" w:sz="0" w:space="0" w:color="auto"/>
        <w:left w:val="none" w:sz="0" w:space="0" w:color="auto"/>
        <w:bottom w:val="none" w:sz="0" w:space="0" w:color="auto"/>
        <w:right w:val="none" w:sz="0" w:space="0" w:color="auto"/>
      </w:divBdr>
    </w:div>
    <w:div w:id="1624387818">
      <w:bodyDiv w:val="1"/>
      <w:marLeft w:val="0"/>
      <w:marRight w:val="0"/>
      <w:marTop w:val="0"/>
      <w:marBottom w:val="0"/>
      <w:divBdr>
        <w:top w:val="none" w:sz="0" w:space="0" w:color="auto"/>
        <w:left w:val="none" w:sz="0" w:space="0" w:color="auto"/>
        <w:bottom w:val="none" w:sz="0" w:space="0" w:color="auto"/>
        <w:right w:val="none" w:sz="0" w:space="0" w:color="auto"/>
      </w:divBdr>
    </w:div>
    <w:div w:id="1649548580">
      <w:bodyDiv w:val="1"/>
      <w:marLeft w:val="0"/>
      <w:marRight w:val="0"/>
      <w:marTop w:val="0"/>
      <w:marBottom w:val="0"/>
      <w:divBdr>
        <w:top w:val="none" w:sz="0" w:space="0" w:color="auto"/>
        <w:left w:val="none" w:sz="0" w:space="0" w:color="auto"/>
        <w:bottom w:val="none" w:sz="0" w:space="0" w:color="auto"/>
        <w:right w:val="none" w:sz="0" w:space="0" w:color="auto"/>
      </w:divBdr>
    </w:div>
    <w:div w:id="1654800036">
      <w:bodyDiv w:val="1"/>
      <w:marLeft w:val="0"/>
      <w:marRight w:val="0"/>
      <w:marTop w:val="0"/>
      <w:marBottom w:val="0"/>
      <w:divBdr>
        <w:top w:val="none" w:sz="0" w:space="0" w:color="auto"/>
        <w:left w:val="none" w:sz="0" w:space="0" w:color="auto"/>
        <w:bottom w:val="none" w:sz="0" w:space="0" w:color="auto"/>
        <w:right w:val="none" w:sz="0" w:space="0" w:color="auto"/>
      </w:divBdr>
    </w:div>
    <w:div w:id="1657756171">
      <w:bodyDiv w:val="1"/>
      <w:marLeft w:val="0"/>
      <w:marRight w:val="0"/>
      <w:marTop w:val="0"/>
      <w:marBottom w:val="0"/>
      <w:divBdr>
        <w:top w:val="none" w:sz="0" w:space="0" w:color="auto"/>
        <w:left w:val="none" w:sz="0" w:space="0" w:color="auto"/>
        <w:bottom w:val="none" w:sz="0" w:space="0" w:color="auto"/>
        <w:right w:val="none" w:sz="0" w:space="0" w:color="auto"/>
      </w:divBdr>
    </w:div>
    <w:div w:id="1675919251">
      <w:bodyDiv w:val="1"/>
      <w:marLeft w:val="0"/>
      <w:marRight w:val="0"/>
      <w:marTop w:val="0"/>
      <w:marBottom w:val="0"/>
      <w:divBdr>
        <w:top w:val="none" w:sz="0" w:space="0" w:color="auto"/>
        <w:left w:val="none" w:sz="0" w:space="0" w:color="auto"/>
        <w:bottom w:val="none" w:sz="0" w:space="0" w:color="auto"/>
        <w:right w:val="none" w:sz="0" w:space="0" w:color="auto"/>
      </w:divBdr>
    </w:div>
    <w:div w:id="1708019722">
      <w:bodyDiv w:val="1"/>
      <w:marLeft w:val="0"/>
      <w:marRight w:val="0"/>
      <w:marTop w:val="0"/>
      <w:marBottom w:val="0"/>
      <w:divBdr>
        <w:top w:val="none" w:sz="0" w:space="0" w:color="auto"/>
        <w:left w:val="none" w:sz="0" w:space="0" w:color="auto"/>
        <w:bottom w:val="none" w:sz="0" w:space="0" w:color="auto"/>
        <w:right w:val="none" w:sz="0" w:space="0" w:color="auto"/>
      </w:divBdr>
    </w:div>
    <w:div w:id="1726640544">
      <w:bodyDiv w:val="1"/>
      <w:marLeft w:val="0"/>
      <w:marRight w:val="0"/>
      <w:marTop w:val="0"/>
      <w:marBottom w:val="0"/>
      <w:divBdr>
        <w:top w:val="none" w:sz="0" w:space="0" w:color="auto"/>
        <w:left w:val="none" w:sz="0" w:space="0" w:color="auto"/>
        <w:bottom w:val="none" w:sz="0" w:space="0" w:color="auto"/>
        <w:right w:val="none" w:sz="0" w:space="0" w:color="auto"/>
      </w:divBdr>
    </w:div>
    <w:div w:id="1727491133">
      <w:bodyDiv w:val="1"/>
      <w:marLeft w:val="0"/>
      <w:marRight w:val="0"/>
      <w:marTop w:val="0"/>
      <w:marBottom w:val="0"/>
      <w:divBdr>
        <w:top w:val="none" w:sz="0" w:space="0" w:color="auto"/>
        <w:left w:val="none" w:sz="0" w:space="0" w:color="auto"/>
        <w:bottom w:val="none" w:sz="0" w:space="0" w:color="auto"/>
        <w:right w:val="none" w:sz="0" w:space="0" w:color="auto"/>
      </w:divBdr>
    </w:div>
    <w:div w:id="1730104784">
      <w:bodyDiv w:val="1"/>
      <w:marLeft w:val="0"/>
      <w:marRight w:val="0"/>
      <w:marTop w:val="0"/>
      <w:marBottom w:val="0"/>
      <w:divBdr>
        <w:top w:val="none" w:sz="0" w:space="0" w:color="auto"/>
        <w:left w:val="none" w:sz="0" w:space="0" w:color="auto"/>
        <w:bottom w:val="none" w:sz="0" w:space="0" w:color="auto"/>
        <w:right w:val="none" w:sz="0" w:space="0" w:color="auto"/>
      </w:divBdr>
    </w:div>
    <w:div w:id="1735471484">
      <w:bodyDiv w:val="1"/>
      <w:marLeft w:val="0"/>
      <w:marRight w:val="0"/>
      <w:marTop w:val="0"/>
      <w:marBottom w:val="0"/>
      <w:divBdr>
        <w:top w:val="none" w:sz="0" w:space="0" w:color="auto"/>
        <w:left w:val="none" w:sz="0" w:space="0" w:color="auto"/>
        <w:bottom w:val="none" w:sz="0" w:space="0" w:color="auto"/>
        <w:right w:val="none" w:sz="0" w:space="0" w:color="auto"/>
      </w:divBdr>
    </w:div>
    <w:div w:id="1748263563">
      <w:bodyDiv w:val="1"/>
      <w:marLeft w:val="0"/>
      <w:marRight w:val="0"/>
      <w:marTop w:val="0"/>
      <w:marBottom w:val="0"/>
      <w:divBdr>
        <w:top w:val="none" w:sz="0" w:space="0" w:color="auto"/>
        <w:left w:val="none" w:sz="0" w:space="0" w:color="auto"/>
        <w:bottom w:val="none" w:sz="0" w:space="0" w:color="auto"/>
        <w:right w:val="none" w:sz="0" w:space="0" w:color="auto"/>
      </w:divBdr>
    </w:div>
    <w:div w:id="1763842685">
      <w:bodyDiv w:val="1"/>
      <w:marLeft w:val="0"/>
      <w:marRight w:val="0"/>
      <w:marTop w:val="0"/>
      <w:marBottom w:val="0"/>
      <w:divBdr>
        <w:top w:val="none" w:sz="0" w:space="0" w:color="auto"/>
        <w:left w:val="none" w:sz="0" w:space="0" w:color="auto"/>
        <w:bottom w:val="none" w:sz="0" w:space="0" w:color="auto"/>
        <w:right w:val="none" w:sz="0" w:space="0" w:color="auto"/>
      </w:divBdr>
    </w:div>
    <w:div w:id="1776703407">
      <w:bodyDiv w:val="1"/>
      <w:marLeft w:val="0"/>
      <w:marRight w:val="0"/>
      <w:marTop w:val="0"/>
      <w:marBottom w:val="0"/>
      <w:divBdr>
        <w:top w:val="none" w:sz="0" w:space="0" w:color="auto"/>
        <w:left w:val="none" w:sz="0" w:space="0" w:color="auto"/>
        <w:bottom w:val="none" w:sz="0" w:space="0" w:color="auto"/>
        <w:right w:val="none" w:sz="0" w:space="0" w:color="auto"/>
      </w:divBdr>
    </w:div>
    <w:div w:id="1828936679">
      <w:bodyDiv w:val="1"/>
      <w:marLeft w:val="0"/>
      <w:marRight w:val="0"/>
      <w:marTop w:val="0"/>
      <w:marBottom w:val="0"/>
      <w:divBdr>
        <w:top w:val="none" w:sz="0" w:space="0" w:color="auto"/>
        <w:left w:val="none" w:sz="0" w:space="0" w:color="auto"/>
        <w:bottom w:val="none" w:sz="0" w:space="0" w:color="auto"/>
        <w:right w:val="none" w:sz="0" w:space="0" w:color="auto"/>
      </w:divBdr>
    </w:div>
    <w:div w:id="1852986177">
      <w:bodyDiv w:val="1"/>
      <w:marLeft w:val="0"/>
      <w:marRight w:val="0"/>
      <w:marTop w:val="0"/>
      <w:marBottom w:val="0"/>
      <w:divBdr>
        <w:top w:val="none" w:sz="0" w:space="0" w:color="auto"/>
        <w:left w:val="none" w:sz="0" w:space="0" w:color="auto"/>
        <w:bottom w:val="none" w:sz="0" w:space="0" w:color="auto"/>
        <w:right w:val="none" w:sz="0" w:space="0" w:color="auto"/>
      </w:divBdr>
    </w:div>
    <w:div w:id="1884706162">
      <w:bodyDiv w:val="1"/>
      <w:marLeft w:val="0"/>
      <w:marRight w:val="0"/>
      <w:marTop w:val="0"/>
      <w:marBottom w:val="0"/>
      <w:divBdr>
        <w:top w:val="none" w:sz="0" w:space="0" w:color="auto"/>
        <w:left w:val="none" w:sz="0" w:space="0" w:color="auto"/>
        <w:bottom w:val="none" w:sz="0" w:space="0" w:color="auto"/>
        <w:right w:val="none" w:sz="0" w:space="0" w:color="auto"/>
      </w:divBdr>
    </w:div>
    <w:div w:id="1936940498">
      <w:bodyDiv w:val="1"/>
      <w:marLeft w:val="0"/>
      <w:marRight w:val="0"/>
      <w:marTop w:val="0"/>
      <w:marBottom w:val="0"/>
      <w:divBdr>
        <w:top w:val="none" w:sz="0" w:space="0" w:color="auto"/>
        <w:left w:val="none" w:sz="0" w:space="0" w:color="auto"/>
        <w:bottom w:val="none" w:sz="0" w:space="0" w:color="auto"/>
        <w:right w:val="none" w:sz="0" w:space="0" w:color="auto"/>
      </w:divBdr>
    </w:div>
    <w:div w:id="1941797454">
      <w:bodyDiv w:val="1"/>
      <w:marLeft w:val="0"/>
      <w:marRight w:val="0"/>
      <w:marTop w:val="0"/>
      <w:marBottom w:val="0"/>
      <w:divBdr>
        <w:top w:val="none" w:sz="0" w:space="0" w:color="auto"/>
        <w:left w:val="none" w:sz="0" w:space="0" w:color="auto"/>
        <w:bottom w:val="none" w:sz="0" w:space="0" w:color="auto"/>
        <w:right w:val="none" w:sz="0" w:space="0" w:color="auto"/>
      </w:divBdr>
    </w:div>
    <w:div w:id="1982223762">
      <w:bodyDiv w:val="1"/>
      <w:marLeft w:val="0"/>
      <w:marRight w:val="0"/>
      <w:marTop w:val="0"/>
      <w:marBottom w:val="0"/>
      <w:divBdr>
        <w:top w:val="none" w:sz="0" w:space="0" w:color="auto"/>
        <w:left w:val="none" w:sz="0" w:space="0" w:color="auto"/>
        <w:bottom w:val="none" w:sz="0" w:space="0" w:color="auto"/>
        <w:right w:val="none" w:sz="0" w:space="0" w:color="auto"/>
      </w:divBdr>
    </w:div>
    <w:div w:id="1988515522">
      <w:bodyDiv w:val="1"/>
      <w:marLeft w:val="0"/>
      <w:marRight w:val="0"/>
      <w:marTop w:val="0"/>
      <w:marBottom w:val="0"/>
      <w:divBdr>
        <w:top w:val="none" w:sz="0" w:space="0" w:color="auto"/>
        <w:left w:val="none" w:sz="0" w:space="0" w:color="auto"/>
        <w:bottom w:val="none" w:sz="0" w:space="0" w:color="auto"/>
        <w:right w:val="none" w:sz="0" w:space="0" w:color="auto"/>
      </w:divBdr>
    </w:div>
    <w:div w:id="1990086689">
      <w:bodyDiv w:val="1"/>
      <w:marLeft w:val="0"/>
      <w:marRight w:val="0"/>
      <w:marTop w:val="0"/>
      <w:marBottom w:val="0"/>
      <w:divBdr>
        <w:top w:val="none" w:sz="0" w:space="0" w:color="auto"/>
        <w:left w:val="none" w:sz="0" w:space="0" w:color="auto"/>
        <w:bottom w:val="none" w:sz="0" w:space="0" w:color="auto"/>
        <w:right w:val="none" w:sz="0" w:space="0" w:color="auto"/>
      </w:divBdr>
    </w:div>
    <w:div w:id="2019385852">
      <w:bodyDiv w:val="1"/>
      <w:marLeft w:val="0"/>
      <w:marRight w:val="0"/>
      <w:marTop w:val="0"/>
      <w:marBottom w:val="0"/>
      <w:divBdr>
        <w:top w:val="none" w:sz="0" w:space="0" w:color="auto"/>
        <w:left w:val="none" w:sz="0" w:space="0" w:color="auto"/>
        <w:bottom w:val="none" w:sz="0" w:space="0" w:color="auto"/>
        <w:right w:val="none" w:sz="0" w:space="0" w:color="auto"/>
      </w:divBdr>
    </w:div>
    <w:div w:id="2026011282">
      <w:bodyDiv w:val="1"/>
      <w:marLeft w:val="0"/>
      <w:marRight w:val="0"/>
      <w:marTop w:val="0"/>
      <w:marBottom w:val="0"/>
      <w:divBdr>
        <w:top w:val="none" w:sz="0" w:space="0" w:color="auto"/>
        <w:left w:val="none" w:sz="0" w:space="0" w:color="auto"/>
        <w:bottom w:val="none" w:sz="0" w:space="0" w:color="auto"/>
        <w:right w:val="none" w:sz="0" w:space="0" w:color="auto"/>
      </w:divBdr>
    </w:div>
    <w:div w:id="2040348981">
      <w:bodyDiv w:val="1"/>
      <w:marLeft w:val="0"/>
      <w:marRight w:val="0"/>
      <w:marTop w:val="0"/>
      <w:marBottom w:val="0"/>
      <w:divBdr>
        <w:top w:val="none" w:sz="0" w:space="0" w:color="auto"/>
        <w:left w:val="none" w:sz="0" w:space="0" w:color="auto"/>
        <w:bottom w:val="none" w:sz="0" w:space="0" w:color="auto"/>
        <w:right w:val="none" w:sz="0" w:space="0" w:color="auto"/>
      </w:divBdr>
    </w:div>
    <w:div w:id="2103138254">
      <w:bodyDiv w:val="1"/>
      <w:marLeft w:val="0"/>
      <w:marRight w:val="0"/>
      <w:marTop w:val="0"/>
      <w:marBottom w:val="0"/>
      <w:divBdr>
        <w:top w:val="none" w:sz="0" w:space="0" w:color="auto"/>
        <w:left w:val="none" w:sz="0" w:space="0" w:color="auto"/>
        <w:bottom w:val="none" w:sz="0" w:space="0" w:color="auto"/>
        <w:right w:val="none" w:sz="0" w:space="0" w:color="auto"/>
      </w:divBdr>
    </w:div>
    <w:div w:id="2109739031">
      <w:bodyDiv w:val="1"/>
      <w:marLeft w:val="0"/>
      <w:marRight w:val="0"/>
      <w:marTop w:val="0"/>
      <w:marBottom w:val="0"/>
      <w:divBdr>
        <w:top w:val="none" w:sz="0" w:space="0" w:color="auto"/>
        <w:left w:val="none" w:sz="0" w:space="0" w:color="auto"/>
        <w:bottom w:val="none" w:sz="0" w:space="0" w:color="auto"/>
        <w:right w:val="none" w:sz="0" w:space="0" w:color="auto"/>
      </w:divBdr>
    </w:div>
    <w:div w:id="21223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roskills.hr/assets/dokumenti/2015/Roadmap-Croatia-HR.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oskills.hr/assets/dokumenti/2015/Status-Quo-Analiza-HRV.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mzoip.hr/doc/nacionalni_akcijski_plan_za_zelenu_javnu_nabavu.pd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wb-reep.org" TargetMode="External"/><Relationship Id="rId10" Type="http://schemas.openxmlformats.org/officeDocument/2006/relationships/webSettings" Target="webSettings.xml"/><Relationship Id="rId19" Type="http://schemas.openxmlformats.org/officeDocument/2006/relationships/hyperlink" Target="http://www.enu.h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croskills.hr/assets/dokumenti/2015/Status-Quo-Analiza-HR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A6E8-7A78-49E4-9CED-FBDA954B3434}">
  <ds:schemaRefs>
    <ds:schemaRef ds:uri="http://schemas.microsoft.com/sharepoint/events"/>
  </ds:schemaRefs>
</ds:datastoreItem>
</file>

<file path=customXml/itemProps2.xml><?xml version="1.0" encoding="utf-8"?>
<ds:datastoreItem xmlns:ds="http://schemas.openxmlformats.org/officeDocument/2006/customXml" ds:itemID="{09EF4560-2DD1-40ED-BCCE-4F8D4831F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70665-19AD-43E5-BB76-E550FCC39AA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19873B-8588-49DC-A1FC-5027E7D811D7}">
  <ds:schemaRefs>
    <ds:schemaRef ds:uri="http://schemas.microsoft.com/sharepoint/v3/contenttype/forms"/>
  </ds:schemaRefs>
</ds:datastoreItem>
</file>

<file path=customXml/itemProps5.xml><?xml version="1.0" encoding="utf-8"?>
<ds:datastoreItem xmlns:ds="http://schemas.openxmlformats.org/officeDocument/2006/customXml" ds:itemID="{E1EFAC34-0A7F-4F84-8A01-BE973D87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53206</Words>
  <Characters>303278</Characters>
  <Application>Microsoft Office Word</Application>
  <DocSecurity>0</DocSecurity>
  <Lines>2527</Lines>
  <Paragraphs>711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Danijela Lončarić</cp:lastModifiedBy>
  <cp:revision>2</cp:revision>
  <cp:lastPrinted>2019-01-08T13:19:00Z</cp:lastPrinted>
  <dcterms:created xsi:type="dcterms:W3CDTF">2019-02-01T10:29:00Z</dcterms:created>
  <dcterms:modified xsi:type="dcterms:W3CDTF">2019-02-01T10:29:00Z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